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6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p>
      <w:pPr>
        <w:ind w:left="35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-6350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2"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40" w:type="dxa"/>
            <w:vAlign w:val="bottom"/>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75-1825172</w:t>
            </w:r>
          </w:p>
        </w:tc>
      </w:tr>
      <w:tr>
        <w:trPr>
          <w:trHeight w:val="190"/>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340" w:type="dxa"/>
            <w:vAlign w:val="bottom"/>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4333 Amon Carter Blvd., Fort Worth, Texas 76155</w:t>
            </w:r>
          </w:p>
        </w:tc>
        <w:tc>
          <w:tcPr>
            <w:tcW w:w="4340" w:type="dxa"/>
            <w:vAlign w:val="bottom"/>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rPr>
              <w:t>(817) 963-1234</w:t>
            </w:r>
          </w:p>
        </w:tc>
      </w:tr>
      <w:tr>
        <w:trPr>
          <w:trHeight w:val="190"/>
        </w:trPr>
        <w:tc>
          <w:tcPr>
            <w:tcW w:w="500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340" w:type="dxa"/>
            <w:vAlign w:val="bottom"/>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2"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40" w:type="dxa"/>
            <w:vAlign w:val="bottom"/>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13-1502798</w:t>
            </w:r>
          </w:p>
        </w:tc>
      </w:tr>
      <w:tr>
        <w:trPr>
          <w:trHeight w:val="190"/>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340" w:type="dxa"/>
            <w:vAlign w:val="bottom"/>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500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4333 Amon Carter Blvd., Fort Worth, Texas 76155</w:t>
            </w:r>
          </w:p>
        </w:tc>
        <w:tc>
          <w:tcPr>
            <w:tcW w:w="4340" w:type="dxa"/>
            <w:vAlign w:val="bottom"/>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rPr>
              <w:t>(817) 963-1234</w:t>
            </w:r>
          </w:p>
        </w:tc>
      </w:tr>
      <w:tr>
        <w:trPr>
          <w:trHeight w:val="190"/>
        </w:trPr>
        <w:tc>
          <w:tcPr>
            <w:tcW w:w="500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340" w:type="dxa"/>
            <w:vAlign w:val="bottom"/>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26"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Group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6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 w:lineRule="exact"/>
        <w:rPr>
          <w:sz w:val="24"/>
          <w:szCs w:val="24"/>
          <w:color w:val="auto"/>
        </w:rPr>
      </w:pPr>
    </w:p>
    <w:p>
      <w:pPr>
        <w:sectPr>
          <w:pgSz w:w="11900" w:h="16838" w:orient="portrait"/>
          <w:cols w:equalWidth="0" w:num="3">
            <w:col w:w="9580" w:space="720"/>
            <w:col w:w="460" w:space="220"/>
            <w:col w:w="440"/>
          </w:cols>
          <w:pgMar w:left="240" w:top="226" w:right="239" w:bottom="1440" w:gutter="0" w:footer="0" w:header="0"/>
          <w:type w:val="continuous"/>
        </w:sect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Group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6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6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2"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 w:lineRule="exact"/>
        <w:rPr>
          <w:sz w:val="24"/>
          <w:szCs w:val="24"/>
          <w:color w:val="auto"/>
        </w:rPr>
      </w:pPr>
    </w:p>
    <w:p>
      <w:pPr>
        <w:sectPr>
          <w:pgSz w:w="11900" w:h="16838" w:orient="portrait"/>
          <w:cols w:equalWidth="0" w:num="3">
            <w:col w:w="9580" w:space="720"/>
            <w:col w:w="460" w:space="220"/>
            <w:col w:w="440"/>
          </w:cols>
          <w:pgMar w:left="240" w:top="226" w:right="239" w:bottom="1440" w:gutter="0" w:footer="0" w:header="0"/>
          <w:type w:val="continuous"/>
        </w:sectPr>
      </w:pPr>
    </w:p>
    <w:p>
      <w:pPr>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226"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Group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Inc.</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ind w:right="340"/>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p>
      <w:pPr>
        <w:spacing w:after="0" w:line="28" w:lineRule="exact"/>
        <w:rPr>
          <w:sz w:val="24"/>
          <w:szCs w:val="24"/>
          <w:color w:val="auto"/>
        </w:rPr>
      </w:pPr>
    </w:p>
    <w:p>
      <w:pPr>
        <w:sectPr>
          <w:pgSz w:w="11900" w:h="16838" w:orient="portrait"/>
          <w:cols w:equalWidth="0" w:num="5">
            <w:col w:w="2480" w:space="720"/>
            <w:col w:w="1760" w:space="360"/>
            <w:col w:w="1360" w:space="320"/>
            <w:col w:w="1620" w:space="360"/>
            <w:col w:w="244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ectPr>
          <w:pgSz w:w="11900" w:h="16838" w:orient="portrait"/>
          <w:cols w:equalWidth="0" w:num="1">
            <w:col w:w="11420"/>
          </w:cols>
          <w:pgMar w:left="240" w:top="226" w:right="239" w:bottom="1440" w:gutter="0" w:footer="0" w:header="0"/>
          <w:type w:val="continuous"/>
        </w:sectPr>
      </w:pP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Group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6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both"/>
        <w:ind w:right="20"/>
        <w:spacing w:after="0" w:line="229"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 w:lineRule="exact"/>
        <w:rPr>
          <w:sz w:val="24"/>
          <w:szCs w:val="24"/>
          <w:color w:val="auto"/>
        </w:rPr>
      </w:pPr>
    </w:p>
    <w:p>
      <w:pPr>
        <w:sectPr>
          <w:pgSz w:w="11900" w:h="16838" w:orient="portrait"/>
          <w:cols w:equalWidth="0" w:num="3">
            <w:col w:w="9580" w:space="720"/>
            <w:col w:w="460" w:space="220"/>
            <w:col w:w="440"/>
          </w:cols>
          <w:pgMar w:left="240" w:top="226" w:right="239" w:bottom="1440" w:gutter="0" w:footer="0" w:header="0"/>
          <w:type w:val="continuous"/>
        </w:sectPr>
      </w:pPr>
    </w:p>
    <w:p>
      <w:pPr>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26"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Group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6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 w:lineRule="exact"/>
        <w:rPr>
          <w:sz w:val="24"/>
          <w:szCs w:val="24"/>
          <w:color w:val="auto"/>
        </w:rPr>
      </w:pPr>
    </w:p>
    <w:p>
      <w:pPr>
        <w:sectPr>
          <w:pgSz w:w="11900" w:h="16838" w:orient="portrait"/>
          <w:cols w:equalWidth="0" w:num="3">
            <w:col w:w="9580" w:space="720"/>
            <w:col w:w="460" w:space="220"/>
            <w:col w:w="44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As of April 15, 2016, there were 578,171,736 shares of American Airlines Group Inc. common stock outstanding.</w:t>
      </w:r>
    </w:p>
    <w:p>
      <w:pPr>
        <w:sectPr>
          <w:pgSz w:w="11900" w:h="16838" w:orient="portrait"/>
          <w:cols w:equalWidth="0" w:num="1">
            <w:col w:w="11420"/>
          </w:cols>
          <w:pgMar w:left="240" w:top="226" w:right="239" w:bottom="1440" w:gutter="0" w:footer="0" w:header="0"/>
          <w:type w:val="continuous"/>
        </w:sectPr>
      </w:pP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15, 2016,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Quarterly Period Ended March 31, 2016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720" w:type="dxa"/>
            <w:vAlign w:val="bottom"/>
            <w:gridSpan w:val="13"/>
            <w:vMerge w:val="restart"/>
          </w:tcPr>
          <w:p>
            <w:pPr>
              <w:jc w:val="center"/>
              <w:ind w:right="3620"/>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7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5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Financial Statements of American Airlines Group Inc.</w:t>
              </w:r>
            </w:hyperlink>
          </w:p>
        </w:tc>
        <w:tc>
          <w:tcPr>
            <w:tcW w:w="42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w:t>
              </w:r>
            </w:hyperlink>
          </w:p>
        </w:tc>
        <w:tc>
          <w:tcPr>
            <w:tcW w:w="54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5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Condensed Consolidated Financial Statements of American Airlines, Inc.</w:t>
              </w:r>
            </w:hyperlink>
          </w:p>
        </w:tc>
        <w:tc>
          <w:tcPr>
            <w:tcW w:w="47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Condensed Consolidated Statements of Comprehensive Income</w:t>
              </w:r>
            </w:hyperlink>
          </w:p>
        </w:tc>
        <w:tc>
          <w:tcPr>
            <w:tcW w:w="54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6"/>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20" w:type="dxa"/>
            <w:vAlign w:val="bottom"/>
            <w:gridSpan w:val="13"/>
          </w:tcPr>
          <w:p>
            <w:pPr>
              <w:jc w:val="center"/>
              <w:ind w:right="3620"/>
              <w:spacing w:after="0" w:line="196" w:lineRule="exact"/>
              <w:rPr>
                <w:rFonts w:ascii="Times New Roman" w:cs="Times New Roman" w:eastAsia="Times New Roman" w:hAnsi="Times New Roman"/>
                <w:sz w:val="18"/>
                <w:szCs w:val="18"/>
                <w:b w:val="1"/>
                <w:bCs w:val="1"/>
                <w:color w:val="0000EE"/>
                <w:w w:val="98"/>
              </w:rPr>
            </w:pPr>
            <w:hyperlink w:anchor="page46">
              <w:r>
                <w:rPr>
                  <w:rFonts w:ascii="Times New Roman" w:cs="Times New Roman" w:eastAsia="Times New Roman" w:hAnsi="Times New Roman"/>
                  <w:sz w:val="18"/>
                  <w:szCs w:val="18"/>
                  <w:b w:val="1"/>
                  <w:bCs w:val="1"/>
                  <w:color w:val="0000EE"/>
                  <w:w w:val="98"/>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460" w:type="dxa"/>
            <w:vAlign w:val="bottom"/>
            <w:gridSpan w:val="8"/>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Legal Proceedings</w:t>
              </w:r>
            </w:hyperlink>
          </w:p>
        </w:tc>
        <w:tc>
          <w:tcPr>
            <w:tcW w:w="2780" w:type="dxa"/>
            <w:vAlign w:val="bottom"/>
            <w:tcBorders>
              <w:top w:val="single" w:sz="8" w:color="0000EE"/>
            </w:tcBorders>
            <w:gridSpan w:val="9"/>
          </w:tcPr>
          <w:p>
            <w:pPr>
              <w:spacing w:after="0"/>
              <w:rPr>
                <w:sz w:val="17"/>
                <w:szCs w:val="17"/>
                <w:color w:val="auto"/>
              </w:rPr>
            </w:pPr>
          </w:p>
        </w:tc>
        <w:tc>
          <w:tcPr>
            <w:tcW w:w="37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tcPr>
          <w:p>
            <w:pPr>
              <w:spacing w:after="0"/>
              <w:rPr>
                <w:sz w:val="17"/>
                <w:szCs w:val="17"/>
                <w:color w:val="auto"/>
              </w:rPr>
            </w:pPr>
          </w:p>
        </w:tc>
        <w:tc>
          <w:tcPr>
            <w:tcW w:w="86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Unregistered Sales of Equity Securities and Use of Proceeds</w:t>
              </w:r>
            </w:hyperlink>
          </w:p>
        </w:tc>
        <w:tc>
          <w:tcPr>
            <w:tcW w:w="56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0020" w:type="dxa"/>
            <w:vAlign w:val="bottom"/>
            <w:gridSpan w:val="2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Exhibits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SIGNATURES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0" w:type="dxa"/>
            <w:vAlign w:val="bottom"/>
            <w:gridSpan w:val="14"/>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This combined Quarterly Report on Form 10-Q is filed by American Airlines Group Inc. (formerly named AMR Corporation) (AAG) and its wholly-owned subsidiary American Airlines, Inc. (American). References in this Quarterly Report on Form 10-Q to “we,” “us,” “our” and similar terms refer to AAG and its consolidated subsidiaries. On December 9, 2013, a subsidiary of AMR Corporation merged with and into US Airways Group, Inc. (US Airways Group), which survived as a wholly-owned subsidiary of AAG (the Merger).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subsidiary of US Airways Group, merged with and into American, with American as the surviving corporation. For financial reporting purposes, this transaction constituted a transfer of assets between entities under common control and is reflected in this Quarterly Report on Form 10-Q as though the transaction had occurred on December 9, 2013, the effective date of the Merger, which represents the earliest date that American and US Airways were under common control. Thus, information in this Quarterly Report on Form 10-Q regarding American’s condensed consolidated results of operations comprises of the results of US Airways and American for all periods presented. “AMR” or “AMR Corporation” refers to AAG during the period of time prior to its acquisition of US Airways Group. References to “US Airways Group” and “US Airways” represent the entities during the period of time prior to December 30, 2015. References in this Quarterly Report on Form 10-Q to “mainline” refer to the operations of American, as applicable, and exclude regional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51" w:lineRule="auto"/>
        <w:rPr>
          <w:sz w:val="20"/>
          <w:szCs w:val="20"/>
          <w:color w:val="auto"/>
        </w:rPr>
      </w:pPr>
      <w:r>
        <w:rPr>
          <w:rFonts w:ascii="Times New Roman" w:cs="Times New Roman" w:eastAsia="Times New Roman" w:hAnsi="Times New Roman"/>
          <w:sz w:val="18"/>
          <w:szCs w:val="18"/>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low-cost carriers, airline alliances and industry consolidation; the challenges and costs of integrating operations and realizing anticipated synergies and other benefits of the Merger; costs of ongoing data security compliance requirements and the impact of any significant data security breach;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postretirement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and noise regulation; the impact associated with climate change, including increased regulation to reduce emissions of greenhouse gases;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that affect travel behavior such as an outbreak of a contagious disease, and volatility and fluctuations in our results of operations due to seasonality; the effect of a higher than normal number of pilot retirements and a potential shortage of pilots; the impact of possible future increases in insurance costs or reductions in available insurance coverage; the effect on our financial position and liquidity of being party to or involved in litigation; an inability to use net operating losses (NOLs) carried over from prior taxable years (NOL Carryforwards); any impairment in the amount of our goodwill and an inability to realize the full value of our intangible or long-lived assets and any material impairment charges that would be recorded as a result; price volatility of our common stock; the effects of our capital deployment program and the limitation, suspension or discontinuation of our share repurchase programs or dividend payments thereunder;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Quarterly Report on Form 10-Q (especially in Part II, Item 1A.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9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This combined Quarterly Report on Form 10-Q is filed by both AAG and American and includes the condensed consolidated financial statements of each company in Item 1A and Item 1B,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amounts)(Unaudited)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revenues:</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Mainline passenger</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6,564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Regional passenger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Cargo</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Regional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Aircraft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Special items,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606,245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611,488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retiree medical, and other postretirement benefits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Reclassification into earnings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change in value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20"/>
                <w:szCs w:val="20"/>
                <w:color w:val="auto"/>
              </w:rPr>
            </w:pPr>
          </w:p>
        </w:tc>
        <w:tc>
          <w:tcPr>
            <w:tcW w:w="88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8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property and equipment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Flight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33,185</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Ground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 purchase 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(13,393)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 net of accumulated amortization of $514 and $502, respectively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30"/>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49,909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48,415</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and capital leases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2,610</w:t>
            </w:r>
          </w:p>
        </w:tc>
        <w:tc>
          <w:tcPr>
            <w:tcW w:w="400" w:type="dxa"/>
            <w:vAlign w:val="bottom"/>
          </w:tcPr>
          <w:p>
            <w:pPr>
              <w:spacing w:after="0"/>
              <w:rPr>
                <w:sz w:val="18"/>
                <w:szCs w:val="18"/>
                <w:color w:val="auto"/>
              </w:rPr>
            </w:pPr>
          </w:p>
        </w:tc>
        <w:tc>
          <w:tcPr>
            <w:tcW w:w="7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 traffic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Loyalty program liability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and capital leases, net of current maturities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19,134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gains and credits,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1,750,000,000 shares authorized, 585,658,329 shares issued and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March 31, 2016; 624,622,381 shares issued and outstanding at December 31, 2015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(4,749)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(591)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 and aircraft purchase deposits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of short-term investments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restricted cash and short-term investments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 and capital leases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bankruptcy obligations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2015.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76"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On December 30, 2015, in order to simplify our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w:t>
      </w:r>
    </w:p>
    <w:p>
      <w:pPr>
        <w:spacing w:after="0" w:line="188"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In March 2016, the FASB issued ASU 2016-08, “Revenue from Contracts with Customers (Topic 606): Principal versus Agent Considerations (Reporting Revenue Gross versus Net).” ASU 2016-08 clarifies the implementation guidance on principal versus agent considerations. 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We are currently evaluating the requirements of these standards and have not yet determined the impact on our condensed consolidated financial statements.</w:t>
      </w:r>
    </w:p>
    <w:p>
      <w:pPr>
        <w:spacing w:after="0" w:line="19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We are currently evaluating the requirements of ASU 2016-02 and have not yet determined its impact on our condensed consolidated financial statements.</w:t>
      </w:r>
    </w:p>
    <w:p>
      <w:pPr>
        <w:spacing w:after="0" w:line="184"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ASU 2016-09 simplifies the accounting for share-based payment award transactions including: income tax consequences, classification of awards as either equity or liabilities and classification on the statement of cash flows. ASU 2016-09 is effective for fiscal years beginning after December 15, 2016, including interim periods within those fiscal years. Early adoption is permitted. We are currently evaluating the requirements of ASU 2016-09 and have not yet determined its impact on our condensed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items, net on the condensed consolidated statements of operations are as follows (in millions):</w:t>
      </w:r>
    </w:p>
    <w:p>
      <w:pPr>
        <w:spacing w:after="0" w:line="24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7620</wp:posOffset>
            </wp:positionV>
            <wp:extent cx="1758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8860"/>
        <w:spacing w:after="0"/>
        <w:tabs>
          <w:tab w:leader="none" w:pos="107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tabs>
          <w:tab w:leader="none" w:pos="8540" w:val="left"/>
          <w:tab w:leader="none" w:pos="9240" w:val="left"/>
          <w:tab w:leader="none" w:pos="10380" w:val="left"/>
          <w:tab w:leader="none" w:pos="11040" w:val="left"/>
        </w:tabs>
        <w:rPr>
          <w:sz w:val="20"/>
          <w:szCs w:val="20"/>
          <w:color w:val="auto"/>
        </w:rPr>
      </w:pPr>
      <w:r>
        <w:rPr>
          <w:rFonts w:ascii="Times New Roman" w:cs="Times New Roman" w:eastAsia="Times New Roman" w:hAnsi="Times New Roman"/>
          <w:sz w:val="18"/>
          <w:szCs w:val="18"/>
          <w:color w:val="auto"/>
        </w:rPr>
        <w:t xml:space="preserve">Mainline operating special items, net </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p>
      <w:pPr>
        <w:jc w:val="both"/>
        <w:ind w:left="460" w:hanging="452"/>
        <w:spacing w:after="0" w:line="266"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2016 first quarter mainline operating special items totaled a net charge of $99 million, which principally included merger integration expenses related to alignment of labor union contracts, information technology, fleet restructuring, professional fees, re-branding of aircraft and airport facilities, relocation and training, as well as severance.</w:t>
      </w:r>
    </w:p>
    <w:p>
      <w:pPr>
        <w:spacing w:after="0" w:line="68" w:lineRule="exact"/>
        <w:rPr>
          <w:rFonts w:ascii="Times New Roman" w:cs="Times New Roman" w:eastAsia="Times New Roman" w:hAnsi="Times New Roman"/>
          <w:sz w:val="15"/>
          <w:szCs w:val="15"/>
          <w:color w:val="auto"/>
        </w:rPr>
      </w:pPr>
    </w:p>
    <w:p>
      <w:pPr>
        <w:jc w:val="both"/>
        <w:ind w:left="46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2015 first quarter mainline operating special items totaled a net charge of $303 million, which principally included merger integration expenses related to alignment of labor union contracts, information technology, fleet restructuring, professional fees, re-branding of aircraft and airport facilities, severance, relocation and training, as well as share-based compensation.</w:t>
      </w:r>
    </w:p>
    <w:p>
      <w:pPr>
        <w:spacing w:after="0" w:line="176"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following additional amounts are also included in the condensed consolidated statements of operations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4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Regional operating special items, net</w:t>
            </w: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special items, net</w:t>
            </w:r>
          </w:p>
        </w:tc>
        <w:tc>
          <w:tcPr>
            <w:tcW w:w="5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special items, net</w:t>
            </w: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(EPS) (in millions,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EPS: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700</w:t>
            </w: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606,245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EPS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purposes of computing diluted EPS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700</w:t>
            </w: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computation for diluted EPS (in thousands):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606,245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stock awards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20,515</w:t>
            </w:r>
          </w:p>
        </w:tc>
        <w:tc>
          <w:tcPr>
            <w:tcW w:w="0" w:type="dxa"/>
            <w:vAlign w:val="bottom"/>
          </w:tcPr>
          <w:p>
            <w:pPr>
              <w:spacing w:after="0"/>
              <w:rPr>
                <w:sz w:val="1"/>
                <w:szCs w:val="1"/>
                <w:color w:val="auto"/>
              </w:rPr>
            </w:pPr>
          </w:p>
        </w:tc>
      </w:tr>
      <w:tr>
        <w:trPr>
          <w:trHeight w:val="230"/>
        </w:trPr>
        <w:tc>
          <w:tcPr>
            <w:tcW w:w="8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611,488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were excluded from the calculation of diluted EPS (in thousands):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stock appreciation rights and restricted stock unit awards because inclusion would be antidilutive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 Repurchase Programs and Dividends</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Since July 2014, our Board of Directors has approved several share repurchase programs aggregating $7.0 billion of authority of which, as of March 31, 2016, $853 million remained unused under repurchase programs that expire on December 31, 2016.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8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we repurchased 39.3 million shares of AAG common stock for $1.6 billion at a weighted average cost per share of $39.76. Since the inception of the share repurchase programs in July 2014, we have repurchased 147.9 million shares of AAG common stock for $6.1 billion at a weighted average cost per share of $41.57.</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declared the following cash dividends in the first quarter of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stockholders</w:t>
            </w:r>
          </w:p>
        </w:tc>
        <w:tc>
          <w:tcPr>
            <w:tcW w:w="1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Payable on</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0" w:type="dxa"/>
            <w:vAlign w:val="bottom"/>
          </w:tcPr>
          <w:p>
            <w:pPr>
              <w:spacing w:after="0"/>
              <w:rPr>
                <w:sz w:val="1"/>
                <w:szCs w:val="1"/>
                <w:color w:val="auto"/>
              </w:rPr>
            </w:pPr>
          </w:p>
        </w:tc>
      </w:tr>
      <w:tr>
        <w:trPr>
          <w:trHeight w:val="173"/>
        </w:trPr>
        <w:tc>
          <w:tcPr>
            <w:tcW w:w="3520" w:type="dxa"/>
            <w:vAlign w:val="bottom"/>
            <w:gridSpan w:val="2"/>
            <w:vMerge w:val="continue"/>
          </w:tcPr>
          <w:p>
            <w:pPr>
              <w:spacing w:after="0"/>
              <w:rPr>
                <w:sz w:val="15"/>
                <w:szCs w:val="15"/>
                <w:color w:val="auto"/>
              </w:rPr>
            </w:pPr>
          </w:p>
        </w:tc>
        <w:tc>
          <w:tcPr>
            <w:tcW w:w="26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record as of</w:t>
            </w:r>
          </w:p>
        </w:tc>
        <w:tc>
          <w:tcPr>
            <w:tcW w:w="1800" w:type="dxa"/>
            <w:vAlign w:val="bottom"/>
            <w:gridSpan w:val="2"/>
            <w:vMerge w:val="continue"/>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w:t>
            </w: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w:t>
            </w:r>
          </w:p>
        </w:tc>
        <w:tc>
          <w:tcPr>
            <w:tcW w:w="2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0.10</w:t>
            </w:r>
          </w:p>
        </w:tc>
        <w:tc>
          <w:tcPr>
            <w:tcW w:w="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February 10, 2016</w:t>
            </w:r>
          </w:p>
        </w:tc>
        <w:tc>
          <w:tcPr>
            <w:tcW w:w="4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February 24, 2016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and capital lease obligations included in the condensed consolidated balance sheets consisted of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Secured</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2013 Credit Facilities, variable interest rate of 3.25%, installments through 2020</w:t>
            </w:r>
          </w:p>
        </w:tc>
        <w:tc>
          <w:tcPr>
            <w:tcW w:w="6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1,867</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2014 Credit Facilities, variable interest rate of 3.50%, installments through 2021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743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2013 Citicorp Credit Facility tranche B-1, variable interest rate of 3.50%, installments through 2019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980</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2013 Citicorp Credit Facility tranche B-2, variable interest rate of 3.00%, installments through</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November 2016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588</w:t>
            </w:r>
          </w:p>
        </w:tc>
        <w:tc>
          <w:tcPr>
            <w:tcW w:w="6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Aircraft enhanced equipment trust certificates (EETCs), fixed interest rates ranging from 3.38% to</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9.75%, maturing from 2017 to 2028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9,634</w:t>
            </w: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Equipment loans and other notes payable, fixed and variable interest rates ranging from 1.83% to</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8.48%, maturing from 2016 to 2028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4,449</w:t>
            </w: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Special facility revenue bonds, fixed interest rates ranging from 2.00% to 8.00%, maturing from 2016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2035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1,080</w:t>
            </w: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secured obligations, fixed interest rates ranging from 3.60% to 12.24%, maturing from 2016 to</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908</w:t>
            </w:r>
          </w:p>
        </w:tc>
        <w:tc>
          <w:tcPr>
            <w:tcW w:w="6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80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Unsecured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5.50% senior notes, interest only payments until due in 2019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750</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6.125% senior notes, interest only payments until due in 2018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4.625% senior notes, interest only payments until due in 2020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1,750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8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Total unamortized debt discount and debt issuance costs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2,610</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Long-term debt and capital lease obligations, net of current maturities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19,134</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table below shows availability under revolving credit facilities, all of which were undrawn, as of March 31, 2016 (in millions):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Revolving Facility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2014 Revolving Facility</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2016 Financing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2016-1 EETCs</w:t>
      </w:r>
    </w:p>
    <w:p>
      <w:pPr>
        <w:spacing w:after="0" w:line="11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proceeds received from the sale of the 2016-1 EETCs have been used to purchase equipment notes issued by American in three series: Series</w:t>
      </w:r>
    </w:p>
    <w:p>
      <w:pPr>
        <w:spacing w:after="0" w:line="27" w:lineRule="exact"/>
        <w:rPr>
          <w:sz w:val="20"/>
          <w:szCs w:val="20"/>
          <w:color w:val="auto"/>
        </w:rPr>
      </w:pPr>
    </w:p>
    <w:p>
      <w:pPr>
        <w:jc w:val="both"/>
        <w:ind w:firstLine="8"/>
        <w:spacing w:after="0" w:line="253" w:lineRule="auto"/>
        <w:tabs>
          <w:tab w:leader="none" w:pos="3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ectPr>
          <w:pgSz w:w="11900" w:h="16838" w:orient="portrait"/>
          <w:cols w:equalWidth="0" w:num="1">
            <w:col w:w="11420"/>
          </w:cols>
          <w:pgMar w:left="240" w:top="45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Aircraft Financing Transactions</w:t>
      </w:r>
    </w:p>
    <w:p>
      <w:pPr>
        <w:spacing w:after="0" w:line="119"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In the first quarter of 2016, we entered into loan agreements to borrow $426 million in connection with the financing of certain aircraft. Debt incurred under these loan agreements matures in 2027 and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At December 31, 2015, we had approximately $8.0 billion of gross net operating losses (NOLs) carried over from prior taxable years (NOL Carryforwards) to reduce future federal taxable income, substantially all of which are expected to be available for use in 2016. The federal NOL Carryforwards will expire beginning in 2023 if unused. These NOL Carryforwards include an unrealized tax benefit of $1.2 billion related to share-based compensation that will be recorded in equity when realized. We also had approximately $4.0 billion of NOL Carryforwards to reduce future state taxable income at December 31, 2015, which will expire in years 2016 through 2034 if unused.</w:t>
      </w:r>
    </w:p>
    <w:p>
      <w:pPr>
        <w:spacing w:after="0" w:line="184"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we had an Alternative Minimum Tax credit carryforward of approximately $341 million available for federal income tax purposes, which is available for an indefinite period.</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76"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2016, we recorded income tax expense with an effective rate of approximately 38%, which is substantially non-cash as we utilized the NOLs described above to offset cash income taxes due.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three months ended March 31, 2016.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 measured at fair value on a recurring basis are summarized below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2016</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tcBorders>
              <w:top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15"/>
                <w:szCs w:val="15"/>
                <w:color w:val="auto"/>
              </w:rPr>
              <w:t>(1), (2)</w:t>
            </w:r>
            <w:r>
              <w:rPr>
                <w:rFonts w:ascii="Times New Roman" w:cs="Times New Roman" w:eastAsia="Times New Roman" w:hAnsi="Times New Roman"/>
                <w:sz w:val="18"/>
                <w:szCs w:val="18"/>
                <w:color w:val="auto"/>
              </w:rPr>
              <w:t>:</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obligations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3,396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notes/certificates of deposit/time deposits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2,481</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agreements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 agency investments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Restricted cash and short-term investments </w:t>
            </w:r>
            <w:r>
              <w:rPr>
                <w:rFonts w:ascii="Times New Roman" w:cs="Times New Roman" w:eastAsia="Times New Roman" w:hAnsi="Times New Roman"/>
                <w:sz w:val="15"/>
                <w:szCs w:val="15"/>
                <w:color w:val="auto"/>
              </w:rPr>
              <w:t>(1)</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691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Unrealized gains or losses on short-term investments and restricted cash and short-term investments are recorded in accumulated other comprehensive loss at each measurement date.</w:t>
      </w:r>
    </w:p>
    <w:p>
      <w:pPr>
        <w:ind w:left="46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short-term investments are classified as available-for-sale and stated at fair value. Our short-term investments mature in one year or less except for $804 million of bank notes/certificates of deposit/time deposits and $373 million of corporate obligations.</w:t>
      </w:r>
    </w:p>
    <w:p>
      <w:pPr>
        <w:spacing w:after="0" w:line="179"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There were no Level 1 to Level 2 transfers during the three months ended March 31, 2016.</w:t>
      </w:r>
    </w:p>
    <w:p>
      <w:pPr>
        <w:spacing w:after="0" w:line="329"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value and estimated fair value of our long-term debt, including current maturities, were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16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Pr>
          <w:p>
            <w:pPr>
              <w:spacing w:after="0"/>
              <w:rPr>
                <w:sz w:val="15"/>
                <w:szCs w:val="15"/>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17"/>
        </w:trPr>
        <w:tc>
          <w:tcPr>
            <w:tcW w:w="80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80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21,744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22,277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20,561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Short-term Investments</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Times New Roman" w:cs="Times New Roman" w:eastAsia="Times New Roman" w:hAnsi="Times New Roman"/>
          <w:sz w:val="18"/>
          <w:szCs w:val="18"/>
          <w:color w:val="auto"/>
        </w:rPr>
        <w:t>for additional discussion of this and other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the components of net periodic benefit cost (income)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7580" w:type="dxa"/>
            <w:vAlign w:val="bottom"/>
            <w:gridSpan w:val="3"/>
            <w:vMerge w:val="continue"/>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Prior service cost (benefit)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Unrecognized net loss (gain)</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680" w:hanging="452"/>
        <w:spacing w:after="0" w:line="532" w:lineRule="auto"/>
        <w:tabs>
          <w:tab w:leader="none" w:pos="44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Each of the 2016 and 2015 first quarters’ prior service cost does not include amortization of $1 million related to other postretirement benefits. Effective November 1, 2012, substantially all of our defined benefit pension plans were frozen.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are as follows (in millions):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Pension, Retiree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Medical, and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00" w:type="dxa"/>
            <w:vAlign w:val="bottom"/>
          </w:tcPr>
          <w:p>
            <w:pPr>
              <w:spacing w:after="0"/>
              <w:rPr>
                <w:sz w:val="12"/>
                <w:szCs w:val="12"/>
                <w:color w:val="auto"/>
              </w:rPr>
            </w:pPr>
          </w:p>
        </w:tc>
        <w:tc>
          <w:tcPr>
            <w:tcW w:w="1080" w:type="dxa"/>
            <w:vAlign w:val="bottom"/>
            <w:gridSpan w:val="2"/>
          </w:tcPr>
          <w:p>
            <w:pPr>
              <w:jc w:val="right"/>
              <w:ind w:right="52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(3,842)</w:t>
            </w:r>
          </w:p>
        </w:tc>
        <w:tc>
          <w:tcPr>
            <w:tcW w:w="5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(880)</w:t>
            </w:r>
          </w:p>
        </w:tc>
        <w:tc>
          <w:tcPr>
            <w:tcW w:w="4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0"/>
              </w:rPr>
              <w:t>$(4,732)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80" w:type="dxa"/>
            <w:vAlign w:val="bottom"/>
            <w:gridSpan w:val="2"/>
          </w:tcPr>
          <w:p>
            <w:pPr>
              <w:jc w:val="right"/>
              <w:ind w:right="48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5"/>
                <w:szCs w:val="15"/>
                <w:color w:val="auto"/>
              </w:rPr>
              <w:t>(2)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20"/>
            <w:col w:w="50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20" w:type="dxa"/>
            <w:vAlign w:val="bottom"/>
          </w:tcPr>
          <w:p>
            <w:pPr>
              <w:spacing w:after="0"/>
              <w:rPr>
                <w:sz w:val="17"/>
                <w:szCs w:val="17"/>
                <w:color w:val="auto"/>
              </w:rPr>
            </w:pPr>
          </w:p>
        </w:tc>
        <w:tc>
          <w:tcPr>
            <w:tcW w:w="980" w:type="dxa"/>
            <w:vAlign w:val="bottom"/>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(3,872)</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pension, retiree medical, and other postretirement obligations that will not be recognized in net income until the obligations are fully extinguished.</w:t>
      </w:r>
    </w:p>
    <w:p>
      <w:pPr>
        <w:ind w:left="460" w:hanging="452"/>
        <w:spacing w:after="0" w:line="261" w:lineRule="auto"/>
        <w:tabs>
          <w:tab w:leader="none" w:pos="4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pension, retiree medical, and other postretirement obligations and is recognized within the income tax provision on the condensed consolidated statement of operations.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Reclassifications out of AOCI for the three months ended March 31, 2016 and 2015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2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items on condensed</w:t>
            </w: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0" w:type="dxa"/>
            <w:vAlign w:val="bottom"/>
          </w:tcPr>
          <w:p>
            <w:pPr>
              <w:spacing w:after="0"/>
              <w:rPr>
                <w:sz w:val="1"/>
                <w:szCs w:val="1"/>
                <w:color w:val="auto"/>
              </w:rPr>
            </w:pPr>
          </w:p>
        </w:tc>
      </w:tr>
      <w:tr>
        <w:trPr>
          <w:trHeight w:val="142"/>
        </w:trPr>
        <w:tc>
          <w:tcPr>
            <w:tcW w:w="4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Amortization of</w:t>
            </w:r>
          </w:p>
        </w:tc>
        <w:tc>
          <w:tcPr>
            <w:tcW w:w="33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pension, retiree medical, and other</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postretirement benefits:</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3"/>
              </w:rPr>
              <w:t>(53)</w:t>
            </w: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change on investments: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value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net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3"/>
              </w:rPr>
              <w:t>(31)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Regional Expenses</w:t>
      </w:r>
    </w:p>
    <w:p>
      <w:pPr>
        <w:spacing w:after="0" w:line="12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Capacity purchases from third-party regional carriers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Aircraft rent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net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regional expenses</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1,432</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Proceedings</w:t>
      </w:r>
    </w:p>
    <w:p>
      <w:pPr>
        <w:spacing w:after="0" w:line="119"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Chapter 11 Cases. </w:t>
      </w:r>
      <w:r>
        <w:rPr>
          <w:rFonts w:ascii="Times New Roman" w:cs="Times New Roman" w:eastAsia="Times New Roman" w:hAnsi="Times New Roman"/>
          <w:sz w:val="18"/>
          <w:szCs w:val="18"/>
          <w:color w:val="auto"/>
        </w:rPr>
        <w:t>On November 29, 2011, AMR, American, and certain of AMR’s other direct and indirect domestic subsidiaries (the Debtors)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March 31,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85"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6"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GROUP INC. (Unaudited)</w:t>
      </w:r>
    </w:p>
    <w:p>
      <w:pPr>
        <w:spacing w:after="0" w:line="89"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DOJ Antitrust Civil Investigative Demand. </w:t>
      </w:r>
      <w:r>
        <w:rPr>
          <w:rFonts w:ascii="Times New Roman" w:cs="Times New Roman" w:eastAsia="Times New Roman" w:hAnsi="Times New Roman"/>
          <w:sz w:val="18"/>
          <w:szCs w:val="18"/>
          <w:color w:val="auto"/>
        </w:rPr>
        <w:t>In June 2015, we received a Civil Investigative Demand (CID) from the United States Department of Justice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we intend to defend the lawsuits vigorously.</w:t>
      </w:r>
    </w:p>
    <w:p>
      <w:pPr>
        <w:spacing w:after="0" w:line="185"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Private Party Antitrust Action</w:t>
      </w:r>
      <w:r>
        <w:rPr>
          <w:rFonts w:ascii="Times New Roman" w:cs="Times New Roman" w:eastAsia="Times New Roman" w:hAnsi="Times New Roman"/>
          <w:sz w:val="18"/>
          <w:szCs w:val="18"/>
          <w:color w:val="auto"/>
        </w:rPr>
        <w:t>. On July 2, 2013, a lawsuit captioned Carolyn Fjord, et al., v. US Airways Group, Inc., et al., was filed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Plaintiffs have indicated they will file another motion for leave to amend the complaint, a schedule for which has not been set. We believe this lawsuit is without merit and intend to vigorously defend against the allegations.</w:t>
      </w:r>
    </w:p>
    <w:p>
      <w:pPr>
        <w:spacing w:after="0" w:line="191"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DOJ Investigation Related to the United States Postal Service</w:t>
      </w:r>
      <w:r>
        <w:rPr>
          <w:rFonts w:ascii="Times New Roman" w:cs="Times New Roman" w:eastAsia="Times New Roman" w:hAnsi="Times New Roman"/>
          <w:sz w:val="18"/>
          <w:szCs w:val="18"/>
          <w:color w:val="auto"/>
        </w:rPr>
        <w:t>. In April 2015, the DOJ informed us of an inquiry regarding American’s 2009 and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80"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addition to the specifically identified legal proceedings, we and our subsidiaries are also engaged in other legal proceedings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Times New Roman" w:cs="Times New Roman" w:eastAsia="Times New Roman" w:hAnsi="Times New Roman"/>
          <w:sz w:val="18"/>
          <w:szCs w:val="18"/>
          <w:i w:val="1"/>
          <w:iCs w:val="1"/>
          <w:color w:val="auto"/>
        </w:rPr>
        <w:t>We may be a party to litigation in the normal course of business or otherwise, which could affect our financial position and liquidity</w:t>
      </w:r>
      <w:r>
        <w:rPr>
          <w:rFonts w:ascii="Times New Roman" w:cs="Times New Roman" w:eastAsia="Times New Roman" w:hAnsi="Times New Roman"/>
          <w:sz w:val="18"/>
          <w:szCs w:val="18"/>
          <w:color w:val="auto"/>
        </w:rPr>
        <w:t>” for additional discussion.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 and Dividend Declaration</w:t>
      </w:r>
    </w:p>
    <w:p>
      <w:pPr>
        <w:spacing w:after="0" w:line="11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April 2016, we announced that our Board of Directors had authorized a new $2.0 billion share repurchase program that expires on December 31, 2017.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84"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Also in April 2016, we announced that our Board of Directors had declared a $0.10 per share dividend for stockholders of record on May 4, 2016, and payable on May 18, 2016.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revenues:</w:t>
            </w: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Mainline passenger</w:t>
            </w:r>
          </w:p>
        </w:tc>
        <w:tc>
          <w:tcPr>
            <w:tcW w:w="2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6,989</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Regional passenger</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Cargo</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r>
      <w:tr>
        <w:trPr>
          <w:trHeight w:val="223"/>
        </w:trPr>
        <w:tc>
          <w:tcPr>
            <w:tcW w:w="20" w:type="dxa"/>
            <w:vAlign w:val="bottom"/>
          </w:tcPr>
          <w:p>
            <w:pPr>
              <w:spacing w:after="0"/>
              <w:rPr>
                <w:sz w:val="19"/>
                <w:szCs w:val="19"/>
                <w:color w:val="auto"/>
              </w:rPr>
            </w:pPr>
          </w:p>
        </w:tc>
        <w:tc>
          <w:tcPr>
            <w:tcW w:w="6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Regional expenses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Aircraft rent</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Special items, net</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30"/>
        </w:trPr>
        <w:tc>
          <w:tcPr>
            <w:tcW w:w="20" w:type="dxa"/>
            <w:vAlign w:val="bottom"/>
          </w:tcPr>
          <w:p>
            <w:pPr>
              <w:spacing w:after="0"/>
              <w:rPr>
                <w:sz w:val="20"/>
                <w:szCs w:val="20"/>
                <w:color w:val="auto"/>
              </w:rPr>
            </w:pPr>
          </w:p>
        </w:tc>
        <w:tc>
          <w:tcPr>
            <w:tcW w:w="6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20"/>
                <w:szCs w:val="20"/>
                <w:color w:val="auto"/>
              </w:rPr>
            </w:pPr>
          </w:p>
        </w:tc>
        <w:tc>
          <w:tcPr>
            <w:tcW w:w="6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retiree medical, and other postretirement benefits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Reclassification into earnings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change in value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20"/>
                <w:szCs w:val="20"/>
                <w:color w:val="auto"/>
              </w:rPr>
            </w:pPr>
          </w:p>
        </w:tc>
        <w:tc>
          <w:tcPr>
            <w:tcW w:w="88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8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42"/>
        </w:trPr>
        <w:tc>
          <w:tcPr>
            <w:tcW w:w="8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486</w:t>
            </w:r>
          </w:p>
        </w:tc>
        <w:tc>
          <w:tcPr>
            <w:tcW w:w="7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6,432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5,862</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parties,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3,542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fuel, spare parts and supplies, net</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810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property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Flight equipment</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34,051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32,838</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Ground property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6,224</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purchase deposits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41,491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40,129</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(13,136)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(12,893)</w:t>
            </w: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net of accumulated amortization of $514 and $502, respectively</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2,236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2,520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10,892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11,345</w:t>
            </w:r>
          </w:p>
        </w:tc>
      </w:tr>
      <w:tr>
        <w:trPr>
          <w:trHeight w:val="223"/>
        </w:trPr>
        <w:tc>
          <w:tcPr>
            <w:tcW w:w="84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50,439</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and capital leases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2,613</w:t>
            </w:r>
          </w:p>
        </w:tc>
        <w:tc>
          <w:tcPr>
            <w:tcW w:w="7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1,851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 traffic liability</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4,692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Loyalty program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2,535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13,377</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and capital leases, net of current maturities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16,592</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7,399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7,410</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gains and credits,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28,108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27,364</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$1.00 par value; 1,000 shares authorized, issued and outstanding</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16,549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16,521</w:t>
            </w: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(4,848)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(4,831)</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(1,992)</w:t>
            </w:r>
          </w:p>
        </w:tc>
      </w:tr>
      <w:tr>
        <w:trPr>
          <w:trHeight w:val="230"/>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tcPr>
          <w:p>
            <w:pPr>
              <w:spacing w:after="0"/>
              <w:rPr>
                <w:sz w:val="20"/>
                <w:szCs w:val="20"/>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53,491</w:t>
            </w:r>
          </w:p>
        </w:tc>
        <w:tc>
          <w:tcPr>
            <w:tcW w:w="7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50,439</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 and aircraft purchase deposits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of short-term investments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restricted cash and short-term investments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 and capital leases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bankruptcy obligations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2015. American is the principal wholly-owned subsidiary of American Airlines Group Inc. (AAG). All significant intercompany transactions have been eliminated.</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76"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and liabilities, including obligations with respect to certain pass through trusts and the leases of related aircraft and engines, as well as its off-balance sheet commitments, to American. For financial reporting purposes, this transaction constituted a transfer of assets between entities under common control and is reflected in American’s condensed consolidated financial statements as though the transaction had occurred on December 9, 2013, when a subsidiary of AMR merged with and into US Airways Group, which represents the earliest date that American and US Airways were under common control. Thus, all periods presented in Part I, Item 1B of this Quarterly Report on Form 10-Q are comprised of the condensed consolidated financial data of American and US Airways. This transaction was accounted for in a manner similar to the pooling of interests method of accounting. Under this method, the carrying amount of net assets recognized in the balance sheets of each combining entity are carried forward to the balance sheet of the combined entity and no other assets or liabilities are recognized.</w:t>
      </w:r>
    </w:p>
    <w:p>
      <w:pPr>
        <w:spacing w:after="0" w:line="19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In March 2016, the FASB issued ASU 2016-08, “Revenue from Contracts with Customers (Topic 606): Principal versus Agent Considerations (Reporting Revenue Gross versus Net).” ASU 2016-08 clarifies the implementation guidance on principal versus agent considerations. 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American is currently evaluating the requirements of these standards and has not yet determined the impact on American’s condensed consolidated financial statements.</w:t>
      </w:r>
    </w:p>
    <w:p>
      <w:pPr>
        <w:spacing w:after="0" w:line="19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American is currently evaluating the requirements of ASU 2016-02 and has not yet determined its impact on American’s condensed consolidated financial statements.</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ASU 2016-09 simplifies the accounting for share-based payment award transactions including: income tax consequences, classification of awards as either equity or liabilities and classification on the statement of cash flows. ASU</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2016-09 is effective for fiscal years beginning after December 15, 2016, including interim periods within those fiscal years. Early adoption is permitted. American is currently evaluating the requirements of ASU 2016-09 and has not yet determined its impact on American’s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items, net on the condensed consolidated statements of operations are as follows (in millions):</w:t>
      </w:r>
    </w:p>
    <w:p>
      <w:pPr>
        <w:spacing w:after="0" w:line="24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7620</wp:posOffset>
            </wp:positionV>
            <wp:extent cx="16376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ind w:left="8940"/>
        <w:spacing w:after="0"/>
        <w:tabs>
          <w:tab w:leader="none" w:pos="1072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tabs>
          <w:tab w:leader="none" w:pos="8720" w:val="left"/>
          <w:tab w:leader="none" w:pos="9240" w:val="left"/>
          <w:tab w:leader="none" w:pos="10440" w:val="left"/>
          <w:tab w:leader="none" w:pos="11040" w:val="left"/>
        </w:tabs>
        <w:rPr>
          <w:sz w:val="20"/>
          <w:szCs w:val="20"/>
          <w:color w:val="auto"/>
        </w:rPr>
      </w:pPr>
      <w:r>
        <w:rPr>
          <w:rFonts w:ascii="Times New Roman" w:cs="Times New Roman" w:eastAsia="Times New Roman" w:hAnsi="Times New Roman"/>
          <w:sz w:val="18"/>
          <w:szCs w:val="18"/>
          <w:color w:val="auto"/>
        </w:rPr>
        <w:t xml:space="preserve">Mainline operating special items, net </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2016 first quarter mainline operating special items totaled a net charge of $99 million, which principally included merger integration expenses related to alignment of labor union contracts, information technology, fleet restructuring, professional fees, re-branding of aircraft and airport facilities, relocation and training, as well as severance.</w:t>
      </w:r>
    </w:p>
    <w:p>
      <w:pPr>
        <w:spacing w:after="0" w:line="176" w:lineRule="exact"/>
        <w:rPr>
          <w:rFonts w:ascii="Times New Roman" w:cs="Times New Roman" w:eastAsia="Times New Roman" w:hAnsi="Times New Roman"/>
          <w:sz w:val="15"/>
          <w:szCs w:val="15"/>
          <w:color w:val="auto"/>
        </w:rPr>
      </w:pPr>
    </w:p>
    <w:p>
      <w:pPr>
        <w:jc w:val="both"/>
        <w:ind w:left="46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2015 first quarter mainline operating special items totaled a net charge of $303 million, which principally included merger integration expenses related to alignment of labor union contracts, information technology, fleet restructuring, professional fees, re-branding of aircraft and airport facilities, severance, relocation and training, as well as share-based compensation.</w:t>
      </w:r>
    </w:p>
    <w:p>
      <w:pPr>
        <w:spacing w:after="0" w:line="176"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following additional amounts are also included in the condensed consolidated statements of operations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4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Regional operating special items, net</w:t>
            </w: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special items, net</w:t>
            </w:r>
          </w:p>
        </w:tc>
        <w:tc>
          <w:tcPr>
            <w:tcW w:w="5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special items, net</w:t>
            </w: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and capital lease obligations included in the condensed consolidated balance sheets consisted of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Secured</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2013 Credit Facilities, variable interest rate of 3.25%, installments through 2020</w:t>
            </w:r>
          </w:p>
        </w:tc>
        <w:tc>
          <w:tcPr>
            <w:tcW w:w="6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1,867</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2014 Credit Facilities, variable interest rate of 3.50%, installments through 2021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743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2013 Citicorp Credit Facility tranche B-1, variable interest rate of 3.50%, installments through 2019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980</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2013 Citicorp Credit Facility tranche B-2, variable interest rate of 3.00%, installments through</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November 2016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588</w:t>
            </w:r>
          </w:p>
        </w:tc>
        <w:tc>
          <w:tcPr>
            <w:tcW w:w="6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Aircraft enhanced equipment trust certificates (EETCs), fixed interest rates ranging from 3.38% to</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9.75%, maturing from 2017 to 2028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9,634</w:t>
            </w: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Equipment loans and other notes payable, fixed and variable interest rates ranging from 1.83% to</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8.48%, maturing from 2016 to 2028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4,449</w:t>
            </w: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Special facility revenue bonds, fixed interest rates ranging from 2.00% to 8.00%, maturing from 2016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2035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1,051</w:t>
            </w: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secured obligations, fixed interest rates ranging from 3.60% to 12.24%, maturing from 2016 to</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907</w:t>
            </w:r>
          </w:p>
        </w:tc>
        <w:tc>
          <w:tcPr>
            <w:tcW w:w="6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80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Unsecured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unsecured obligations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20,246</w:t>
            </w:r>
          </w:p>
        </w:tc>
        <w:tc>
          <w:tcPr>
            <w:tcW w:w="8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Total unamortized debt discount and debt issuance costs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238</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2,613</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Long-term debt and capital lease obligations, net of current maturities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17,395</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table below shows availability under revolving credit facilities, all of which were undrawn, as of March 31, 2016 (in millions):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Revolving Facility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2014 Revolving Facility</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117"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117"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2016 Financing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2016-1 EETCs</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proceeds received from the sale of the 2016-1 EETCs have been used to purchase equipment notes issued by American in three series: Series</w:t>
      </w:r>
    </w:p>
    <w:p>
      <w:pPr>
        <w:spacing w:after="0" w:line="27" w:lineRule="exact"/>
        <w:rPr>
          <w:sz w:val="20"/>
          <w:szCs w:val="20"/>
          <w:color w:val="auto"/>
        </w:rPr>
      </w:pPr>
    </w:p>
    <w:p>
      <w:pPr>
        <w:jc w:val="both"/>
        <w:ind w:firstLine="8"/>
        <w:spacing w:after="0" w:line="253" w:lineRule="auto"/>
        <w:tabs>
          <w:tab w:leader="none" w:pos="3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Aircraft Financing Transactions</w:t>
      </w:r>
    </w:p>
    <w:p>
      <w:pPr>
        <w:spacing w:after="0" w:line="11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In the first quarter of 2016, American entered into loan agreements to borrow $426 million in connection with the financing of certain aircraft. Debt incurred under these loan agreements matures in 2027 and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At December 31, 2015, American had approximately $8.8 billion of gross net operating losses (NOLs) carried over from prior taxable years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These NOL Carryforwards include an unrealized tax benefit of $1.2 billion related to share-based compensation that will be recorded in equity when realized. American also had approximately $3.7 billion of NOL Carryforwards to reduce future state taxable income at December 31, 2015, which will expire in years 2016 through 2034 if unused.</w:t>
      </w:r>
    </w:p>
    <w:p>
      <w:pPr>
        <w:spacing w:after="0" w:line="18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2016, American recorded income tax expense with an effective rate of approximately 38%, which is substantially non-cash as American utilized the NOLs described above to offset cash income taxes due.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121"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three months ended March 31, 2016.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 measured at fair value on a recurring basis are summarized below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2016</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tcBorders>
              <w:top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15"/>
                <w:szCs w:val="15"/>
                <w:color w:val="auto"/>
              </w:rPr>
              <w:t>(1), (2)</w:t>
            </w:r>
            <w:r>
              <w:rPr>
                <w:rFonts w:ascii="Times New Roman" w:cs="Times New Roman" w:eastAsia="Times New Roman" w:hAnsi="Times New Roman"/>
                <w:sz w:val="18"/>
                <w:szCs w:val="18"/>
                <w:color w:val="auto"/>
              </w:rPr>
              <w:t>:</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obligations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3,396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notes/certificates of deposit/time deposits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2,480</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agreements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 agency investments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Restricted cash and short-term investments </w:t>
            </w:r>
            <w:r>
              <w:rPr>
                <w:rFonts w:ascii="Times New Roman" w:cs="Times New Roman" w:eastAsia="Times New Roman" w:hAnsi="Times New Roman"/>
                <w:sz w:val="15"/>
                <w:szCs w:val="15"/>
                <w:color w:val="auto"/>
              </w:rPr>
              <w:t>(1)</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691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Unrealized gains or losses on short-term investments and restricted cash and short-term investments are recorded in accumulated other comprehensive loss at each measurement date.</w:t>
      </w:r>
    </w:p>
    <w:p>
      <w:pPr>
        <w:ind w:left="460" w:hanging="452"/>
        <w:spacing w:after="0" w:line="261"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short-term investments are classified as available-for-sale and stated at fair value. American’s short-term investments mature in one year or less except for $804 million of bank notes/certificates of deposit/time deposits and $373 million of corporate obligations.</w:t>
      </w:r>
    </w:p>
    <w:p>
      <w:pPr>
        <w:spacing w:after="0" w:line="179"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There were no Level 1 to Level 2 transfers during the three months ended March 31, 2016.</w:t>
      </w:r>
    </w:p>
    <w:p>
      <w:pPr>
        <w:spacing w:after="0" w:line="329"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value and estimated fair value of American’s long-term debt, including current maturities, were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17"/>
        </w:trPr>
        <w:tc>
          <w:tcPr>
            <w:tcW w:w="80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0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80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20,500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18,826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Short-term Investments</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Generally, fluctuations in foreign currencies, including devaluations, cannot be predicted by American and can significantly affect the value of American’s cash and short-term investments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Times New Roman" w:cs="Times New Roman" w:eastAsia="Times New Roman" w:hAnsi="Times New Roman"/>
          <w:sz w:val="18"/>
          <w:szCs w:val="18"/>
          <w:i w:val="1"/>
          <w:iCs w:val="1"/>
          <w:color w:val="auto"/>
        </w:rPr>
        <w:t>“We operate a global business with international operations that are subject to economic and political instability and have been,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the future may continue to be, adversely affected by numerous events, circumstances or government actions beyond our control” </w:t>
      </w:r>
      <w:r>
        <w:rPr>
          <w:rFonts w:ascii="Times New Roman" w:cs="Times New Roman" w:eastAsia="Times New Roman" w:hAnsi="Times New Roman"/>
          <w:sz w:val="18"/>
          <w:szCs w:val="18"/>
          <w:color w:val="auto"/>
        </w:rPr>
        <w:t>for additional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and other currency risks.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Retirement Benefits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the components of net periodic benefit cost (income)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3"/>
                <w:szCs w:val="13"/>
                <w:color w:val="auto"/>
              </w:rPr>
            </w:pPr>
          </w:p>
        </w:tc>
        <w:tc>
          <w:tcPr>
            <w:tcW w:w="19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49"/>
        </w:trPr>
        <w:tc>
          <w:tcPr>
            <w:tcW w:w="5020" w:type="dxa"/>
            <w:vAlign w:val="bottom"/>
            <w:gridSpan w:val="3"/>
            <w:vMerge w:val="continue"/>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30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Prior service cost (benefit) </w:t>
            </w:r>
            <w:r>
              <w:rPr>
                <w:rFonts w:ascii="Times New Roman" w:cs="Times New Roman" w:eastAsia="Times New Roman" w:hAnsi="Times New Roman"/>
                <w:sz w:val="15"/>
                <w:szCs w:val="15"/>
                <w:color w:val="auto"/>
              </w:rPr>
              <w:t>(1)</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Unrecognized net loss (gain)</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Each of the 2016 and 2015 first quarters’ prior service cost does not include amortization of $1 million related to other postretirement benefits.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OF AMERICAN AIRLINES,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Effective November 1, 2012, substantially all of American’s defined benefit pension plans were frozen.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are as follows (in millions):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Pension, Retiree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Medical, and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00" w:type="dxa"/>
            <w:vAlign w:val="bottom"/>
          </w:tcPr>
          <w:p>
            <w:pPr>
              <w:spacing w:after="0"/>
              <w:rPr>
                <w:sz w:val="12"/>
                <w:szCs w:val="12"/>
                <w:color w:val="auto"/>
              </w:rPr>
            </w:pPr>
          </w:p>
        </w:tc>
        <w:tc>
          <w:tcPr>
            <w:tcW w:w="1080" w:type="dxa"/>
            <w:vAlign w:val="bottom"/>
            <w:gridSpan w:val="2"/>
          </w:tcPr>
          <w:p>
            <w:pPr>
              <w:jc w:val="right"/>
              <w:ind w:right="52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5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540" w:type="dxa"/>
            <w:vAlign w:val="bottom"/>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(Provision)</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(3,831)</w:t>
            </w:r>
          </w:p>
        </w:tc>
        <w:tc>
          <w:tcPr>
            <w:tcW w:w="5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0"/>
              </w:rPr>
              <w:t>$(4,831)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80" w:type="dxa"/>
            <w:vAlign w:val="bottom"/>
            <w:gridSpan w:val="2"/>
          </w:tcPr>
          <w:p>
            <w:pPr>
              <w:jc w:val="right"/>
              <w:ind w:right="48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5"/>
                <w:szCs w:val="15"/>
                <w:color w:val="auto"/>
              </w:rPr>
              <w:t>(2)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20"/>
            <w:col w:w="508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20" w:type="dxa"/>
            <w:vAlign w:val="bottom"/>
          </w:tcPr>
          <w:p>
            <w:pPr>
              <w:spacing w:after="0"/>
              <w:rPr>
                <w:sz w:val="17"/>
                <w:szCs w:val="17"/>
                <w:color w:val="auto"/>
              </w:rPr>
            </w:pPr>
          </w:p>
        </w:tc>
        <w:tc>
          <w:tcPr>
            <w:tcW w:w="980" w:type="dxa"/>
            <w:vAlign w:val="bottom"/>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(3,861)</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pension, retiree medical, and other postretirement obligations that will not be recognized in net income until the obligations are fully extinguished.</w:t>
      </w:r>
    </w:p>
    <w:p>
      <w:pPr>
        <w:ind w:left="460" w:hanging="452"/>
        <w:spacing w:after="0" w:line="261" w:lineRule="auto"/>
        <w:tabs>
          <w:tab w:leader="none" w:pos="4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pension, retiree medical, and other postretirement obligations and is recognized within the income tax provision on the condensed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out of AOCI for the three months ended March 31, 2016 and 2015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2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3"/>
          </w:tcPr>
          <w:p>
            <w:pPr>
              <w:jc w:val="center"/>
              <w:ind w:left="3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items on condensed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33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Amortization of pension, retiree medical, and other</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postretirement benefits: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(53)</w:t>
            </w: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4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flow hedges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4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change on investments: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value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nonoperating, net</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Regional Expenses</w:t>
      </w:r>
    </w:p>
    <w:p>
      <w:pPr>
        <w:spacing w:after="0" w:line="229"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Capacity purchases from third-party regional carriers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Aircraft rent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 net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regional expenses</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1,506</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Transactions with Related Parties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represents the net receivables (payables) to related parties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42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AAG </w:t>
            </w:r>
            <w:r>
              <w:rPr>
                <w:rFonts w:ascii="Times New Roman" w:cs="Times New Roman" w:eastAsia="Times New Roman" w:hAnsi="Times New Roman"/>
                <w:sz w:val="15"/>
                <w:szCs w:val="15"/>
                <w:color w:val="auto"/>
              </w:rPr>
              <w:t>(1)</w:t>
            </w:r>
          </w:p>
        </w:tc>
        <w:tc>
          <w:tcPr>
            <w:tcW w:w="2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AAG’s wholly-owned subsidiaries </w:t>
            </w:r>
            <w:r>
              <w:rPr>
                <w:rFonts w:ascii="Times New Roman" w:cs="Times New Roman" w:eastAsia="Times New Roman" w:hAnsi="Times New Roman"/>
                <w:sz w:val="15"/>
                <w:szCs w:val="15"/>
                <w:color w:val="auto"/>
              </w:rPr>
              <w:t>(2)</w:t>
            </w: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r>
      <w:tr>
        <w:trPr>
          <w:trHeight w:val="27"/>
        </w:trPr>
        <w:tc>
          <w:tcPr>
            <w:tcW w:w="5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r>
      <w:tr>
        <w:trPr>
          <w:trHeight w:val="20"/>
        </w:trPr>
        <w:tc>
          <w:tcPr>
            <w:tcW w:w="5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American’s net related party receivable from AAG is primarily due to American providing the cash funding for share repurchases performed by AAG.</w:t>
      </w:r>
    </w:p>
    <w:p>
      <w:pPr>
        <w:spacing w:after="0" w:line="27" w:lineRule="exact"/>
        <w:rPr>
          <w:rFonts w:ascii="Times New Roman" w:cs="Times New Roman" w:eastAsia="Times New Roman" w:hAnsi="Times New Roman"/>
          <w:sz w:val="15"/>
          <w:szCs w:val="15"/>
          <w:color w:val="auto"/>
        </w:rPr>
      </w:pPr>
    </w:p>
    <w:p>
      <w:pPr>
        <w:ind w:left="460" w:hanging="452"/>
        <w:spacing w:after="0" w:line="261" w:lineRule="auto"/>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Proceedings</w:t>
      </w:r>
    </w:p>
    <w:p>
      <w:pPr>
        <w:spacing w:after="0" w:line="119"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Chapter 11 Cases. </w:t>
      </w:r>
      <w:r>
        <w:rPr>
          <w:rFonts w:ascii="Times New Roman" w:cs="Times New Roman" w:eastAsia="Times New Roman" w:hAnsi="Times New Roman"/>
          <w:sz w:val="18"/>
          <w:szCs w:val="18"/>
          <w:color w:val="auto"/>
        </w:rPr>
        <w:t>On November 29, 2011, AMR, American, and certain of AMR’s other direct and indirect domestic subsidiaries (the Debtors)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March 31,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as of the Effective Date.</w:t>
      </w:r>
    </w:p>
    <w:p>
      <w:pPr>
        <w:spacing w:after="0" w:line="185"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87"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DOJ Antitrust Civil Investigative Demand. </w:t>
      </w:r>
      <w:r>
        <w:rPr>
          <w:rFonts w:ascii="Times New Roman" w:cs="Times New Roman" w:eastAsia="Times New Roman" w:hAnsi="Times New Roman"/>
          <w:sz w:val="18"/>
          <w:szCs w:val="18"/>
          <w:color w:val="auto"/>
        </w:rPr>
        <w:t>In June 2015, American received a Civil Investigative Demand (CID) from the United States Department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American intends to defend the lawsuits vigorously.</w:t>
      </w:r>
    </w:p>
    <w:p>
      <w:pPr>
        <w:spacing w:after="0" w:line="185"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Private Party Antitrust Action</w:t>
      </w:r>
      <w:r>
        <w:rPr>
          <w:rFonts w:ascii="Times New Roman" w:cs="Times New Roman" w:eastAsia="Times New Roman" w:hAnsi="Times New Roman"/>
          <w:sz w:val="18"/>
          <w:szCs w:val="18"/>
          <w:color w:val="auto"/>
        </w:rPr>
        <w:t>. On July 2, 2013, a lawsuit captioned Carolyn Fjord, et al., v. US Airways Group, Inc., et al., was filed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Plaintiffs have indicated they will file another motion for leave to amend the complaint, a schedule for which has not been set. American believes this lawsuit is without merit and intends to vigorously defend against the allegations.</w:t>
      </w:r>
    </w:p>
    <w:p>
      <w:pPr>
        <w:spacing w:after="0" w:line="182"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DOJ Investigation Related to the United States Postal Service</w:t>
      </w:r>
      <w:r>
        <w:rPr>
          <w:rFonts w:ascii="Times New Roman" w:cs="Times New Roman" w:eastAsia="Times New Roman" w:hAnsi="Times New Roman"/>
          <w:sz w:val="18"/>
          <w:szCs w:val="18"/>
          <w:color w:val="auto"/>
        </w:rPr>
        <w:t>. In April 2015, the DOJ informed American of an inquiry regarding American’s 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investigation.</w:t>
      </w:r>
    </w:p>
    <w:p>
      <w:pPr>
        <w:spacing w:after="0" w:line="180"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addition to the specifically identified legal proceedings, American and its subsidiaries are also engaged in other legal proceedings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Times New Roman" w:cs="Times New Roman" w:eastAsia="Times New Roman" w:hAnsi="Times New Roman"/>
          <w:sz w:val="18"/>
          <w:szCs w:val="18"/>
          <w:i w:val="1"/>
          <w:iCs w:val="1"/>
          <w:color w:val="auto"/>
        </w:rPr>
        <w:t>We may be a party to litigation in the normal course of business or otherwise, which could affect our financial position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for additional discussion.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Part I, Item 2 of this report should be read in conjunction with Part II, Item 7 of AAG’s and American’s Annual Report on Form 10-K for the year ended December 31, 2015 (the 2015 Form 10-K). The information contained herein is not a comprehensive discussion and analysis of the financial condition and results of operations of AAG and American, but rather updates disclosures made in the 2015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American Airlines and American Eagle offer an average of nearly 6,700 flights per day to nearly 350 destinations in more than 50 countries. American has hubs in Charlotte, Chicago, Dallas/Fort Worth, Los Angeles, Miami, New York, Philadelphia, Phoenix and Washington, D.C. American is a founding member of the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world alliance, whose members and members-elect serve nearly 1,000 destinations with 14,250 daily flights to 150 countries. In the first quarter of 2016, approximately 47 million passengers boarded our mainline and regional flights. As of March 31, 2016, we operated 942 mainline aircraft and were supported by our regional airline subsidiaries and third-party regional carriers, which operated an additional 597 regional aircraft.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Airline Industry</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first quarter of 2016, the U.S. airline industry continued to benefit from lower fuel prices. However, the reductions in fuel costs were substantially offset by year-over-year declines in revenue driven by reduced yields. Domestic markets continued to be impacted by competitive growth. They did, however, perform better than international markets, which continue to be affected by economic softness in Latin America and foreign currency weakness.</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Jet fuel prices continue to closely follow the price of Brent crude oil. On average, the price of Brent crude oil per barrel was approximately 37% lower in the first quarter of 2016 as compared to 2015. The average daily spot price for Brent crude oil during the first quarter of 2016 was $34 per barrel as compared to an average daily spot price of $54 per barrel during the first quarter of 2015. On a daily basis, Brent crude oil prices fluctuated during the quarter between a high of $41 per barrel to a low of $26 per barrel, and closed the quarter on March 31, 2016 at $37 per barrel.</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While jet fuel prices have declined quarter-over-quarter as described above, uncertainty exists regarding the economic conditions driving these declines. See Part II, Item 1A. Risk Factors – </w:t>
      </w:r>
      <w:r>
        <w:rPr>
          <w:rFonts w:ascii="Times New Roman" w:cs="Times New Roman" w:eastAsia="Times New Roman" w:hAnsi="Times New Roman"/>
          <w:sz w:val="18"/>
          <w:szCs w:val="18"/>
          <w:i w:val="1"/>
          <w:iCs w:val="1"/>
          <w:color w:val="auto"/>
        </w:rPr>
        <w:t>“Downturns in economic conditions adversely affect our business”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“Our business is dependent on the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Airlines Group</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2016 Results</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and regional passenger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8,441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and regional aircraft fuel and related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8,611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8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Pre-tax special items: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Operating special charges, net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Nonoperating special credits, net</w:t>
            </w: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special items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Pre-tax income excluding special items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hanging="452"/>
        <w:spacing w:after="0" w:line="266" w:lineRule="auto"/>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Our 2016 and 2015 first quarter results were impacted by net operating special charges of $104 million and $310 million, respectively, consisting principally of mainline and regional merger integration expenses. See Part I, Item 2. Management’s Discussion and Analysis of Financial Condition and Results of Operations – </w:t>
      </w:r>
      <w:r>
        <w:rPr>
          <w:rFonts w:ascii="Times New Roman" w:cs="Times New Roman" w:eastAsia="Times New Roman" w:hAnsi="Times New Roman"/>
          <w:sz w:val="18"/>
          <w:szCs w:val="18"/>
          <w:i w:val="1"/>
          <w:iCs w:val="1"/>
          <w:color w:val="auto"/>
        </w:rPr>
        <w:t>“AAG’s Results of Operations”</w:t>
      </w:r>
      <w:r>
        <w:rPr>
          <w:rFonts w:ascii="Times New Roman" w:cs="Times New Roman" w:eastAsia="Times New Roman" w:hAnsi="Times New Roman"/>
          <w:sz w:val="18"/>
          <w:szCs w:val="18"/>
          <w:color w:val="auto"/>
        </w:rPr>
        <w:t xml:space="preserve"> of this report for more information on net special items.</w:t>
      </w:r>
    </w:p>
    <w:p>
      <w:pPr>
        <w:spacing w:after="0" w:line="282"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u w:val="single" w:color="auto"/>
          <w:color w:val="auto"/>
        </w:rPr>
        <w:t>Pre-Tax Income and Net Income</w:t>
      </w:r>
    </w:p>
    <w:p>
      <w:pPr>
        <w:spacing w:after="0" w:line="11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realized pre-tax income of $1.1 billion and $943 million in the first quarters of 2016 and 2015, respectively. Excluding the effects of net special charges, we recognized pre-tax income of $1.2 billion in the first quarter of 2016, which was flat when compared to the first quarter of 2015. Our first quarter 2016 results benefited from the decline in fuel prices as a result of not hedging our fuel consumption; however, this benefit was offset in part by a decline in revenues driven by reduced yields.</w:t>
      </w:r>
    </w:p>
    <w:p>
      <w:pPr>
        <w:spacing w:after="0" w:line="180"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As a result of our profitability and the reversal of the valuation allowance on our deferred tax assets at December 31, 2015, we were required to recognize a provision for income taxes in the first quarter of 2016. This provision was substantially non-cash due to the utilization of net operating losses (NOLs). For periods prior to 2016, we recognized a nominal tax provision for certain states and international jurisdictions where NOLs were limited or not available to be used. Accordingly, as illustrated above, amounts reported in the first quarter of 2016 for income tax provision and net income are not comparable to the first quarter of 2015. Therefore, we are presenting pre-tax income excluding special items in order to provide a more meaningful period-over-period comparison. The exclusion of special items provides investors the ability to measure financial performance in a way that is more indicative of our ongoing performance and is more comparable to other measures presented by other airlines.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11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the first quarter of 2016, we reported operating revenues of $9.4 billion. Mainline and regional passenger revenues were $8.1 billion, a decrease of $354 million, or 4.2%, as compared to the 2015 period. The decline in revenues was driven by a 7.1% decrease in yield as compared to the first quarter of 2015 primarily due to competitive growth in certain domestic markets, including Dallas/Fort Worth, international weakness due to foreign currency devaluation relative to the U.S. dollar, lower fuel surcharges, and continued economic softness in Latin America. Our mainline and regional passenger revenue per available seat mile (PRASM) was 12.43 cents in the first quarter of 2016, a 7.5% decrease as compared to 13.44 cents in the 2015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Fuel</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Mainline and regional fuel expense totaled $1.2 billion in the first quarter of 2016, which was $607 million, or 32.7%, lower as compared to 2015 period. This decrease was driven by a 34.0% decrease in the average price per gallon of fuel to $1.21 in the first quarter of 2016 from $1.83 in the 2015 period.</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 of March 31,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Cost per Available Seat Mile (CASM)</w:t>
      </w:r>
    </w:p>
    <w:p>
      <w:pPr>
        <w:spacing w:after="0" w:line="11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 Our 2016 first quarter mainline CASM excluding special items and fuel was 9.62 cents, an increase of 1.4% as compared to 2015 period. The increase was primarily due to higher salaries, wages and benefits driven by new labor contracts and the addition of an employee profit sharing program instituted effective January 1, 2016.</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our mainline CASM for the three months ended March 31, 2016 and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832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32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6"/>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CASM excluding special items and fuel:</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mainline CASM</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items, net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Mainline operating expenses per ASM, excluding special items and fuel </w:t>
            </w:r>
            <w:r>
              <w:rPr>
                <w:rFonts w:ascii="Times New Roman" w:cs="Times New Roman" w:eastAsia="Times New Roman" w:hAnsi="Times New Roman"/>
                <w:sz w:val="15"/>
                <w:szCs w:val="15"/>
                <w:color w:val="auto"/>
              </w:rPr>
              <w:t>(1)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hanging="452"/>
        <w:spacing w:after="0" w:line="258"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290"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u w:val="single" w:color="auto"/>
          <w:color w:val="auto"/>
        </w:rPr>
        <w:t>Customer Service</w:t>
      </w:r>
    </w:p>
    <w:p>
      <w:pPr>
        <w:spacing w:after="0" w:line="11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are committed to consistently delivering safe, reliable and convenient service to our customers in every aspect of our operation. The table below summarizes the operating statistics we reported to the U.S. Department of Transportation (DOT) for our mainline operations for the first quarter of 2016 and 2015. We are working to continue to improve these metrics by making investments in our operations in the form of the hiring of additional personnel and expenditures for new equipment and technology.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Better (Worse)</w:t>
            </w: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January</w:t>
            </w:r>
          </w:p>
        </w:tc>
        <w:tc>
          <w:tcPr>
            <w:tcW w:w="8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March</w:t>
            </w:r>
            <w:r>
              <w:rPr>
                <w:rFonts w:ascii="Times New Roman" w:cs="Times New Roman" w:eastAsia="Times New Roman" w:hAnsi="Times New Roman"/>
                <w:sz w:val="12"/>
                <w:szCs w:val="12"/>
                <w:b w:val="1"/>
                <w:bCs w:val="1"/>
                <w:color w:val="auto"/>
                <w:w w:val="96"/>
              </w:rPr>
              <w:t>(e)</w:t>
            </w:r>
          </w:p>
        </w:tc>
        <w:tc>
          <w:tcPr>
            <w:tcW w:w="2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w:t>
            </w:r>
          </w:p>
        </w:tc>
        <w:tc>
          <w:tcPr>
            <w:tcW w:w="8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February</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March</w:t>
            </w:r>
          </w:p>
        </w:tc>
        <w:tc>
          <w:tcPr>
            <w:tcW w:w="280" w:type="dxa"/>
            <w:vAlign w:val="bottom"/>
          </w:tcPr>
          <w:p>
            <w:pPr>
              <w:spacing w:after="0"/>
              <w:rPr>
                <w:sz w:val="12"/>
                <w:szCs w:val="12"/>
                <w:color w:val="auto"/>
              </w:rPr>
            </w:pPr>
          </w:p>
        </w:tc>
        <w:tc>
          <w:tcPr>
            <w:tcW w:w="980" w:type="dxa"/>
            <w:vAlign w:val="bottom"/>
            <w:gridSpan w:val="2"/>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w w:val="96"/>
              </w:rPr>
              <w:t>January</w:t>
            </w:r>
          </w:p>
        </w:tc>
        <w:tc>
          <w:tcPr>
            <w:tcW w:w="10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February</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March</w:t>
            </w:r>
          </w:p>
        </w:tc>
        <w:tc>
          <w:tcPr>
            <w:tcW w:w="32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On-time performance </w:t>
            </w:r>
            <w:r>
              <w:rPr>
                <w:rFonts w:ascii="Times New Roman" w:cs="Times New Roman" w:eastAsia="Times New Roman" w:hAnsi="Times New Roman"/>
                <w:sz w:val="15"/>
                <w:szCs w:val="15"/>
                <w:color w:val="auto"/>
              </w:rPr>
              <w:t>(a)</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77.4</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pts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pts</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pts</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Completion factor </w:t>
            </w:r>
            <w:r>
              <w:rPr>
                <w:rFonts w:ascii="Times New Roman" w:cs="Times New Roman" w:eastAsia="Times New Roman" w:hAnsi="Times New Roman"/>
                <w:sz w:val="15"/>
                <w:szCs w:val="15"/>
                <w:color w:val="auto"/>
              </w:rPr>
              <w:t>(b)</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96.4</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98.6</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99.5</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97.6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94.1</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97.3</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(1.2)pts</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 pts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pts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Mishandled baggage </w:t>
            </w:r>
            <w:r>
              <w:rPr>
                <w:rFonts w:ascii="Times New Roman" w:cs="Times New Roman" w:eastAsia="Times New Roman" w:hAnsi="Times New Roman"/>
                <w:sz w:val="15"/>
                <w:szCs w:val="15"/>
                <w:color w:val="auto"/>
              </w:rPr>
              <w:t>(c)</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3.19</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4.81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w:t>
            </w:r>
          </w:p>
        </w:tc>
        <w:tc>
          <w:tcPr>
            <w:tcW w:w="9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12.1 %</w:t>
            </w: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26.1 %</w:t>
            </w: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Customer complaints </w:t>
            </w:r>
            <w:r>
              <w:rPr>
                <w:rFonts w:ascii="Times New Roman" w:cs="Times New Roman" w:eastAsia="Times New Roman" w:hAnsi="Times New Roman"/>
                <w:sz w:val="15"/>
                <w:szCs w:val="15"/>
                <w:color w:val="auto"/>
              </w:rPr>
              <w:t>(d)</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2.81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(34.5)%</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(22.2)%</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Percentage of reported flight operations arriving less than 15 minutes after the scheduled arrival time.</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Percentage of scheduled flight operations completed.</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Rate of mishandled baggage reports per 1,000 passengers.</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Rate of customer complaints filed with the DOT per 100,000 enplanements.</w:t>
      </w:r>
    </w:p>
    <w:p>
      <w:pPr>
        <w:spacing w:after="0" w:line="9" w:lineRule="exact"/>
        <w:rPr>
          <w:rFonts w:ascii="Times New Roman" w:cs="Times New Roman" w:eastAsia="Times New Roman" w:hAnsi="Times New Roman"/>
          <w:sz w:val="15"/>
          <w:szCs w:val="15"/>
          <w:color w:val="auto"/>
        </w:rPr>
      </w:pPr>
    </w:p>
    <w:p>
      <w:pPr>
        <w:ind w:left="460" w:right="460" w:hanging="452"/>
        <w:spacing w:after="0" w:line="490" w:lineRule="auto"/>
        <w:tabs>
          <w:tab w:leader="none" w:pos="44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March 2016 operating statistics are preliminary as the DOT has not issued its March 2016 Air Travel Consumer report as of the date of this filing. </w:t>
      </w:r>
      <w:r>
        <w:rPr>
          <w:rFonts w:ascii="Times New Roman" w:cs="Times New Roman" w:eastAsia="Times New Roman" w:hAnsi="Times New Roman"/>
          <w:sz w:val="18"/>
          <w:szCs w:val="18"/>
          <w:i w:val="1"/>
          <w:iCs w:val="1"/>
          <w:u w:val="single" w:color="auto"/>
          <w:color w:val="auto"/>
        </w:rPr>
        <w:t>Liquidity Position</w:t>
      </w:r>
    </w:p>
    <w:p>
      <w:pPr>
        <w:spacing w:after="0" w:line="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March 31, 2016, we had approximately $9.4 billion in total available liquidity, consisting of unrestricted cash and investments of $6.9 billion and $2.4 billion in undrawn revolver capacity. We also had restricted cash of $691 million.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the first quarter of 2016, we utilized cash generated from operations to invest in our airline. As part of our fleet renewal program, we took delivery of 15 new mainline aircraft while retiring 19 aircraft. We also added 13 new regional aircraft to our fleet and removed three regional aircraft. Additionally, we returned more than $1.6 billion to our stockholders through the payment of $61 million in quarterly dividends and the repurchase of $1.6 billion of common stock, or 39.3 million shares. These cash outflows were offset in part by proceeds from financing transactions, which were principally aircraft related and included a $1.1 billion issuance of enhanced equipment trust certificates (EETCs).</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ended the quarter with $9.4 billion in available liquidity (including available lines of credit). We believe it is important to retain liquidity at these levels as we expect capital expenditures of approximately $3.2 billion for the remainder of 2016 and $4.6 billion in 2017 as we continue our fleet renewal program.</w:t>
      </w:r>
    </w:p>
    <w:p>
      <w:pPr>
        <w:spacing w:after="0" w:line="174" w:lineRule="exact"/>
        <w:rPr>
          <w:sz w:val="20"/>
          <w:szCs w:val="20"/>
          <w:color w:val="auto"/>
        </w:rPr>
      </w:pPr>
    </w:p>
    <w:p>
      <w:pPr>
        <w:jc w:val="both"/>
        <w:ind w:firstLine="456"/>
        <w:spacing w:after="0" w:line="284" w:lineRule="auto"/>
        <w:rPr>
          <w:sz w:val="20"/>
          <w:szCs w:val="20"/>
          <w:color w:val="auto"/>
        </w:rPr>
      </w:pPr>
      <w:r>
        <w:rPr>
          <w:rFonts w:ascii="Times New Roman" w:cs="Times New Roman" w:eastAsia="Times New Roman" w:hAnsi="Times New Roman"/>
          <w:sz w:val="18"/>
          <w:szCs w:val="18"/>
          <w:color w:val="auto"/>
        </w:rPr>
        <w:t xml:space="preserve">See Part I, Item 2. Management’s Discussion and Analysis of Financial Condition and Results of Operations –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for further discussion of our contractual commitments.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AAG’s Results of Operations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realized pre-tax income of $1.1 billion and $943 million in the first quarters of 2016 and 2015, respectively. Excluding the effects of net special charges, we recognized pre-tax income of $1.2 billion in the first quarter of 2016, which was flat when compared to the first quarter of 2015. Our first quarter 2016 results benefited from the decline in fuel prices as a result of not hedging our fuel consumption; however, this benefit was offset in part by a decline in revenues driven by reduced yields.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details our pre-tax and net income excluding special items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9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Pre-tax special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Mainline operating special charges, net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Regional operating special charges,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Nonoperating special credits,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pre-tax special items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Pre-tax income excluding special items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24"/>
                <w:szCs w:val="24"/>
                <w:color w:val="auto"/>
              </w:rPr>
            </w:pP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special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pre-tax special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special charges,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tax effect of special items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special items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hanging="452"/>
        <w:spacing w:after="0" w:line="266" w:lineRule="auto"/>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2016 first quarter mainline operating special items totaled a net charge of $99 million, which principally included merger integration expenses related to alignment of labor union contracts, information technology, fleet restructuring, professional fees, re-branding of aircraft and airport facilities, relocation and training, as well as severance.</w:t>
      </w:r>
    </w:p>
    <w:p>
      <w:pPr>
        <w:spacing w:after="0" w:line="81" w:lineRule="exact"/>
        <w:rPr>
          <w:rFonts w:ascii="Times New Roman" w:cs="Times New Roman" w:eastAsia="Times New Roman" w:hAnsi="Times New Roman"/>
          <w:sz w:val="15"/>
          <w:szCs w:val="15"/>
          <w:color w:val="auto"/>
        </w:rPr>
      </w:pPr>
    </w:p>
    <w:p>
      <w:pPr>
        <w:jc w:val="both"/>
        <w:ind w:left="46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2015 first quarter mainline operating special items totaled a net charge of $303 million, which principally included merger integration expenses related to alignment of labor union contracts, information technology, fleet restructuring, professional fees, re-branding of aircraft and airport facilities, severance, relocation and training, as well as share-based compensation.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19"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At December 31, 2015, we had approximately $8.0 billion of gross NOLs carried over from prior taxable years (NOL Carryforwards) to reduce future federal taxable income, substantially all of which are expected to be available for use in 2016. The federal NOL Carryforwards will expire beginning in 2023 if unused. These NOL Carryforwards include an unrealized tax benefit of $1.2 billion related to share-based compensation that will be recorded in equity when realized. We also had approximately $4.0 billion of NOL Carryforwards to reduce future state taxable income at December 31, 2015, which will expire in years 2016 through 2034 if unused. Our ability to deduct our NOL Carryforwards and to utilize certain other available tax attributes can be substantially constrained under the general annual limitation rules of Section 382 of the Internal Revenue Code of 1986 (Section 382) where an “ownership change” has occurred. We experienced an ownership change in connection with our emergence from bankruptcy in 2013. The general limitation rules of Section 382 for a debtor in a bankruptcy case are liberalized where the ownership change occurs upon emergence from bankruptcy. We elected to be covered by certain special rules for federal income tax purposes that permitted approximately $9.0 billion (with $6.6 billion of unlimited NOL remaining at December 31, 2015) of our federal NOL Carryforwards to be utilized without regard to the Section 382 annual limitation rules. Substantially all of our remaining federal NOL Carryforwards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2013 ownership changes is not affected by the annual limitation rules imposed by Section 382 unless another ownership change occurs.</w:t>
      </w:r>
    </w:p>
    <w:p>
      <w:pPr>
        <w:spacing w:after="0" w:line="18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we had an Alternative Minimum Tax credit carryforward of approximately $341 million available for federal income tax purposes, which is available for an indefinite period.</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76"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2016, we recorded income tax expense with an effective rate of approximately 38%, which is substantially non-cash as we utilized the NOLs described above to offset cash income taxes due.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selected mainline and regional operating data for the three months ended March 31, 2016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40" w:type="dxa"/>
            <w:vAlign w:val="bottom"/>
          </w:tcPr>
          <w:p>
            <w:pPr>
              <w:spacing w:after="0"/>
              <w:rPr>
                <w:sz w:val="15"/>
                <w:szCs w:val="15"/>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04"/>
        </w:trPr>
        <w:tc>
          <w:tcPr>
            <w:tcW w:w="8540" w:type="dxa"/>
            <w:vAlign w:val="bottom"/>
          </w:tcPr>
          <w:p>
            <w:pPr>
              <w:spacing w:after="0"/>
              <w:rPr>
                <w:sz w:val="9"/>
                <w:szCs w:val="9"/>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5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Mainline</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Revenue passenger miles (millions) </w:t>
            </w:r>
            <w:r>
              <w:rPr>
                <w:rFonts w:ascii="Times New Roman" w:cs="Times New Roman" w:eastAsia="Times New Roman" w:hAnsi="Times New Roman"/>
                <w:sz w:val="15"/>
                <w:szCs w:val="15"/>
                <w:color w:val="auto"/>
              </w:rPr>
              <w:t>(a)</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46,220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44,849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Available seat miles (millions) </w:t>
            </w:r>
            <w:r>
              <w:rPr>
                <w:rFonts w:ascii="Times New Roman" w:cs="Times New Roman" w:eastAsia="Times New Roman" w:hAnsi="Times New Roman"/>
                <w:sz w:val="15"/>
                <w:szCs w:val="15"/>
                <w:color w:val="auto"/>
              </w:rPr>
              <w:t>(b)</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57,564</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55,854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Passenger load factor (percent) </w:t>
            </w:r>
            <w:r>
              <w:rPr>
                <w:rFonts w:ascii="Times New Roman" w:cs="Times New Roman" w:eastAsia="Times New Roman" w:hAnsi="Times New Roman"/>
                <w:sz w:val="15"/>
                <w:szCs w:val="15"/>
                <w:color w:val="auto"/>
              </w:rPr>
              <w:t>(c)</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80.3</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pts</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Yield (cents) </w:t>
            </w:r>
            <w:r>
              <w:rPr>
                <w:rFonts w:ascii="Times New Roman" w:cs="Times New Roman" w:eastAsia="Times New Roman" w:hAnsi="Times New Roman"/>
                <w:sz w:val="15"/>
                <w:szCs w:val="15"/>
                <w:color w:val="auto"/>
              </w:rPr>
              <w:t>(d)</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Passenger revenue per available seat mile (cents) </w:t>
            </w:r>
            <w:r>
              <w:rPr>
                <w:rFonts w:ascii="Times New Roman" w:cs="Times New Roman" w:eastAsia="Times New Roman" w:hAnsi="Times New Roman"/>
                <w:sz w:val="15"/>
                <w:szCs w:val="15"/>
                <w:color w:val="auto"/>
              </w:rPr>
              <w:t>(e)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Operating cost per available seat mile (cents) </w:t>
            </w:r>
            <w:r>
              <w:rPr>
                <w:rFonts w:ascii="Times New Roman" w:cs="Times New Roman" w:eastAsia="Times New Roman" w:hAnsi="Times New Roman"/>
                <w:sz w:val="15"/>
                <w:szCs w:val="15"/>
                <w:color w:val="auto"/>
              </w:rPr>
              <w:t>(f)</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Passenger enplanements (thousands) </w:t>
            </w:r>
            <w:r>
              <w:rPr>
                <w:rFonts w:ascii="Times New Roman" w:cs="Times New Roman" w:eastAsia="Times New Roman" w:hAnsi="Times New Roman"/>
                <w:sz w:val="15"/>
                <w:szCs w:val="15"/>
                <w:color w:val="auto"/>
              </w:rPr>
              <w:t>(g)</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34,547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33,951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Departures (thousands)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at end of period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Block hours (thousands) </w:t>
            </w:r>
            <w:r>
              <w:rPr>
                <w:rFonts w:ascii="Times New Roman" w:cs="Times New Roman" w:eastAsia="Times New Roman" w:hAnsi="Times New Roman"/>
                <w:sz w:val="15"/>
                <w:szCs w:val="15"/>
                <w:color w:val="auto"/>
              </w:rPr>
              <w:t>(h)</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845</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833</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Average stage length (miles) </w:t>
            </w:r>
            <w:r>
              <w:rPr>
                <w:rFonts w:ascii="Times New Roman" w:cs="Times New Roman" w:eastAsia="Times New Roman" w:hAnsi="Times New Roman"/>
                <w:sz w:val="15"/>
                <w:szCs w:val="15"/>
                <w:color w:val="auto"/>
              </w:rPr>
              <w:t>(i)</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consumption (gallons in millions)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aircraft fuel price including related taxes (dollars per gallon)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Full-time equivalent employees at end of period</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100,200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97,500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Regional </w:t>
            </w:r>
            <w:r>
              <w:rPr>
                <w:rFonts w:ascii="Times New Roman" w:cs="Times New Roman" w:eastAsia="Times New Roman" w:hAnsi="Times New Roman"/>
                <w:sz w:val="15"/>
                <w:szCs w:val="15"/>
                <w:b w:val="1"/>
                <w:bCs w:val="1"/>
                <w:color w:val="auto"/>
              </w:rPr>
              <w:t>(j)</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Revenue passenger miles (millions) </w:t>
            </w:r>
            <w:r>
              <w:rPr>
                <w:rFonts w:ascii="Times New Roman" w:cs="Times New Roman" w:eastAsia="Times New Roman" w:hAnsi="Times New Roman"/>
                <w:sz w:val="15"/>
                <w:szCs w:val="15"/>
                <w:color w:val="auto"/>
              </w:rPr>
              <w:t>(a)</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5,551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5,341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Available seat miles (millions) </w:t>
            </w:r>
            <w:r>
              <w:rPr>
                <w:rFonts w:ascii="Times New Roman" w:cs="Times New Roman" w:eastAsia="Times New Roman" w:hAnsi="Times New Roman"/>
                <w:sz w:val="15"/>
                <w:szCs w:val="15"/>
                <w:color w:val="auto"/>
              </w:rPr>
              <w:t>(b)</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7,500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6,937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Passenger load factor (percent) </w:t>
            </w:r>
            <w:r>
              <w:rPr>
                <w:rFonts w:ascii="Times New Roman" w:cs="Times New Roman" w:eastAsia="Times New Roman" w:hAnsi="Times New Roman"/>
                <w:sz w:val="15"/>
                <w:szCs w:val="15"/>
                <w:color w:val="auto"/>
              </w:rPr>
              <w:t>(c)</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(3.0)pts</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Yield (cents) </w:t>
            </w:r>
            <w:r>
              <w:rPr>
                <w:rFonts w:ascii="Times New Roman" w:cs="Times New Roman" w:eastAsia="Times New Roman" w:hAnsi="Times New Roman"/>
                <w:sz w:val="15"/>
                <w:szCs w:val="15"/>
                <w:color w:val="auto"/>
              </w:rPr>
              <w:t>(d)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27.44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27.19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Passenger revenue per available seat mile (cents) </w:t>
            </w:r>
            <w:r>
              <w:rPr>
                <w:rFonts w:ascii="Times New Roman" w:cs="Times New Roman" w:eastAsia="Times New Roman" w:hAnsi="Times New Roman"/>
                <w:sz w:val="15"/>
                <w:szCs w:val="15"/>
                <w:color w:val="auto"/>
              </w:rPr>
              <w:t>(e)</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Operating cost per available seat mile (cents) </w:t>
            </w:r>
            <w:r>
              <w:rPr>
                <w:rFonts w:ascii="Times New Roman" w:cs="Times New Roman" w:eastAsia="Times New Roman" w:hAnsi="Times New Roman"/>
                <w:sz w:val="15"/>
                <w:szCs w:val="15"/>
                <w:color w:val="auto"/>
              </w:rPr>
              <w:t>(f)</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Passenger enplanements (thousands) </w:t>
            </w:r>
            <w:r>
              <w:rPr>
                <w:rFonts w:ascii="Times New Roman" w:cs="Times New Roman" w:eastAsia="Times New Roman" w:hAnsi="Times New Roman"/>
                <w:sz w:val="15"/>
                <w:szCs w:val="15"/>
                <w:color w:val="auto"/>
              </w:rPr>
              <w:t>(g)</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12,368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12,243</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at end of period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consumption (gallons in millions)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aircraft fuel price including related taxes (dollars per gallon)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Full-time equivalent employees at end of period </w:t>
            </w:r>
            <w:r>
              <w:rPr>
                <w:rFonts w:ascii="Times New Roman" w:cs="Times New Roman" w:eastAsia="Times New Roman" w:hAnsi="Times New Roman"/>
                <w:sz w:val="15"/>
                <w:szCs w:val="15"/>
                <w:color w:val="auto"/>
              </w:rPr>
              <w:t>(k)</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19,300</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324"/>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Mainline and Regional</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Revenue passenger miles (millions) </w:t>
            </w:r>
            <w:r>
              <w:rPr>
                <w:rFonts w:ascii="Times New Roman" w:cs="Times New Roman" w:eastAsia="Times New Roman" w:hAnsi="Times New Roman"/>
                <w:sz w:val="15"/>
                <w:szCs w:val="15"/>
                <w:color w:val="auto"/>
              </w:rPr>
              <w:t>(a)</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51,771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50,190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Available seat miles (millions) </w:t>
            </w:r>
            <w:r>
              <w:rPr>
                <w:rFonts w:ascii="Times New Roman" w:cs="Times New Roman" w:eastAsia="Times New Roman" w:hAnsi="Times New Roman"/>
                <w:sz w:val="15"/>
                <w:szCs w:val="15"/>
                <w:color w:val="auto"/>
              </w:rPr>
              <w:t>(b)</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65,064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62,791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Cargo ton miles (millions) </w:t>
            </w:r>
            <w:r>
              <w:rPr>
                <w:rFonts w:ascii="Times New Roman" w:cs="Times New Roman" w:eastAsia="Times New Roman" w:hAnsi="Times New Roman"/>
                <w:sz w:val="15"/>
                <w:szCs w:val="15"/>
                <w:color w:val="auto"/>
              </w:rPr>
              <w:t>(l)</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Passenger load factor (percent) </w:t>
            </w:r>
            <w:r>
              <w:rPr>
                <w:rFonts w:ascii="Times New Roman" w:cs="Times New Roman" w:eastAsia="Times New Roman" w:hAnsi="Times New Roman"/>
                <w:sz w:val="15"/>
                <w:szCs w:val="15"/>
                <w:color w:val="auto"/>
              </w:rPr>
              <w:t>(c)</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79.6</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(0.3)pts</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Yield (cents) </w:t>
            </w:r>
            <w:r>
              <w:rPr>
                <w:rFonts w:ascii="Times New Roman" w:cs="Times New Roman" w:eastAsia="Times New Roman" w:hAnsi="Times New Roman"/>
                <w:sz w:val="15"/>
                <w:szCs w:val="15"/>
                <w:color w:val="auto"/>
              </w:rPr>
              <w:t>(d)</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15.62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Passenger revenue per available seat mile (cents) </w:t>
            </w:r>
            <w:r>
              <w:rPr>
                <w:rFonts w:ascii="Times New Roman" w:cs="Times New Roman" w:eastAsia="Times New Roman" w:hAnsi="Times New Roman"/>
                <w:sz w:val="15"/>
                <w:szCs w:val="15"/>
                <w:color w:val="auto"/>
              </w:rPr>
              <w:t>(e)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revenue per available seat mile (cents) </w:t>
            </w:r>
            <w:r>
              <w:rPr>
                <w:rFonts w:ascii="Times New Roman" w:cs="Times New Roman" w:eastAsia="Times New Roman" w:hAnsi="Times New Roman"/>
                <w:sz w:val="15"/>
                <w:szCs w:val="15"/>
                <w:color w:val="auto"/>
              </w:rPr>
              <w:t>(m)</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15.65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Cargo yield per ton mile (cents) </w:t>
            </w:r>
            <w:r>
              <w:rPr>
                <w:rFonts w:ascii="Times New Roman" w:cs="Times New Roman" w:eastAsia="Times New Roman" w:hAnsi="Times New Roman"/>
                <w:sz w:val="15"/>
                <w:szCs w:val="15"/>
                <w:color w:val="auto"/>
              </w:rPr>
              <w:t>(n)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35.14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Passenger enplanements (thousands) </w:t>
            </w:r>
            <w:r>
              <w:rPr>
                <w:rFonts w:ascii="Times New Roman" w:cs="Times New Roman" w:eastAsia="Times New Roman" w:hAnsi="Times New Roman"/>
                <w:sz w:val="15"/>
                <w:szCs w:val="15"/>
                <w:color w:val="auto"/>
              </w:rPr>
              <w:t>(g)</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46,915</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46,194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at end of period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1,539</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consumption (gallons in millions)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aircraft fuel price including related taxes (dollars per gallon)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Full-time equivalent employees at end of period</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120,200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116,800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Revenue passenger mile (RPM) – A basic measure of sales volume. One RPM represents one passenger flown one mile.</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Available seat mile (ASM) – A basic measure of production. One ASM represents one seat flown one mile.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Passenger load factor – The percentage of available seats that are filled with revenue passengers.</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Yield – A measure of airline revenue derived by dividing passenger revenue by RPMs.</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Passenger revenue per available seat mile (PRASM) – Passenger revenues divided by ASMs.</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Operating cost per available seat mile (CASM) – Operating expenses divided by ASMs.</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Passenger enplanements – The number of passengers on board an aircraft, including local, connecting and through passengers.</w:t>
      </w:r>
    </w:p>
    <w:p>
      <w:pPr>
        <w:spacing w:after="0" w:line="9" w:lineRule="exact"/>
        <w:rPr>
          <w:rFonts w:ascii="Times New Roman" w:cs="Times New Roman" w:eastAsia="Times New Roman" w:hAnsi="Times New Roman"/>
          <w:sz w:val="15"/>
          <w:szCs w:val="15"/>
          <w:color w:val="auto"/>
        </w:rPr>
      </w:pPr>
    </w:p>
    <w:p>
      <w:pPr>
        <w:ind w:left="460" w:hanging="452"/>
        <w:spacing w:after="0" w:line="250" w:lineRule="auto"/>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Average stage length – The average of the distances flown on each segment of every route.</w:t>
      </w:r>
    </w:p>
    <w:p>
      <w:pPr>
        <w:spacing w:after="0" w:line="9" w:lineRule="exact"/>
        <w:rPr>
          <w:rFonts w:ascii="Times New Roman" w:cs="Times New Roman" w:eastAsia="Times New Roman" w:hAnsi="Times New Roman"/>
          <w:sz w:val="15"/>
          <w:szCs w:val="15"/>
          <w:color w:val="auto"/>
        </w:rPr>
      </w:pPr>
    </w:p>
    <w:p>
      <w:pPr>
        <w:jc w:val="both"/>
        <w:ind w:left="460" w:hanging="452"/>
        <w:spacing w:after="0" w:line="250" w:lineRule="auto"/>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Regional statistics include our subsidiaries, Envoy Aviation Group Inc. (Envoy), Piedmont Airlines, Inc. (Piedmont) and PSA Airlines, Inc. (PSA), and operating statistics from our capacity purchase agreements with Air Wisconsin Airlines Corporation, ExpressJet Airlines, Inc., Mesa Airlines, Inc., Republic Airline Inc., SkyWest Airlines, Inc., Compass Airlines, LLC and Trans States Airlines, Inc.</w:t>
      </w:r>
    </w:p>
    <w:p>
      <w:pPr>
        <w:spacing w:after="0" w:line="1"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Regional full-time equivalent employees only include our wholly-owned regional airline subsidiaries, Envoy, Piedmont and PSA.</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Cargo ton miles – A basic measure of cargo transportation. One cargo ton mile represents one ton of cargo transported one mile.</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revenue per available seat mile (RASM) – Total revenues divided by total mainline and regional ASMs.</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Cargo yield per ton mile – Cargo revenues divided by total mainline and regional cargo ton miles.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Compared to Three Months Ended March 31, 2015</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060" w:type="dxa"/>
            <w:vAlign w:val="bottom"/>
            <w:gridSpan w:val="2"/>
          </w:tcPr>
          <w:p>
            <w:pPr>
              <w:jc w:val="center"/>
              <w:ind w:left="17"/>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passenger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6,989</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Regional passenger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9,827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Total operating revenues in the first quarter of 2016 decreased $392 million, or 4.0%, from the 2015 period driven by a decrease in yield primarily due to competitive growth in certain domestic markets, including Dallas/Fort Worth, international weakness due to foreign currency devaluation relative to the U.S. dollar, lower fuel surcharges, and continued economic softness in Latin America. Significant changes in the components of operating revenues are as follows:</w:t>
      </w:r>
    </w:p>
    <w:p>
      <w:pPr>
        <w:spacing w:after="0" w:line="86" w:lineRule="exact"/>
        <w:rPr>
          <w:sz w:val="20"/>
          <w:szCs w:val="20"/>
          <w:color w:val="auto"/>
        </w:rPr>
      </w:pPr>
    </w:p>
    <w:p>
      <w:pPr>
        <w:jc w:val="both"/>
        <w:ind w:left="900" w:hanging="325"/>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Mainline passenger revenues were $6.6 billion in the first quarter of 2016 as compared to $7.0 billion in the 2015 period. Mainline RPM’s increased 3.1% as mainline capacity, as measured by ASMs, also increased 3.1%. Mainline passenger yield decreased 8.9% to 14.20 cents in the first quarter of 2016 from 15.58 cents in the 2015 period. Mainline PRASM decreased 8.9% to 11.40 cents in the first quarter of 2016 from 12.51 cents in the 2015 period.</w:t>
      </w:r>
    </w:p>
    <w:p>
      <w:pPr>
        <w:spacing w:after="0" w:line="85" w:lineRule="exact"/>
        <w:rPr>
          <w:rFonts w:ascii="Times New Roman" w:cs="Times New Roman" w:eastAsia="Times New Roman" w:hAnsi="Times New Roman"/>
          <w:sz w:val="18"/>
          <w:szCs w:val="18"/>
          <w:color w:val="auto"/>
        </w:rPr>
      </w:pPr>
    </w:p>
    <w:p>
      <w:pPr>
        <w:jc w:val="both"/>
        <w:ind w:left="900" w:hanging="325"/>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passenger revenues were $1.5 billion in each of the first quarters of 2016 and 2015. Regional RPM’s increased 3.9% as regional capacity, as measured by ASMs, increased 8.1%, resulting in a 3.0 point decrease in load factor to 74.0%. Regional passenger yield increased 0.9% to 27.44 cents in the first quarter of 2016 from 27.19 cents in the 2015 period. Regional PRASM decreased 3.0% to 20.31 cents in the first quarter of 2016 from 20.94 cents in the 2015 period.</w:t>
      </w:r>
    </w:p>
    <w:p>
      <w:pPr>
        <w:spacing w:after="0" w:line="8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revenue decreased $32 million, or 16.8%, in the first quarter of 2016 from the 2015 period driven primarily by a decrease in domestic and international freight yields.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8,611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Total operating expenses were $8.1 billion in the first quarter of 2016, a decrease of $511 million, or 5.9%, from the 2015 period. The decrease in operating expenses was primarily due to lower aircraft fuel costs, offset in part by higher salaries, wages and benefits driven by new labor contracts and the addition of an employee profit sharing program instituted effective January 1, 2016. See detailed explanations below relating to the other changes in operating costs.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Mainline CASM</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mainline CASM decreased 1.22 cents, or 9.5%, from 12.80 cents in the first quarter of 2015 to 11.58 cents in the first quarter of 2016. Excluding special items and fuel, our mainline CASM increased 0.13 cents, or 1.4%, from 9.49 cents in the first quarter of 2015 to 9.62 cents in the first quarter of 2016, while mainline capacity increased 3.1%.</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major components of our total mainline CASM and our mainline CASM excluding special items and fuel for the three months ended March 31, 2016 and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832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32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7"/>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CASM:</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0.88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Aircraft rent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0.57</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0.60</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items, net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mainline CASM</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12.80</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items, net</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1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Mainline CASM, excluding special items and fuel </w:t>
            </w:r>
            <w:r>
              <w:rPr>
                <w:rFonts w:ascii="Times New Roman" w:cs="Times New Roman" w:eastAsia="Times New Roman" w:hAnsi="Times New Roman"/>
                <w:sz w:val="15"/>
                <w:szCs w:val="15"/>
                <w:color w:val="auto"/>
              </w:rPr>
              <w:t>(1)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hanging="452"/>
        <w:spacing w:after="0" w:line="258" w:lineRule="auto"/>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fuel and related taxes per ASM decreased 35.3% primarily due to a 34.1% decrease in the average price per gallon of fuel to $1.20 in the first quarter of 2016 from $1.83 in the 2015 period.</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benefits per ASM increased 8.4% primarily due to increased costs associated with new labor contracts and the addition of an employee profit sharing program instituted effective January 1, 2016.</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materials and repairs per ASM decreased 17.8% and was primarily driven by fewer engine overhauls due to the timing of maintenance cycles in the first quarter of 2016 as compared to the 2015 period.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rent per ASM decreased 6.2% primarily due to expirations and early exiting of aircraft leases, driven by our fleet renewal program.</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per ASM decreased 10.9% primarily due to lower revenues in the first quarter of 2016, resulting in lower commissions and credit card fees.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Regional Operating Expenses</w:t>
      </w:r>
    </w:p>
    <w:p>
      <w:pPr>
        <w:spacing w:after="0" w:line="11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Total regional expenses decreased $30 million, or 2.0%, in the first quarter of 2016 to $1.43 billion from $1.46 billion in the 2015 period. The period-over-period decrease was primarily due to a $92 million decrease in fuel costs offset in part by a $62 million increase in other regional operating expenses. The average price per gallon of fuel decreased 33.5% to $1.24 in the first quarter of 2016 from $1.86 in the 2015 period, on a 6.0% increase in consumption. The increase in other regional operating expenses was principally due to increased flying under capacity purchase agreements.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Nonoperating Income (Expense)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increased $29 million in the first quarter of 2016 as compared to the 2015 period primarily due to issuances of $4.5 billion in aircraft related financings since the end of the first quarter of 2015.</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Other nonoperating expense, net in the first quarter of 2016 included $10 million of foreign currency gains. The foreign currency gains were driven primarily by the weakening of the U.S. dollar relative to other currencies.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Other nonoperating expense, net in the first quarter of 2015 included $80 million of foreign currency losses. The foreign currency losses during the first quarter of 2015 were driven primarily by the strengthening of the U.S. dollar relative to other currencies, principally in Latin American and European markets, including a 17% decrease in the value of the Brazilian real, a 10% decrease in the value of the Euro and a 4% decrease in the value of the British pound.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American’s Results of Operations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On December 30, 2015, in order to simplify AAG’s internal corporate structure and as part of the integration efforts following the business combination of AAG and US Airways Group, US Airways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a result, American’s condensed consolidated financial statements as well as this management’s discussion and analysis of financial condition and results of operations in this Quarterly Report on Form 10-Q (unless otherwise indicated) are presented as though the transaction had occurred on December 9, 2013, when a subsidiary of AMR merged with and into US Airways Group, which represents the earliest date that American and US Airways were under common control. Thus, all periods presented below in </w:t>
      </w:r>
      <w:r>
        <w:rPr>
          <w:rFonts w:ascii="Times New Roman" w:cs="Times New Roman" w:eastAsia="Times New Roman" w:hAnsi="Times New Roman"/>
          <w:sz w:val="18"/>
          <w:szCs w:val="18"/>
          <w:i w:val="1"/>
          <w:iCs w:val="1"/>
          <w:color w:val="auto"/>
        </w:rPr>
        <w:t>American’s Results of Operations</w:t>
      </w:r>
      <w:r>
        <w:rPr>
          <w:rFonts w:ascii="Times New Roman" w:cs="Times New Roman" w:eastAsia="Times New Roman" w:hAnsi="Times New Roman"/>
          <w:sz w:val="18"/>
          <w:szCs w:val="18"/>
          <w:color w:val="auto"/>
        </w:rPr>
        <w:t xml:space="preserve"> are comprised of the financial data of American and US Airways.</w:t>
      </w:r>
    </w:p>
    <w:p>
      <w:pPr>
        <w:spacing w:after="0" w:line="185"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American realized pre-tax income of $1.1 billion and $947 million in the first quarters of 2016 and 2015, respectively. Excluding the effects of net special charges, we recognized pre-tax income of $1.2 billion in the first quarter of 2016, which was flat when compared to the first quarter of 2015. American’s first quarter 2016 results benefited from the decline in fuel prices as a result of not hedging our fuel consumption; however, this benefit was offset in part by a decline in revenues driven by reduced yields.</w:t>
      </w:r>
    </w:p>
    <w:p>
      <w:pPr>
        <w:sectPr>
          <w:pgSz w:w="11900" w:h="16838" w:orient="portrait"/>
          <w:cols w:equalWidth="0" w:num="1">
            <w:col w:w="11420"/>
          </w:cols>
          <w:pgMar w:left="240" w:top="455"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details American’s pre-tax and net income excluding special items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9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Pre-tax special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Mainline operating special charges, net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Regional operating special charges,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Nonoperating special credits,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pre-tax special items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Pre-tax income excluding special items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tcPr>
          <w:p>
            <w:pPr>
              <w:spacing w:after="0"/>
              <w:rPr>
                <w:sz w:val="24"/>
                <w:szCs w:val="24"/>
                <w:color w:val="auto"/>
              </w:rPr>
            </w:pP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special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pre-tax special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special charges,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tax effect of special items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special items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hanging="452"/>
        <w:spacing w:after="0" w:line="266"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2016 first quarter mainline operating special items totaled a net charge of $99 million, which principally included merger integration expenses related to alignment of labor union contracts, information technology, fleet restructuring, professional fees, re-branding of aircraft and airport facilities, relocation and training, as well as severance.</w:t>
      </w:r>
    </w:p>
    <w:p>
      <w:pPr>
        <w:spacing w:after="0" w:line="68" w:lineRule="exact"/>
        <w:rPr>
          <w:rFonts w:ascii="Times New Roman" w:cs="Times New Roman" w:eastAsia="Times New Roman" w:hAnsi="Times New Roman"/>
          <w:sz w:val="15"/>
          <w:szCs w:val="15"/>
          <w:color w:val="auto"/>
        </w:rPr>
      </w:pPr>
    </w:p>
    <w:p>
      <w:pPr>
        <w:jc w:val="both"/>
        <w:ind w:left="46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2015 first quarter mainline operating special items totaled a net charge of $303 million, which principally included merger integration expenses related to alignment of labor union contracts, information technology, fleet restructuring, professional fees, re-branding of aircraft and airport facilities, severance, relocation and training, as well as share-based compensation.</w:t>
      </w:r>
    </w:p>
    <w:p>
      <w:pPr>
        <w:spacing w:after="0" w:line="282"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u w:val="single" w:color="auto"/>
          <w:color w:val="auto"/>
        </w:rPr>
        <w:t>Income Taxes</w:t>
      </w:r>
    </w:p>
    <w:p>
      <w:pPr>
        <w:spacing w:after="0" w:line="119" w:lineRule="exact"/>
        <w:rPr>
          <w:sz w:val="20"/>
          <w:szCs w:val="20"/>
          <w:color w:val="auto"/>
        </w:rPr>
      </w:pPr>
    </w:p>
    <w:p>
      <w:pPr>
        <w:jc w:val="both"/>
        <w:ind w:firstLine="456"/>
        <w:spacing w:after="0" w:line="252" w:lineRule="auto"/>
        <w:rPr>
          <w:sz w:val="20"/>
          <w:szCs w:val="20"/>
          <w:color w:val="auto"/>
        </w:rPr>
      </w:pPr>
      <w:r>
        <w:rPr>
          <w:rFonts w:ascii="Times New Roman" w:cs="Times New Roman" w:eastAsia="Times New Roman" w:hAnsi="Times New Roman"/>
          <w:sz w:val="18"/>
          <w:szCs w:val="18"/>
          <w:color w:val="auto"/>
        </w:rPr>
        <w:t>At December 31, 2015, American had approximately $8.8 billion of gross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These NOL Carryforwards include an unrealized tax benefit of $1.2 billion related to share-based compensation that will be recorded in equity when realized. American also had approximately $3.7 billion of NOL Carryforwards to reduce future state taxable income at December 31, 2015, which will expire in years 2016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bankruptcy in 2013. The general limitation rules of Section 382 for a debtor in a bankruptcy case are liberalized where the ownership change occurs upon emergence from bankruptcy. American elected to be covered by certain special rules for federal income tax purposes that permitted approximately $9.5 billion (with $7.3 billion of unlimited NOL remaining at December 31, 2015) of its federal NOL Carryforwards to be utilized without regard to the Section 382 annual limitation rules. Substantially all of American’s remaining federal NOL Carryforwards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2013 ownership changes is not affected by the annual limitation rules imposed by Section 382 unless another ownership change occurs.</w:t>
      </w:r>
    </w:p>
    <w:p>
      <w:pPr>
        <w:spacing w:after="0" w:line="197"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2016, American recorded income tax expense with an effective rate of approximately 38%, which is substantially non-cash as American utilized the NOLs described above to offset cash income taxes due.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Compared to Three Months Ended March 31, 2015</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060" w:type="dxa"/>
            <w:vAlign w:val="bottom"/>
            <w:gridSpan w:val="2"/>
          </w:tcPr>
          <w:p>
            <w:pPr>
              <w:jc w:val="center"/>
              <w:ind w:left="17"/>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8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Mainline passenger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6,989</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Regional passenger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9,842</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Total operating revenues in the first quarter of 2016 decreased $345 million, or 3.5%, from the 2015 period driven by a decrease in yield primarily due to competitive growth in certain domestic markets, including Dallas/Fort Worth, international weakness due to foreign currency devaluation relative to the U.S. dollar, lower fuel surcharges, and continued economic softness in Latin America. Significant changes in the components of operating revenues are as follows:</w:t>
      </w:r>
    </w:p>
    <w:p>
      <w:pPr>
        <w:spacing w:after="0" w:line="86" w:lineRule="exact"/>
        <w:rPr>
          <w:sz w:val="20"/>
          <w:szCs w:val="20"/>
          <w:color w:val="auto"/>
        </w:rPr>
      </w:pPr>
    </w:p>
    <w:p>
      <w:pPr>
        <w:ind w:left="9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Mainline passenger revenues decreased $425 million, or 6.1%, in the first quarter of 2016 from the 2015 period due to a decrease in yield, offset in part by higher ASMs.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passenger revenues increased $71 million, or 4.9%, in the first quarter of 2016 from the 2015 period due to higher ASMs and yields.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revenue decreased $32 million, or 16.8%, in the first quarter of 2016 from the 2015 period driven primarily by a decrease in domestic and international freight yields.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8,641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Total operating expenses in the first quarter of 2016 decreased $467 million, or 5.4%, from the 2015 period. Significant changes in the components of mainline operating expenses are as follows:</w:t>
      </w:r>
    </w:p>
    <w:p>
      <w:pPr>
        <w:spacing w:after="0" w:line="67" w:lineRule="exact"/>
        <w:rPr>
          <w:sz w:val="20"/>
          <w:szCs w:val="20"/>
          <w:color w:val="auto"/>
        </w:rPr>
      </w:pPr>
    </w:p>
    <w:p>
      <w:pPr>
        <w:ind w:left="9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fuel and related taxes decreased $515 million, or 33.3%, in the first quarter of 2016 from the 2015 period primarily due to a decrease in the average price per gallon of fuel.</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benefits increased $279 million, or 11.8%, in the first quarter of 2016 from the 2015 period primarily due to increased costs associated with new labor contracts and the addition of an employee profit sharing program instituted effective January 1, 2016.</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materials and repairs decreased $75 million, or 15.2%, and was primarily driven by fewer engine overhauls due to the timing of maintenance cycles in the first quarter of 2016 as compared to the 2015 period.</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decreased $28 million, or 8.2%, in the first quarter of 2016 from the 2015 period primarily due to lower revenues in the first quarter of 2016, resulting in lower commissions and credit card fees.</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Regional Operating Expenses</w:t>
      </w:r>
    </w:p>
    <w:p>
      <w:pPr>
        <w:spacing w:after="0" w:line="11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Total regional expenses increased $13 million, or 0.9%, in the first quarter of 2016 from the 2015 period. The period-over-period increase was primarily due to a $105 million, or 8.9%, increase in other regional operating expenses, offset in part by a $92 million, or 29.5%, decrease in fuel costs. The increase in other regional operating expenses was principally due to increased flying under capacity purchase agreements. The average price per gallon of fuel decreased 33.5% to $1.24 in 2016 from $1.86 in 2015.</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Nonoperating Income (Expense)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American’s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increased $28 million in the first quarter of 2016 as compared to the 2015 period primarily due to issuances of $4.5 billion in aircraft related financings since the end of the first quarter of 2015.</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Other nonoperating expense, net in the first quarter of 2016 included $10 million of foreign currency gains. The foreign currency gains were driven primarily by the weakening of the U.S. dollar relative to other currencies.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Other nonoperating expense, net in the first quarter of 2015 included $80 million of foreign currency losses. The foreign currency losses during the first quarter of 2015 were driven primarily by the strengthening of the U.S. dollar relative to other currencies, principally in Latin American and European markets, including a 17% decrease in the value of the Brazilian real, a 10% decrease in the value of the Euro and a 4% decrease in the value of the British pound.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Short-Term Investments and Restricted Cash</w:t>
      </w:r>
    </w:p>
    <w:p>
      <w:pPr>
        <w:spacing w:after="0" w:line="121"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2016, AAG had approximately $9.4 billion in total available liquidity and $691 million in restricted cash. Additional detail of our available liquidity is provided in the table below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AAG</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American</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58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Pr>
          <w:p>
            <w:pPr>
              <w:spacing w:after="0"/>
              <w:rPr>
                <w:sz w:val="12"/>
                <w:szCs w:val="12"/>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6,435</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5,864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6,432</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18"/>
                <w:szCs w:val="18"/>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Undrawn revolver capacity</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2,425</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2,425</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2,425</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9"/>
                <w:szCs w:val="19"/>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 liquidity</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8,679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Times New Roman" w:cs="Times New Roman" w:eastAsia="Times New Roman" w:hAnsi="Times New Roman"/>
          <w:sz w:val="18"/>
          <w:szCs w:val="18"/>
          <w:color w:val="auto"/>
        </w:rPr>
        <w:t>for additional discussion of this and other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2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Since July 2014, our Board of Directors has approved several share repurchase programs aggregating $7.0 billion of authority of which, as of March 31, 2016, $853 million remained unused under repurchase programs that expire on December 31, 2016.</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we repurchased 39.3 million shares of AAG common stock for $1.6 billion at a weighted average cost per share of $39.76. Since the inception of the share repurchase programs in July 2014, we have repurchased 147.9 million shares of AAG common stock for $6.1 billion at a weighted average cost per share of $41.57.</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April 2016, we announced that our Board of Directors had authorized a new $2.0 billion share repurchase program that expires on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0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 Paid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declared the following cash dividends in the first quarter of 2016: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stockholders</w:t>
            </w:r>
          </w:p>
        </w:tc>
        <w:tc>
          <w:tcPr>
            <w:tcW w:w="1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Payable on</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0" w:type="dxa"/>
            <w:vAlign w:val="bottom"/>
          </w:tcPr>
          <w:p>
            <w:pPr>
              <w:spacing w:after="0"/>
              <w:rPr>
                <w:sz w:val="1"/>
                <w:szCs w:val="1"/>
                <w:color w:val="auto"/>
              </w:rPr>
            </w:pPr>
          </w:p>
        </w:tc>
      </w:tr>
      <w:tr>
        <w:trPr>
          <w:trHeight w:val="176"/>
        </w:trPr>
        <w:tc>
          <w:tcPr>
            <w:tcW w:w="3540" w:type="dxa"/>
            <w:vAlign w:val="bottom"/>
            <w:gridSpan w:val="2"/>
            <w:vMerge w:val="continue"/>
          </w:tcPr>
          <w:p>
            <w:pPr>
              <w:spacing w:after="0"/>
              <w:rPr>
                <w:sz w:val="15"/>
                <w:szCs w:val="15"/>
                <w:color w:val="auto"/>
              </w:rPr>
            </w:pPr>
          </w:p>
        </w:tc>
        <w:tc>
          <w:tcPr>
            <w:tcW w:w="26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record as of</w:t>
            </w:r>
          </w:p>
        </w:tc>
        <w:tc>
          <w:tcPr>
            <w:tcW w:w="1760" w:type="dxa"/>
            <w:vAlign w:val="bottom"/>
            <w:gridSpan w:val="2"/>
            <w:vMerge w:val="continue"/>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w:t>
            </w: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0.10</w:t>
            </w:r>
          </w:p>
        </w:tc>
        <w:tc>
          <w:tcPr>
            <w:tcW w:w="4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February 10, 2016</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February 24, 2016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In April 2016, we announced that our Board of Directors had declared a $0.10 per share dividend for stockholders of record on May 4, 2016, and payable on May 18, 2016.</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80" w:lineRule="exact"/>
        <w:rPr>
          <w:sz w:val="20"/>
          <w:szCs w:val="20"/>
          <w:color w:val="auto"/>
        </w:rPr>
      </w:pPr>
    </w:p>
    <w:p>
      <w:pPr>
        <w:jc w:val="right"/>
        <w:ind w:right="94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17" w:lineRule="exact"/>
        <w:rPr>
          <w:sz w:val="20"/>
          <w:szCs w:val="20"/>
          <w:color w:val="auto"/>
        </w:rPr>
      </w:pPr>
    </w:p>
    <w:p>
      <w:pPr>
        <w:jc w:val="right"/>
        <w:ind w:right="94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AAG and American</w:t>
      </w:r>
    </w:p>
    <w:p>
      <w:pPr>
        <w:spacing w:after="0" w:line="11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1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AAG’s net cash provided by operating activities was $2.6 billion and $2.5 billion for the first three months of 2016 and 2015, respectively, a period-over-period increase of $126 million. AAG’s operating cash flows were relatively flat, driven by lower fuel costs that were offset in part by lower revenues.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American’s net cash provided by operating activities was $1.0 billion and $2.7 billion for the first three months of 2016 and 2015, respectively, a period-over-period decrease of $1.7 billion. The decline in operating cash flows was primarily due to American’s increased cash funding of share repurchases and dividend payments in the 2016 period performed by AAG. In addition, American received the proceeds of the $500 million senior notes issued by AAG during the first quarter of 2015, which also contributed to the period-over-period decline in operating cash flows.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119"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$2.1 billion and $3.2 billion for the first three months of 2016 and 2015, respectively, for both AAG and American.</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AAG and American’s principal investing activities in the 2016 period included expenditures of $1.6 billion and $1.5 billion, respectively, for property and equipment, consisting primarily of the purchase of newly delivered aircraft including seven Bombardier CRJ900 aircraft, six Airbus A321 aircraft, six Embraer 175 aircraft, five Boeing 737-800 aircraft, two Boeing 787 aircraft and two Boeing 777 aircraft, as well as $565 million in net purchases of short-term investments.</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AAG and American’s principal investing activities in the 2015 period each included expenditures of $1.4 billion for property and equipment, consisting primarily of the purchase of newly delivered aircraft including nine Bombardier CRJ900 aircraft, five Airbus A321 aircraft, four Airbus A319 aircraft, four Boeing 737-800 aircraft, two Boeing 787 aircraft, two Embraer 175 aircraft and one Boeing 777 aircraft, as well as $1.8 billion in net purchases of short-term investments.</w:t>
      </w:r>
    </w:p>
    <w:p>
      <w:pPr>
        <w:sectPr>
          <w:pgSz w:w="11900" w:h="16838" w:orient="portrait"/>
          <w:cols w:equalWidth="0" w:num="1">
            <w:col w:w="11420"/>
          </w:cols>
          <w:pgMar w:left="240" w:top="455"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AAG’s net cash used in financing activities was $401 million as compared to net cash provided by financing activities of $762 million for the first three months of 2016 and 2015, respectively. American’s net cash provided by financing activities was $1.2 billion and $520 million for the first three months of 2016 and 2015, respectively.</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AAG and American’s principal financing activities in the 2016 period each included proceeds of $1.5 billion from the issuance of debt, primarily including the $1.1 billion issuance of enhanced equipment trust certificate (EETC) equipment notes by American. These cash inflows were offset in part by debt repayments of $310 million by AAG and $309 million by American. In addition, AAG had cash outflows of $1.5 billion in share repurchases and $61 million in dividend payments.</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AAG and American’s principal financing activities in the 2015 period included proceeds from the issuance of debt of $1.8 billion and $1.3 billion, respectively, primarily including the $1.0 billion issuance of EETC equipment notes by American and $500 million issuance of 4.625% senior notes by AAG. These cash inflows were offset in part by debt repayments of $746 million by AAG and American, including the $400 million repayment of American’s AAdvantage loan with Citibank. In addition, AAG had cash outflows of $181 million in share repurchases and $70 million in dividend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Significant Indebtedness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2016, AAG and American had $22.0 billion and $20.2 billion, respectively, in long-term debt and capital leases (including current maturities of $2.6 billion each). See Note 5 to AAG’s condensed consolidated financial statements in Part I, Item 1A and Note 3 to American’s condensed consolidated financial statements in Part I, Item 1B for all indebtedness as of March 31, 2016, as well as 2016 financing activities. There have been no material changes in our significant indebtedness, which includes the 2013 Credit Facilities, the 2013 Citicorp Credit Facility and the 2014 Credit Facilities, as discussed in our 2015 Form 10-K.</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Collateral Related Covenants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Certain of our debt financing agreements contain loan to value ratio covenants and require us to annually appraise the related collateral. Pursuant to such agreements, if the loan to value ratio exceeds a specified threshold, we are required, as applicable, to pledge additional qualifying collateral (which in some cases may include cash collateral), or pay down such financing, in whole or in part. We were in compliance with the collateral coverage tests for the 2013 Credit Facilities, 2013 Citicorp Credit Facility and the 2014 Credit Facilities as of the most recent measurement dates.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Ratings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our credit ratings as of March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149"/>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Local Issuer</w:t>
            </w:r>
          </w:p>
        </w:tc>
        <w:tc>
          <w:tcPr>
            <w:tcW w:w="15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Issuer Default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r>
      <w:tr>
        <w:trPr>
          <w:trHeight w:val="173"/>
        </w:trPr>
        <w:tc>
          <w:tcPr>
            <w:tcW w:w="116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15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Family Rating</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AAG</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Ba3</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w:t>
            </w:r>
          </w:p>
        </w:tc>
        <w:tc>
          <w:tcPr>
            <w:tcW w:w="15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BB-</w:t>
            </w:r>
          </w:p>
        </w:tc>
        <w:tc>
          <w:tcPr>
            <w:tcW w:w="15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BB-</w:t>
            </w: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160" w:type="dxa"/>
            <w:vAlign w:val="bottom"/>
            <w:tcBorders>
              <w:bottom w:val="single" w:sz="8" w:color="auto"/>
            </w:tcBorders>
          </w:tcPr>
          <w:p>
            <w:pPr>
              <w:spacing w:after="0"/>
              <w:rPr>
                <w:sz w:val="10"/>
                <w:szCs w:val="10"/>
                <w:color w:val="auto"/>
              </w:rPr>
            </w:pPr>
          </w:p>
        </w:tc>
        <w:tc>
          <w:tcPr>
            <w:tcW w:w="6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 credit agency does not rate this category for the respective entity.</w:t>
            </w: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98"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Aircraft and Engine Purchase Commitments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2016, we have definitive purchase agreements with Airbus, Boeing and other manufacturers for the acquisition of the following mainline and regional aircraft: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Remainder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2021 and</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of 2016</w:t>
            </w:r>
          </w:p>
        </w:tc>
        <w:tc>
          <w:tcPr>
            <w:tcW w:w="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4"/>
              </w:rPr>
              <w:t>Airbus</w:t>
            </w:r>
          </w:p>
        </w:tc>
        <w:tc>
          <w:tcPr>
            <w:tcW w:w="60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A320 Family</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A320neo Family</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A350 XWB</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Boeing</w:t>
            </w:r>
          </w:p>
        </w:tc>
        <w:tc>
          <w:tcPr>
            <w:tcW w:w="60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737-800</w:t>
            </w:r>
          </w:p>
        </w:tc>
        <w:tc>
          <w:tcPr>
            <w:tcW w:w="2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737 MAX Family</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787 Family</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Bombardier</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CRJ900 </w:t>
            </w:r>
            <w:r>
              <w:rPr>
                <w:rFonts w:ascii="Times New Roman" w:cs="Times New Roman" w:eastAsia="Times New Roman" w:hAnsi="Times New Roman"/>
                <w:sz w:val="15"/>
                <w:szCs w:val="15"/>
                <w:color w:val="auto"/>
              </w:rPr>
              <w:t>(1)</w:t>
            </w:r>
          </w:p>
        </w:tc>
        <w:tc>
          <w:tcPr>
            <w:tcW w:w="564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Embraer</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ERJ175 </w:t>
            </w:r>
            <w:r>
              <w:rPr>
                <w:rFonts w:ascii="Times New Roman" w:cs="Times New Roman" w:eastAsia="Times New Roman" w:hAnsi="Times New Roman"/>
                <w:sz w:val="15"/>
                <w:szCs w:val="15"/>
                <w:color w:val="auto"/>
              </w:rPr>
              <w:t>(1)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line="282" w:lineRule="auto"/>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aircraft may be operated by wholly-owned subsidiaries or leased to third-party regional carriers which would operate the aircraft under capacity purchase arrangements.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also have agreements for 49 spare engines to be delivered in 2016 and beyond. Under all of our aircraft and engine purchase agreements, our total future commitments as of March 31, 2016 are expected to be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6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6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3"/>
                <w:szCs w:val="13"/>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5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2021 and</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2016</w:t>
            </w: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Payments for the above aircraft commitments and certain engines </w:t>
            </w:r>
            <w:r>
              <w:rPr>
                <w:rFonts w:ascii="Times New Roman" w:cs="Times New Roman" w:eastAsia="Times New Roman" w:hAnsi="Times New Roman"/>
                <w:sz w:val="15"/>
                <w:szCs w:val="15"/>
                <w:color w:val="auto"/>
              </w:rPr>
              <w:t>(1)</w:t>
            </w: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460" w:hanging="452"/>
        <w:spacing w:after="0" w:line="266" w:lineRule="auto"/>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amounts are net of purchase deposits currently held by the manufacturers and include all commitments for regional aircraft. American has granted a security interest in its purchase deposits with Boeing. Our purchase deposits held by all manufacturers totaled $1.1 billion as of March 31, 2016.</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2016, we did not have financing commitments for the following aircraft currently on order and scheduled to be delivered through 2017: 19 Airbus A320 family aircraft in 2016 and 20 Airbus A320 family aircraft in 2017, six Boeing 787 family aircraft in 2016 and 13 Boeing 787 family aircraft in 2017, 15 Boeing 737-800 aircraft in 2016 and four Boeing 737 MAX family aircraft in 2017. In addition, we do not have financing commitments in place for substantially all aircraft currently on order and scheduled to be delivered in 2018 and beyond. See Part II, Item 1A. Risk Factors – “</w:t>
      </w:r>
      <w:r>
        <w:rPr>
          <w:rFonts w:ascii="Times New Roman" w:cs="Times New Roman" w:eastAsia="Times New Roman" w:hAnsi="Times New Roman"/>
          <w:sz w:val="18"/>
          <w:szCs w:val="18"/>
          <w:i w:val="1"/>
          <w:iCs w:val="1"/>
          <w:color w:val="auto"/>
        </w:rPr>
        <w:t>We will need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 sufficient financing or other capital to operate successfully</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 Agreements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March 2016, we reached a tentative agreement with the Transport Workers Union (TWU) for a new five-year joint collective bargaining agreement applicable to dispatchers and operational specialists, which was ratified by TWU membership in April 2016 and provides immediate and significant pay increases.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Off-Balance Sheet Arrangements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material changes in our off-balance sheet arrangements as discussed in our 2015 Form 10-K.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AAG 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details of our future cash contractual obligations as of March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7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Remainder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0"/>
                <w:szCs w:val="10"/>
                <w:color w:val="auto"/>
              </w:rPr>
            </w:pPr>
          </w:p>
        </w:tc>
        <w:tc>
          <w:tcPr>
            <w:tcW w:w="9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2021 and</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of 2016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Debt and capital lease obligations </w:t>
            </w:r>
            <w:r>
              <w:rPr>
                <w:rFonts w:ascii="Times New Roman" w:cs="Times New Roman" w:eastAsia="Times New Roman" w:hAnsi="Times New Roman"/>
                <w:sz w:val="15"/>
                <w:szCs w:val="15"/>
                <w:color w:val="auto"/>
              </w:rPr>
              <w:t>(1), (3)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20,219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5"/>
                <w:szCs w:val="15"/>
                <w:color w:val="auto"/>
              </w:rPr>
              <w:t>(2),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Commitments for aircraft and engine purchases </w:t>
            </w: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21,103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commitments </w:t>
            </w: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13,302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Regional capacity purchase agreements </w:t>
            </w:r>
            <w:r>
              <w:rPr>
                <w:rFonts w:ascii="Times New Roman" w:cs="Times New Roman" w:eastAsia="Times New Roman" w:hAnsi="Times New Roman"/>
                <w:sz w:val="15"/>
                <w:szCs w:val="15"/>
                <w:color w:val="auto"/>
              </w:rPr>
              <w:t>(6)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Minimum pension obligations </w:t>
            </w: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Retiree medical and other purchase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American Contractual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10,992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8,834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10,558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75,779</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AAG and Other AAG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Debt and capital lease obligations </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AAG Contractual Obligations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11,376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10,320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20" w:hanging="452"/>
        <w:spacing w:after="0" w:line="261"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represent contractual amounts due. Excludes $238 million and $17 million of unamortized debt discount and debt issuance costs as of March 31, 2016 for American and AAG and other AAG subsidiaries, respectively.</w:t>
      </w: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variable-rate debt, future interest obligations are estimated using the current forward rates at March 31, 2016.</w:t>
      </w:r>
    </w:p>
    <w:p>
      <w:pPr>
        <w:spacing w:after="0" w:line="9" w:lineRule="exact"/>
        <w:rPr>
          <w:rFonts w:ascii="Times New Roman" w:cs="Times New Roman" w:eastAsia="Times New Roman" w:hAnsi="Times New Roman"/>
          <w:sz w:val="15"/>
          <w:szCs w:val="15"/>
          <w:color w:val="auto"/>
        </w:rPr>
      </w:pPr>
    </w:p>
    <w:p>
      <w:pPr>
        <w:ind w:left="460" w:hanging="452"/>
        <w:spacing w:after="0" w:line="250"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$9.6 billion of future principal payments and $2.5 billion of future interest payments, respectively, as of March 31, 2016, related to EETC notes associated with mortgage financings for the purchase of certain aircraft.</w:t>
      </w:r>
    </w:p>
    <w:p>
      <w:pPr>
        <w:ind w:left="460" w:hanging="452"/>
        <w:spacing w:after="0" w:line="250"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Part I, Item 2. Management’s Discussion and Analysis of Financial Condition and Results of Operations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information about these obligations.</w:t>
      </w: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$1.7 billion of future minimum lease payments related to EETC leverage leased financings of certain aircraft as of March 31, 2016.</w:t>
      </w:r>
    </w:p>
    <w:p>
      <w:pPr>
        <w:spacing w:after="0" w:line="9" w:lineRule="exact"/>
        <w:rPr>
          <w:rFonts w:ascii="Times New Roman" w:cs="Times New Roman" w:eastAsia="Times New Roman" w:hAnsi="Times New Roman"/>
          <w:sz w:val="15"/>
          <w:szCs w:val="15"/>
          <w:color w:val="auto"/>
        </w:rPr>
      </w:pPr>
    </w:p>
    <w:p>
      <w:pPr>
        <w:ind w:left="460" w:hanging="452"/>
        <w:spacing w:after="0" w:line="250"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jc w:val="both"/>
        <w:ind w:left="460" w:hanging="452"/>
        <w:spacing w:after="0" w:line="252"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minimum pension contributions based on actuarially determined estimates and other postretirement benefit payments and is based on estimated payments through 2025. We are required to make minimum contributions to our defined benefit pension plans under the minimum funding requirements of the Employee Retirement Income Security Act of 1974 and various other laws. Based on our current funding assumptions, we have no minimum required contributions until 2018. Currently, our minimum funding obligation for our pension plans is subject to favorable temporary funding rules that are scheduled to expire at the end of 2017. Our pension funding obligations are likely to increase materially following expiration of the temporary funding rules, when we will be required to make contributions relating to the 2018 fiscal year. The amount of these obligations will depend on the performance of our investments held in trust by the pension plans, interest rates for determining liabilities and our actuarial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light of our significant financial commitments related to, among other things, new aircraft, the servicing and amortization of existing debt and equipment leasing arrangements, as well as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aircraft, aircraft engines or parts, could 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has from time to time authorized programs to repurchase shares of our common stock, and may authorize additional share repurchase programs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In the first quarter of 2016, there were no changes to our critical accounting policies and estimates from those disclosed in the consolidated financial statements and accompanying notes contained in our 2015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AAG and American’s Market Risk Sensitive Instruments and Positions</w:t>
      </w:r>
    </w:p>
    <w:p>
      <w:pPr>
        <w:spacing w:after="0" w:line="121"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Our primary market risk exposures include the price of aircraft fuel, foreign currency exchange rates and interest rate risk. Our exposure to these market risks has not changed materially from our exposure discussed in our 2015 10-K except as updated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Aircraft Fuel</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2016 forecasted mainline and regional fuel consumption is presently approximately 4.4 billion gallons, and based on this forecast, a one cent per gallon increase in aviation fuel price would result in a $44 million increase in annual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Times New Roman" w:cs="Times New Roman" w:eastAsia="Times New Roman" w:hAnsi="Times New Roman"/>
          <w:sz w:val="18"/>
          <w:szCs w:val="18"/>
          <w:i w:val="1"/>
          <w:iCs w:val="1"/>
          <w:color w:val="auto"/>
        </w:rPr>
        <w:t>“We operate a global business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international operations that are subject to economic and political instability and have been, and in the future may continue to be, adversely affected by numerous events, circumstances or government actions beyond our control” </w:t>
      </w:r>
      <w:r>
        <w:rPr>
          <w:rFonts w:ascii="Times New Roman" w:cs="Times New Roman" w:eastAsia="Times New Roman" w:hAnsi="Times New Roman"/>
          <w:sz w:val="18"/>
          <w:szCs w:val="18"/>
          <w:color w:val="auto"/>
        </w:rPr>
        <w:t>for additional discussion of this and other currency risks.</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March 31, 2016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March 31, 2016.</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quarter ended March 31, 2016, there has been no change in AAG’s or American’s internal control over financial reporting that has materially affected, or is reasonably likely to materially affect, AAG’s and American’s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March 31, 2016.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Chapter 11 Cases. </w:t>
      </w:r>
      <w:r>
        <w:rPr>
          <w:rFonts w:ascii="Times New Roman" w:cs="Times New Roman" w:eastAsia="Times New Roman" w:hAnsi="Times New Roman"/>
          <w:sz w:val="18"/>
          <w:szCs w:val="18"/>
          <w:color w:val="auto"/>
        </w:rPr>
        <w:t>On November 29, 2011, AMR, American, and certain of AMR’s other direct and indirect domestic subsidiaries (the Debtors)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March 31,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85"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87"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DOJ Antitrust Civil Investigative Demand. </w:t>
      </w:r>
      <w:r>
        <w:rPr>
          <w:rFonts w:ascii="Times New Roman" w:cs="Times New Roman" w:eastAsia="Times New Roman" w:hAnsi="Times New Roman"/>
          <w:sz w:val="18"/>
          <w:szCs w:val="18"/>
          <w:color w:val="auto"/>
        </w:rPr>
        <w:t>In June 2015, we received a Civil Investigative Demand (CID) from the United States Department of Justice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we intend to defend the lawsuits vigorously.</w:t>
      </w:r>
    </w:p>
    <w:p>
      <w:pPr>
        <w:spacing w:after="0" w:line="185"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Private Party Antitrust Action</w:t>
      </w:r>
      <w:r>
        <w:rPr>
          <w:rFonts w:ascii="Times New Roman" w:cs="Times New Roman" w:eastAsia="Times New Roman" w:hAnsi="Times New Roman"/>
          <w:sz w:val="18"/>
          <w:szCs w:val="18"/>
          <w:color w:val="auto"/>
        </w:rPr>
        <w:t>. On July 2, 2013, a lawsuit captioned Carolyn Fjord, et al., v. US Airways Group, Inc., et al., was filed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Plaintiffs have indicated they will file another motion for leave to amend the complaint, a schedule for which has not been set. We believe this lawsuit is without merit and intend to vigorously defend against the allegations.</w:t>
      </w:r>
    </w:p>
    <w:p>
      <w:pPr>
        <w:spacing w:after="0" w:line="191"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DOJ Investigation Related to the United States Postal Service</w:t>
      </w:r>
      <w:r>
        <w:rPr>
          <w:rFonts w:ascii="Times New Roman" w:cs="Times New Roman" w:eastAsia="Times New Roman" w:hAnsi="Times New Roman"/>
          <w:sz w:val="18"/>
          <w:szCs w:val="18"/>
          <w:color w:val="auto"/>
        </w:rPr>
        <w:t>. In April 2015, the DOJ informed us of an inquiry regarding American’s 2009 and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80"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addition to the specifically identified legal proceedings, we and our subsidiaries are also engaged in other legal proceedings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Legal proceedings can be complex and take many months, or even years, to reach resolution, with the final outcome depending on a number of variables, some of which are not within our control. Therefore, although we will vigorously</w:t>
      </w:r>
    </w:p>
    <w:p>
      <w:pPr>
        <w:sectPr>
          <w:pgSz w:w="11900" w:h="16838" w:orient="portrait"/>
          <w:cols w:equalWidth="0" w:num="1">
            <w:col w:w="11420"/>
          </w:cols>
          <w:pgMar w:left="240" w:top="455"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defend ourselves in each of the actions described above and such other legal proceedings, their ultimate resolution and potential financial and other impacts on us are uncertain but could be material. See Part II, Item 1A. Risk Factors – “</w:t>
      </w:r>
      <w:r>
        <w:rPr>
          <w:rFonts w:ascii="Times New Roman" w:cs="Times New Roman" w:eastAsia="Times New Roman" w:hAnsi="Times New Roman"/>
          <w:sz w:val="18"/>
          <w:szCs w:val="18"/>
          <w:i w:val="1"/>
          <w:iCs w:val="1"/>
          <w:color w:val="auto"/>
        </w:rPr>
        <w:t>We may be a party to litigation in the normal course of business or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could affect our financial position and liquidity</w:t>
      </w:r>
      <w:r>
        <w:rPr>
          <w:rFonts w:ascii="Times New Roman" w:cs="Times New Roman" w:eastAsia="Times New Roman" w:hAnsi="Times New Roman"/>
          <w:sz w:val="18"/>
          <w:szCs w:val="18"/>
          <w:color w:val="auto"/>
        </w:rPr>
        <w:t>” for additional discussion.</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AAG and Industry-Related Risks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significant operating losses in the future.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Downturns in economic conditions adversely affect our business.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Times New Roman" w:cs="Times New Roman" w:eastAsia="Times New Roman" w:hAnsi="Times New Roman"/>
          <w:sz w:val="18"/>
          <w:szCs w:val="18"/>
          <w:i w:val="1"/>
          <w:iCs w:val="1"/>
          <w:color w:val="auto"/>
        </w:rPr>
        <w:t>“The airline industry is intensely competitive and dynamic”</w:t>
      </w:r>
      <w:r>
        <w:rPr>
          <w:rFonts w:ascii="Times New Roman" w:cs="Times New Roman" w:eastAsia="Times New Roman" w:hAnsi="Times New Roman"/>
          <w:sz w:val="18"/>
          <w:szCs w:val="18"/>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185"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5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w:t>
      </w:r>
    </w:p>
    <w:p>
      <w:pPr>
        <w:spacing w:after="0" w:line="18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4"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As of March 31, 2016, we did not have any fuel hedging contracts outstanding. As such, and assuming we do not enter into any future transactions to hedge our fuel consumption, we will continue to be fully exposed to fluctuations in fuel prices.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Our current policy is not to enter into transactions to hedge our fuel consumption, although we review that policy from time to time based on market conditions and other factors. 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Times New Roman" w:cs="Times New Roman" w:eastAsia="Times New Roman" w:hAnsi="Times New Roman"/>
          <w:sz w:val="18"/>
          <w:szCs w:val="18"/>
          <w:i w:val="1"/>
          <w:iCs w:val="1"/>
          <w:color w:val="auto"/>
        </w:rPr>
        <w:t>“AAG and American’s Market Risk Sensitive Instruments and Positions – Aircraft Fuel.”</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airline industry is intensely competitive and dynamic.</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88"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The actions of the low-cost carriers, including those described above, could have a material adverse effect on our operations and financial performance.</w:t>
      </w:r>
    </w:p>
    <w:p>
      <w:pPr>
        <w:spacing w:after="0" w:line="189"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Our presence in international markets is not as extensive as that of some of our competitors. We derived approximately 30% of our operating revenues in 2015 from operations outside of the U.S., as measured and reported to the DOT.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w:t>
      </w:r>
      <w:r>
        <w:rPr>
          <w:rFonts w:ascii="Times New Roman" w:cs="Times New Roman" w:eastAsia="Times New Roman" w:hAnsi="Times New Roman"/>
          <w:sz w:val="18"/>
          <w:szCs w:val="18"/>
          <w:i w:val="1"/>
          <w:iCs w:val="1"/>
          <w:color w:val="auto"/>
        </w:rPr>
        <w:t>“Our business is subject to extensive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8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4"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are party to antitrust-immunized cooperation agreements with British Airways, Iberia, Finnair, Royal Jordanian, Japan Airlines, LAN Airlines and LAN Peru. We have also established joint business agreements (JBAs) with British Airways, Iberia, and Finnair, and separately Japan Airlines. In addition, we applied for regulatory approval to enter into a JBA with Qantas Airways and have or will be applying for regulatory approval of a JBA with LATAM Airlines Group air carriers in the relevant jurisdictions affected by that JBA. No assurances can be given as to any benefits that we may derive from such arrangements or any other arrangements that may ultimately be implemented.</w:t>
      </w:r>
    </w:p>
    <w:p>
      <w:pPr>
        <w:spacing w:after="0" w:line="184"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integrate operations successfully and realize the anticipated synergies and other benefits of the Merger.</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The Merger involved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Although we received a single operating certificate from the FAA for American and US Airways on April 8, 2015, implemented a single integrated reservation system on October 17, 2015 and merged American and US Airways on December 30, 2015, we must continue to devote significant management attention and resources to integrating our business practices, cultures and operations. Potential difficulties we may encounter as part of the integration process include the following:</w:t>
      </w:r>
    </w:p>
    <w:p>
      <w:pPr>
        <w:spacing w:after="0" w:line="93" w:lineRule="exact"/>
        <w:rPr>
          <w:sz w:val="20"/>
          <w:szCs w:val="20"/>
          <w:color w:val="auto"/>
        </w:rPr>
      </w:pPr>
    </w:p>
    <w:p>
      <w:pPr>
        <w:ind w:left="900" w:right="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our businesses in a manner that permits us to achieve the synergies and other benefits anticipated to result from the Merger;</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complex systems, operating procedures, regulatory compliance programs, technology, aircraft fleets, networks, and other assets (including, for example, our flight operations systems and technology which supports human resources functions) in a manner that minimizes any adverse impact on customers, suppliers, employees, and other constituencies;</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divestitures and other operational commitments entered into in connection with the settlement of the litigation brought by the Department of Justice (DOJ) and certain states prior to the closing of the Merger, including those involving Dallas Love Field Airport and DCA;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forming and maintaining an effective and cohesive management team;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the attention of our management and other key employees;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workforces while maintaining focus on providing consistent, high quality customer service and running an efficient operation;</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integrating various computer, communications and other technology systems that will be necessary to operate American and US Airways as a single airline and to achieve cost synergies by eliminating redundancies in the businesses;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our ongoing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or rebranding initiatives may involve substantial costs and may not be favorably received by customers;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Accordingly, we may not be able to realize the contemplated benefits of the Merger fully, or it may take longer and cost more than expected to realize such benefits.</w:t>
      </w:r>
    </w:p>
    <w:p>
      <w:pPr>
        <w:spacing w:after="0" w:line="266"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5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other obligations are substantial and could adversely affect our business and liquidity.</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86"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for us to satisfy our obligations under our indebtedness;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and other obligations, thereby reducing the funds available for other purposes;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economic downturns, industry conditions and catastrophic external events;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respond to business opportunities and to withstand operating risks that are customary in the industry, particularly relative to competitors with lower relative levels of financial leverage;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restrictive covenants that could:</w:t>
      </w:r>
    </w:p>
    <w:p>
      <w:pPr>
        <w:spacing w:after="0" w:line="130" w:lineRule="exact"/>
        <w:rPr>
          <w:rFonts w:ascii="Times New Roman" w:cs="Times New Roman" w:eastAsia="Times New Roman" w:hAnsi="Times New Roman"/>
          <w:sz w:val="18"/>
          <w:szCs w:val="18"/>
          <w:color w:val="auto"/>
        </w:rPr>
      </w:pPr>
    </w:p>
    <w:p>
      <w:pPr>
        <w:ind w:left="1480" w:right="20" w:hanging="446"/>
        <w:spacing w:after="0" w:line="282" w:lineRule="auto"/>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merge, consolidate, sell assets, incur additional indebtedness, issue preferred stock, make investments and pay dividends;</w:t>
      </w:r>
    </w:p>
    <w:p>
      <w:pPr>
        <w:spacing w:after="0" w:line="67" w:lineRule="exact"/>
        <w:rPr>
          <w:rFonts w:ascii="Times New Roman" w:cs="Times New Roman" w:eastAsia="Times New Roman" w:hAnsi="Times New Roman"/>
          <w:sz w:val="18"/>
          <w:szCs w:val="18"/>
          <w:color w:val="auto"/>
        </w:rPr>
      </w:pPr>
    </w:p>
    <w:p>
      <w:pPr>
        <w:jc w:val="both"/>
        <w:ind w:left="1480" w:hanging="446"/>
        <w:spacing w:after="0" w:line="266" w:lineRule="auto"/>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1" w:lineRule="exact"/>
        <w:rPr>
          <w:rFonts w:ascii="Times New Roman" w:cs="Times New Roman" w:eastAsia="Times New Roman" w:hAnsi="Times New Roman"/>
          <w:sz w:val="18"/>
          <w:szCs w:val="18"/>
          <w:color w:val="auto"/>
        </w:rPr>
      </w:pPr>
    </w:p>
    <w:p>
      <w:pPr>
        <w:ind w:left="1480" w:hanging="446"/>
        <w:spacing w:after="0" w:line="282" w:lineRule="auto"/>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withstand competitive pressures and reduce our flexibility in responding to changing business and economic conditions;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under our indebtedness.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obtain sufficient financing or other capital to operate successfully.</w:t>
      </w:r>
    </w:p>
    <w:p>
      <w:pPr>
        <w:spacing w:after="0" w:line="12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Our business plan contemplates significant investments in modernizing our fleet and integrating the American and US Airways businesses. Significant capital resources will be required to execute this plan. We estimate that, based on our commitments as of March 31, 2016, our planned aggregate expenditures for aircraft purchase commitments and certain engines on a consolidated basis for calendar years 2016-2020 would be approximately $16.6 billion.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March 31, 2016, we did not have financing commitments for the following aircraft currently on order and scheduled to be delivered through 2017: 19 Airbus A320 family aircraft in 2016 and 20 Airbus A320 family aircraft in 2017, six Boeing 787 family aircraft in 2016 and 13 Boeing 787 family aircraft in 2017, 15 Boeing 737-800 aircraft in 2016 and four Boeing 737 MAX family aircraft in 2017. In addition, we do not have financing commitments in place for substantially all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88"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5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88"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the $1.87 billion term loan facility and the $1.4 billion revolving credit facility provided for by the credit and guaranty agreement, entered into June 27, 2013 between AAG, American and certain lenders (as amended and restated on May 21, 2015 and as otherwise amended, the 2013 Credit Facilities), the $1.6 billion term loan facility entered into on May 23, 2013 between US Airways and US Airways Group and certain lenders (as amended, the 2013 Citicorp Credit Facility), the $750 million term loan facility and the $1.0 billion revolving credit facility entered into October 10, 2014, between AAG and American and certain lenders (as amended and restated on April 20, 2015 and as otherwise amended, the 2014 Credit Facilities) and other of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Times New Roman" w:cs="Times New Roman" w:eastAsia="Times New Roman" w:hAnsi="Times New Roman"/>
          <w:sz w:val="18"/>
          <w:szCs w:val="18"/>
          <w:i w:val="1"/>
          <w:iCs w:val="1"/>
          <w:color w:val="auto"/>
        </w:rPr>
        <w:t>“AAG’s Market Risk Sensitive Instruments and Positions – Interest”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American’s Market Risk Sensitive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Positions – Interest” </w:t>
      </w:r>
      <w:r>
        <w:rPr>
          <w:rFonts w:ascii="Times New Roman" w:cs="Times New Roman" w:eastAsia="Times New Roman" w:hAnsi="Times New Roman"/>
          <w:sz w:val="18"/>
          <w:szCs w:val="18"/>
          <w:color w:val="auto"/>
        </w:rPr>
        <w:t>in our 2015 Form 10-K.</w:t>
      </w:r>
    </w:p>
    <w:p>
      <w:pPr>
        <w:spacing w:after="0" w:line="293"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high level of fixed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substantial fixed costs associated with these obligations:</w:t>
      </w:r>
    </w:p>
    <w:p>
      <w:pPr>
        <w:spacing w:after="0" w:line="131"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revenues results in a disproportionately greater percentage decrease in earnings;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liquidity to fund all of these fixed obligations if our revenues decline or costs increase;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use our working capital to fund these fixed obligations instead of funding general corporate requirements, including capital expenditures.</w:t>
      </w:r>
    </w:p>
    <w:p>
      <w:pPr>
        <w:spacing w:after="0" w:line="162"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66"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5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 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life insurance obligations filed in the Chapter 11 Cases.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5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terms of the 2013 Credit Facilities, the 2013 Citicorp Credit Facility and the 2014 Credit Facilities require AAG and American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AAG and the other obligors thereunder to hold not less than $750 million (subject to partial reductions upon certain reductions in the outstanding amount of the loan) of that amount in accounts subject to control agreements.</w:t>
      </w:r>
    </w:p>
    <w:p>
      <w:pPr>
        <w:spacing w:after="0" w:line="184"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Our ability to comply with these liquidity covenants while paying the fixed costs associated with our contractual obligations and our other expenses, including significant pension and other postretirement funding obligations and cash transition costs associated with the Merger, will depend on our operating performance and cash flow, which are seasonal, as well as factors including fuel costs and general economic and political conditions.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our financial condition worsens, provisions in our credit card processing and other commercial agreements may adversely affect our liquidity.</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Union disputes, employee strikes and other labor-related disruptions may adversely affect our operations.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Times New Roman" w:cs="Times New Roman" w:eastAsia="Times New Roman" w:hAnsi="Times New Roman"/>
          <w:sz w:val="18"/>
          <w:szCs w:val="18"/>
          <w:i w:val="1"/>
          <w:iCs w:val="1"/>
          <w:color w:val="auto"/>
        </w:rPr>
        <w:t xml:space="preserve">“Employees and Labor Relations” </w:t>
      </w:r>
      <w:r>
        <w:rPr>
          <w:rFonts w:ascii="Times New Roman" w:cs="Times New Roman" w:eastAsia="Times New Roman" w:hAnsi="Times New Roman"/>
          <w:sz w:val="18"/>
          <w:szCs w:val="18"/>
          <w:color w:val="auto"/>
        </w:rPr>
        <w:t>in our 2015 Form 10-K.</w:t>
      </w:r>
    </w:p>
    <w:p>
      <w:pPr>
        <w:spacing w:after="0" w:line="184"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Times New Roman" w:cs="Times New Roman" w:eastAsia="Times New Roman" w:hAnsi="Times New Roman"/>
          <w:sz w:val="18"/>
          <w:szCs w:val="18"/>
          <w:i w:val="1"/>
          <w:iCs w:val="1"/>
          <w:color w:val="auto"/>
        </w:rPr>
        <w:t>“Employees and Labor Relations”</w:t>
      </w:r>
      <w:r>
        <w:rPr>
          <w:rFonts w:ascii="Times New Roman" w:cs="Times New Roman" w:eastAsia="Times New Roman" w:hAnsi="Times New Roman"/>
          <w:sz w:val="18"/>
          <w:szCs w:val="18"/>
          <w:color w:val="auto"/>
        </w:rPr>
        <w:t xml:space="preserve"> in our 2015 Form 10-K.</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maintain labor costs at competitive levels would harm our financial performance.</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such as the employee profit sharing program we instituted effective January 1, 2016. As of December 31, 2015,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Interruptions or disruptions in service at one of our hub airports could have a material adverse impact on our operations.</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92"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67"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88"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slots or slot exemptions at DCA and two New York City airports: John F. Kennedy International Airport and LaGuardia Airport.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85"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settlement of litigation relating to the Merger brought by the DOJ and certain states, we entered into settlement agreements that provide for certain asset divestitures including 52 slot pairs at DCA, 17 slot pairs at LGA and gates and related ground facilities necessary to operate those slot pairs, and two gates at each of Boston Logan International Airport, Chicago O’Hare International Airport, Dallas Love Field Airport, Los Angeles International Airport (LAX) and Miami International Airport. The settlement agreements also require us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European Union (EU), we made one pair of London Heathrow slots available for use by another carrier and, along with our JBA partners, we made one pair of London Heathrow slots available to competitors for use for up to six years in different markets.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ability to provide service can also be impaired at airports, such as Chicago O’Hare International Airport and LAX, where the airport gate and other facilities are inadequate to accommodate all of the service that we would like to provide, or airports such as Dallas Love Field Airport where we have no access to gates at all.</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66"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5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For example, one of our significant third-party operators of regional capacity, Republic Airways Holdings Inc., commenced a Chapter 11 bankruptcy case on February 25, 2016. Recently, Republic has removed from service ten regional aircraft that they had been operating on our behalf and asserted that they intend to remove an additional 11 aircraft from service in the near future. More generally, the bankruptcy process could result in a further reduction in the capacity provided to us by Republic, an increase in our costs, or both.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93"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distribution channels and must manage effectively the costs, rights and functionality of these channels.</w:t>
      </w:r>
    </w:p>
    <w:p>
      <w:pPr>
        <w:spacing w:after="0" w:line="12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90"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5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the future, new regulatory requirements could have a material adverse effect on us and the industry.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80"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67" w:lineRule="exact"/>
        <w:rPr>
          <w:sz w:val="20"/>
          <w:szCs w:val="20"/>
          <w:color w:val="auto"/>
        </w:rPr>
      </w:pPr>
    </w:p>
    <w:p>
      <w:pPr>
        <w:ind w:left="900" w:right="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which affect the services that can be offered by airlines in particular markets and at particular airports, or the types of fees that can be charged to passengers;</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and timing of certain governmental approvals (including antitrust or foreign government approvals) needed for codesharing alliances and other arrangements with other airlines;</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competitive practices (for example, court orders, or agency regulations or orders, that would curtail an airline’s ability to respond to a competitor);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passenger security standards or regulations that impact customer service standards (for example, a “passenger bill of rights”);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airport operations, such as restrictions on the use of slots at airports or the auction or reallocation of slot rights currently held by us;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76"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in 2014 the ATC systems in Chicago took weeks to recover following a fire in the ATC tower at Chicago O’Hare International Airport, which resulted in thousands of cancelled flights.</w:t>
      </w:r>
    </w:p>
    <w:p>
      <w:pPr>
        <w:spacing w:after="0" w:line="18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efficiency of the ATC system will take effect. Failure to update the ATC system in a timely manner and the substantial funding requirements that may be imposed on airlines of a modernized ATC system may have a material adverse effect on our business.</w:t>
      </w:r>
    </w:p>
    <w:p>
      <w:pPr>
        <w:spacing w:after="0" w:line="180"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As a result of the agreement, we face increased competition in these markets, including London Heathrow Airport.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airline industry is heavily taxed.</w:t>
      </w:r>
    </w:p>
    <w:p>
      <w:pPr>
        <w:spacing w:after="0" w:line="12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8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80"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our business model that are designed to increase revenues may not be successful and may cause operational difficulties or decreased demand.</w:t>
      </w:r>
    </w:p>
    <w:p>
      <w:pPr>
        <w:spacing w:after="0" w:line="5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We have a number of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93"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5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conflicts overseas or terrorist attacks; the travel industry continues to face ongoing security concerns.</w:t>
      </w:r>
    </w:p>
    <w:p>
      <w:pPr>
        <w:spacing w:after="0" w:line="12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293"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operate a global business with operations outside of the U.S. from which we derived approximately 30% of our operating revenues in 2015, as measured and reported to the DOT. Our current international activities and prospects have been and in the future could be adversely affected by reversals or delays in the opening of foreign markets, increased competition in international markets,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forms of environmental and noise regulation and may incur substantial costs as a result.</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80"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In June 2015, the U.S. Environmental Protection Agency (EPA) issued revised underground storage tank regulations that could affect airport fuel hydrant systems, as certain of those systems may need to be modified in order to comply with applicable portions of the revised regulations. Additionally, on June 4, 2015, the EPA reissued the Multi-Sector General Permit for Stormwater Discharges from Industrial Activities. Among other revisions, the reissued permit incorporates the EPA’s previously issued Airport Deicing Effluent Limitation Guidelines and New Source Performance Standards. In addition, California adopted a revised State Industrial General Permit for Stormwater Discharges on April 1, 2014, which became effective July 1, 2015. This permit places additional reporting and monitoring requirements on permittees and requires implementation of mandatory best management practices. While the cost of compliance with these requirements is not expected to be significant, we will continue to monitor and evaluate the impact of these requirements on airport operations. In addition to the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93"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88"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including increased regulation to reduce emissions of greenhouse gases.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emissions, to be finalized in 2016 and implemented 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The effort currently underway through ICAO to reach a global agreement on measures to manage international aviation GHG emission growth could significantly impact our business, particularly to the extent that any final agreement may emphasize a collective cost sharing approach for industry emissions growth over a cost approach based on individual carrier contribution to emission growth. Ultimately, the scope and application of ETS or other emissions trading schemes to our operations, now or in the near future, remains uncertain. We do not anticipate any significant emissions allowance expenditures in 2016. Beyond 2016,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9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addition, in December 2015, at the 21st Conference of the Parties to the United Nations Framework Convention on Climate Change (UNFCCC’s COP21), over 190 countries, including the United States, reached an agreement to reduce global greenhouse gas emissions. While there is no express reference to aviation in this international agreement, to the extent the United States and other countries implement this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84"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Within the U.S., there is an increasing trend toward regulating GHG emissions directly under the Clean Air Act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A public hearing regarding the proposed endangerment finding was held in August 2015. If the EPA finalizes the endangerment finding, the EPA is obligated under the CAA to set aircraft engine GHG emission standards. It is anticipated that any such standards established by EPA would closely align with emission standards currently being developed by ICAO. In February 2016, the ICAO Committee on Aviation Environmental Protection (CAEP) recommended that ICAO adopt carbon dioxide certification standards that would apply to new type aircraft certified beginning in 2020, and would be phased in for newly manufactured existing aircraft type designs starting in 2023.</w:t>
      </w:r>
    </w:p>
    <w:p>
      <w:pPr>
        <w:spacing w:after="0" w:line="185"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8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5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We are highly dependent on technology and automated systems to operate our business and achieve low operating costs.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93"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in integrating our computer, communications and other technology systems.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85"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89"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5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If one of our aircraft, an aircraft that is operated under our brand by one of our regional operators, or an aircraft that is operated by an airline with which we have a marketing alliance or codeshare relationship were to be involved in an accident, incident or catastrophe, we could be exposed to significant tort liability. The insurance we carry to cover damages arising from any future accidents may be inadequate. In the event that our insurance is not adequate, we may be forced to bear substantial losses from an accident. In addition, any accident, incident or catastrophe involving an aircraft operated by us, operated under our brand by one of our regional operators or operated by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293"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5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aircraft, aircraft engines and parts.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has been and will continue to be affected by many changing economic and other conditions beyond our control, including, among others:</w:t>
      </w:r>
    </w:p>
    <w:p>
      <w:pPr>
        <w:spacing w:after="0" w:line="67" w:lineRule="exact"/>
        <w:rPr>
          <w:sz w:val="20"/>
          <w:szCs w:val="20"/>
          <w:color w:val="auto"/>
        </w:rPr>
      </w:pPr>
    </w:p>
    <w:p>
      <w:pPr>
        <w:ind w:left="90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perceptions, spending patterns, or demographic trends;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due to industry consolidation, changes in airline alliance affiliations, and other factors;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disruptions to the ATC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safety, security, and environmental measures;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diseases that affect travel behavior;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natural disasters.</w:t>
      </w:r>
    </w:p>
    <w:p>
      <w:pPr>
        <w:spacing w:after="0" w:line="22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In particular, an outbreak of a contagious disease such as the Ebola virus, Middle East Respiratory Syndrome, Severe Acute Respiratory Syndrome, H1N1 influenza virus, avian flu, Zika virus, or any other similar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higher than normal number of pilot retirements and a potential shortage of pilots could adversely affect us.</w:t>
      </w:r>
    </w:p>
    <w:p>
      <w:pPr>
        <w:spacing w:after="0" w:line="12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and our regional partners. On January 4, 2014, more stringent pilot flight and duty time requirements under Part 117 of the Federal Aviation Regulations took effect. In addition, in July 2013, the FAA issued regulations that increase the flight experience required for pilots working for airlines certificated under Part 121 of the Federal Aviation Regulations. These and other factors have in the past and could in the future contribute to a shortage of qualified pilots and increase compensation costs, particularly for our regional partners, which now face increased competition from large, mainline carriers to hire pilots to replace retiring pilots. If we or our regional partners are unable to hire adequate numbers of pilots, we may experience disruptions, increased costs of operations and other adverse effects.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insurance costs or reductions in insurance coverage may adversely impact our operations and financial results.</w:t>
      </w:r>
    </w:p>
    <w:p>
      <w:pPr>
        <w:spacing w:after="0" w:line="12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a party to litigation in the normal course of business or otherwise, which could affect our financial position and liquidity.</w:t>
      </w:r>
    </w:p>
    <w:p>
      <w:pPr>
        <w:spacing w:after="0" w:line="121"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NOL Carryforwards may be limited.</w:t>
      </w:r>
    </w:p>
    <w:p>
      <w:pPr>
        <w:spacing w:after="0" w:line="12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a corporation is generally allowed a deduction for net operating losses (NOLs) carried over from prior taxable years (NOL Carryforwards). As of December 31, 2015, we had available NOL Carryforwards of approximately $8.0 billion for regular federal income tax purposes which will expire, if unused, beginning in 2023, and approximately $4.0 billion for state income tax purposes which will expire, if unused, between 2016 and 2034. As of December 31, 2015, the amount of NOL Carryforwards for state income tax purposes that will expire, if unused, in 2016 is $136 million. Our NOL Carryforwards are subject to adjustment on audit by the Internal Revenue Service and the respective state taxing authorities.</w:t>
      </w:r>
    </w:p>
    <w:p>
      <w:pPr>
        <w:spacing w:after="0" w:line="188"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$6.6 billion of unlimited NOL still remaining at December 31, 2015)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93"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84"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66"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which is tested for impairment at least annually. In addition, we may never realize the full value of our intangible assets or long-lived assets, causing us to record material impairment charges.</w:t>
      </w:r>
    </w:p>
    <w:p>
      <w:pPr>
        <w:spacing w:after="0" w:line="5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tested for impairment at least annually. In accordance with applicable accounting standards, we are required to test our indefinite-lived intangible assets for impairment on an annual basis, or more frequently if conditions indicate that an impairment may have occurred. In addition, we are required to test certain of our other long-lived assets for impairment if conditions indicate that an impairment may have occurred.</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Future impairment of goodwill or other long-lived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AAG’s 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recently been and may in the future be volatile.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 of AAG common stock may fluctuate substantially due to a variety of factors, many of which are beyond our control, including:</w:t>
      </w:r>
    </w:p>
    <w:p>
      <w:pPr>
        <w:spacing w:after="0" w:line="131"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AAG’s operating and financial results failing to meet the expectations of securities analysts or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announcements by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in fuel prices;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capital deployment program, including our share repurchase program and any future dividend payments that may be declared by our Board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AAG’s integration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key personnel;</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reported holdings by insiders or other significant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trading volume;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values of airline companies as well as general market conditions.</w:t>
      </w:r>
    </w:p>
    <w:p>
      <w:pPr>
        <w:spacing w:after="0" w:line="329"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67"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Since July 2014, as part of our capital deployment program, our Board of Directors has approved several share repurchase programs aggregating $7.0 billion of authority of which, as of March 31, 2016, $853 million remained unused under repurchase programs that expire on December 31, 2016. In April 2016, our Board of Directors authorized a new $2.0 billion share repurchase program that expires on December 31, 2017.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18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80"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93"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5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Certain provisions of our Restated Certificate of Incorporation (Certificate of Incorporation) and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2"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for stockholder proposals to be considered at stockholders’ meetings;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stockholders taking action by written consent;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stockholders calling special meetings of stockholders;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AAG’s Certificate of Incorporation and Bylaws include provisions that limit voting and acquisition and disposition of our equity interests.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certain provisions that limit voting and ownership and disposition of our equity interests, including AAG common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80"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5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our purchases of shares of AAG common stock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2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2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 or</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5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73"/>
        </w:trPr>
        <w:tc>
          <w:tcPr>
            <w:tcW w:w="420" w:type="dxa"/>
            <w:vAlign w:val="bottom"/>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5"/>
                <w:szCs w:val="15"/>
                <w:color w:val="auto"/>
              </w:rPr>
            </w:pPr>
          </w:p>
        </w:tc>
        <w:tc>
          <w:tcPr>
            <w:tcW w:w="14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2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100" w:type="dxa"/>
            <w:vAlign w:val="bottom"/>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9,100,145</w:t>
            </w:r>
          </w:p>
        </w:tc>
        <w:tc>
          <w:tcPr>
            <w:tcW w:w="5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78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9,100,145</w:t>
            </w: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2016</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16,680,447</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38.22</w:t>
            </w:r>
          </w:p>
        </w:tc>
        <w:tc>
          <w:tcPr>
            <w:tcW w:w="2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16,680,447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2016</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13,545,753</w:t>
            </w:r>
            <w:r>
              <w:rPr>
                <w:rFonts w:ascii="Times New Roman" w:cs="Times New Roman" w:eastAsia="Times New Roman" w:hAnsi="Times New Roman"/>
                <w:sz w:val="15"/>
                <w:szCs w:val="15"/>
                <w:color w:val="auto"/>
              </w:rPr>
              <w:t>(a)</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41.72</w:t>
            </w:r>
          </w:p>
        </w:tc>
        <w:tc>
          <w:tcPr>
            <w:tcW w:w="2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13,535,079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hanging="452"/>
        <w:spacing w:after="0" w:line="266" w:lineRule="auto"/>
        <w:tabs>
          <w:tab w:leader="none" w:pos="4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Separate from our share repurchase programs, in March 2016, we repurchased 10,674 shares of AAG common stock for an aggregate of less than $1 million from the Disputed Claims Reserve at the then prevailing market price in order to fund cash tax obligations resulting from distributions by the Disputed Claims Reserve.</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Exhibit Index following the signature pages to this report are filed as part of, or incorporated by reference into, this report.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American Airlines Group Inc.</w:t>
      </w:r>
    </w:p>
    <w:p>
      <w:pPr>
        <w:spacing w:after="0" w:line="229"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April 22, 2016</w:t>
      </w:r>
      <w:r>
        <w:rPr>
          <w:sz w:val="20"/>
          <w:szCs w:val="20"/>
          <w:color w:val="auto"/>
        </w:rPr>
        <w:tab/>
      </w:r>
      <w:r>
        <w:rPr>
          <w:rFonts w:ascii="Times New Roman" w:cs="Times New Roman" w:eastAsia="Times New Roman" w:hAnsi="Times New Roman"/>
          <w:sz w:val="18"/>
          <w:szCs w:val="18"/>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April 22, 2016</w:t>
      </w:r>
      <w:r>
        <w:rPr>
          <w:sz w:val="20"/>
          <w:szCs w:val="20"/>
          <w:color w:val="auto"/>
        </w:rPr>
        <w:tab/>
      </w:r>
      <w:r>
        <w:rPr>
          <w:rFonts w:ascii="Times New Roman" w:cs="Times New Roman" w:eastAsia="Times New Roman" w:hAnsi="Times New Roman"/>
          <w:sz w:val="18"/>
          <w:szCs w:val="18"/>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900" w:type="dxa"/>
            <w:vAlign w:val="bottom"/>
            <w:gridSpan w:val="3"/>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Amended and Restated Bylaws of American Airlines Group Inc (incorporated by reference to Exhibit 3.1 to AAG’s Current Report on Form 8-</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K filed on March 9, 2016 (Commission File No. 1-8400)).</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Trust Supplement No. 2016-1AA, dated as of January 19, 2016, between American Airlines, Inc. and Wilmington Trust Company, as Trustee,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 the Pass Through Trust Agreement, dated as of September 16, 2014 (incorporated by reference to Exhibit 4.2 to American’s Current Report</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Form 8-K 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Trust Supplement No. 2016-1A, dated as of January 19, 2016, between American Airlines, Inc. and Wilmington Trust Company, as Trustee,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Pass Through Trust Agreement, dated as of September 16, 2014 (incorporated by reference to Exhibit 4.3 to American’s Current Report on</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8-K 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Trust Supplement No. 2016-1B, dated as of January 19, 2016, between American Airlines, Inc. and Wilmington Trust Company, as Trustee,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Pass Through Trust Agreement, dated as of September 16, 2014 (incorporated by reference to Exhibit 4.4 to American’s Current Report on</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8-K 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Intercreditor Agreement (2016-1), dated as of January 19, 2016, among Wilmington Trust Company, as Trustee of the American Airlines Pass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Through Trust 2016-1AA, as Trustee of the American Airlines Pass Through Trust 2016-1A and as Trustee of the American Airlines Pass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Through Trust 2016-1B, KfW IPEX-Bank GmbH, as Class AA Liquidity Provider, Class A Liquidity Provider and Class B Liquidity Provider,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Wilmington Trust Company, as Subordination Agent (incorporated by reference to Exhibit 4.5 to American’s Current Report on Form 8-K</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Note Purchase Agreement, dated as of January 19, 2016, among American Airlines, Inc., Wilmington Trust Company, as Pass Through Trustee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under each of the Pass Through Trust Agreements, and Wilmington Trust Company, as Subordination Agent (incorporated by reference to</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Exhibit 4.6 to American’s Current Report on Form 8-K 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Participation Agreement (Participation Agreement among American Airlines, Inc., Wilmington Trust Company, as Pass Through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Trustee under each of the Pass Through Trust Agreements, Wilmington Trust Company, as Subordination Agent, Wilmington Trust Company,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as Loan Trustee, and Wilmington Trust Company, in its individual capacity as set forth therein) (incorporated by reference to Exhibit 4.7 to</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American’s Current Report on Form 8-K 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Indenture and Security Agreement (Indenture and Security Agreement between American Airlines, Inc., and Wilmington Trust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Company, as Loan Trustee) (incorporated by reference to Exhibit 4.8 to American’s Current Report on Form 8-K filed on January 21, 2016</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Form of Pass Through Trust Certificate, Series 2016-1AA (incorporated by reference to Exhibit 4.9 to American’s Current Report on Form 8-K</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Pass Through Trust Certificate, Series 2016-1A (incorporated by reference to Exhibit 4.10 to American’s Current Report on Form 8-K</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Pass Through Trust Certificate, Series 2016-1B (incorporated by reference to Exhibit 4.11 to American’s Current Report on Form 8-K</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filed on January 21, 2016 (Commission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Revolving Credit Agreement (2016-1AA), dated as of January 19, 2016, between Wilmington Trust Company, as Subordination Agent,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agent and trustee for the trustee of the American Airlines Pass Through Trust 2016-1AA, as Borrower, and KfW IPEX-Bank GmbH,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Liquidity Provider (incorporated by reference to Exhibit 4.12 to American’s Current Report on Form 8-K filed on January 21, 2016</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(Commission File 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Revolving Credit Agreement (2016-1A), dated as of January 19, 2016, between Wilmington Trust Company, as Subordination Agent, as agent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trustee for the trustee of the American Airlines Pass Through Trust 2016-1A, as Borrower, and KfW IPEX-Bank GmbH, as Liquidity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Provider (incorporated by reference to Exhibit 4.13 to American’s Current Report on Form 8-K filed on January 21, 2016 (Commission File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 1-2691)).</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Revolving Credit Agreement (2016-1B), dated as of January 19, 2016, between Wilmington Trust Company, as Subordination Agent, as agent</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trustee for the trustee of the American Airlines Pass Through Trust 2016-1B, as Borrower, and KfW IPEX-Bank GmbH, as Liquidity</w:t>
            </w:r>
          </w:p>
        </w:tc>
        <w:tc>
          <w:tcPr>
            <w:tcW w:w="0" w:type="dxa"/>
            <w:vAlign w:val="bottom"/>
          </w:tcPr>
          <w:p>
            <w:pPr>
              <w:spacing w:after="0"/>
              <w:rPr>
                <w:sz w:val="1"/>
                <w:szCs w:val="1"/>
                <w:color w:val="auto"/>
              </w:rPr>
            </w:pPr>
          </w:p>
        </w:tc>
      </w:tr>
    </w:tbl>
    <w:p>
      <w:pPr>
        <w:ind w:left="1080"/>
        <w:spacing w:after="0" w:line="261" w:lineRule="auto"/>
        <w:rPr>
          <w:sz w:val="20"/>
          <w:szCs w:val="20"/>
          <w:color w:val="auto"/>
        </w:rPr>
      </w:pPr>
      <w:r>
        <w:rPr>
          <w:rFonts w:ascii="Times New Roman" w:cs="Times New Roman" w:eastAsia="Times New Roman" w:hAnsi="Times New Roman"/>
          <w:sz w:val="18"/>
          <w:szCs w:val="18"/>
          <w:color w:val="auto"/>
        </w:rPr>
        <w:t>Provider (incorporated by reference to Exhibit 4.14 to American’s Current Report on Form 8-K filed on January 21, 2016 (Commission File No. 1-2691)).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900" w:type="dxa"/>
            <w:vAlign w:val="bottom"/>
            <w:gridSpan w:val="3"/>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Amendment No. 7, dated as of February 26, 2016, to the Amended and Restated Airbus A350 XWB Purchase Agreement dated as of</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October 2, 2007 by and between Airbus S.A.S. and US Airways, Inc.*</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Letter Agreement, dated as of January 14, 2016, to Purchase Agreement No. 03735 by and between American Airlines, Inc. and The Boeing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Company, dated February 1, 2013 Relating to Boeing Model 737 MAX Aircraft, as amended, restated, amended and restated, supplemented or</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otherwise modified.*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Computation of ratio of earnings to fixed charges of American Airlines Group Inc. for the three months ended March 31,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Computation of ratio of earnings to fixed charges of American Airlines, Inc. for the three months ended March 31,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Certification of AAG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Certification of AAG Chief Financial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Certification of American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Certification of American Chief Financial Officer pursuant to Rule 13a-14(a).</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AAG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chapter 63 of title 18, United States Code).</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American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chapter 63 of title 18, United States Code).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620" w:right="4560" w:hanging="5612"/>
        <w:spacing w:after="0" w:line="454" w:lineRule="auto"/>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certain portions of this agreement. 67</w:t>
      </w:r>
    </w:p>
    <w:p>
      <w:pPr>
        <w:sectPr>
          <w:pgSz w:w="11900" w:h="16838" w:orient="portrait"/>
          <w:cols w:equalWidth="0" w:num="1">
            <w:col w:w="11420"/>
          </w:cols>
          <w:pgMar w:left="240" w:top="455"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October 2, 2007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AIRBUS S.A.S.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2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This Amendment No. 7 to the Amended and Restated Airbus A350 XWB Purchase Agreement between Airbus S.A.S. and American Airlines, Inc.,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entered into as of February 24, 2016 by and between Airbus S.A.S., a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xml:space="preserve"> organized and existing under the laws of the Republic of France, having its registered office located at 1, rond-point Maurice Bellonte, 31700 Blagnac, France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American Airlines, Inc., a corporation organized and existing under the laws of the State of Delaware, United States of America, having its principal corporate offices located at 4333 Amon Carter Boulevard, Fort Worth, Texas 76155, U.S.A., as successor by merger to US Airways, Inc.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WHEREAS, the Buyer and the Seller entered into an Amended and Restated Airbus A350 XWB Purchase Agreement dated as of October 2, 2007 (as amended, supplemented or otherwise modified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Buyer and the Seller have agreed to amend the CAC ID Numbers applicable to the Aircraft as set forth herein; and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Buyer and the Seller have agreed to amend certain additional terms of the Agreement as set forth herein.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IT IS AGREED AS FOLLOWS:</w:t>
      </w:r>
    </w:p>
    <w:p>
      <w:pPr>
        <w:spacing w:after="0" w:line="225" w:lineRule="exact"/>
        <w:rPr>
          <w:sz w:val="20"/>
          <w:szCs w:val="20"/>
          <w:color w:val="auto"/>
        </w:rPr>
      </w:pPr>
    </w:p>
    <w:p>
      <w:pPr>
        <w:ind w:right="400" w:firstLine="913"/>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in this Amendment will have the meanings assigned to them in the Agreement. The terms “herein,” “hereof,” and “hereunder” and words of similar import refer to this Amendment.</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17" w:right="239" w:bottom="1440" w:gutter="0" w:footer="0" w:header="0"/>
        </w:sectPr>
      </w:pPr>
    </w:p>
    <w:bookmarkStart w:id="68" w:name="page69"/>
    <w:bookmarkEnd w:id="68"/>
    <w:p>
      <w:pPr>
        <w:ind w:left="580" w:hanging="572"/>
        <w:spacing w:after="0"/>
        <w:tabs>
          <w:tab w:leader="none" w:pos="5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CAC ID Numbers</w:t>
      </w:r>
    </w:p>
    <w:p>
      <w:pPr>
        <w:spacing w:after="0" w:line="13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Clauses 3.1.1 and 3.1.2 of the Agreement, Paragraph 1 of Exhibit G-1 to the Agreement and Clause 1.1(i) of the Third Amended and Restated Letter Agreement No. 5 to the Agreement (“</w:t>
      </w:r>
      <w:r>
        <w:rPr>
          <w:rFonts w:ascii="Times New Roman" w:cs="Times New Roman" w:eastAsia="Times New Roman" w:hAnsi="Times New Roman"/>
          <w:sz w:val="18"/>
          <w:szCs w:val="18"/>
          <w:u w:val="single" w:color="auto"/>
          <w:color w:val="auto"/>
        </w:rPr>
        <w:t>LA-5</w:t>
      </w:r>
      <w:r>
        <w:rPr>
          <w:rFonts w:ascii="Times New Roman" w:cs="Times New Roman" w:eastAsia="Times New Roman" w:hAnsi="Times New Roman"/>
          <w:sz w:val="18"/>
          <w:szCs w:val="18"/>
          <w:color w:val="auto"/>
        </w:rPr>
        <w:t>”) are each hereby amended by deleting the CAC ID Numbers referenced therein as [*CTR] and restating them as follows: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[*CTR]</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Clause 1.1(ii) of LA-5 is hereby amended by deleting the CAC ID Numbers referenced therein as [*CTR] and restating them as follows: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[*CTR]</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Clause 9.1.1 of the Agreement is hereby deleted and restated to read in its entirety as follows: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auto"/>
        </w:rPr>
        <w:t>9.1.1 Subject to any delay contemplated by Clauses 2, 7, 8, 10, 11.2, 18 or 21.2, the Seller will have the Aircraft Ready for Delivery at the Delivery Location within the following months (each, a “</w:t>
      </w:r>
      <w:r>
        <w:rPr>
          <w:rFonts w:ascii="Times New Roman" w:cs="Times New Roman" w:eastAsia="Times New Roman" w:hAnsi="Times New Roman"/>
          <w:sz w:val="18"/>
          <w:szCs w:val="18"/>
          <w:u w:val="single" w:color="auto"/>
          <w:color w:val="auto"/>
        </w:rPr>
        <w:t>Scheduled Delivery Month</w:t>
      </w:r>
      <w:r>
        <w:rPr>
          <w:rFonts w:ascii="Times New Roman" w:cs="Times New Roman" w:eastAsia="Times New Roman" w:hAnsi="Times New Roman"/>
          <w:sz w:val="18"/>
          <w:szCs w:val="18"/>
          <w:color w:val="auto"/>
        </w:rPr>
        <w:t>”).</w:t>
      </w:r>
    </w:p>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Original CAC</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New CAC ID</w:t>
            </w:r>
          </w:p>
        </w:tc>
        <w:tc>
          <w:tcPr>
            <w:tcW w:w="620" w:type="dxa"/>
            <w:vAlign w:val="bottom"/>
            <w:vMerge w:val="restart"/>
          </w:tcPr>
          <w:p>
            <w:pPr>
              <w:spacing w:after="0"/>
              <w:rPr>
                <w:sz w:val="13"/>
                <w:szCs w:val="13"/>
                <w:color w:val="auto"/>
              </w:rPr>
            </w:pPr>
          </w:p>
        </w:tc>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Aircraft</w:t>
            </w:r>
          </w:p>
        </w:tc>
        <w:tc>
          <w:tcPr>
            <w:tcW w:w="620" w:type="dxa"/>
            <w:vAlign w:val="bottom"/>
            <w:vMerge w:val="restart"/>
          </w:tcPr>
          <w:p>
            <w:pPr>
              <w:spacing w:after="0"/>
              <w:rPr>
                <w:sz w:val="13"/>
                <w:szCs w:val="1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Scheduled</w:t>
            </w:r>
          </w:p>
        </w:tc>
        <w:tc>
          <w:tcPr>
            <w:tcW w:w="0" w:type="dxa"/>
            <w:vAlign w:val="bottom"/>
          </w:tcPr>
          <w:p>
            <w:pPr>
              <w:spacing w:after="0"/>
              <w:rPr>
                <w:sz w:val="1"/>
                <w:szCs w:val="1"/>
                <w:color w:val="auto"/>
              </w:rPr>
            </w:pPr>
          </w:p>
        </w:tc>
      </w:tr>
      <w:tr>
        <w:trPr>
          <w:trHeight w:val="165"/>
        </w:trPr>
        <w:tc>
          <w:tcPr>
            <w:tcW w:w="334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ID Number</w:t>
            </w:r>
          </w:p>
        </w:tc>
        <w:tc>
          <w:tcPr>
            <w:tcW w:w="620" w:type="dxa"/>
            <w:vAlign w:val="bottom"/>
          </w:tcPr>
          <w:p>
            <w:pPr>
              <w:spacing w:after="0"/>
              <w:rPr>
                <w:sz w:val="14"/>
                <w:szCs w:val="14"/>
                <w:color w:val="auto"/>
              </w:rPr>
            </w:pPr>
          </w:p>
        </w:tc>
        <w:tc>
          <w:tcPr>
            <w:tcW w:w="80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Number</w:t>
            </w:r>
          </w:p>
        </w:tc>
        <w:tc>
          <w:tcPr>
            <w:tcW w:w="620" w:type="dxa"/>
            <w:vAlign w:val="bottom"/>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4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Delivery Month</w:t>
            </w:r>
          </w:p>
        </w:tc>
        <w:tc>
          <w:tcPr>
            <w:tcW w:w="0" w:type="dxa"/>
            <w:vAlign w:val="bottom"/>
          </w:tcPr>
          <w:p>
            <w:pPr>
              <w:spacing w:after="0"/>
              <w:rPr>
                <w:sz w:val="1"/>
                <w:szCs w:val="1"/>
                <w:color w:val="auto"/>
              </w:rPr>
            </w:pPr>
          </w:p>
        </w:tc>
      </w:tr>
      <w:tr>
        <w:trPr>
          <w:trHeight w:val="29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 Amendment No. 7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CONFIDENTIAL AND PRIVILEGED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9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[*CTR] = [CONFIDENTIAL PORTION OMITTED AND FILED SEPARATELY WITH THE COMMISSION PURSUANT TO A REQUEST FOR CONFIDENTIAL TREATMENT]</w:t>
      </w:r>
    </w:p>
    <w:p>
      <w:pPr>
        <w:sectPr>
          <w:pgSz w:w="11900" w:h="16838" w:orient="portrait"/>
          <w:cols w:equalWidth="0" w:num="1">
            <w:col w:w="11280"/>
          </w:cols>
          <w:pgMar w:left="240" w:top="266" w:right="379" w:bottom="1440" w:gutter="0" w:footer="0" w:header="0"/>
        </w:sectPr>
      </w:pPr>
    </w:p>
    <w:bookmarkStart w:id="69" w:name="page70"/>
    <w:bookmarkEnd w:id="69"/>
    <w:tbl>
      <w:tblPr>
        <w:tblLayout w:type="fixed"/>
        <w:tblInd w:w="5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Original CAC</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New CAC ID</w:t>
            </w:r>
          </w:p>
        </w:tc>
        <w:tc>
          <w:tcPr>
            <w:tcW w:w="3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Aircraft</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Scheduled</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3380" w:type="dxa"/>
            <w:vAlign w:val="bottom"/>
            <w:gridSpan w:val="2"/>
            <w:vMerge w:val="continue"/>
          </w:tcPr>
          <w:p>
            <w:pPr>
              <w:spacing w:after="0"/>
              <w:rPr>
                <w:sz w:val="13"/>
                <w:szCs w:val="13"/>
                <w:color w:val="auto"/>
              </w:rPr>
            </w:pPr>
          </w:p>
        </w:tc>
        <w:tc>
          <w:tcPr>
            <w:tcW w:w="8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ID Number</w:t>
            </w:r>
          </w:p>
        </w:tc>
        <w:tc>
          <w:tcPr>
            <w:tcW w:w="1420" w:type="dxa"/>
            <w:vAlign w:val="bottom"/>
            <w:gridSpan w:val="2"/>
          </w:tcPr>
          <w:p>
            <w:pPr>
              <w:ind w:left="620"/>
              <w:spacing w:after="0" w:line="158" w:lineRule="exact"/>
              <w:rPr>
                <w:sz w:val="20"/>
                <w:szCs w:val="20"/>
                <w:color w:val="auto"/>
              </w:rPr>
            </w:pPr>
            <w:r>
              <w:rPr>
                <w:rFonts w:ascii="Times New Roman" w:cs="Times New Roman" w:eastAsia="Times New Roman" w:hAnsi="Times New Roman"/>
                <w:sz w:val="14"/>
                <w:szCs w:val="14"/>
                <w:color w:val="auto"/>
              </w:rPr>
              <w:t>Number</w:t>
            </w:r>
          </w:p>
        </w:tc>
        <w:tc>
          <w:tcPr>
            <w:tcW w:w="3020" w:type="dxa"/>
            <w:vAlign w:val="bottom"/>
            <w:gridSpan w:val="3"/>
            <w:vMerge w:val="continue"/>
          </w:tcPr>
          <w:p>
            <w:pPr>
              <w:spacing w:after="0"/>
              <w:rPr>
                <w:sz w:val="13"/>
                <w:szCs w:val="13"/>
                <w:color w:val="auto"/>
              </w:rPr>
            </w:pPr>
          </w:p>
        </w:tc>
        <w:tc>
          <w:tcPr>
            <w:tcW w:w="9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Delivery Month</w:t>
            </w:r>
          </w:p>
        </w:tc>
        <w:tc>
          <w:tcPr>
            <w:tcW w:w="0" w:type="dxa"/>
            <w:vAlign w:val="bottom"/>
          </w:tcPr>
          <w:p>
            <w:pPr>
              <w:spacing w:after="0"/>
              <w:rPr>
                <w:sz w:val="1"/>
                <w:szCs w:val="1"/>
                <w:color w:val="auto"/>
              </w:rPr>
            </w:pPr>
          </w:p>
        </w:tc>
      </w:tr>
      <w:tr>
        <w:trPr>
          <w:trHeight w:val="27"/>
        </w:trPr>
        <w:tc>
          <w:tcPr>
            <w:tcW w:w="3720" w:type="dxa"/>
            <w:vAlign w:val="bottom"/>
            <w:gridSpan w:val="3"/>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319"/>
        </w:trPr>
        <w:tc>
          <w:tcPr>
            <w:tcW w:w="3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[*CTR]</w:t>
            </w:r>
          </w:p>
        </w:tc>
        <w:tc>
          <w:tcPr>
            <w:tcW w:w="3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A350-900 XWB Aircraft</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UNQUOTE</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Clause 2.3 of LA-5 is hereby deleted and restated to read in its entirety as follows: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With respect to the Aircraft that are included in [*CTR]</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Upon the execution of this Amendment, all references in the Agreement, including, for the avoidance of doubt, all Exhibits and Letter Agreements thereto, to any of the CAC ID Numbers in the column entitled “Original CAC ID Number” in the delivery schedule set forth in Clause 9.1.1 of the Agreement (the “</w:t>
      </w:r>
      <w:r>
        <w:rPr>
          <w:rFonts w:ascii="Times New Roman" w:cs="Times New Roman" w:eastAsia="Times New Roman" w:hAnsi="Times New Roman"/>
          <w:sz w:val="18"/>
          <w:szCs w:val="18"/>
          <w:u w:val="single" w:color="auto"/>
          <w:color w:val="auto"/>
        </w:rPr>
        <w:t>Delivery Schedule</w:t>
      </w:r>
      <w:r>
        <w:rPr>
          <w:rFonts w:ascii="Times New Roman" w:cs="Times New Roman" w:eastAsia="Times New Roman" w:hAnsi="Times New Roman"/>
          <w:sz w:val="18"/>
          <w:szCs w:val="18"/>
          <w:color w:val="auto"/>
        </w:rPr>
        <w:t>”) shall be deemed amended to replace such CAC ID Number with the applicable CAC ID Number in the column entitled “New CAC ID Number” in the Delivery Schedule.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 Amendment No. 7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CONFIDENTIAL AND PRIVILEGED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9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[*CTR] = [CONFIDENTIAL PORTION OMITTED AND FILED SEPARATELY WITH THE COMMISSION PURSUANT TO A REQUEST FOR CONFIDENTIAL TREATMENT]</w:t>
      </w:r>
    </w:p>
    <w:p>
      <w:pPr>
        <w:sectPr>
          <w:pgSz w:w="11900" w:h="16838" w:orient="portrait"/>
          <w:cols w:equalWidth="0" w:num="1">
            <w:col w:w="11340"/>
          </w:cols>
          <w:pgMar w:left="240" w:top="253" w:right="319" w:bottom="1440" w:gutter="0" w:footer="0" w:header="0"/>
        </w:sectPr>
      </w:pPr>
    </w:p>
    <w:bookmarkStart w:id="70" w:name="page71"/>
    <w:bookmarkEnd w:id="70"/>
    <w:p>
      <w:pPr>
        <w:ind w:left="580" w:hanging="572"/>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 AMENDMENTS</w:t>
      </w:r>
    </w:p>
    <w:p>
      <w:pPr>
        <w:spacing w:after="0" w:line="1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Clauses 16.7.2(i), 16.7.3, 16.7.4, 16.7.5, 16.8.1, 16.8.2 and 16.10.1 of the Agreement are each hereby amended by deleting all references to “Exhibit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therein and restating them as follows: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Appendix A</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Clause 21.2(4) of the Agreement is hereby amended by deleting the reference to “Clause 21.1.2(1)(iv)” therein and restating it as follows: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[*CTR]</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Clause 21.3(ii) of the Agreement is hereby amended by deleting the reference to “Clause 21.1(3)” therein and restating it as follows: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[*CTR]</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ind w:left="580" w:right="22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Clause 3.2 of the Second Amended and Restated Letter Agreement No. 9 to the Agreement is hereby deleted and restated to read in its entirety as follows:</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Clause 21.2(1) of the Agreement is deleted in its entirety and replaced with the following quoted text:</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QUOTE</w:t>
      </w:r>
    </w:p>
    <w:p>
      <w:pPr>
        <w:spacing w:after="0" w:line="131" w:lineRule="exact"/>
        <w:rPr>
          <w:sz w:val="20"/>
          <w:szCs w:val="20"/>
          <w:color w:val="auto"/>
        </w:rPr>
      </w:pPr>
    </w:p>
    <w:p>
      <w:pPr>
        <w:ind w:left="1820" w:hanging="678"/>
        <w:spacing w:after="0"/>
        <w:tabs>
          <w:tab w:leader="none" w:pos="1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[*CTR]</w:t>
      </w:r>
    </w:p>
    <w:p>
      <w:pPr>
        <w:spacing w:after="0" w:line="130"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UNQUOTE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UNQUOTE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 Amendment No. 7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CONFIDENTIAL AND PRIVILEGED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pacing w:after="0" w:line="9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[*CTR] = [CONFIDENTIAL PORTION OMITTED AND FILED SEPARATELY WITH THE COMMISSION PURSUANT TO A REQUEST FOR CONFIDENTIAL TREATMENT]</w:t>
      </w:r>
    </w:p>
    <w:p>
      <w:pPr>
        <w:sectPr>
          <w:pgSz w:w="11900" w:h="16838" w:orient="portrait"/>
          <w:cols w:equalWidth="0" w:num="1">
            <w:col w:w="11260"/>
          </w:cols>
          <w:pgMar w:left="240" w:top="266" w:right="399" w:bottom="1440" w:gutter="0" w:footer="0" w:header="0"/>
        </w:sectPr>
      </w:pPr>
    </w:p>
    <w:bookmarkStart w:id="71" w:name="page72"/>
    <w:bookmarkEnd w:id="71"/>
    <w:p>
      <w:pPr>
        <w:ind w:left="580" w:hanging="572"/>
        <w:spacing w:after="0"/>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AMENDMENT</w:t>
      </w:r>
    </w:p>
    <w:p>
      <w:pPr>
        <w:spacing w:after="0" w:line="135" w:lineRule="exact"/>
        <w:rPr>
          <w:sz w:val="20"/>
          <w:szCs w:val="20"/>
          <w:color w:val="auto"/>
        </w:rPr>
      </w:pPr>
    </w:p>
    <w:p>
      <w:pPr>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Upon execution, this Amendment will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86" w:lineRule="exact"/>
        <w:rPr>
          <w:sz w:val="20"/>
          <w:szCs w:val="20"/>
          <w:color w:val="auto"/>
        </w:rPr>
      </w:pPr>
    </w:p>
    <w:p>
      <w:pPr>
        <w:ind w:left="580" w:right="4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Both parties agree that this Amendment will constitute an integral, nonseverable part of the Agreement, that the provisions of the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321" w:lineRule="exact"/>
        <w:rPr>
          <w:sz w:val="20"/>
          <w:szCs w:val="20"/>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Amendment is subject to the confidentiality provisions set forth in Clause 22.7 of the Agreement.</w:t>
      </w:r>
    </w:p>
    <w:p>
      <w:pPr>
        <w:spacing w:after="0" w:line="369"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13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governing law shall be as set forth in Clause 22.4 of the Agreement.</w:t>
      </w:r>
    </w:p>
    <w:p>
      <w:pPr>
        <w:spacing w:after="0" w:line="369"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134" w:lineRule="exact"/>
        <w:rPr>
          <w:rFonts w:ascii="Times New Roman" w:cs="Times New Roman" w:eastAsia="Times New Roman" w:hAnsi="Times New Roman"/>
          <w:sz w:val="18"/>
          <w:szCs w:val="18"/>
          <w:b w:val="1"/>
          <w:bCs w:val="1"/>
          <w:color w:val="auto"/>
        </w:rPr>
      </w:pPr>
    </w:p>
    <w:p>
      <w:pPr>
        <w:ind w:left="58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Amendment may be signed in any number of separate counterparts. Each counterpart, when signed and delivered (including counterparts delivered by facsimile transmission), will be an original, and the counterparts will together constitute one and the same instrument.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 Amendment No. 7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CONFIDENTIAL AND PRIVILEGED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266" w:right="279" w:bottom="1440" w:gutter="0" w:footer="0" w:header="0"/>
        </w:sectPr>
      </w:pPr>
    </w:p>
    <w:bookmarkStart w:id="72" w:name="page73"/>
    <w:bookmarkEnd w:id="7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AIRLINES, INC.</w:t>
            </w:r>
          </w:p>
        </w:tc>
        <w:tc>
          <w:tcPr>
            <w:tcW w:w="6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AIRBUS S.A.S.</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Peter M. Warlick</w:t>
            </w:r>
          </w:p>
        </w:tc>
        <w:tc>
          <w:tcPr>
            <w:tcW w:w="6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  /s/ Christophe Mourey</w:t>
            </w: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51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Peter M. Warlick</w:t>
            </w:r>
          </w:p>
        </w:tc>
        <w:tc>
          <w:tcPr>
            <w:tcW w:w="900" w:type="dxa"/>
            <w:vAlign w:val="bottom"/>
          </w:tcPr>
          <w:p>
            <w:pPr>
              <w:spacing w:after="0"/>
              <w:rPr>
                <w:sz w:val="16"/>
                <w:szCs w:val="16"/>
                <w:color w:val="auto"/>
              </w:rPr>
            </w:pPr>
          </w:p>
        </w:tc>
        <w:tc>
          <w:tcPr>
            <w:tcW w:w="51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Christophe Mourey</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Vice President, Fleet Planning</w:t>
            </w:r>
          </w:p>
        </w:tc>
        <w:tc>
          <w:tcPr>
            <w:tcW w:w="6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Its:  Senior Vice President Contracts</w:t>
            </w:r>
          </w:p>
        </w:tc>
        <w:tc>
          <w:tcPr>
            <w:tcW w:w="0" w:type="dxa"/>
            <w:vAlign w:val="bottom"/>
          </w:tcPr>
          <w:p>
            <w:pPr>
              <w:spacing w:after="0"/>
              <w:rPr>
                <w:sz w:val="1"/>
                <w:szCs w:val="1"/>
                <w:color w:val="auto"/>
              </w:rPr>
            </w:pPr>
          </w:p>
        </w:tc>
      </w:tr>
      <w:tr>
        <w:trPr>
          <w:trHeight w:val="34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 – Amendment No. 7 to</w:t>
            </w:r>
          </w:p>
        </w:tc>
        <w:tc>
          <w:tcPr>
            <w:tcW w:w="9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Airbus A350 XWB Purchase Agreement</w:t>
            </w:r>
          </w:p>
        </w:tc>
        <w:tc>
          <w:tcPr>
            <w:tcW w:w="900" w:type="dxa"/>
            <w:vAlign w:val="bottom"/>
          </w:tcPr>
          <w:p>
            <w:pPr>
              <w:spacing w:after="0"/>
              <w:rPr>
                <w:sz w:val="20"/>
                <w:szCs w:val="20"/>
                <w:color w:val="auto"/>
              </w:rPr>
            </w:pPr>
          </w:p>
        </w:tc>
        <w:tc>
          <w:tcPr>
            <w:tcW w:w="512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i w:val="1"/>
                <w:iCs w:val="1"/>
                <w:color w:val="auto"/>
              </w:rPr>
              <w:t>CONFIDENTIAL AND PRIVILEGED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2"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526540"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26540" cy="386080"/>
                    </a:xfrm>
                    <a:prstGeom prst="rect">
                      <a:avLst/>
                    </a:prstGeom>
                    <a:noFill/>
                  </pic:spPr>
                </pic:pic>
              </a:graphicData>
            </a:graphic>
          </wp:anchor>
        </w:drawing>
      </w:r>
    </w:p>
    <w:p>
      <w:pPr>
        <w:ind w:left="9800"/>
        <w:spacing w:after="0" w:line="226" w:lineRule="auto"/>
        <w:rPr>
          <w:sz w:val="20"/>
          <w:szCs w:val="20"/>
          <w:color w:val="auto"/>
        </w:rPr>
      </w:pPr>
      <w:r>
        <w:rPr>
          <w:rFonts w:ascii="Times New Roman" w:cs="Times New Roman" w:eastAsia="Times New Roman" w:hAnsi="Times New Roman"/>
          <w:sz w:val="14"/>
          <w:szCs w:val="14"/>
          <w:color w:val="auto"/>
        </w:rPr>
        <w:t>P.O. Box 3707</w:t>
      </w:r>
    </w:p>
    <w:p>
      <w:pPr>
        <w:spacing w:after="0" w:line="1"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AAL-PA-03735-LA-1600073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619616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Dallas-Fort Worth Airport, Texas 75261-9616</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w:t>
      </w:r>
    </w:p>
    <w:p>
      <w:pPr>
        <w:spacing w:after="0" w:line="113" w:lineRule="exact"/>
        <w:rPr>
          <w:sz w:val="20"/>
          <w:szCs w:val="20"/>
          <w:color w:val="auto"/>
        </w:rPr>
      </w:pPr>
    </w:p>
    <w:p>
      <w:pPr>
        <w:sectPr>
          <w:pgSz w:w="11900" w:h="16838" w:orient="portrait"/>
          <w:cols w:equalWidth="0" w:num="2">
            <w:col w:w="600" w:space="440"/>
            <w:col w:w="10380"/>
          </w:cols>
          <w:pgMar w:left="240" w:top="117"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Purchase Agreement No. 03735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between The Boeing Company (</w:t>
      </w:r>
      <w:r>
        <w:rPr>
          <w:rFonts w:ascii="Times New Roman" w:cs="Times New Roman" w:eastAsia="Times New Roman" w:hAnsi="Times New Roman"/>
          <w:sz w:val="18"/>
          <w:szCs w:val="18"/>
          <w:b w:val="1"/>
          <w:bCs w:val="1"/>
          <w:i w:val="1"/>
          <w:iCs w:val="1"/>
          <w:color w:val="auto"/>
        </w:rPr>
        <w:t>Boeing</w:t>
      </w:r>
      <w:r>
        <w:rPr>
          <w:rFonts w:ascii="Times New Roman" w:cs="Times New Roman" w:eastAsia="Times New Roman" w:hAnsi="Times New Roman"/>
          <w:sz w:val="18"/>
          <w:szCs w:val="18"/>
          <w:color w:val="auto"/>
        </w:rPr>
        <w:t>) and American Airlines, Inc. (</w:t>
      </w:r>
      <w:r>
        <w:rPr>
          <w:rFonts w:ascii="Times New Roman" w:cs="Times New Roman" w:eastAsia="Times New Roman" w:hAnsi="Times New Roman"/>
          <w:sz w:val="18"/>
          <w:szCs w:val="18"/>
          <w:b w:val="1"/>
          <w:bCs w:val="1"/>
          <w:i w:val="1"/>
          <w:iCs w:val="1"/>
          <w:color w:val="auto"/>
        </w:rPr>
        <w:t>Customer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Model 737 MAX aircraft (</w:t>
      </w:r>
      <w:r>
        <w:rPr>
          <w:rFonts w:ascii="Times New Roman" w:cs="Times New Roman" w:eastAsia="Times New Roman" w:hAnsi="Times New Roman"/>
          <w:sz w:val="18"/>
          <w:szCs w:val="18"/>
          <w:b w:val="1"/>
          <w:bCs w:val="1"/>
          <w:i w:val="1"/>
          <w:iCs w:val="1"/>
          <w:color w:val="auto"/>
        </w:rPr>
        <w:t>Aircraft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80" w:space="260"/>
            <w:col w:w="10380"/>
          </w:cols>
          <w:pgMar w:left="240" w:top="117" w:right="239" w:bottom="1440" w:gutter="0" w:footer="0" w:header="0"/>
          <w:type w:val="continuous"/>
        </w:sectPr>
      </w:pPr>
    </w:p>
    <w:p>
      <w:pPr>
        <w:spacing w:after="0" w:line="3" w:lineRule="exact"/>
        <w:rPr>
          <w:sz w:val="20"/>
          <w:szCs w:val="20"/>
          <w:color w:val="auto"/>
        </w:rPr>
      </w:pPr>
    </w:p>
    <w:p>
      <w:pPr>
        <w:ind w:right="620" w:firstLine="913"/>
        <w:spacing w:after="0" w:line="286" w:lineRule="auto"/>
        <w:rPr>
          <w:sz w:val="20"/>
          <w:szCs w:val="20"/>
          <w:color w:val="auto"/>
        </w:rPr>
      </w:pPr>
      <w:r>
        <w:rPr>
          <w:rFonts w:ascii="Times New Roman" w:cs="Times New Roman" w:eastAsia="Times New Roman" w:hAnsi="Times New Roman"/>
          <w:sz w:val="18"/>
          <w:szCs w:val="18"/>
          <w:color w:val="auto"/>
        </w:rPr>
        <w:t>This letter agreement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amends and supplements the Purchase Agreement. All terms used but not defined in this Letter Agreement shall have the same meaning as in the Purchase Agreement.</w:t>
      </w:r>
    </w:p>
    <w:p>
      <w:pPr>
        <w:spacing w:after="0" w:line="186" w:lineRule="exact"/>
        <w:rPr>
          <w:sz w:val="20"/>
          <w:szCs w:val="20"/>
          <w:color w:val="auto"/>
        </w:rPr>
      </w:pPr>
    </w:p>
    <w:p>
      <w:pPr>
        <w:ind w:left="920" w:hanging="912"/>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0" w:firstLine="913"/>
        <w:spacing w:after="0" w:line="268" w:lineRule="auto"/>
        <w:rPr>
          <w:sz w:val="20"/>
          <w:szCs w:val="20"/>
          <w:color w:val="auto"/>
        </w:rPr>
      </w:pPr>
      <w:r>
        <w:rPr>
          <w:rFonts w:ascii="Times New Roman" w:cs="Times New Roman" w:eastAsia="Times New Roman" w:hAnsi="Times New Roman"/>
          <w:sz w:val="18"/>
          <w:szCs w:val="18"/>
          <w:color w:val="auto"/>
        </w:rPr>
        <w:t>1.1 At the time of delivery of each Boeing Model 737-8 MAX aircraft specified in Table 1R1 (</w:t>
      </w:r>
      <w:r>
        <w:rPr>
          <w:rFonts w:ascii="Times New Roman" w:cs="Times New Roman" w:eastAsia="Times New Roman" w:hAnsi="Times New Roman"/>
          <w:sz w:val="18"/>
          <w:szCs w:val="18"/>
          <w:b w:val="1"/>
          <w:bCs w:val="1"/>
          <w:i w:val="1"/>
          <w:iCs w:val="1"/>
          <w:color w:val="auto"/>
        </w:rPr>
        <w:t>Aircraft</w:t>
      </w:r>
      <w:r>
        <w:rPr>
          <w:rFonts w:ascii="Times New Roman" w:cs="Times New Roman" w:eastAsia="Times New Roman" w:hAnsi="Times New Roman"/>
          <w:sz w:val="18"/>
          <w:szCs w:val="18"/>
          <w:color w:val="auto"/>
        </w:rPr>
        <w:t>) and for any of the [*CTR] in which Customer exercises it [*CTR] pursuant to Letter Agreement No. AAL-PA-03735-LA-110651 entitled “[</w:t>
      </w:r>
      <w:r>
        <w:rPr>
          <w:rFonts w:ascii="Times New Roman" w:cs="Times New Roman" w:eastAsia="Times New Roman" w:hAnsi="Times New Roman"/>
          <w:sz w:val="18"/>
          <w:szCs w:val="18"/>
          <w:u w:val="single" w:color="auto"/>
          <w:color w:val="auto"/>
        </w:rPr>
        <w:t>*CTR</w:t>
      </w:r>
      <w:r>
        <w:rPr>
          <w:rFonts w:ascii="Times New Roman" w:cs="Times New Roman" w:eastAsia="Times New Roman" w:hAnsi="Times New Roman"/>
          <w:sz w:val="18"/>
          <w:szCs w:val="18"/>
          <w:color w:val="auto"/>
        </w:rPr>
        <w:t>]”, if Customer [*CTR] identified in the table below, Boeing will [*CTR] in the [*CTR].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ectPr>
          <w:pgSz w:w="11900" w:h="16838" w:orient="portrait"/>
          <w:cols w:equalWidth="0" w:num="1">
            <w:col w:w="11420"/>
          </w:cols>
          <w:pgMar w:left="240" w:top="117"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AAL-PA-03735-LA-1600073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1 of 4</w:t>
      </w:r>
    </w:p>
    <w:p>
      <w:pPr>
        <w:spacing w:after="0" w:line="38" w:lineRule="exact"/>
        <w:rPr>
          <w:sz w:val="20"/>
          <w:szCs w:val="20"/>
          <w:color w:val="auto"/>
        </w:rPr>
      </w:pPr>
    </w:p>
    <w:p>
      <w:pPr>
        <w:sectPr>
          <w:pgSz w:w="11900" w:h="16838" w:orient="portrait"/>
          <w:cols w:equalWidth="0" w:num="2">
            <w:col w:w="9600" w:space="720"/>
            <w:col w:w="1100"/>
          </w:cols>
          <w:pgMar w:left="240" w:top="117"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BOEING PROPRIETARY</w:t>
      </w:r>
    </w:p>
    <w:p>
      <w:pPr>
        <w:sectPr>
          <w:pgSz w:w="11900" w:h="16838" w:orient="portrait"/>
          <w:cols w:equalWidth="0" w:num="1">
            <w:col w:w="11420"/>
          </w:cols>
          <w:pgMar w:left="240" w:top="117" w:right="239" w:bottom="1440" w:gutter="0" w:footer="0" w:header="0"/>
          <w:type w:val="continuous"/>
        </w:sectPr>
      </w:pPr>
    </w:p>
    <w:p>
      <w:pPr>
        <w:spacing w:after="0" w:line="11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17" w:right="239" w:bottom="1440" w:gutter="0" w:footer="0" w:header="0"/>
          <w:type w:val="continuous"/>
        </w:sectPr>
      </w:pPr>
    </w:p>
    <w:bookmarkStart w:id="74" w:name="page75"/>
    <w:bookmarkEnd w:id="74"/>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[*CTR]</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Catalog</w:t>
            </w:r>
          </w:p>
        </w:tc>
        <w:tc>
          <w:tcPr>
            <w:tcW w:w="100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80" w:type="dxa"/>
            <w:vAlign w:val="bottom"/>
            <w:gridSpan w:val="4"/>
          </w:tcPr>
          <w:p>
            <w:pPr>
              <w:jc w:val="center"/>
              <w:ind w:right="780"/>
              <w:spacing w:after="0" w:line="115" w:lineRule="exact"/>
              <w:rPr>
                <w:sz w:val="20"/>
                <w:szCs w:val="20"/>
                <w:color w:val="auto"/>
              </w:rPr>
            </w:pPr>
            <w:r>
              <w:rPr>
                <w:rFonts w:ascii="Times New Roman" w:cs="Times New Roman" w:eastAsia="Times New Roman" w:hAnsi="Times New Roman"/>
                <w:sz w:val="13"/>
                <w:szCs w:val="13"/>
                <w:color w:val="auto"/>
              </w:rPr>
              <w:t>Option Number</w:t>
            </w:r>
          </w:p>
        </w:tc>
        <w:tc>
          <w:tcPr>
            <w:tcW w:w="20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jc w:val="center"/>
              <w:ind w:right="1450"/>
              <w:spacing w:after="0" w:line="185" w:lineRule="exact"/>
              <w:rPr>
                <w:sz w:val="20"/>
                <w:szCs w:val="20"/>
                <w:color w:val="auto"/>
              </w:rPr>
            </w:pPr>
            <w:r>
              <w:rPr>
                <w:rFonts w:ascii="Times New Roman" w:cs="Times New Roman" w:eastAsia="Times New Roman" w:hAnsi="Times New Roman"/>
                <w:sz w:val="18"/>
                <w:szCs w:val="18"/>
                <w:color w:val="auto"/>
                <w:w w:val="88"/>
              </w:rPr>
              <w:t>1</w:t>
            </w:r>
          </w:p>
        </w:tc>
        <w:tc>
          <w:tcPr>
            <w:tcW w:w="900" w:type="dxa"/>
            <w:vAlign w:val="bottom"/>
            <w:tcBorders>
              <w:top w:val="single" w:sz="8" w:color="auto"/>
            </w:tcBorders>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[*CTR]</w:t>
            </w:r>
          </w:p>
        </w:tc>
        <w:tc>
          <w:tcPr>
            <w:tcW w:w="780" w:type="dxa"/>
            <w:vAlign w:val="bottom"/>
          </w:tcPr>
          <w:p>
            <w:pPr>
              <w:spacing w:after="0"/>
              <w:rPr>
                <w:sz w:val="16"/>
                <w:szCs w:val="16"/>
                <w:color w:val="auto"/>
              </w:rPr>
            </w:pPr>
          </w:p>
        </w:tc>
        <w:tc>
          <w:tcPr>
            <w:tcW w:w="2180" w:type="dxa"/>
            <w:vAlign w:val="bottom"/>
            <w:gridSpan w:val="2"/>
          </w:tcPr>
          <w:p>
            <w:pPr>
              <w:ind w:left="760"/>
              <w:spacing w:after="0" w:line="185" w:lineRule="exact"/>
              <w:rPr>
                <w:sz w:val="20"/>
                <w:szCs w:val="20"/>
                <w:color w:val="auto"/>
              </w:rPr>
            </w:pPr>
            <w:r>
              <w:rPr>
                <w:rFonts w:ascii="Times New Roman" w:cs="Times New Roman" w:eastAsia="Times New Roman" w:hAnsi="Times New Roman"/>
                <w:sz w:val="18"/>
                <w:szCs w:val="18"/>
                <w:color w:val="auto"/>
              </w:rPr>
              <w:t>[*CTR]</w:t>
            </w:r>
          </w:p>
        </w:tc>
        <w:tc>
          <w:tcPr>
            <w:tcW w:w="680" w:type="dxa"/>
            <w:vAlign w:val="bottom"/>
            <w:tcBorders>
              <w:top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2</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3</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4</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5</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6</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7</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8</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9</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10</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88"/>
              </w:rPr>
              <w:t>11</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r>
        <w:trPr>
          <w:trHeight w:val="234"/>
        </w:trPr>
        <w:tc>
          <w:tcPr>
            <w:tcW w:w="170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12</w:t>
            </w:r>
          </w:p>
        </w:tc>
        <w:tc>
          <w:tcPr>
            <w:tcW w:w="16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[*CTR]</w:t>
            </w: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[*CTR]</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26540" cy="386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526540" cy="386080"/>
                    </a:xfrm>
                    <a:prstGeom prst="rect">
                      <a:avLst/>
                    </a:prstGeom>
                    <a:noFill/>
                  </pic:spPr>
                </pic:pic>
              </a:graphicData>
            </a:graphic>
          </wp:anchor>
        </w:drawing>
      </w: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1.2 In order to receive the [*CTR] in the [*CTR] set forth in paragraph 1., above, Customer cannot [*CTR]. The [*CTR] if (i) Customer does not [*CTR], or (ii) Customer [*CTR], due to Customer [*CTR]. Boeing shall make such [*CTR] consistent with the Boeing [*CTR] used to determine the [*CTR]. For avoidance of doubt, if (for any reason) one or more of the [*CTR] are no longer [*CTR] by Boeing, Customer will continue to [*CTR] in accordance with the terms and conditions of this Letter Agreement so long as Customer [*CTR].</w:t>
      </w:r>
    </w:p>
    <w:p>
      <w:pPr>
        <w:sectPr>
          <w:pgSz w:w="11900" w:h="16838" w:orient="portrait"/>
          <w:cols w:equalWidth="0" w:num="1">
            <w:col w:w="11420"/>
          </w:cols>
          <w:pgMar w:left="240" w:top="1081" w:right="23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AAL-PA-03735-LA-1600073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2 of 4</w:t>
      </w:r>
    </w:p>
    <w:p>
      <w:pPr>
        <w:spacing w:after="0" w:line="38" w:lineRule="exact"/>
        <w:rPr>
          <w:sz w:val="20"/>
          <w:szCs w:val="20"/>
          <w:color w:val="auto"/>
        </w:rPr>
      </w:pPr>
    </w:p>
    <w:p>
      <w:pPr>
        <w:sectPr>
          <w:pgSz w:w="11900" w:h="16838" w:orient="portrait"/>
          <w:cols w:equalWidth="0" w:num="2">
            <w:col w:w="9600" w:space="720"/>
            <w:col w:w="1100"/>
          </w:cols>
          <w:pgMar w:left="240" w:top="108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BOEING PROPRIETARY</w:t>
      </w:r>
    </w:p>
    <w:p>
      <w:pPr>
        <w:sectPr>
          <w:pgSz w:w="11900" w:h="16838" w:orient="portrait"/>
          <w:cols w:equalWidth="0" w:num="1">
            <w:col w:w="11420"/>
          </w:cols>
          <w:pgMar w:left="240" w:top="1081" w:right="239" w:bottom="1440" w:gutter="0" w:footer="0" w:header="0"/>
          <w:type w:val="continuous"/>
        </w:sectPr>
      </w:pPr>
    </w:p>
    <w:p>
      <w:pPr>
        <w:spacing w:after="0" w:line="11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1" w:right="239" w:bottom="1440" w:gutter="0" w:footer="0" w:header="0"/>
          <w:type w:val="continuous"/>
        </w:sectPr>
      </w:pPr>
    </w:p>
    <w:bookmarkStart w:id="75" w:name="page76"/>
    <w:bookmarkEnd w:id="75"/>
    <w:p>
      <w:pPr>
        <w:ind w:left="920" w:hanging="912"/>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26540"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526540" cy="38608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20" w:hanging="912"/>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176" w:lineRule="exact"/>
        <w:rPr>
          <w:sz w:val="20"/>
          <w:szCs w:val="20"/>
          <w:color w:val="auto"/>
        </w:rPr>
      </w:pPr>
    </w:p>
    <w:p>
      <w:pPr>
        <w:ind w:right="780" w:firstLine="913"/>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your understanding of our agreement with respect to the matters treated above, please indicate your acceptance and approval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ectPr>
          <w:pgSz w:w="11900" w:h="16838" w:orient="portrait"/>
          <w:cols w:equalWidth="0" w:num="1">
            <w:col w:w="11420"/>
          </w:cols>
          <w:pgMar w:left="240" w:top="1121"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AAL-PA-03735-LA-1600073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3 of 4</w:t>
      </w:r>
    </w:p>
    <w:p>
      <w:pPr>
        <w:spacing w:after="0" w:line="38" w:lineRule="exact"/>
        <w:rPr>
          <w:sz w:val="20"/>
          <w:szCs w:val="20"/>
          <w:color w:val="auto"/>
        </w:rPr>
      </w:pPr>
    </w:p>
    <w:p>
      <w:pPr>
        <w:sectPr>
          <w:pgSz w:w="11900" w:h="16838" w:orient="portrait"/>
          <w:cols w:equalWidth="0" w:num="2">
            <w:col w:w="9600" w:space="720"/>
            <w:col w:w="1100"/>
          </w:cols>
          <w:pgMar w:left="240" w:top="112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BOEING PROPRIETARY</w:t>
      </w:r>
    </w:p>
    <w:p>
      <w:pPr>
        <w:sectPr>
          <w:pgSz w:w="11900" w:h="16838" w:orient="portrait"/>
          <w:cols w:equalWidth="0" w:num="1">
            <w:col w:w="11420"/>
          </w:cols>
          <w:pgMar w:left="240" w:top="1121" w:right="239" w:bottom="1440" w:gutter="0" w:footer="0" w:header="0"/>
          <w:type w:val="continuous"/>
        </w:sectPr>
      </w:pPr>
    </w:p>
    <w:p>
      <w:pPr>
        <w:spacing w:after="0" w:line="11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121" w:right="2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26540" cy="386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526540" cy="386080"/>
                    </a:xfrm>
                    <a:prstGeom prst="rect">
                      <a:avLst/>
                    </a:prstGeom>
                    <a:noFill/>
                  </pic:spPr>
                </pic:pic>
              </a:graphicData>
            </a:graphic>
          </wp:anchor>
        </w:drawing>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BOEING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6930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693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this</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January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American Airlines, Inc.</w:t>
            </w:r>
          </w:p>
        </w:tc>
        <w:tc>
          <w:tcPr>
            <w:tcW w:w="6840" w:type="dxa"/>
            <w:vAlign w:val="bottom"/>
          </w:tcPr>
          <w:p>
            <w:pPr>
              <w:spacing w:after="0"/>
              <w:rPr>
                <w:sz w:val="20"/>
                <w:szCs w:val="20"/>
                <w:color w:val="auto"/>
              </w:rPr>
            </w:pPr>
          </w:p>
        </w:tc>
      </w:tr>
      <w:tr>
        <w:trPr>
          <w:trHeight w:val="4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Fleet Planning</w:t>
            </w:r>
          </w:p>
        </w:tc>
        <w:tc>
          <w:tcPr>
            <w:tcW w:w="6840" w:type="dxa"/>
            <w:vAlign w:val="bottom"/>
          </w:tcPr>
          <w:p>
            <w:pPr>
              <w:spacing w:after="0"/>
              <w:rPr>
                <w:sz w:val="24"/>
                <w:szCs w:val="24"/>
                <w:color w:val="auto"/>
              </w:rPr>
            </w:pPr>
          </w:p>
        </w:tc>
      </w:tr>
      <w:tr>
        <w:trPr>
          <w:trHeight w:val="34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AAL-PA-03735-LA-1600073</w:t>
            </w:r>
          </w:p>
        </w:tc>
        <w:tc>
          <w:tcPr>
            <w:tcW w:w="6840" w:type="dxa"/>
            <w:vAlign w:val="bottom"/>
          </w:tcPr>
          <w:p>
            <w:pPr>
              <w:spacing w:after="0"/>
              <w:rPr>
                <w:sz w:val="24"/>
                <w:szCs w:val="24"/>
                <w:color w:val="auto"/>
              </w:rPr>
            </w:pPr>
          </w:p>
        </w:tc>
      </w:tr>
      <w:tr>
        <w:trPr>
          <w:trHeight w:val="21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[*CTR]</w:t>
            </w:r>
          </w:p>
        </w:tc>
        <w:tc>
          <w:tcPr>
            <w:tcW w:w="6840" w:type="dxa"/>
            <w:vAlign w:val="bottom"/>
          </w:tcPr>
          <w:p>
            <w:pPr>
              <w:ind w:left="5740"/>
              <w:spacing w:after="0"/>
              <w:rPr>
                <w:sz w:val="20"/>
                <w:szCs w:val="20"/>
                <w:color w:val="auto"/>
              </w:rPr>
            </w:pPr>
            <w:r>
              <w:rPr>
                <w:rFonts w:ascii="Times New Roman" w:cs="Times New Roman" w:eastAsia="Times New Roman" w:hAnsi="Times New Roman"/>
                <w:sz w:val="18"/>
                <w:szCs w:val="18"/>
                <w:color w:val="auto"/>
                <w:w w:val="98"/>
              </w:rPr>
              <w:t>LA Page 4 of 4</w:t>
            </w:r>
          </w:p>
        </w:tc>
      </w:tr>
      <w:tr>
        <w:trPr>
          <w:trHeight w:val="238"/>
        </w:trPr>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BOEING PROPRIETARY</w:t>
            </w:r>
          </w:p>
        </w:tc>
      </w:tr>
    </w:tbl>
    <w:p>
      <w:pPr>
        <w:spacing w:after="0" w:line="9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93"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American Airlines Group Inc.</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01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10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March 31,</w:t>
            </w:r>
          </w:p>
        </w:tc>
      </w:tr>
      <w:tr>
        <w:trPr>
          <w:trHeight w:val="142"/>
        </w:trPr>
        <w:tc>
          <w:tcPr>
            <w:tcW w:w="10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Total fixed charges (per below)</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10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Interest capitalized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10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10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Portion of rental expense representative of the interest factor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10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fixed charges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7"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American Airlines, Inc.</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1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01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10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March 31,</w:t>
            </w:r>
          </w:p>
        </w:tc>
      </w:tr>
      <w:tr>
        <w:trPr>
          <w:trHeight w:val="142"/>
        </w:trPr>
        <w:tc>
          <w:tcPr>
            <w:tcW w:w="10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Total fixed charges (per below)</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10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Interest capitalized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10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10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Portion of rental expense representative of the interest factor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10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fixed charges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7"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Airlines Group Inc.;</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0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921"/>
        <w:spacing w:after="0" w:line="282" w:lineRule="auto"/>
        <w:tabs>
          <w:tab w:leader="none" w:pos="10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921"/>
        <w:spacing w:after="0" w:line="266" w:lineRule="auto"/>
        <w:tabs>
          <w:tab w:leader="none" w:pos="10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6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firstLine="421"/>
        <w:spacing w:after="0" w:line="282" w:lineRule="auto"/>
        <w:tabs>
          <w:tab w:leader="none" w:pos="15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921"/>
        <w:spacing w:after="0" w:line="282" w:lineRule="auto"/>
        <w:tabs>
          <w:tab w:leader="none" w:pos="11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60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5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W. Douglas Parker</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420"/>
          </w:cols>
          <w:pgMar w:left="240" w:top="117"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Airlines Group Inc.;</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0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921"/>
        <w:spacing w:after="0" w:line="282" w:lineRule="auto"/>
        <w:tabs>
          <w:tab w:leader="none" w:pos="10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921"/>
        <w:spacing w:after="0" w:line="266" w:lineRule="auto"/>
        <w:tabs>
          <w:tab w:leader="none" w:pos="10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6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firstLine="421"/>
        <w:spacing w:after="0" w:line="282" w:lineRule="auto"/>
        <w:tabs>
          <w:tab w:leader="none" w:pos="15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921"/>
        <w:spacing w:after="0" w:line="282" w:lineRule="auto"/>
        <w:tabs>
          <w:tab w:leader="none" w:pos="11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60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5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Derek J. Kerr</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117"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Airlines, Inc.;</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0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921"/>
        <w:spacing w:after="0" w:line="282" w:lineRule="auto"/>
        <w:tabs>
          <w:tab w:leader="none" w:pos="10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921"/>
        <w:spacing w:after="0" w:line="266" w:lineRule="auto"/>
        <w:tabs>
          <w:tab w:leader="none" w:pos="10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firstLine="421"/>
        <w:spacing w:after="0" w:line="282" w:lineRule="auto"/>
        <w:tabs>
          <w:tab w:leader="none" w:pos="15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921"/>
        <w:spacing w:after="0" w:line="282" w:lineRule="auto"/>
        <w:tabs>
          <w:tab w:leader="none" w:pos="11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60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5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W. Douglas Parker</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420"/>
          </w:cols>
          <w:pgMar w:left="240" w:top="117"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Airlines, Inc.;</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0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921"/>
        <w:spacing w:after="0" w:line="282" w:lineRule="auto"/>
        <w:tabs>
          <w:tab w:leader="none" w:pos="10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921"/>
        <w:spacing w:after="0" w:line="266" w:lineRule="auto"/>
        <w:tabs>
          <w:tab w:leader="none" w:pos="10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6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firstLine="421"/>
        <w:spacing w:after="0" w:line="282" w:lineRule="auto"/>
        <w:tabs>
          <w:tab w:leader="none" w:pos="15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20" w:firstLine="421"/>
        <w:spacing w:after="0" w:line="266" w:lineRule="auto"/>
        <w:tabs>
          <w:tab w:leader="none" w:pos="15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921"/>
        <w:spacing w:after="0" w:line="282" w:lineRule="auto"/>
        <w:tabs>
          <w:tab w:leader="none" w:pos="11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60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5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Derek J. Kerr</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11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Airlines Group Inc. (the “Company”) for the quarterly period ended March 31,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720" w:hanging="256"/>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 Douglas Parker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W. Douglas Parker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22, 2016</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Derek J. Kerr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Derek J. Kerr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22, 2016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Airlines, Inc. (the “Company”) for the quarterly period ended March 31,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720" w:hanging="25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 Douglas Parker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W. Douglas Parker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22, 2016</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Derek J. Kerr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Derek J. Kerr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22, 2016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upperLetter"/>
      <w:start w:val="27"/>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upperLetter"/>
      <w:start w:val="27"/>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3"/>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lvl w:ilvl="1">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2"/>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decimal"/>
      <w:start w:val="3"/>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2019-12-29T12:17:34Z</dcterms:created>
  <dcterms:modified xsi:type="dcterms:W3CDTF">2019-12-29T12:17:34Z</dcterms:modified>
</cp:coreProperties>
</file>