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6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75-1825172</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13-1502798</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spacing w:after="0" w:line="30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jc w:val="both"/>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w:t>
      </w:r>
    </w:p>
    <w:p>
      <w:pPr>
        <w:spacing w:after="0" w:line="20" w:lineRule="exact"/>
        <w:rPr>
          <w:sz w:val="24"/>
          <w:szCs w:val="24"/>
          <w:color w:val="auto"/>
        </w:rPr>
      </w:pPr>
      <w:r>
        <w:rPr>
          <w:sz w:val="24"/>
          <w:szCs w:val="24"/>
          <w:color w:val="auto"/>
        </w:rPr>
        <w:br w:type="column"/>
      </w:r>
    </w:p>
    <w:p>
      <w:pPr>
        <w:jc w:val="both"/>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10"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jc w:val="both"/>
        <w:ind w:right="340"/>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w:t>
      </w:r>
    </w:p>
    <w:p>
      <w:pPr>
        <w:spacing w:after="0" w:line="33" w:lineRule="exact"/>
        <w:rPr>
          <w:sz w:val="24"/>
          <w:szCs w:val="24"/>
          <w:color w:val="auto"/>
        </w:rPr>
      </w:pPr>
    </w:p>
    <w:p>
      <w:pPr>
        <w:sectPr>
          <w:pgSz w:w="11900" w:h="16838" w:orient="portrait"/>
          <w:cols w:equalWidth="0" w:num="5">
            <w:col w:w="2480" w:space="720"/>
            <w:col w:w="1760" w:space="360"/>
            <w:col w:w="1360" w:space="320"/>
            <w:col w:w="1620" w:space="360"/>
            <w:col w:w="244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both"/>
        <w:ind w:right="20"/>
        <w:spacing w:after="0" w:line="22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spacing w:after="0" w:line="288"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230"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As of October 16, 2015, there were 630,325,539 shares of American Airlines Group Inc. common stock outstanding.</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As of October 16, 2015,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Period Ended September 30, 2015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180" w:type="dxa"/>
            <w:vAlign w:val="bottom"/>
            <w:gridSpan w:val="13"/>
            <w:vMerge w:val="restart"/>
          </w:tcPr>
          <w:p>
            <w:pPr>
              <w:jc w:val="center"/>
              <w:ind w:right="31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18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1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Financial Statements of American Airlines Group Inc.</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43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5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Balance Sheets</w:t>
              </w:r>
            </w:hyperlink>
          </w:p>
        </w:tc>
        <w:tc>
          <w:tcPr>
            <w:tcW w:w="55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2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Condensed Consolidated Financial Statements of American Airlines, Inc.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Condensed Consolidated Statements of Operations</w:t>
              </w:r>
            </w:hyperlink>
          </w:p>
        </w:tc>
        <w:tc>
          <w:tcPr>
            <w:tcW w:w="48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Condensed Consolidated Statements of Comprehensive Income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5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Condensed Consolidated Balance Sheets</w:t>
              </w:r>
            </w:hyperlink>
          </w:p>
        </w:tc>
        <w:tc>
          <w:tcPr>
            <w:tcW w:w="55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Condensed Consolidated Statements of Cash Flows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Notes to the Condensed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20" w:type="dxa"/>
            <w:vAlign w:val="bottom"/>
            <w:gridSpan w:val="1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Quantitative and Qualitative Disclosures About Market Risk</w:t>
              </w:r>
            </w:hyperlink>
          </w:p>
        </w:tc>
        <w:tc>
          <w:tcPr>
            <w:tcW w:w="2120" w:type="dxa"/>
            <w:vAlign w:val="bottom"/>
            <w:tcBorders>
              <w:top w:val="single" w:sz="8" w:color="0000EE"/>
            </w:tcBorders>
            <w:gridSpan w:val="5"/>
          </w:tcPr>
          <w:p>
            <w:pPr>
              <w:spacing w:after="0"/>
              <w:rPr>
                <w:sz w:val="17"/>
                <w:szCs w:val="17"/>
                <w:color w:val="auto"/>
              </w:rPr>
            </w:pPr>
          </w:p>
        </w:tc>
        <w:tc>
          <w:tcPr>
            <w:tcW w:w="36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20" w:type="dxa"/>
            <w:vAlign w:val="bottom"/>
            <w:gridSpan w:val="1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60" w:type="dxa"/>
            <w:vAlign w:val="bottom"/>
            <w:gridSpan w:val="11"/>
          </w:tcPr>
          <w:p>
            <w:pPr>
              <w:jc w:val="center"/>
              <w:ind w:right="3780"/>
              <w:spacing w:after="0" w:line="19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 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56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2780" w:type="dxa"/>
            <w:vAlign w:val="bottom"/>
            <w:tcBorders>
              <w:top w:val="single" w:sz="8" w:color="0000EE"/>
            </w:tcBorders>
            <w:gridSpan w:val="9"/>
          </w:tcPr>
          <w:p>
            <w:pPr>
              <w:spacing w:after="0"/>
              <w:rPr>
                <w:sz w:val="17"/>
                <w:szCs w:val="17"/>
                <w:color w:val="auto"/>
              </w:rPr>
            </w:pPr>
          </w:p>
        </w:tc>
        <w:tc>
          <w:tcPr>
            <w:tcW w:w="37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Unregistered Sales of Equity Securities and Use of Proceeds</w:t>
              </w:r>
            </w:hyperlink>
          </w:p>
        </w:tc>
        <w:tc>
          <w:tcPr>
            <w:tcW w:w="57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Exhibits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20" w:type="dxa"/>
            <w:vAlign w:val="bottom"/>
            <w:gridSpan w:val="1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SIGNATURES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60" w:type="dxa"/>
            <w:vAlign w:val="bottom"/>
            <w:gridSpan w:val="14"/>
          </w:tcPr>
          <w:p>
            <w:pPr>
              <w:jc w:val="right"/>
              <w:ind w:right="40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This combined Quarterly Report on Form 10-Q is filed by American Airlines Group Inc. (formerly named AMR Corporation) (AAG) and its wholly-owned subsidiary American Airlines, Inc. (American). References in this Quarterly Report on Form 10-Q to “we,” “us,” “our,” the “Company” and similar terms refer to AAG and its consolidated subsidiaries. As more fully described below, on December 9, 2013, a subsidiary of AMR Corporation merged with and into US Airways Group, Inc. (US Airways Group), which survived as a wholly-owned subsidiary of AAG (the Merger). “AMR” or “AMR Corporation” refers to the Company during the period of time prior to its emergence from Chapter 11 and its acquisition of US Airways Group. References in this Quarterly Report on Form 10-Q to “mainline” refer to the operations of American and US Airways, Inc., as applicable, and exclude regional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2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post-employment benefit funding obligations; the impact of any failure to comply with the covenants contained in financing arrangements; provisions in credit card processing and other commercial agreements that may materially reduce our liquidity; the impact of union disputes, employee strikes and other labor-related disruptions; any inability to maintain labor costs at competitive levels; interruptions or disruptions in service at one or more of our hub airports; costs of ongoing data security compliance requirements and the impact of any significant data security breach;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regulation;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 and a potential shortage of pilots; the impact of possible future increases in insurance costs or reductions in available insurance coverage; the effect of a lawsuit that was filed in connection with the Merger remains pending;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actions that American may take in connection with its integration with US Airways that may not be to its advantage on a stand-alone basis; price volatility of our common stock; the effects of our capital deployment program and the limitation, suspension or discontinuation of our share repurchase program or dividend payments thereunder; delay or prevention of stockholders’ ability to change the composition of our Board of Directors and the effect this may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this Quarterly Report on Form 10-Q (especially in Part II, Item 1A.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tab/>
        <w:t>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2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7,654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8,093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22,298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Cargo</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2,829</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9,879</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6.17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661,869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719,067</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682,337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680,739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735,196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701,760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 and retiree medical</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840" w:type="dxa"/>
            <w:vAlign w:val="bottom"/>
          </w:tcPr>
          <w:p>
            <w:pPr>
              <w:ind w:left="700"/>
              <w:spacing w:after="0"/>
              <w:rPr>
                <w:sz w:val="20"/>
                <w:szCs w:val="20"/>
                <w:color w:val="auto"/>
              </w:rPr>
            </w:pPr>
            <w:r>
              <w:rPr>
                <w:rFonts w:ascii="Arial" w:cs="Arial" w:eastAsia="Arial" w:hAnsi="Arial"/>
                <w:sz w:val="18"/>
                <w:szCs w:val="18"/>
                <w:color w:val="auto"/>
              </w:rPr>
              <w:t>Reclassification into earnings</w:t>
            </w:r>
          </w:p>
        </w:tc>
        <w:tc>
          <w:tcPr>
            <w:tcW w:w="12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investments: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700"/>
              <w:spacing w:after="0"/>
              <w:rPr>
                <w:sz w:val="20"/>
                <w:szCs w:val="20"/>
                <w:color w:val="auto"/>
              </w:rPr>
            </w:pPr>
            <w:r>
              <w:rPr>
                <w:rFonts w:ascii="Arial" w:cs="Arial" w:eastAsia="Arial" w:hAnsi="Arial"/>
                <w:sz w:val="18"/>
                <w:szCs w:val="18"/>
                <w:color w:val="auto"/>
              </w:rPr>
              <w:t>Net change in value</w:t>
            </w:r>
          </w:p>
        </w:tc>
        <w:tc>
          <w:tcPr>
            <w:tcW w:w="12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non-cash tax provision</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230"/>
        </w:trPr>
        <w:tc>
          <w:tcPr>
            <w:tcW w:w="20" w:type="dxa"/>
            <w:vAlign w:val="bottom"/>
          </w:tcPr>
          <w:p>
            <w:pPr>
              <w:spacing w:after="0"/>
              <w:rPr>
                <w:sz w:val="20"/>
                <w:szCs w:val="20"/>
                <w:color w:val="auto"/>
              </w:rPr>
            </w:pPr>
          </w:p>
        </w:tc>
        <w:tc>
          <w:tcPr>
            <w:tcW w:w="5840" w:type="dxa"/>
            <w:vAlign w:val="bottom"/>
          </w:tcPr>
          <w:p>
            <w:pPr>
              <w:ind w:left="1060"/>
              <w:spacing w:after="0"/>
              <w:rPr>
                <w:sz w:val="20"/>
                <w:szCs w:val="20"/>
                <w:color w:val="auto"/>
              </w:rPr>
            </w:pPr>
            <w:r>
              <w:rPr>
                <w:rFonts w:ascii="Arial" w:cs="Arial" w:eastAsia="Arial" w:hAnsi="Arial"/>
                <w:sz w:val="18"/>
                <w:szCs w:val="18"/>
                <w:b w:val="1"/>
                <w:bCs w:val="1"/>
                <w:color w:val="auto"/>
              </w:rPr>
              <w:t>Total other comprehensive income (loss)</w:t>
            </w: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4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142"/>
        </w:trPr>
        <w:tc>
          <w:tcPr>
            <w:tcW w:w="8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7,857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1,828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13,706</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12,112</w:t>
            </w: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equipment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31,872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28,213</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Ground property and equipment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6,262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purchase deposits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35,343</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(12,915)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(12,259)</w:t>
            </w: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 of accumulated amortization of $491 and $447, respectively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wages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Frequent flyer liability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13,435</w:t>
            </w: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gains and credits,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Bankruptcy settlement obligations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3,624</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30,792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 640,107,543 shares issued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outstanding at September 30, 2015; 697,474,535 shares issued and outstanding at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12,852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15,135</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(4,651)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(4,559)</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(4,445)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(8,562)</w:t>
            </w: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slot transaction</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Proceeds from sale of an investment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Sale-leaseback transactions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repurchases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Dividend payment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bankruptcy obligations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(AAG or the Company) should be read in conjunction with the consolidated financial statements contained in AAG’s Annual Report on Form 10-K for the year ended December 31, 2014. The accompanying unaudited condensed consolidated financial statements include the accounts of the Company and its wholly-owned subsidiaries. Principal subsidiaries include American Airlines, Inc. (American) and US Airways Group, Inc. (US Airways Group). All significant intercompany transactions have been eliminated.</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9, 2013 (the Effective Date), AMR Merger Sub, Inc. (Merger Sub) merged with and into US Airways Group (the Merger), with US Airways Group surviving as a wholly-owned subsidiary of AAG, a Delaware corporation (formerly known as AMR Corporation) following the Merger. “AMR” or “AMR Corporation” refers to the Company during the period of time prior to its emergence from Chapter 11 and the Effective Date of the Merger.</w:t>
      </w:r>
    </w:p>
    <w:p>
      <w:pPr>
        <w:spacing w:after="0" w:line="1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frequent flyer program, pensions, retiree medical and other benefits and the deferred tax asset valuation allowance.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On July 9, 2015, the FASB issued ASU 2015-14, which deferred the effective date of this new standard to periods beginning after December 15, 2017 for public entities. Early application is permitted, but not before interim and annual reporting periods beginning after December 15, 2016. Entities have the choice to apply ASU 2014-09 either retrospectively to each reporting period presented or by recognizing the cumulative effect of applying ASU 2014-09 at the date of initial application and not adjusting comparative information. The Company is currently evaluating the requirements of ASU 2014-09 and has not yet determined its impact on the Company’s condensed consolidated financial statements.</w:t>
      </w:r>
    </w:p>
    <w:p>
      <w:pPr>
        <w:spacing w:after="0" w:line="16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The update requires debt issuance costs related to a recognized debt liability to be presented in the balance sheet as a direct deduction from the carrying amount of the related debt liability instead of being presented as an asset. Debt disclosures will include the face amount of the debt liability and the effective interest rate. The update requires retrospective application and represents a change in accounting principle. The update is effective for fiscal years beginning after December 15, 2015. Early adoption is permitted for financial statements that have not been previously issued. ASU 2015-03 is not expected to have a material impact on the Company’s condensed consolidated financial statements.</w:t>
      </w:r>
    </w:p>
    <w:p>
      <w:pPr>
        <w:spacing w:after="0" w:line="283" w:lineRule="exact"/>
        <w:rPr>
          <w:sz w:val="20"/>
          <w:szCs w:val="20"/>
          <w:color w:val="auto"/>
        </w:rPr>
      </w:pPr>
    </w:p>
    <w:p>
      <w:pPr>
        <w:ind w:left="460" w:right="6200" w:hanging="452"/>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and Merger with US Airways Group </w:t>
      </w:r>
      <w:r>
        <w:rPr>
          <w:rFonts w:ascii="Arial" w:cs="Arial" w:eastAsia="Arial" w:hAnsi="Arial"/>
          <w:sz w:val="18"/>
          <w:szCs w:val="18"/>
          <w:b w:val="1"/>
          <w:bCs w:val="1"/>
          <w:i w:val="1"/>
          <w:iCs w:val="1"/>
          <w:color w:val="auto"/>
        </w:rPr>
        <w:t>Chapter 11 Reorganization</w:t>
      </w:r>
    </w:p>
    <w:p>
      <w:pPr>
        <w:jc w:val="both"/>
        <w:ind w:firstLine="456"/>
        <w:spacing w:after="0" w:line="276" w:lineRule="auto"/>
        <w:rPr>
          <w:sz w:val="20"/>
          <w:szCs w:val="20"/>
          <w:color w:val="auto"/>
        </w:rPr>
      </w:pPr>
      <w:r>
        <w:rPr>
          <w:rFonts w:ascii="Arial" w:cs="Arial" w:eastAsia="Arial" w:hAnsi="Arial"/>
          <w:sz w:val="17"/>
          <w:szCs w:val="17"/>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the Effective Date, the Debtors consummated their reorganization pursuant to the Plan, principally through the transactions contemplated by an Agreement and Plan of Merger (as amended, the Merger Agreement), dated as of February 13, 2013, by and among AMR, Merger Sub and US Airways Group, pursuant to which Merger Sub merged with and into US Airways Group, with US Airways Group surviving as a wholly-owned subsidiary of the Company following the Merger.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connection with the Chapter 11 Cases, trading in AMR’s common stock and certain debt securities on the New York Stock Exchange (NYSE) was suspended on January 5, 2012, and AMR’s common stock and such debt securities were delisted from the NYSE on January 30, 2012. On January 5, 2012, AMR’s common stock began trading under the symbol “AAMRQ” (CUSIP 001765106) on the OTCQB marketplace, operated by OTC Markets Group. Pursuant to the Plan, on the Effective Date (i) all existing shares of AAG’s old common stock formerly traded under the symbol “AAMRQ” were canceled and (ii) the Company was authorized to issue up to approximately 544 million shares of common stock, par value $0.01 per share, of AAG (AAG Common Stock) by operation of the Plan (excluding shares of AAG Common Stock issuable pursuant to the Merger Agreement). On the Effective Date, the AAG Common Stock was listed on the NASDAQ Global Select Market under the symbol “AAL,” and AAMRQ ceased trading on the OTCQB marketplace.</w:t>
      </w:r>
    </w:p>
    <w:p>
      <w:pPr>
        <w:spacing w:after="0" w:line="16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Upon emergence from Chapter 11, AAG issued approximately 53 million shares of AAG Common Stock to AMR’s old equity holders and certain of the Debtors’ employees, and issued 168 million shares of AAG Series A Convertible Preferred Stock, par value $0.01 per share (the AAG Series A Preferred Stock), which was mandatorily convertible into new AAG Common Stock during the 120-day period after the Effective Date, to certain creditors and employees of the Debtors (including shares deposited in the Disputed Claims Reserve (as defined in the Plan)). In accordance with the terms of the Plan, former holders of AMR common stock (previously traded under the symbol “AAMRQ”) received, for each share of AMR common stock, an initial distribution of approximately 0.0665 shares of the AAG Common Stock as of the Effective Date. Following the Effective Date, former holders of AMR common stock and those deemed to be treated as such in connection with the elections made pursuant to the Plan have received through December 31, 2014, additional aggregate distributions of shares of AAG Common Stock of approximately 0.6776 shares of AAG Common Stock for each share of AMR common stock previously held, and may continue to receive additional distributions. As of the Effective Date, the adjusted total Double-Dip General Unsecured Claims (as defined in the Plan) were approximately $2.5 billion and the Allowed Single-Dip General Unsecured Claims (as defined in the Plan) were approximately $2.5 billion.</w:t>
      </w:r>
    </w:p>
    <w:p>
      <w:pPr>
        <w:spacing w:after="0" w:line="193" w:lineRule="exact"/>
        <w:rPr>
          <w:sz w:val="20"/>
          <w:szCs w:val="20"/>
          <w:color w:val="auto"/>
        </w:rPr>
      </w:pPr>
    </w:p>
    <w:p>
      <w:pPr>
        <w:jc w:val="both"/>
        <w:ind w:firstLine="456"/>
        <w:spacing w:after="0" w:line="267" w:lineRule="auto"/>
        <w:rPr>
          <w:sz w:val="20"/>
          <w:szCs w:val="20"/>
          <w:color w:val="auto"/>
        </w:rPr>
      </w:pPr>
      <w:r>
        <w:rPr>
          <w:rFonts w:ascii="Arial" w:cs="Arial" w:eastAsia="Arial" w:hAnsi="Arial"/>
          <w:sz w:val="17"/>
          <w:szCs w:val="17"/>
          <w:color w:val="auto"/>
        </w:rPr>
        <w:t>The Disputed Claims Reserve established under the Plan initially was issued 30.4 million shares, which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$2 million from the Disputed Claims Reserve at the then-prevailing market price in order to fund cash tax obligations resulting from this distribution. As of September 30,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the Company but rather will be distributed to former AMR shareholders as of the Effective Date. The Company is not required to distribute additional shares above the limits contemplated by the Plan.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13 for more information.</w:t>
      </w:r>
    </w:p>
    <w:p>
      <w:pPr>
        <w:spacing w:after="0" w:line="22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reconciliation process with respect to the remaining claims is expected to take considerable time. The Company’s estimate of the amounts of disputed claims that will ultimately become allowed Single-Dip Unsecured Claims are included in bankruptcy settlement obligations on the Company’s condensed consolidated balance sheet as of September 30, 2015. As these claims are resolved, or where better information becomes available and is evaluated, the Company will make adjustments to the liabilities recorded on its condensed consolidated financial statements as appropriate. Any such adjustments could be material to the Company’s financial position or results of operations in any given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the Merger Agreement and consistent with the Plan, each share of common stock, par value $0.01 per share, of US Airways Group (the US Airways Group Common Stock) was converted into the right to receive one share of AAG Common Stock. The aggregate number of shares of AAG Common Stock issuable in the Merger to holders of US Airways Group equity instruments (including stockholders, holders of convertible notes, optionees, and holders of restricted stock units (RSUs)) represented 28% of the diluted equity ownership of AAG. The remaining 72% diluted equity ownership in AAG (up to approximately 544 million shares) was or is distributable, pursuant to the Plan, to stakeholders, labor unions, certain employees of AMR and the other Debtors, and former holders of AMR common stock (previously traded under the symbol “AAMRQ”) such that the aggregate number of shares of AAG Common Stock issuable under the Plan will not exceed 72% of the diluted equity ownership of AAG as of the time of the Merger.</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Upon emergence from bankruptcy, the Debtors experienced an “ownership change” as defined in Section 382 of the Internal Revenue Code of 1986, as amended (Section 382),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The Debtors elected to be covered by certain special rules for federal income tax purposes that permit approximately $9.0 billion of the federal NOLs carried over from prior taxable years (NOL Carryforwards) to be utilized without regard to the annual limitation generally imposed by Section 382.</w:t>
      </w:r>
    </w:p>
    <w:p>
      <w:pPr>
        <w:spacing w:after="0" w:line="15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Restated Certificate of Incorporation (the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the Certificate of Incorporation was attached as Exhibit 3.1 to a Current Report on Form 8-K filed by the Company with the SEC on December 9,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bankruptcy settlement obligations on the condensed consolidated balance sheets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Single-Dip Equity Obligations</w:t>
            </w:r>
          </w:p>
        </w:tc>
        <w:tc>
          <w:tcPr>
            <w:tcW w:w="2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28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amount of the remaining Single-Dip Equity Obligations at September 30, 2015 is the Company’s estimate of its obligation for disputed claims of $135 million and is calculated based on the fair value of the shares expected to be issued, measured as if the obligations were settled using the closing price of AAG Common Stock at September 30, 2015.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5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As of September 30, 2015, the remaining liability to certain AMR labor groups and employees of $42 million represents the estimated fair value of the remaining shares expected to be issued in satisfaction of such obligation, measured as if the obligation was settled using the closing price of AAG Common Stock at September 30, 2015.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9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10, 2015 and July 14, 2015, approximately 0.8 million and 0.6 million shares, respectively, of AAG Common Stock held in the Disputed Claims Reserve were distributed to holders of allowed Single-Dip Unsecured Claims, to holders of certain labor-related deemed claims and to holders of certain non-management, non-union employee deemed claims as specified in the Plan, and 0.1 million shares in the aggregate were withheld or sold on account of related tax obligations.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2015</w:t>
            </w:r>
          </w:p>
        </w:tc>
        <w:tc>
          <w:tcPr>
            <w:tcW w:w="1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2015</w:t>
            </w:r>
          </w:p>
        </w:tc>
        <w:tc>
          <w:tcPr>
            <w:tcW w:w="1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(a)</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3"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2015 third quarter mainline operating special items totaled a net charge of $163 million, which principally included $196 million of merger integration expenses related to information technology, professional fees, severance, share-based compensation, fleet restructuring, re-branding of aircraft and airport facilities, relocation and training, as well as a $38 million charge in connection with the dissolution of the Texas Aero Engine Services joint venture. These charges were offset in part by a $66 million credit related to proceeds received from a legal settlement. The 2015 nine month period mainline operating special items totaled a net charge of $610 million, which principally included $633 million of merger integration expenses as described above, a net $99 million charge related to the Company’s new pilot joint collective bargaining agreement and a $38 million charge in connection with the dissolution of the Texas Aero Engine Services joint venture. These charges were offset in part by a net $75 million credit for bankruptcy related items primarily consisting of fair value adjustments for bankruptcy settlement obligations and a $66 million credit related to proceeds received from a legal settlement.</w:t>
      </w:r>
    </w:p>
    <w:p>
      <w:pPr>
        <w:spacing w:after="0" w:line="89" w:lineRule="exact"/>
        <w:rPr>
          <w:rFonts w:ascii="Arial" w:cs="Arial" w:eastAsia="Arial" w:hAnsi="Arial"/>
          <w:sz w:val="15"/>
          <w:szCs w:val="15"/>
          <w:color w:val="auto"/>
        </w:rPr>
      </w:pPr>
    </w:p>
    <w:p>
      <w:pPr>
        <w:jc w:val="both"/>
        <w:ind w:left="460"/>
        <w:spacing w:after="0" w:line="270" w:lineRule="auto"/>
        <w:rPr>
          <w:rFonts w:ascii="Arial" w:cs="Arial" w:eastAsia="Arial" w:hAnsi="Arial"/>
          <w:sz w:val="15"/>
          <w:szCs w:val="15"/>
          <w:color w:val="auto"/>
        </w:rPr>
      </w:pPr>
      <w:r>
        <w:rPr>
          <w:rFonts w:ascii="Arial" w:cs="Arial" w:eastAsia="Arial" w:hAnsi="Arial"/>
          <w:sz w:val="17"/>
          <w:szCs w:val="17"/>
          <w:color w:val="auto"/>
        </w:rPr>
        <w:t>The 2014 third quarter mainline operating special items totaled a net charge of $221 million, which principally included $166 million of merger integration expenses related to information technology, alignment of labor union contracts, professional fees, severance and retention, share-based compensation, re-branding of aircraft and airport facilities, relocation and training, as well as $99 million in other special charges, including an $81 million charge to revise prior estimates of certain aircraft residual values, and other spare parts asset impairments. These charges were offset in part by a net $40 million credit for bankruptcy related items primarily consisting of fair value adjustments for bankruptcy settlement obligations. The 2014 nine month period mainline operating special items totaled a net charge of $335 million, which principally included $530 million of merger integration expenses as described above, $99 million in other special charges, including an $81 million charge to revise prior estimates of certain aircraft residual values and other spare parts asset impairments, as well as $46 million in charges primarily relating to the buyout of certain aircraft leases. These charges were offset in part by a $309 million gain on the sale of Slots at Ronald Reagan Washington National Airport and a net $35 million credit for bankruptcy related items as described above.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Nine Months Ended September 30,</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(a)</w:t>
            </w:r>
          </w:p>
        </w:tc>
        <w:tc>
          <w:tcPr>
            <w:tcW w:w="1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(b)</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21</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20"/>
              <w:spacing w:after="0"/>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101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(c)</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The 2015 and 2014 third quarter and nine month period regional operating special items principally related to merger integration expenses.</w:t>
      </w:r>
    </w:p>
    <w:p>
      <w:pPr>
        <w:spacing w:after="0" w:line="142" w:lineRule="exact"/>
        <w:rPr>
          <w:rFonts w:ascii="Arial" w:cs="Arial" w:eastAsia="Arial" w:hAnsi="Arial"/>
          <w:sz w:val="14"/>
          <w:szCs w:val="14"/>
          <w:color w:val="auto"/>
        </w:rPr>
      </w:pPr>
    </w:p>
    <w:p>
      <w:pPr>
        <w:jc w:val="both"/>
        <w:ind w:left="460" w:hanging="452"/>
        <w:spacing w:after="0" w:line="272"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 million, which principally included $40 million in charges primarily related to non-cash write offs of unamortized debt discount and debt issuance costs associated with refinancing the Company’s secured term loan facilities, prepayments of certain aircraft financings and the purchase and subsequent remarketing of certain special facility revenue bonds. These charges were offset in part by a $22 million gain associated with the sale of an investment and a $17 million early debt extinguishment gain associated with the repayment of American’s AAdvantage loan with Citibank.</w:t>
      </w:r>
    </w:p>
    <w:p>
      <w:pPr>
        <w:spacing w:after="0" w:line="69" w:lineRule="exact"/>
        <w:rPr>
          <w:rFonts w:ascii="Arial" w:cs="Arial" w:eastAsia="Arial" w:hAnsi="Arial"/>
          <w:sz w:val="14"/>
          <w:szCs w:val="14"/>
          <w:color w:val="auto"/>
        </w:rPr>
      </w:pPr>
    </w:p>
    <w:p>
      <w:pPr>
        <w:jc w:val="both"/>
        <w:ind w:left="460"/>
        <w:spacing w:after="0" w:line="259" w:lineRule="auto"/>
        <w:rPr>
          <w:rFonts w:ascii="Arial" w:cs="Arial" w:eastAsia="Arial" w:hAnsi="Arial"/>
          <w:sz w:val="14"/>
          <w:szCs w:val="14"/>
          <w:color w:val="auto"/>
        </w:rPr>
      </w:pPr>
      <w:r>
        <w:rPr>
          <w:rFonts w:ascii="Arial" w:cs="Arial" w:eastAsia="Arial" w:hAnsi="Arial"/>
          <w:sz w:val="18"/>
          <w:szCs w:val="18"/>
          <w:color w:val="auto"/>
        </w:rPr>
        <w:t>The 2014 third quarter nonoperating special items totaled a net charge of $50 million, which was primarily due to early debt extinguishment costs related to the prepayment of American’s 7.50% senior secured notes and other indebtedness. The 2014 nine month period nonoperating special items totaled a net charge of $101 million, which primarily included $54 million of early debt extinguishment costs as described above and $33 million of non-cash interest accretion on the bankruptcy settlement obligations.</w:t>
      </w:r>
    </w:p>
    <w:p>
      <w:pPr>
        <w:spacing w:after="0" w:line="92" w:lineRule="exact"/>
        <w:rPr>
          <w:rFonts w:ascii="Arial" w:cs="Arial" w:eastAsia="Arial" w:hAnsi="Arial"/>
          <w:sz w:val="14"/>
          <w:szCs w:val="14"/>
          <w:color w:val="auto"/>
        </w:rPr>
      </w:pPr>
    </w:p>
    <w:p>
      <w:pPr>
        <w:ind w:left="46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2015 third quarter and nine month period tax special items were the result of a non-cash deferred income tax provision related to certain indefinite-lived intangible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During the 2014 third quarter, the Company recorded a special $8 million non-cash deferred income tax provision related to certain indefinite-lived intangible assets. During the 2014 nine month period, the Company sold its portfolio of fuel hedging contracts that were scheduled to settle on or after June 30, 2014. In connection with this sale, the Company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 In addition, the 2014 nine month period included a special $22 million non-cash deferred income tax provision related to certain indefinite-lived intangible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(EPS) (in millions, except share and per share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1,693</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4,329</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thousands)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661,869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719,067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682,337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721,213</w:t>
            </w:r>
          </w:p>
        </w:tc>
        <w:tc>
          <w:tcPr>
            <w:tcW w:w="100" w:type="dxa"/>
            <w:vAlign w:val="bottom"/>
            <w:shd w:val="clear" w:color="auto" w:fill="CCEEFF"/>
          </w:tcPr>
          <w:p>
            <w:pPr>
              <w:spacing w:after="0"/>
              <w:rPr>
                <w:sz w:val="20"/>
                <w:szCs w:val="20"/>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Basic EPS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1,693</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4,329</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5"/>
              </w:rPr>
              <w:t xml:space="preserve">Change in fair value of conversion feature on 7.25% convertible senior notes </w:t>
            </w:r>
            <w:r>
              <w:rPr>
                <w:rFonts w:ascii="Arial" w:cs="Arial" w:eastAsia="Arial" w:hAnsi="Arial"/>
                <w:sz w:val="15"/>
                <w:szCs w:val="15"/>
                <w:color w:val="auto"/>
                <w:w w:val="95"/>
              </w:rPr>
              <w:t>(a)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Net income for purposes of computing diluted EPS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 computation for diluted earnings per share (in thousands):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661,869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719,067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682,337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721,213</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awards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14,610</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Assumed conversion of convertible senior notes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680,739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735,196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701,760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737,100</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ind w:left="1080"/>
              <w:spacing w:after="0"/>
              <w:rPr>
                <w:sz w:val="20"/>
                <w:szCs w:val="20"/>
                <w:color w:val="auto"/>
              </w:rPr>
            </w:pPr>
            <w:r>
              <w:rPr>
                <w:rFonts w:ascii="Arial" w:cs="Arial" w:eastAsia="Arial" w:hAnsi="Arial"/>
                <w:sz w:val="18"/>
                <w:szCs w:val="18"/>
                <w:color w:val="auto"/>
              </w:rPr>
              <w:t>Diluted EPS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The following were excluded from the calculation of diluted EPS (in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thousands):</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hanging="452"/>
        <w:spacing w:after="0" w:line="29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 March 2014, the Company notified the holders of US Airways Group’s 7.25% convertible senior notes that it had elected to settle all future conversions solely in cash instead of shares of AAG Common Stock in accordance with the related indenture. Thus, the diluted shares included the weighted average impact of the 7.25% convertible senior notes only for the period from January 1, 2014 to March 12, 2014. For purposes of computing diluted earnings per share under GAAP, the Company was required to adjust the numerator by the change in fair value of the conversion feature from March 12, 2014 to May 15, 2014, which increased GAAP net income by $3 million for the nine months ended September 30,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Repurchase Program and Dividend</w:t>
      </w:r>
    </w:p>
    <w:p>
      <w:pPr>
        <w:spacing w:after="0" w:line="12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January 27, 2015, the Company announced that its Board of Directors had authorized a $2.0 billion share repurchase program, which was completed in the third quarter of 2015. In July 2015, the Company announced that its Board of Directors had authorized an additional $2.0 billion share repurchase program to be completed by the end of 2016. Share repurchases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the Company to repurchase any specific number of shares and may be suspended at any time at the Company’s discretion. During the three months ended September 30, 2015, the Company repurchased 38.4 million shares of AAG Common Stock for $1.6 billion at a weighted average cost per share of $40.56. During the nine months ended September 30, 2015, the Company repurchased 59.5 million shares of AAG Common Stock for $2.5 billion at a weighted average cost per share of $42.00.</w:t>
      </w:r>
    </w:p>
    <w:p>
      <w:pPr>
        <w:spacing w:after="0" w:line="19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 January 2015, the Company announced that its Board of Directors had declared a $0.10 per share dividend for shareholders of record on February 9, 2015, and payable on February 23, 2015.</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April 2015, the Company announced that its Board of Directors had declared a $0.10 per share dividend for shareholders of record on May 4, 2015, and payable on May 18, 2015.</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July 2015, the Company announced that its Board of Directors had declared a $0.10 per share dividend for shareholders of record on August 10, 2015, and payable on August 24, 2015.</w:t>
      </w:r>
    </w:p>
    <w:p>
      <w:pPr>
        <w:spacing w:after="0" w:line="17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total cash payment for dividends during the three and nine months ended September 30, 2015 was $67 million and $206 million, respectively.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the Company’s discretion.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3.25%, installments through 2020</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1,867</w:t>
            </w:r>
          </w:p>
        </w:tc>
        <w:tc>
          <w:tcPr>
            <w:tcW w:w="8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3.50%, installments through 2021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2013 Citicorp Credit Facility tranche B-1, variable interest rate of 3.50%, installments through</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00" w:type="dxa"/>
            <w:vAlign w:val="bottom"/>
            <w:gridSpan w:val="2"/>
          </w:tcPr>
          <w:p>
            <w:pPr>
              <w:ind w:left="54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2013 Citicorp Credit Facility tranche B-2, variable interest rate of 3.00%, installments through</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 3.38%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to 9.75%, maturing from 2015 to 2027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8,891</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1.59%</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 8.48%, maturing from 2015 to 2027</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3,747</w:t>
            </w: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2.00% to 8.00%, maturing from</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2016 to 2035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1,080</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AAdvantage Loan, effective rate of 8.30%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 from</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2015 to 2028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18,843</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16,713</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 senior notes, interest only payments until due in 2019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6.125% senior notes, interest only payments until due in 2018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4.625% senior notes, interest only payments until due in 2020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20,593</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17,963</w:t>
            </w: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Less: Total unamortized debt discount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18,849</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2013 Credit Facilities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May 21, 2015, American refinanced its $1.9 billion term loan facility (the $1.9 billion 2015 Term Loan Facility and, together with a $1.4 billion revolving credit facility, the 2013 Credit Facilities) to extend the maturity date to June 29, 2020 and reduce the LIBOR margin from 3.00% to 2.75%. In addition, American entered into certain amendments to reflect the ability for American to make future modifications to the collateral pledged, subject to certain restrictions. The LIBOR margin under the $1.9 billion 2015 Term Loan Facility may vary based on American’s credit ratings. As of September 30, 2015, as a result of American’s improved credit ratings, the LIBOR margin was 2.50%.</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Credit Facilities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April 20, 2015, American refinanced its $750 million term loan facility (the $750 million 2015 Term Loan Facility and, together with a $400 million revolving credit facility, the 2014 Credit Facilities) to reduce the LIBOR margin from 3.50% to 3.00% and entered into certain amendments to reflect the release of certain existing collateral and the addition of certain new collateral, as well as the ability for American to make future modifications to the collateral pledged, subject to certain restrictions. The LIBOR margin under the $750 million 2015 Term Loan Facility may vary based on American’s credit ratings. As of September 30, 2015, as a result of American’s improved credit ratings, the LIBOR margin was 2.75%.</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2015-1 EETCs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(the 2015-1 EETCs) in connection with the financing of 28 aircraft owned by American (the 2015 EETC Aircraft).</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of September 30, 2015, the entire $1.2 billion of the proceeds from the sale of the 2015-1 EETCs has been used to purchase equipment notes issued by American in two series: Series A equipment notes in the amount of $948 million bearing interest at 3.375% per annum and Series B equipment notes in the amount of $266 million bearing interest at 3.70% per annum. Interest and principal payments on the equipment notes are payable semi-annually in May and November of each year, beginning in November 2015. The final payments on the Series A and Series B equipment notes will be due in May 2027 and May 2023, respectively. These equipment notes are secured by liens on the 2015 EETC Aircraft.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2015-2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September 2015, American created three pass-through trusts which issued approximately $1.1 billion aggregate face amount of Series 2015-2 Class AA, Class A and Class B EETCs (the 2015-2 EETCs) in connection with the financing of 21 aircraft owned by American (the 2015-2 EETC Aircraft).</w:t>
      </w:r>
    </w:p>
    <w:p>
      <w:pPr>
        <w:spacing w:after="0" w:line="12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September 30, 2015, the entire $1.1 billion of the proceeds from the sale of the 2015-2 EETCs has been used to purchase equipment notes issued by American in three series: Series AA equipment notes in the amount of $583 million bearing interest at 3.60% per annum, Series A equipment notes in the amount of $239 million bearing interest at 4.00% per annum and Series B equipment notes in the amount of $239 million bearing interest at 4.40% per annum. Interest and principal payments on the equipment notes are payable semi-annually in March and September of each year, with interest payments beginning in March 2016 and principal payments beginning in September 2016. The final payments on the Series AA and Series A equipment notes will be in September 2027 and the final payments on the Series B equipment notes will be in September 2023. These equipment notes are secured by liens on the 2015-2 EETC Aircraft.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4.625% Senior Notes</w:t>
      </w:r>
    </w:p>
    <w:p>
      <w:pPr>
        <w:spacing w:after="0" w:line="11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March 2015, the Company issued $500 million aggregate principal amount of 4.625% senior notes due 2020 (the 4.625% senior notes). These notes bear interest at a rate of 4.625% per annum and are payable semi-annually in arrears on each March 1 and September 1, which began on September 1, 2015. The 4.625% senior notes mature on March 1, 2020 and are fully and unconditionally guaranteed by American, US Airways Group and US Airways, Inc. (US Airways). The 4.625% senior notes are senior unsecured obligations of the Company. The indenture for the 4.625% senior notes contains covenants and events of default generally customary for similar financings. In addition, if the Company experiences specific kinds of changes of control, the Company must offer to repurchase the 4.625% senior notes in whole or in part at a repurchase price of 101% of the aggregate principal amount plus accrued and unpaid interest, if any, to (but not including) the repurchase date. Upon the occurrence of certain events of default, the 4.625% senior notes may be accelerated and become due and payable.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AAdvantage Loan</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Effective January 2, 2015, American exercised its loan repayment right with respect to the full value of the outstanding balance of the AAdvantage Loan with Citibank for $400 million. In connection with the repayment, in the first quarter of 2015, American recognized an early debt extinguishment gain of approximately $17 million.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Obligations Associated with Special Facility Revenue Bonds</w:t>
      </w:r>
    </w:p>
    <w:p>
      <w:pPr>
        <w:spacing w:after="0" w:line="11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December 2014, American acquired approximately $112 million aggregate principal amount of special facility revenue bonds related to the Tulsa International Airport, when such bonds were mandatorily tendered to American. The acquisition of these bonds resulted in an $11 million reduction of debt on American’s consolidated balance sheet and a $50 million reduction of a long-term operating lease obligation included in other long-term liabilities on American’s consolidated balance sheet as of December 31, 2014. American exercised its option to remarket approximately $104 million of these bonds in May 2015. The remarketed bonds bear interest at 5.0% per annum from the date of initial issuance and delivery of the bonds on May 27, 2015, until the day preceding June 1, 2025, on which date the bonds will be subject to mandatory tender for purchase by American. In connection with the remarketing of these special facility revenue bonds, American received cash proceeds of $112 million and recognized a total obligation of $62 million. Of that total obligation, $11 million is reflected as a capital lease and $51 million is reflected in other long-term liabilities on American’s condensed consolidated balance sheet as of September 30, 2015.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June 2015, American exercised its right to adjust the interest rate on approximately $365 million aggregate principal amount of special facility revenue bonds related to the John F. Kennedy International Airport, which were bearing interest at 8.50% per annum. In August 2015, these bonds were purchased by American and subsequently remarketed. The remarketed bonds bear interest at 2.00% per annum from the date of initial issuance and delivery of the bonds in August 2015, until August 2016, when the bonds will be subject to mandatory tender for purchase by American. In connection with this transaction, American recorded a special nonoperating charge of $20 million related primarily to non-cash write offs of unamortized debt discount and debt issuance costs. The $365 million obligation is reflected in current maturities of long-term debt on American’s condensed consolidated balance sheet as of September 30, 2015.</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Aircraft Financing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first nine months of 2015, the Company prepaid $72 million principal amount of outstanding debt secured by certain aircraft.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first nine months of 2015, the Company entered into loan agreements to borrow $1.3 billion in connection with the financing of certain aircraft.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mature in 2022 through 2027 and bear interest at a rate of LIBOR plus an applicable margin.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At December 31, 2014, the Company had approximately $10.1 billion of gross NOL Carryforwards to reduce future federal taxable income, substantially all of which are expected to be available for use in 2015. The federal NOL Carryforwards will expire beginning in 2022 if unused. These NOL Carryforwards include an unrealized tax benefit of $867 million related to the implementation of share-based compensation accounting guidance that will be recorded in equity when realized. The Company also had approximately $4.6 billion of NOL Carryforwards to reduce future state taxable income at December 31, 2014, which will expire in years 2015 through 2034 if unused. The Company’s ability to deduct its NOL Carryforwards and to utilize certain other available tax attributes can be substantially constrained under the general annual limitation rules of Section 382 where an “ownership change” has occurred. The Company experienced an ownership change in connection with its emergence from the Chapter 11 Cases, and US Airways Group experienced an ownership change in connection with the Merger. As a result of the Merger, US Airways Group is now included in the AAG consolidated federal and state income tax return. The general limitation rules of Section 382 for a debtor in a bankruptcy case are liberalized where the ownership change occurs upon emergence from bankruptcy. The Company elected to be covered by certain special rules for federal income tax purposes that permit approximately $9.0 billion of its federal NOL Carryforwards to be utilized without regard to the Section 382 annual limitation rules. Substantially all of the Company’s remaining federal NOL Carryforwards (attributable to US Airways Group) are subject to limitation under Section 382; however, the Company’s ability to utilize such NOL Carryforwards is not anticipated to be effectively constrained as a result of such limitation. Similar limitations may apply for state income tax purposes. The Company’s ability to utilize any new NOL Carryforwards arising after the ownership changes is not affected by the annual limitation rules imposed by Section 382 unless another ownership change occurs.</w:t>
      </w:r>
    </w:p>
    <w:p>
      <w:pPr>
        <w:spacing w:after="0" w:line="18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the Company had an Alternative Minimum Tax (AMT) credit carryforward of approximately $341 million available for federal income tax purposes, which is available for an indefinite period. The Company’s net deferred tax assets, which include the NOL Carryforwards, are subject to a full valuation allowance. At December 31, 2014, the federal and state valuation allowances were $4.5 billion and $264 million, respectively. In accordance with GAAP, utilization of the NOL Carryforwards after December 9, 2013 will result in a corresponding decrease in the valuation allowance and offset the Company’s tax provision dollar for dollar.</w:t>
      </w:r>
    </w:p>
    <w:p>
      <w:pPr>
        <w:spacing w:after="0" w:line="18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provides a valuation allowance for deferred tax assets when it is more likely than not that some portion, or all of its deferred tax assets, will not be realized. The ultimate realization of deferred tax assets is dependent upon the generation of future taxable income. The Company considers all available positive and negative evidence and makes certain assumptions in evaluating the realizability of its deferred tax assets. Many factors are considered which impact the Company’s projections of future sustained profitability including risks associated with merger integration as well as other conditions which are beyond the Company’s control, such as the health of the economy, the level and volatility of fuel prices and travel demand. The Company has concluded as of September 30, 2015, that the valuation allowance was still needed on its deferred tax assets based on the weight of the factors described above. However, if for the remainder of 2015, projections for future sustained profitability continue and additional merger integration milestones are completed, the Company anticipates that it may reverse substantially all of its valuation allowance as early as the end of 2015.</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2015, the Company recorded a special $6 million and $22 million, respectively, non-cash deferred income tax provision related to certain indefinite-lived intangible assets. In addition, for the three and nine months ended September 30, 2015, the Company recorded $10 million and $20 million, respectively, of state and international income tax expense related to certain states and other jurisdictions where NOLs were limited or unavailable to be used.</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2014, the Company recorded a special $8 million and $22 million, respectively, non-cash deferred income tax provision related to certain indefinite-lived intangible assets. In addition, for the 2014 nine month period, the Company recorded a special $330 million non-cash tax provision related to the settlement of fuel hedges discussed below and $8 million of tax expense principally related to certain states and other jurisdictions where NOLs were limited or unavailable to be used.</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During the second quarter of 2014, the Company sold its portfolio of fuel hedging contracts that were scheduled to settle on or after June 30, 2014. In connection with this sale, the Company recorded a special non-cash tax provision of $330 million in the statement of operations for the nine months ended September 30, 2014 that reversed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 broker quotes in a non-active market for valuation of these securities. No changes in valuation techniques or inputs occurred during the nine months ended September 30,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6"/>
              </w:rPr>
              <w:t>Fair Value Measurements as of September 30, 2015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Corporate obligations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notes / certificates of deposit / time deposits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right="20" w:hanging="452"/>
        <w:spacing w:after="0" w:line="26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In addition, all short-term investments mature in one year or less except for $788 million of corporate obligations and $1.6 billion of bank notes/certificates of deposit/time deposits.</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nine months ended September 30, 2015.</w:t>
      </w:r>
    </w:p>
    <w:p>
      <w:pPr>
        <w:spacing w:after="0" w:line="33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Venezuela Cash and Short-term Investments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2015, the Company had approximately $609 million of unrestricted cash and short-term investments held in Venezuelan bolivars. This balance is valued at 6.3 bolivars to the U.S. dollar, which is the rate that was in effect on the date the Company submitted each of its repatriation requests to the Venezuelan government. This rate is materially more favorable than the exchange rates currently prevailing for other transactions conducted outside of the Venezuelan government’s currency exchange system.</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the Company significantly reduced capacity in the Venezuelan market and is no longer accepting bolivars as payment for airline tickets. The Company is monitoring this situation closely and continues to evaluate its holdings of Venezuelan bolivars for additional foreign currency losses or other accounting adjustments, which could be material, particularly in light of the additional uncertainty posed by the recent changes to the foreign exchange regulations and the continued deterioration of economic conditions in Venezuela. More generally, fluctuations in foreign currencies, including devaluations, cannot be predicted by the Company and can significantly affect the value of the Company’s assets located outside the United States. These conditions, as well as any further delays, devaluations or imposition of more stringent repatriation restrictions, may materially adversely affect the Company’s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economic and political 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the Company’s long-term debt was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the Company’s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September 30, 2015</w:t>
            </w:r>
          </w:p>
        </w:tc>
        <w:tc>
          <w:tcPr>
            <w:tcW w:w="16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20,561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20,971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17,904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Retirement Benefits</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ind w:left="460"/>
              <w:spacing w:after="0"/>
              <w:rPr>
                <w:sz w:val="20"/>
                <w:szCs w:val="20"/>
                <w:color w:val="auto"/>
              </w:rPr>
            </w:pPr>
            <w:r>
              <w:rPr>
                <w:rFonts w:ascii="Arial" w:cs="Arial" w:eastAsia="Arial" w:hAnsi="Arial"/>
                <w:sz w:val="18"/>
                <w:szCs w:val="18"/>
                <w:color w:val="auto"/>
                <w:w w:val="94"/>
              </w:rPr>
              <w:t>The following tables provide the components of net periodic benefit cost (in millions):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840" w:type="dxa"/>
            <w:vAlign w:val="bottom"/>
            <w:gridSpan w:val="8"/>
          </w:tcPr>
          <w:p>
            <w:pPr>
              <w:ind w:left="10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4"/>
              </w:rPr>
              <w:t>Retiree Medical and Other Benefits</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3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4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5"/>
              </w:rPr>
              <w:t>(213)</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8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2015 third quarter prior service cost does not include amortization of $1 million related to other post-employment benefits.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46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5"/>
              </w:rPr>
              <w:t>Pension Benefits</w:t>
            </w:r>
          </w:p>
        </w:tc>
        <w:tc>
          <w:tcPr>
            <w:tcW w:w="140" w:type="dxa"/>
            <w:vAlign w:val="bottom"/>
          </w:tcPr>
          <w:p>
            <w:pPr>
              <w:spacing w:after="0"/>
              <w:rPr>
                <w:sz w:val="14"/>
                <w:szCs w:val="14"/>
                <w:color w:val="auto"/>
              </w:rPr>
            </w:pPr>
          </w:p>
        </w:tc>
        <w:tc>
          <w:tcPr>
            <w:tcW w:w="2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Retiree Medical and Other Benefits</w:t>
            </w:r>
          </w:p>
        </w:tc>
        <w:tc>
          <w:tcPr>
            <w:tcW w:w="0" w:type="dxa"/>
            <w:vAlign w:val="bottom"/>
          </w:tcPr>
          <w:p>
            <w:pPr>
              <w:spacing w:after="0"/>
              <w:rPr>
                <w:sz w:val="1"/>
                <w:szCs w:val="1"/>
                <w:color w:val="auto"/>
              </w:rPr>
            </w:pPr>
          </w:p>
        </w:tc>
      </w:tr>
      <w:tr>
        <w:trPr>
          <w:trHeight w:val="149"/>
        </w:trPr>
        <w:tc>
          <w:tcPr>
            <w:tcW w:w="2160" w:type="dxa"/>
            <w:vAlign w:val="bottom"/>
            <w:tcBorders>
              <w:bottom w:val="single" w:sz="8" w:color="auto"/>
            </w:tcBorders>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557</w:t>
            </w:r>
          </w:p>
        </w:tc>
        <w:tc>
          <w:tcPr>
            <w:tcW w:w="1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(639)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(589)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360" w:hanging="452"/>
        <w:spacing w:after="0" w:line="530" w:lineRule="auto"/>
        <w:tabs>
          <w:tab w:leader="none" w:pos="449" w:val="left"/>
        </w:tabs>
        <w:numPr>
          <w:ilvl w:val="0"/>
          <w:numId w:val="9"/>
        </w:numPr>
        <w:rPr>
          <w:rFonts w:ascii="Arial" w:cs="Arial" w:eastAsia="Arial" w:hAnsi="Arial"/>
          <w:sz w:val="14"/>
          <w:szCs w:val="14"/>
          <w:color w:val="auto"/>
        </w:rPr>
      </w:pPr>
      <w:r>
        <w:rPr>
          <w:rFonts w:ascii="Arial" w:cs="Arial" w:eastAsia="Arial" w:hAnsi="Arial"/>
          <w:sz w:val="17"/>
          <w:szCs w:val="17"/>
          <w:color w:val="auto"/>
        </w:rPr>
        <w:t>The 2015 nine month period prior service cost does not include amortization of $2 million related to other post-employment benefits. Effective November 1, 2012, substantially all of the Company’s defined benefit pension plans were frozen.</w:t>
      </w:r>
    </w:p>
    <w:p>
      <w:pPr>
        <w:spacing w:after="0" w:line="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Company is required to make minimum contributions to its defined benefit pension plans under the minimum funding requirements of the Employee Retirement Income Security Act of 1974, the Pension Funding Equity Act of 2004, the Pension Protection Act of 2006, the Pension Relief Act of 2010 and the Moving Ahead for Progress in the 21st Century Act of 2012. Based on current funding assumptions, the Company has no minimum required contributions until 2019. Currently, the Company’s minimum funding obligation for its pension plans is subject to temporary favorable rules that are scheduled to expire at the end of 2017. The Company’s pension funding obligations are likely to increase materially beginning in 2019, when the Company will be required to make contributions relating to the 2018 fiscal year. The amount of these obligations will depend on the performance of the Company’s investments held in trust by the pension plans, interest rates for determining liabilities and the Company’s actuarial experience.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Pension and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Unrealized</w:t>
            </w:r>
          </w:p>
        </w:tc>
        <w:tc>
          <w:tcPr>
            <w:tcW w:w="12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Income Tax</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Retiree</w:t>
            </w: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Medical</w:t>
            </w:r>
          </w:p>
        </w:tc>
        <w:tc>
          <w:tcPr>
            <w:tcW w:w="8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Financial</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Gain/(Loss) 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Benefit</w:t>
            </w:r>
          </w:p>
        </w:tc>
        <w:tc>
          <w:tcPr>
            <w:tcW w:w="22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Liability</w:t>
            </w:r>
          </w:p>
        </w:tc>
        <w:tc>
          <w:tcPr>
            <w:tcW w:w="5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Instruments</w:t>
            </w:r>
          </w:p>
        </w:tc>
        <w:tc>
          <w:tcPr>
            <w:tcW w:w="5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(Expense)</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0"/>
              </w:rPr>
              <w:t>(880)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700"/>
              <w:spacing w:after="0"/>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left="133"/>
              <w:spacing w:after="0"/>
              <w:rPr>
                <w:sz w:val="20"/>
                <w:szCs w:val="20"/>
                <w:color w:val="auto"/>
              </w:rPr>
            </w:pPr>
            <w:r>
              <w:rPr>
                <w:rFonts w:ascii="Arial" w:cs="Arial" w:eastAsia="Arial" w:hAnsi="Arial"/>
                <w:sz w:val="18"/>
                <w:szCs w:val="18"/>
                <w:color w:val="auto"/>
                <w:w w:val="99"/>
              </w:rPr>
              <w:t>—</w:t>
            </w:r>
          </w:p>
        </w:tc>
        <w:tc>
          <w:tcPr>
            <w:tcW w:w="3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(3,762)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and nine months ended September 30, 2015 and 2014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w w:val="92"/>
              </w:rPr>
              <w:t>Amounts reclassified from AOCI</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7"/>
          </w:tcPr>
          <w:p>
            <w:pPr>
              <w:jc w:val="right"/>
              <w:ind w:right="280"/>
              <w:spacing w:after="0" w:line="119" w:lineRule="exact"/>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Affected line items on condensed</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440" w:type="dxa"/>
            <w:vAlign w:val="bottom"/>
            <w:gridSpan w:val="5"/>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AOCI Components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consolidated statement of operations</w:t>
            </w: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Amortization of</w:t>
            </w: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pension and retiree medical liability:</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28"/>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Reversal of non-cash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gridSpan w:val="2"/>
          </w:tcPr>
          <w:p>
            <w:pPr>
              <w:jc w:val="right"/>
              <w:ind w:right="22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Regional Expenses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Expenses associated with the Company’s wholly-owned regional airlines and third-party regional carriers operating under the brand names American Eagle and US Airways Express are classified as regional expenses on the condensed consolidated statements of operations. Regional expenses consist of the following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48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Aircraft rent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7"/>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1,518</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12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i w:val="1"/>
          <w:iCs w:val="1"/>
          <w:color w:val="auto"/>
        </w:rPr>
        <w:t>Chapter 11 Cases</w:t>
      </w:r>
      <w:r>
        <w:rPr>
          <w:rFonts w:ascii="Arial" w:cs="Arial" w:eastAsia="Arial" w:hAnsi="Arial"/>
          <w:sz w:val="16"/>
          <w:szCs w:val="16"/>
          <w:color w:val="auto"/>
        </w:rPr>
        <w:t>. As previously disclosed, on the Petition Date, November 29, 2011, the Debtors filed the Chapter 11 Cases. On October 21,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Court entered the Confirmation Order confirming the Plan. On the Effective Date, December 9, 2013, the Debtors consummated their reorganization pursuant to the Plan and completed the Merger.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$2 million from the Disputed Claims Reserve at the then-prevailing market price in order to fund cash tax obligations resulting from this distribution. As of September 30,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the Company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the Company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38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The Company has denied both grievances and intends to defend these matters vigorously.</w:t>
      </w:r>
    </w:p>
    <w:p>
      <w:pPr>
        <w:spacing w:after="0" w:line="17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DOJ Antitrust Civil Investigative Demand. </w:t>
      </w:r>
      <w:r>
        <w:rPr>
          <w:rFonts w:ascii="Arial" w:cs="Arial" w:eastAsia="Arial" w:hAnsi="Arial"/>
          <w:sz w:val="16"/>
          <w:szCs w:val="16"/>
          <w:color w:val="auto"/>
        </w:rPr>
        <w:t>In June 2015, the Company received a Civil Investigative Demand (CID) from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Justice (DOJ) as part of an investigation into whether there have been illegal agreements or coordination of air passenger capacity. The CID seeks documents and other information from the Company, and other airlines have announced that they have received similar requests. The Company intends to cooperate fully with the DOJ investigation. In addition, subsequent to announcement of the delivery of CIDs by the DOJ, the Company,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process and these lawsuits are in their very early stages and the Company intends to defend the lawsuits vigorously.</w:t>
      </w:r>
    </w:p>
    <w:p>
      <w:pPr>
        <w:spacing w:after="0" w:line="166"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Plaintiffs have indicated that they will seek further relief from the JPML. The Company believes this lawsuit is without merit and intends to vigorously defend against the allegations.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and its subsidiaries are also engaged in other legal proceedings from time to time. Legal proceedings can be complex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many months, or even years, to reach resolution, with the final outcome depending on a number of variables, some of which are not within the control of the Company. Therefore, although the Company will vigorously defend itself in each of the actions described above and such other legal proceedings, their ultimate resolution and potential financial and other impacts on the Company are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Information for Subsidiary Guarantors and Non-guarantor Subsidiaries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There are various cross-guarantees among the Company, American, US Airways Group and US Airways with respect to publicly held debt securities. In connection with the Merger, the Company and American entered into a second supplemental indenture under which they jointly and severally guaranteed the payment obligations of US Airways Group under the 6.125% senior notes. In addition, on March 31, 2014, the Company,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connection with the issuance of these guarantees, in accordance with Rule 3-10 of Regulation S-X and Rule 12h-5 under the Securities Exchange Act of 1934, as amended, US Airways Group and US Airways discontinued filing separate periodic and current reports with the SEC. As a result, in accordance with Rule 3-10, the Company is providing the following condensed consolidating financial information for the periods after Merger close for American Airlines Group (Parent Company Only), American, US Airways Group Parent, US Airways and all other non-guarantor subsidiaries, together with the consolidating adjustments necessary to present the Company’s results on a consolidated basis.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ind w:left="400"/>
              <w:spacing w:after="0"/>
              <w:rPr>
                <w:sz w:val="20"/>
                <w:szCs w:val="20"/>
                <w:color w:val="auto"/>
              </w:rPr>
            </w:pPr>
            <w:r>
              <w:rPr>
                <w:rFonts w:ascii="Arial" w:cs="Arial" w:eastAsia="Arial" w:hAnsi="Arial"/>
                <w:sz w:val="14"/>
                <w:szCs w:val="14"/>
                <w:b w:val="1"/>
                <w:bCs w:val="1"/>
                <w:color w:val="auto"/>
              </w:rPr>
              <w:t>Three Months Ended September 30, 2015</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American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US Airways</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(Parent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Group (Parent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Airways</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Only)</w:t>
            </w: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Only)</w:t>
            </w: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revenues:</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Mainline passenger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4,927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2,727</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Regional passenger</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Cargo</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2"/>
              </w:rPr>
              <w:t>625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ind w:left="640"/>
              <w:spacing w:after="0"/>
              <w:rPr>
                <w:sz w:val="20"/>
                <w:szCs w:val="20"/>
                <w:color w:val="auto"/>
              </w:rPr>
            </w:pPr>
            <w:r>
              <w:rPr>
                <w:rFonts w:ascii="Arial" w:cs="Arial" w:eastAsia="Arial" w:hAnsi="Arial"/>
                <w:sz w:val="16"/>
                <w:szCs w:val="16"/>
                <w:color w:val="auto"/>
              </w:rPr>
              <w:t>Total operating revenues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6,782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w w:val="82"/>
              </w:rPr>
              <w:t>625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Aircraft fuel and related taxes</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Salaries, wages and benefits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2"/>
              </w:rPr>
              <w:t>193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Regional expenses</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Maintenance, materials and repairs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Other rent and landing fees</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rent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Selling expenses</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Special items, net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2"/>
              </w:rPr>
              <w:t>295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ind w:left="96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5,571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3,160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w w:val="82"/>
              </w:rPr>
              <w:t>627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b w:val="1"/>
                <w:bCs w:val="1"/>
                <w:color w:val="auto"/>
              </w:rPr>
              <w:t>Nonoperating income (expense):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earnings of subsidiaries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(2,175)</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8"/>
              </w:rPr>
              <w:t>Total nonoperating income (expense),</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(2,175)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provision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1,693</w:t>
            </w:r>
          </w:p>
        </w:tc>
        <w:tc>
          <w:tcPr>
            <w:tcW w:w="160" w:type="dxa"/>
            <w:vAlign w:val="bottom"/>
          </w:tcPr>
          <w:p>
            <w:pPr>
              <w:spacing w:after="0"/>
              <w:rPr>
                <w:sz w:val="17"/>
                <w:szCs w:val="17"/>
                <w:color w:val="auto"/>
              </w:rPr>
            </w:pP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996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456</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454</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rPr>
              <w:t>Three Months Ended September 30, 2015</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American</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US Airways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(Parent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Group (Parent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2"/>
                <w:szCs w:val="12"/>
                <w:color w:val="auto"/>
              </w:rPr>
            </w:pP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US Airways</w:t>
            </w:r>
          </w:p>
        </w:tc>
        <w:tc>
          <w:tcPr>
            <w:tcW w:w="122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Only)</w:t>
            </w:r>
          </w:p>
        </w:tc>
        <w:tc>
          <w:tcPr>
            <w:tcW w:w="2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Only)</w:t>
            </w: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Subsidiaries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89"/>
              </w:rPr>
              <w:t>1,693</w:t>
            </w:r>
          </w:p>
        </w:tc>
        <w:tc>
          <w:tcPr>
            <w:tcW w:w="2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2"/>
              </w:rPr>
              <w:t>456</w:t>
            </w:r>
          </w:p>
        </w:tc>
        <w:tc>
          <w:tcPr>
            <w:tcW w:w="1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Defined benefit pension plans and retiree medical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424"/>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320"/>
              <w:spacing w:after="0"/>
              <w:rPr>
                <w:sz w:val="20"/>
                <w:szCs w:val="20"/>
                <w:color w:val="auto"/>
              </w:rPr>
            </w:pPr>
            <w:r>
              <w:rPr>
                <w:rFonts w:ascii="Arial" w:cs="Arial" w:eastAsia="Arial" w:hAnsi="Arial"/>
                <w:sz w:val="16"/>
                <w:szCs w:val="16"/>
                <w:color w:val="auto"/>
              </w:rPr>
              <w:t>Unrealized loss on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jc w:val="center"/>
              <w:ind w:right="1019"/>
              <w:spacing w:after="0"/>
              <w:rPr>
                <w:sz w:val="20"/>
                <w:szCs w:val="20"/>
                <w:color w:val="auto"/>
              </w:rPr>
            </w:pPr>
            <w:r>
              <w:rPr>
                <w:rFonts w:ascii="Arial" w:cs="Arial" w:eastAsia="Arial" w:hAnsi="Arial"/>
                <w:sz w:val="16"/>
                <w:szCs w:val="16"/>
                <w:color w:val="auto"/>
                <w:w w:val="90"/>
              </w:rPr>
              <w:t>Net change in value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424"/>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ind w:left="960"/>
              <w:spacing w:after="0"/>
              <w:rPr>
                <w:sz w:val="20"/>
                <w:szCs w:val="20"/>
                <w:color w:val="auto"/>
              </w:rPr>
            </w:pPr>
            <w:r>
              <w:rPr>
                <w:rFonts w:ascii="Arial" w:cs="Arial" w:eastAsia="Arial" w:hAnsi="Arial"/>
                <w:sz w:val="16"/>
                <w:szCs w:val="16"/>
                <w:b w:val="1"/>
                <w:bCs w:val="1"/>
                <w:color w:val="auto"/>
              </w:rPr>
              <w:t>Total other comprehensive income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tcPr>
          <w:p>
            <w:pPr>
              <w:jc w:val="center"/>
              <w:ind w:right="979"/>
              <w:spacing w:after="0"/>
              <w:rPr>
                <w:sz w:val="20"/>
                <w:szCs w:val="20"/>
                <w:color w:val="auto"/>
              </w:rPr>
            </w:pPr>
            <w:r>
              <w:rPr>
                <w:rFonts w:ascii="Arial" w:cs="Arial" w:eastAsia="Arial" w:hAnsi="Arial"/>
                <w:sz w:val="16"/>
                <w:szCs w:val="16"/>
                <w:b w:val="1"/>
                <w:bCs w:val="1"/>
                <w:color w:val="auto"/>
                <w:w w:val="84"/>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424"/>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89"/>
              </w:rPr>
              <w:t>1,693</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456</w:t>
            </w:r>
          </w:p>
        </w:tc>
        <w:tc>
          <w:tcPr>
            <w:tcW w:w="42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(1,904)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rPr>
              <w:t>Nine Months Ended September 30, 2015</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American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US Airways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Group (Parent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Only)</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Only)</w:t>
            </w: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Subsidiaries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14,565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7,733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Cargo</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19,969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11,454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16,792</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subsidiaries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Total nonoperating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(expense), net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5"/>
              </w:rPr>
              <w:t>Nine Months Ended September 30, 2015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American</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 Airways</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(Parent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Group (Parent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6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Only)</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Only)</w:t>
            </w:r>
          </w:p>
        </w:tc>
        <w:tc>
          <w:tcPr>
            <w:tcW w:w="2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4"/>
              </w:rPr>
              <w:t>4,329</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84"/>
              </w:rPr>
              <w:t>1,109</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6</w:t>
            </w: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Defined benefit pension plans and retiree medical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Derivative financial instruments: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Reclassification into earnings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Unrealized gain on investments: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change in value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ind w:left="960"/>
              <w:spacing w:after="0"/>
              <w:rPr>
                <w:sz w:val="20"/>
                <w:szCs w:val="20"/>
                <w:color w:val="auto"/>
              </w:rPr>
            </w:pPr>
            <w:r>
              <w:rPr>
                <w:rFonts w:ascii="Arial" w:cs="Arial" w:eastAsia="Arial" w:hAnsi="Arial"/>
                <w:sz w:val="16"/>
                <w:szCs w:val="16"/>
                <w:b w:val="1"/>
                <w:bCs w:val="1"/>
                <w:color w:val="auto"/>
                <w:w w:val="99"/>
              </w:rPr>
              <w:t>Total other comprehensive income</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20" w:type="dxa"/>
            <w:vAlign w:val="bottom"/>
          </w:tcPr>
          <w:p>
            <w:pPr>
              <w:ind w:left="1120"/>
              <w:spacing w:after="0"/>
              <w:rPr>
                <w:sz w:val="20"/>
                <w:szCs w:val="20"/>
                <w:color w:val="auto"/>
              </w:rPr>
            </w:pPr>
            <w:r>
              <w:rPr>
                <w:rFonts w:ascii="Arial" w:cs="Arial" w:eastAsia="Arial" w:hAnsi="Arial"/>
                <w:sz w:val="16"/>
                <w:szCs w:val="16"/>
                <w:b w:val="1"/>
                <w:bCs w:val="1"/>
                <w:color w:val="auto"/>
              </w:rPr>
              <w:t>(loss)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4,329</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84"/>
              </w:rPr>
              <w:t>1,109</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1,104</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6</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(4,839)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Months Ended September 30, 2014</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American</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US Airways</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(Parent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Group (Parent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Company</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Airways</w:t>
            </w:r>
          </w:p>
        </w:tc>
        <w:tc>
          <w:tcPr>
            <w:tcW w:w="126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Only)</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Only)</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Subsidiaries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revenues:</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Mainline passenger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5,321</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2,772</w:t>
            </w:r>
          </w:p>
        </w:tc>
        <w:tc>
          <w:tcPr>
            <w:tcW w:w="2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Regional passenger</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Cargo</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640"/>
              <w:spacing w:after="0"/>
              <w:rPr>
                <w:sz w:val="20"/>
                <w:szCs w:val="20"/>
                <w:color w:val="auto"/>
              </w:rPr>
            </w:pPr>
            <w:r>
              <w:rPr>
                <w:rFonts w:ascii="Arial" w:cs="Arial" w:eastAsia="Arial" w:hAnsi="Arial"/>
                <w:sz w:val="16"/>
                <w:szCs w:val="16"/>
                <w:color w:val="auto"/>
              </w:rPr>
              <w:t>Total operating revenues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7,055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4,114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Aircraft fuel and related taxes</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1,894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Salaries, wages and benefits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Regional expenses</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Maintenance, materials and repairs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Other rent and landing fees</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rent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Selling expenses</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278</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Special items, net</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960"/>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6,357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3,548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6"/>
                <w:szCs w:val="16"/>
                <w:b w:val="1"/>
                <w:bCs w:val="1"/>
                <w:color w:val="auto"/>
              </w:rPr>
              <w:t>Nonoperating income (expense):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720"/>
              <w:spacing w:after="0"/>
              <w:rPr>
                <w:sz w:val="20"/>
                <w:szCs w:val="20"/>
                <w:color w:val="auto"/>
              </w:rPr>
            </w:pPr>
            <w:r>
              <w:rPr>
                <w:rFonts w:ascii="Arial" w:cs="Arial" w:eastAsia="Arial" w:hAnsi="Arial"/>
                <w:sz w:val="15"/>
                <w:szCs w:val="15"/>
                <w:color w:val="auto"/>
                <w:w w:val="71"/>
              </w:rPr>
              <w:t>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7"/>
                <w:szCs w:val="17"/>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earnings of subsidiaries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2"/>
              </w:rPr>
              <w:t>940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2"/>
              </w:rPr>
              <w:t>476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(1,416)</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nonoperating income (expense),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2"/>
              </w:rPr>
              <w:t>942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2"/>
              </w:rPr>
              <w:t>466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w w:val="82"/>
              </w:rPr>
              <w:t>942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470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w w:val="82"/>
              </w:rPr>
              <w:t>466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(1,416)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provision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60"/>
              <w:spacing w:after="0"/>
              <w:rPr>
                <w:sz w:val="20"/>
                <w:szCs w:val="20"/>
                <w:color w:val="auto"/>
              </w:rPr>
            </w:pPr>
            <w:r>
              <w:rPr>
                <w:rFonts w:ascii="Arial" w:cs="Arial" w:eastAsia="Arial" w:hAnsi="Arial"/>
                <w:sz w:val="16"/>
                <w:szCs w:val="16"/>
                <w:color w:val="auto"/>
                <w:w w:val="82"/>
              </w:rPr>
              <w:t>942</w:t>
            </w:r>
          </w:p>
        </w:tc>
        <w:tc>
          <w:tcPr>
            <w:tcW w:w="2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465</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80"/>
              <w:spacing w:after="0"/>
              <w:rPr>
                <w:sz w:val="20"/>
                <w:szCs w:val="20"/>
                <w:color w:val="auto"/>
              </w:rPr>
            </w:pPr>
            <w:r>
              <w:rPr>
                <w:rFonts w:ascii="Arial" w:cs="Arial" w:eastAsia="Arial" w:hAnsi="Arial"/>
                <w:sz w:val="16"/>
                <w:szCs w:val="16"/>
                <w:color w:val="auto"/>
                <w:w w:val="82"/>
              </w:rPr>
              <w:t>466</w:t>
            </w: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489</w:t>
            </w:r>
          </w:p>
        </w:tc>
        <w:tc>
          <w:tcPr>
            <w:tcW w:w="2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(1,409)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32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loss:</w:t>
      </w:r>
    </w:p>
    <w:p>
      <w:pPr>
        <w:spacing w:after="0" w:line="26" w:lineRule="exact"/>
        <w:rPr>
          <w:sz w:val="20"/>
          <w:szCs w:val="20"/>
          <w:color w:val="auto"/>
        </w:rPr>
      </w:pPr>
    </w:p>
    <w:p>
      <w:pPr>
        <w:ind w:left="500" w:hanging="161"/>
        <w:spacing w:after="0" w:line="264" w:lineRule="auto"/>
        <w:rPr>
          <w:sz w:val="20"/>
          <w:szCs w:val="20"/>
          <w:color w:val="auto"/>
        </w:rPr>
      </w:pPr>
      <w:r>
        <w:rPr>
          <w:rFonts w:ascii="Arial" w:cs="Arial" w:eastAsia="Arial" w:hAnsi="Arial"/>
          <w:sz w:val="16"/>
          <w:szCs w:val="16"/>
          <w:color w:val="auto"/>
        </w:rPr>
        <w:t>Defined benefit pension plans and retiree medical</w:t>
      </w:r>
    </w:p>
    <w:p>
      <w:pPr>
        <w:ind w:left="340"/>
        <w:spacing w:after="0"/>
        <w:rPr>
          <w:sz w:val="20"/>
          <w:szCs w:val="20"/>
          <w:color w:val="auto"/>
        </w:rPr>
      </w:pPr>
      <w:r>
        <w:rPr>
          <w:rFonts w:ascii="Arial" w:cs="Arial" w:eastAsia="Arial" w:hAnsi="Arial"/>
          <w:sz w:val="16"/>
          <w:szCs w:val="16"/>
          <w:color w:val="auto"/>
        </w:rPr>
        <w:t>Derivative financial instruments: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Reclassification into earnings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Unrealized loss on investments: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change in value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Three Months Ended September 30,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American</w:t>
            </w: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US Airways</w:t>
            </w: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ind w:right="2"/>
              <w:spacing w:after="0"/>
              <w:rPr>
                <w:sz w:val="20"/>
                <w:szCs w:val="20"/>
                <w:color w:val="auto"/>
              </w:rPr>
            </w:pPr>
            <w:r>
              <w:rPr>
                <w:rFonts w:ascii="Arial" w:cs="Arial" w:eastAsia="Arial" w:hAnsi="Arial"/>
                <w:sz w:val="14"/>
                <w:szCs w:val="14"/>
                <w:b w:val="1"/>
                <w:bCs w:val="1"/>
                <w:color w:val="auto"/>
                <w:w w:val="93"/>
              </w:rPr>
              <w:t>American</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(Parent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Group (Parent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Airlines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Company</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8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Airways</w:t>
            </w: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Only)</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
              <w:spacing w:after="0"/>
              <w:rPr>
                <w:sz w:val="20"/>
                <w:szCs w:val="20"/>
                <w:color w:val="auto"/>
              </w:rPr>
            </w:pPr>
            <w:r>
              <w:rPr>
                <w:rFonts w:ascii="Arial" w:cs="Arial" w:eastAsia="Arial" w:hAnsi="Arial"/>
                <w:sz w:val="14"/>
                <w:szCs w:val="14"/>
                <w:b w:val="1"/>
                <w:bCs w:val="1"/>
                <w:color w:val="auto"/>
                <w:w w:val="94"/>
              </w:rPr>
              <w:t>Only)</w:t>
            </w: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0"/>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w w:val="89"/>
              </w:rPr>
              <w:t>942</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w w:val="82"/>
              </w:rPr>
              <w:t>466</w:t>
            </w: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82"/>
              </w:rPr>
              <w:t>489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w w:val="72"/>
              </w:rPr>
              <w:t>(11)</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3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8"/>
        </w:trPr>
        <w:tc>
          <w:tcPr>
            <w:tcW w:w="120" w:type="dxa"/>
            <w:vAlign w:val="bottom"/>
          </w:tcPr>
          <w:p>
            <w:pPr>
              <w:spacing w:after="0"/>
              <w:rPr>
                <w:sz w:val="24"/>
                <w:szCs w:val="24"/>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-1033145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-767080</wp:posOffset>
            </wp:positionV>
            <wp:extent cx="724662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-381635</wp:posOffset>
            </wp:positionV>
            <wp:extent cx="72466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-124460</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00" w:space="560"/>
            <w:col w:w="78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Total other comprehensive loss</w:t>
            </w: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(loss)</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9"/>
              </w:rPr>
              <w:t>942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2"/>
              </w:rPr>
              <w:t>466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(1,409)</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rPr>
              <w:t>Nine Months Ended September 30, 2014</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American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US Airways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Group (Parent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Only)</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Only)</w:t>
            </w: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Subsidiaries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15,579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7,985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Cargo</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20,676</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18,683</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10,461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subsidiaries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Total nonoperating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(expense), net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1,225</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(3,445)</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Nine Months Ended September 30, 2014</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American</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US Airways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(Parent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Company</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Only)</w:t>
            </w: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Only)</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4"/>
              </w:rPr>
              <w:t>1,105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72"/>
              </w:rPr>
              <w:t>(22)</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7"/>
              </w:rPr>
              <w:t>(3,436)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Defined benefit pension plans and retiree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medical</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700"/>
              <w:spacing w:after="0"/>
              <w:rPr>
                <w:sz w:val="20"/>
                <w:szCs w:val="20"/>
                <w:color w:val="auto"/>
              </w:rPr>
            </w:pPr>
            <w:r>
              <w:rPr>
                <w:rFonts w:ascii="Arial" w:cs="Arial" w:eastAsia="Arial" w:hAnsi="Arial"/>
                <w:sz w:val="18"/>
                <w:szCs w:val="18"/>
                <w:color w:val="auto"/>
              </w:rPr>
              <w:t>Reclassification into earnings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700"/>
              <w:spacing w:after="0"/>
              <w:rPr>
                <w:sz w:val="20"/>
                <w:szCs w:val="20"/>
                <w:color w:val="auto"/>
              </w:rPr>
            </w:pPr>
            <w:r>
              <w:rPr>
                <w:rFonts w:ascii="Arial" w:cs="Arial" w:eastAsia="Arial" w:hAnsi="Arial"/>
                <w:sz w:val="18"/>
                <w:szCs w:val="18"/>
                <w:color w:val="auto"/>
              </w:rPr>
              <w:t>Net change in value</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non-cash tax provision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ind w:left="1060"/>
              <w:spacing w:after="0" w:line="205" w:lineRule="exact"/>
              <w:rPr>
                <w:sz w:val="20"/>
                <w:szCs w:val="20"/>
                <w:color w:val="auto"/>
              </w:rPr>
            </w:pPr>
            <w:r>
              <w:rPr>
                <w:rFonts w:ascii="Arial" w:cs="Arial" w:eastAsia="Arial" w:hAnsi="Arial"/>
                <w:sz w:val="18"/>
                <w:szCs w:val="18"/>
                <w:b w:val="1"/>
                <w:bCs w:val="1"/>
                <w:color w:val="auto"/>
                <w:w w:val="98"/>
              </w:rPr>
              <w:t>Total other comprehensive income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ind w:left="124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1,105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(3,436)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1020"/>
              <w:spacing w:after="0"/>
              <w:rPr>
                <w:sz w:val="20"/>
                <w:szCs w:val="20"/>
                <w:color w:val="auto"/>
              </w:rPr>
            </w:pPr>
            <w:r>
              <w:rPr>
                <w:rFonts w:ascii="Arial" w:cs="Arial" w:eastAsia="Arial" w:hAnsi="Arial"/>
                <w:sz w:val="14"/>
                <w:szCs w:val="14"/>
                <w:b w:val="1"/>
                <w:bCs w:val="1"/>
                <w:color w:val="auto"/>
                <w:w w:val="96"/>
              </w:rPr>
              <w:t>September 30, 2015</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American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US Airways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Airlines Group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Group (Parent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Only)</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Only)</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Subsidiaries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Restricted cash and short-term investments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3"/>
        </w:trPr>
        <w:tc>
          <w:tcPr>
            <w:tcW w:w="38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9,785</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19,200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Intangibles, net of accumulated amortization</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23"/>
        </w:trPr>
        <w:tc>
          <w:tcPr>
            <w:tcW w:w="384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31,682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STOCKHOLDERS’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 (DEFICIT)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maturities of long-term debt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capital leases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to related parties,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Frequent flyer liability</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12,111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Long-term debt and capital leases, net of</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current maturities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12,040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Bankruptcy settlement obligations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2,057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22,414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12,852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10,833</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(4,734)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(8,942)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(2,843)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5"/>
        </w:trPr>
        <w:tc>
          <w:tcPr>
            <w:tcW w:w="3840" w:type="dxa"/>
            <w:vAlign w:val="bottom"/>
          </w:tcPr>
          <w:p>
            <w:pPr>
              <w:ind w:left="1080"/>
              <w:spacing w:after="0" w:line="205" w:lineRule="exact"/>
              <w:rPr>
                <w:sz w:val="20"/>
                <w:szCs w:val="20"/>
                <w:color w:val="auto"/>
              </w:rPr>
            </w:pPr>
            <w:r>
              <w:rPr>
                <w:rFonts w:ascii="Arial" w:cs="Arial" w:eastAsia="Arial" w:hAnsi="Arial"/>
                <w:sz w:val="18"/>
                <w:szCs w:val="18"/>
                <w:b w:val="1"/>
                <w:bCs w:val="1"/>
                <w:color w:val="auto"/>
                <w:w w:val="96"/>
              </w:rPr>
              <w:t>Total liabilities and stockholders’</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1260"/>
              <w:spacing w:after="0"/>
              <w:rPr>
                <w:sz w:val="20"/>
                <w:szCs w:val="20"/>
                <w:color w:val="auto"/>
              </w:rPr>
            </w:pPr>
            <w:r>
              <w:rPr>
                <w:rFonts w:ascii="Arial" w:cs="Arial" w:eastAsia="Arial" w:hAnsi="Arial"/>
                <w:sz w:val="18"/>
                <w:szCs w:val="18"/>
                <w:b w:val="1"/>
                <w:bCs w:val="1"/>
                <w:color w:val="auto"/>
              </w:rPr>
              <w:t>equity (deficit)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5,318</w:t>
            </w:r>
          </w:p>
        </w:tc>
        <w:tc>
          <w:tcPr>
            <w:tcW w:w="12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31,682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8,099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17,512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(14,467)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48,715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4"/>
                <w:szCs w:val="14"/>
                <w:b w:val="1"/>
                <w:bCs w:val="1"/>
                <w:color w:val="auto"/>
                <w:w w:val="96"/>
              </w:rPr>
              <w:t>December 31, 2014</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American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US Airways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Airlines Group</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Group (Parent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American</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Only)</w:t>
            </w: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Only)</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Subsidiaries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Restricted cash and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6"/>
              </w:rPr>
              <w:t>159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16,299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Intangibles, net of accumulated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900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23"/>
        </w:trPr>
        <w:tc>
          <w:tcPr>
            <w:tcW w:w="380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26,292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 (DEFICIT)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maturities of long-term debt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capital leases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to related parties,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Frequent flyer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Long-term debt and capital leases, net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current maturities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758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Mandatorily convertible preferred stock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bankruptcy settlement obligations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759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20,344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10,632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Retained earnings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(11,559)</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5"/>
        </w:trPr>
        <w:tc>
          <w:tcPr>
            <w:tcW w:w="3800" w:type="dxa"/>
            <w:vAlign w:val="bottom"/>
          </w:tcPr>
          <w:p>
            <w:pPr>
              <w:ind w:left="1080"/>
              <w:spacing w:after="0" w:line="205" w:lineRule="exact"/>
              <w:rPr>
                <w:sz w:val="20"/>
                <w:szCs w:val="20"/>
                <w:color w:val="auto"/>
              </w:rPr>
            </w:pPr>
            <w:r>
              <w:rPr>
                <w:rFonts w:ascii="Arial" w:cs="Arial" w:eastAsia="Arial" w:hAnsi="Arial"/>
                <w:sz w:val="18"/>
                <w:szCs w:val="18"/>
                <w:b w:val="1"/>
                <w:bCs w:val="1"/>
                <w:color w:val="auto"/>
                <w:w w:val="95"/>
              </w:rPr>
              <w:t>Total liabilities and stockholders’</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equity (deficit)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26,292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7,029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18,090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(11,428)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rPr>
              <w:t>Nine Months Ended September 30, 2015</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American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US</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Airways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(Parent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Group (Parent</w:t>
            </w:r>
          </w:p>
        </w:tc>
        <w:tc>
          <w:tcPr>
            <w:tcW w:w="80" w:type="dxa"/>
            <w:vAlign w:val="bottom"/>
          </w:tcPr>
          <w:p>
            <w:pPr>
              <w:spacing w:after="0"/>
              <w:rPr>
                <w:sz w:val="12"/>
                <w:szCs w:val="12"/>
                <w:color w:val="auto"/>
              </w:rPr>
            </w:pP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Eliminations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Only)</w:t>
            </w:r>
          </w:p>
        </w:tc>
        <w:tc>
          <w:tcPr>
            <w:tcW w:w="1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Only)</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Airways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Subsidiaries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Reclassifications</w:t>
            </w:r>
          </w:p>
        </w:tc>
        <w:tc>
          <w:tcPr>
            <w:tcW w:w="2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Capital expenditures and aircraft purchase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(3,962)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(5,061)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(2,655)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340"/>
              <w:spacing w:after="0" w:line="201" w:lineRule="exact"/>
              <w:rPr>
                <w:sz w:val="20"/>
                <w:szCs w:val="20"/>
                <w:color w:val="auto"/>
              </w:rPr>
            </w:pPr>
            <w:r>
              <w:rPr>
                <w:rFonts w:ascii="Arial" w:cs="Arial" w:eastAsia="Arial" w:hAnsi="Arial"/>
                <w:sz w:val="18"/>
                <w:szCs w:val="18"/>
                <w:color w:val="auto"/>
                <w:w w:val="93"/>
              </w:rPr>
              <w:t>Decrease in restricted cash and short-term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an investment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340"/>
              <w:spacing w:after="0" w:line="201" w:lineRule="exact"/>
              <w:rPr>
                <w:sz w:val="20"/>
                <w:szCs w:val="20"/>
                <w:color w:val="auto"/>
              </w:rPr>
            </w:pPr>
            <w:r>
              <w:rPr>
                <w:rFonts w:ascii="Arial" w:cs="Arial" w:eastAsia="Arial" w:hAnsi="Arial"/>
                <w:sz w:val="18"/>
                <w:szCs w:val="18"/>
                <w:color w:val="auto"/>
              </w:rPr>
              <w:t>Proceeds from sale of property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(6,068)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Payments on long-term debt and capital</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(1,544)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w w:val="95"/>
              </w:rPr>
              <w:t>Proceeds from issuance of long-term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3,554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Sale-leaseback transactions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repurchases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Dividend payment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700"/>
              <w:spacing w:after="0"/>
              <w:rPr>
                <w:sz w:val="20"/>
                <w:szCs w:val="20"/>
                <w:color w:val="auto"/>
              </w:rPr>
            </w:pPr>
            <w:r>
              <w:rPr>
                <w:rFonts w:ascii="Arial" w:cs="Arial" w:eastAsia="Arial" w:hAnsi="Arial"/>
                <w:sz w:val="18"/>
                <w:szCs w:val="18"/>
                <w:color w:val="auto"/>
              </w:rPr>
              <w:t>Net cash provided by (used in)</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8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9"/>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Nine Months Ended September 30, 2014</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American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US Airways</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(Parent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Company</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Only)</w:t>
            </w: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Only)</w:t>
            </w: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3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9"/>
              </w:rPr>
              <w:t>Net cash provided by (used in)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5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Capital expenditures and aircraft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purchase deposits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(2,746)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02"/>
        </w:trPr>
        <w:tc>
          <w:tcPr>
            <w:tcW w:w="3480" w:type="dxa"/>
            <w:vAlign w:val="bottom"/>
          </w:tcPr>
          <w:p>
            <w:pPr>
              <w:ind w:left="360"/>
              <w:spacing w:after="0" w:line="201" w:lineRule="exact"/>
              <w:rPr>
                <w:sz w:val="20"/>
                <w:szCs w:val="20"/>
                <w:color w:val="auto"/>
              </w:rPr>
            </w:pPr>
            <w:r>
              <w:rPr>
                <w:rFonts w:ascii="Arial" w:cs="Arial" w:eastAsia="Arial" w:hAnsi="Arial"/>
                <w:sz w:val="18"/>
                <w:szCs w:val="18"/>
                <w:color w:val="auto"/>
                <w:w w:val="91"/>
              </w:rPr>
              <w:t>Decrease in restricted cash and short-term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54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slot transaction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Funds transferred to affiliates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Proceeds from sale of property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480" w:type="dxa"/>
            <w:vAlign w:val="bottom"/>
          </w:tcPr>
          <w:p>
            <w:pPr>
              <w:ind w:left="720"/>
              <w:spacing w:after="0"/>
              <w:rPr>
                <w:sz w:val="20"/>
                <w:szCs w:val="20"/>
                <w:color w:val="auto"/>
              </w:rPr>
            </w:pPr>
            <w:r>
              <w:rPr>
                <w:rFonts w:ascii="Arial" w:cs="Arial" w:eastAsia="Arial" w:hAnsi="Arial"/>
                <w:sz w:val="18"/>
                <w:szCs w:val="18"/>
                <w:color w:val="auto"/>
                <w:w w:val="96"/>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ind w:left="360"/>
              <w:spacing w:after="0" w:line="201" w:lineRule="exact"/>
              <w:rPr>
                <w:sz w:val="20"/>
                <w:szCs w:val="20"/>
                <w:color w:val="auto"/>
              </w:rPr>
            </w:pPr>
            <w:r>
              <w:rPr>
                <w:rFonts w:ascii="Arial" w:cs="Arial" w:eastAsia="Arial" w:hAnsi="Arial"/>
                <w:sz w:val="18"/>
                <w:szCs w:val="18"/>
                <w:color w:val="auto"/>
                <w:w w:val="97"/>
              </w:rPr>
              <w:t>Payments on long-term debt and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540"/>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(2,201)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Proceeds from issuance of long-term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Sale-leaseback transactions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repurchases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Dividend payment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transferred to affiliates,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Cash at end of period</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right"/>
              <w:ind w:right="693"/>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Share Repurchase Program and Dividend Declaration</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October 2015, the Company announced that its Board of Directors had authorized a new $2.0 billion share repurchase program to be completed by the end of 2016. Share repurchases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the Company to repurchase any specific number of shares and may be suspended at any time at the Company’s discretion.</w:t>
      </w:r>
    </w:p>
    <w:p>
      <w:pPr>
        <w:spacing w:after="0" w:line="18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Also in October 2015, the Company announced that its Board of Directors had declared a $0.10 per share dividend for shareholders of record on November 5, 2015, and payable on November 19, 2015.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the Company’s discretion.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tab/>
        <w:t>CONDENSED CONSOLIDATED FINANCIAL STATEMENTS OF 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4"/>
                <w:szCs w:val="1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4,927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5,321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14,565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Cargo</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7,055</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19,969</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4,684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16,792</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3,177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2,617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4"/>
                <w:szCs w:val="14"/>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 and retiree medical</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4900" w:type="dxa"/>
            <w:vAlign w:val="bottom"/>
          </w:tcPr>
          <w:p>
            <w:pPr>
              <w:ind w:left="700"/>
              <w:spacing w:after="0"/>
              <w:rPr>
                <w:sz w:val="20"/>
                <w:szCs w:val="20"/>
                <w:color w:val="auto"/>
              </w:rPr>
            </w:pPr>
            <w:r>
              <w:rPr>
                <w:rFonts w:ascii="Arial" w:cs="Arial" w:eastAsia="Arial" w:hAnsi="Arial"/>
                <w:sz w:val="18"/>
                <w:szCs w:val="18"/>
                <w:color w:val="auto"/>
              </w:rPr>
              <w:t>Reclassification into earnings</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investments:</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700"/>
              <w:spacing w:after="0"/>
              <w:rPr>
                <w:sz w:val="20"/>
                <w:szCs w:val="20"/>
                <w:color w:val="auto"/>
              </w:rPr>
            </w:pPr>
            <w:r>
              <w:rPr>
                <w:rFonts w:ascii="Arial" w:cs="Arial" w:eastAsia="Arial" w:hAnsi="Arial"/>
                <w:sz w:val="18"/>
                <w:szCs w:val="18"/>
                <w:color w:val="auto"/>
              </w:rPr>
              <w:t>Net change in value</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non-cash tax provision</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30"/>
        </w:trPr>
        <w:tc>
          <w:tcPr>
            <w:tcW w:w="20" w:type="dxa"/>
            <w:vAlign w:val="bottom"/>
          </w:tcPr>
          <w:p>
            <w:pPr>
              <w:spacing w:after="0"/>
              <w:rPr>
                <w:sz w:val="20"/>
                <w:szCs w:val="20"/>
                <w:color w:val="auto"/>
              </w:rPr>
            </w:pPr>
          </w:p>
        </w:tc>
        <w:tc>
          <w:tcPr>
            <w:tcW w:w="4900" w:type="dxa"/>
            <w:vAlign w:val="bottom"/>
          </w:tcPr>
          <w:p>
            <w:pPr>
              <w:ind w:left="1060"/>
              <w:spacing w:after="0"/>
              <w:rPr>
                <w:sz w:val="20"/>
                <w:szCs w:val="20"/>
                <w:color w:val="auto"/>
              </w:rPr>
            </w:pPr>
            <w:r>
              <w:rPr>
                <w:rFonts w:ascii="Arial" w:cs="Arial" w:eastAsia="Arial" w:hAnsi="Arial"/>
                <w:sz w:val="18"/>
                <w:szCs w:val="18"/>
                <w:b w:val="1"/>
                <w:bCs w:val="1"/>
                <w:color w:val="auto"/>
              </w:rPr>
              <w:t>Total other comprehensive income (loss)</w:t>
            </w:r>
          </w:p>
        </w:tc>
        <w:tc>
          <w:tcPr>
            <w:tcW w:w="76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(29)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3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967</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4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5,405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9,785</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equipment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24,687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Ground property and equipment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5,549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purchase deposits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(12,086)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Intangibles, net of accumulated amortization of $385 and $376, respectively</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808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31,682</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c>
          <w:tcPr>
            <w:tcW w:w="440" w:type="dxa"/>
            <w:vAlign w:val="bottom"/>
          </w:tcPr>
          <w:p>
            <w:pPr>
              <w:spacing w:after="0"/>
              <w:rPr>
                <w:sz w:val="18"/>
                <w:szCs w:val="18"/>
                <w:color w:val="auto"/>
              </w:rPr>
            </w:pPr>
          </w:p>
        </w:tc>
        <w:tc>
          <w:tcPr>
            <w:tcW w:w="7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Accrued salaries and wages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 traffic liability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Frequent flyer liability</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to related parties,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7,270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gains and credits,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Bankruptcy settlement obligations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10,833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(4,734)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(8,942)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(2,843)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slot transaction</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Funds transferred to affiliates,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Sale-leaseback transactions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806</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bankruptcy obligations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2014. American is a wholly-owned subsidiary of American Airlines Group Inc. (AAG). All significant intercompany transactions have been eliminated.</w:t>
      </w:r>
    </w:p>
    <w:p>
      <w:pPr>
        <w:spacing w:after="0" w:line="16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long-lived and intangible assets, the frequent flyer program, pensions, retiree medical and other benefits and the deferred tax asset valuation allowance.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On July 9, 2015, the FASB issued ASU 2015-14, which deferred the effective date of this new standard to periods beginning after December 15, 2017 for public entities. Early application is permitted, but not before interim and annual reporting periods beginning after December 15, 2016. Entities have the choice to apply ASU 2014-09 either retrospectively to each reporting period presented or by recognizing the cumulative effect of applying ASU 2014-09 at the date of initial application and not adjusting comparative information. American is currently evaluating the requirements of ASU 2014-09 and has not yet determined its impact on American’s condensed consolidated financial statements.</w:t>
      </w:r>
    </w:p>
    <w:p>
      <w:pPr>
        <w:spacing w:after="0" w:line="16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The update requires debt issuance costs related to a recognized debt liability to be presented in the balance sheet as a direct deduction from the carrying amount of the related debt liability instead of being presented as an asset. Debt disclosures will include the face amount of the debt liability and the effective interest rate. The update requires retrospective application and represents a change in accounting principle. The update is effective for fiscal years beginning after December 15, 2015. Early adoption is permitted for financial statements that have not been previously issued. ASU 2015-03 is not expected to have a material impact on American’s condensed consolidated financial statements.</w:t>
      </w:r>
    </w:p>
    <w:p>
      <w:pPr>
        <w:spacing w:after="0" w:line="283" w:lineRule="exact"/>
        <w:rPr>
          <w:sz w:val="20"/>
          <w:szCs w:val="20"/>
          <w:color w:val="auto"/>
        </w:rPr>
      </w:pPr>
    </w:p>
    <w:p>
      <w:pPr>
        <w:ind w:left="460" w:right="8960" w:hanging="452"/>
        <w:spacing w:after="0" w:line="453" w:lineRule="auto"/>
        <w:tabs>
          <w:tab w:leader="none" w:pos="18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Emergence from Chapter 11 </w:t>
      </w:r>
      <w:r>
        <w:rPr>
          <w:rFonts w:ascii="Arial" w:cs="Arial" w:eastAsia="Arial" w:hAnsi="Arial"/>
          <w:sz w:val="15"/>
          <w:szCs w:val="15"/>
          <w:b w:val="1"/>
          <w:bCs w:val="1"/>
          <w:i w:val="1"/>
          <w:iCs w:val="1"/>
          <w:color w:val="auto"/>
        </w:rPr>
        <w:t>Chapter 11 Reorganization</w:t>
      </w:r>
    </w:p>
    <w:p>
      <w:pPr>
        <w:spacing w:after="0" w:line="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an Agreement and Plan of Merger (as amended, the Merger Agreement), dated as of February 13, 2013, by and among AMR, AMR Merger Sub, Inc. (Merger Sub) and US Airways Group, Inc. (US Airways Group), pursuant to which Merger Sub merged with and into US Airways Group (the Merger), with US Airways Group surviving as a wholly-owned subsidiary of AAG following the Merger.</w:t>
      </w:r>
    </w:p>
    <w:p>
      <w:pPr>
        <w:spacing w:after="0" w:line="18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connection with the Chapter 11 Cases, trading in AMR’s common stock and certain debt securities on the New York Stock Exchange (NYSE) was suspended on January 5, 2012, and AMR’s common stock and such debt securities were delisted from the NYSE on January 30, 2012. On January 5, 2012, AMR’s common stock began trading under the symbol “AAMRQ” (CUSIP 001765106) on the OTCQB marketplace, operated by OTC Markets Group. Pursuant to the Plan, on the Effective Date (i) all existing shares of AAG’s old common stock formerly traded under the symbol “AAMRQ” were canceled and (ii) AAG was authorized to issue up to approximately 544 million shares of common stock, par value $0.01 per share, of AAG (AAG Common Stock) by operation of the Plan (excluding shares of AAG Common Stock issuable pursuant to the Merger Agreement). On the Effective Date, the AAG Common Stock was listed on the NASDAQ Global Select Market under the symbol “AAL,” and AAMRQ ceased trading on the OTCQB marketplace.</w:t>
      </w:r>
    </w:p>
    <w:p>
      <w:pPr>
        <w:spacing w:after="0" w:line="16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Upon emergence from Chapter 11, AAG issued approximately 53 million shares of AAG Common Stock to AMR’s old equity holders and certain of the Debtors’ employees, and issued 168 million shares of AAG Series A Convertible Preferred Stock, par value $0.01 per share (the AAG Series A Preferred Stock), which was mandatorily convertible into new AAG Common Stock during the 120-day period after the Effective Date, to certain creditors and employees of the Debtors (including shares deposited in the Disputed Claims Reserve (as defined in the Plan)). In accordance with the terms of the Plan, former holders of AMR common stock (previously traded under the symbol “AAMRQ”) received, for each share of AMR common stock, an initial distribution of approximately 0.0665 shares of the AAG Common Stock as of the Effective Date. Following the Effective Date, former holders of AMR common stock and those deemed to be treated as such in connection with the elections made pursuant to the Plan have received through December 31, 2014, additional aggregate distributions of shares of AAG Common Stock of approximately 0.6776 shares of AAG Common Stock for each share of AMR common stock previously held, and may continue to receive additional distributions. As of the Effective Date, the adjusted total Double-Dip General Unsecured Claims (as defined in the Plan) were approximately $2.5 billion and the Allowed Single-Dip General Unsecured Claims (as defined in the Plan) were approximately $2.5 billion.</w:t>
      </w:r>
    </w:p>
    <w:p>
      <w:pPr>
        <w:spacing w:after="0" w:line="193" w:lineRule="exact"/>
        <w:rPr>
          <w:sz w:val="20"/>
          <w:szCs w:val="20"/>
          <w:color w:val="auto"/>
        </w:rPr>
      </w:pPr>
    </w:p>
    <w:p>
      <w:pPr>
        <w:jc w:val="both"/>
        <w:ind w:firstLine="456"/>
        <w:spacing w:after="0" w:line="267" w:lineRule="auto"/>
        <w:rPr>
          <w:sz w:val="20"/>
          <w:szCs w:val="20"/>
          <w:color w:val="auto"/>
        </w:rPr>
      </w:pPr>
      <w:r>
        <w:rPr>
          <w:rFonts w:ascii="Arial" w:cs="Arial" w:eastAsia="Arial" w:hAnsi="Arial"/>
          <w:sz w:val="17"/>
          <w:szCs w:val="17"/>
          <w:color w:val="auto"/>
        </w:rPr>
        <w:t>The Disputed Claims Reserve established under the Plan initially was issued 30.4 million shares, which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$2 million from the Disputed Claims Reserve at the then-prevailing market price in order to fund cash tax obligations resulting from this distribution. As of September 30,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AAG but rather will be distributed to former AMR shareholders as of the Effective Date. American is not required to distribute additional shares above the limits contemplated by the Plan.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12 for more information.</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reconciliation process with respect to the remaining claims is expected to take considerable time. American’s estimate of the amounts of disputed claims that will ultimately become allowed Single-Dip Unsecured Claims are included in bankruptcy settlement obligations on American’s condensed consolidated balance sheet as of September 30, 2015. As these claims are resolved, or where better information becomes available and is evaluated, American will make adjustments to the liabilities recorded on its condensed consolidated financial statements as appropriate. Any such adjustments could be material to American’s financial position or results of operations in any given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Upon emergence from bankruptcy, American experienced an “ownership change” as defined in Section 382 of the Internal Revenue Code of 1986, as amended (Section 382), which could potentially limit the ability to utilize certain tax attributes including American’s substantial net operating losses (NOLs). The general limitation rules for a debtor in a bankruptcy case are liberalized where the ownership change occurs upon emergence from bankruptcy. American elected to be covered by certain special rules for federal income tax purposes that permit approximately $9.5 billion of the federal NOLs carried over from prior taxable years (NOL Carryforwards) to be utilized without regard to the annual limitation generally imposed by Section 382.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Restated Certificate of Incorporation (the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the Certificate of Incorporation was attached as Exhibit 3.1 to a Current Report on Form 8-K filed by AAG with the SEC on December 9,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bankruptcy settlement obligations on the condensed consolidated balance sheets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Single-Dip Equity Obligations</w:t>
            </w:r>
          </w:p>
        </w:tc>
        <w:tc>
          <w:tcPr>
            <w:tcW w:w="2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28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amount of the remaining Single-Dip Equity Obligations at September 30, 2015 is American’s estimate of its obligation for disputed claims of $135 million and is calculated based on the fair value of the shares expected to be issued, measured as if the obligations were settled using the closing price of AAG Common Stock at September 30, 2015.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5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As of September 30, 2015, the remaining liability to certain AMR labor groups and employees of $42 million represents the estimated fair value of the remaining shares expected to be issued in satisfaction of such obligation, measured as if the obligation was settled using the closing price of AAG Common Stock at September 30, 2015.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9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10, 2015 and July 14, 2015, approximately 0.8 million and 0.6 million shares, respectively, of AAG Common Stock held in the Disputed Claims Reserve were distributed to holders of allowed Single-Dip Unsecured Claims, to holders of certain labor-related deemed claims and to holders of certain non-management, non-union employee deemed claims as specified in the Plan, and 0.1 million shares in the aggregate were withheld or sold on account of related tax obligations.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6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3"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2015 third quarter mainline operating special items totaled a net charge of $77 million, which principally included $115 million of merger integration expenses related to information technology, professional fees, severance, share-based compensation, fleet restructuring, re-branding of aircraft and airport facilities, relocation and training, as well as a $38 million charge in connection with the dissolution of the Texas Aero Engine Services joint venture. These charges were offset in part by a $66 million credit related to proceeds received from a legal settlement. The 2015 nine month period mainline operating special items totaled a net charge of $350 million, which principally included $400 million of merger integration expenses as described above, a net $64 million charge related to American’s new pilot joint collective bargaining agreement and a $38 million charge in connection with the dissolution of the Texas Aero Engine Services joint venture. These charges were offset in part by a net $75 million credit for bankruptcy related items primarily consisting of fair value adjustments for bankruptcy settlement obligations and a $66 million credit related to proceeds received from a legal settlement.</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460"/>
        <w:spacing w:after="0" w:line="270" w:lineRule="auto"/>
        <w:rPr>
          <w:sz w:val="20"/>
          <w:szCs w:val="20"/>
          <w:color w:val="auto"/>
        </w:rPr>
      </w:pPr>
      <w:r>
        <w:rPr>
          <w:rFonts w:ascii="Arial" w:cs="Arial" w:eastAsia="Arial" w:hAnsi="Arial"/>
          <w:sz w:val="17"/>
          <w:szCs w:val="17"/>
          <w:color w:val="auto"/>
        </w:rPr>
        <w:t>The 2014 third quarter mainline operating special items totaled a net charge of $164 million, which principally included $103 million of merger integration expenses related to information technology, alignment of labor union contracts, professional fees, severance and retention, share-based compensation, re-branding of aircraft and airport facilities, relocation and training, as well as $99 million in other special charges, including an $81 million charge to revise prior estimates of certain aircraft residual values, and other spare parts asset impairments. These charges were offset in part by a net $40 million credit for bankruptcy related items primarily consisting of fair value adjustments for bankruptcy settlement obligations. The 2014 nine month period mainline operating special items totaled a net charge of $127 million, which principally included $337 million of merger integration expenses as described above, $99 million in other special charges, including an $81 million charge to revise prior estimates of certain aircraft residual values, and other spare parts asset impairments, as well as $35 million in charges primarily relating to the buyout of certain aircraft leases. These charges were offset in part by a $305 million gain on the sale of Slots at Ronald Reagan Washington National Airport and a net $57 million credit for bankruptcy related items as described above.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Nine Months Ended September 30,</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(a)</w:t>
            </w:r>
          </w:p>
        </w:tc>
        <w:tc>
          <w:tcPr>
            <w:tcW w:w="1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(b)</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21</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20"/>
              <w:spacing w:after="0"/>
              <w:rPr>
                <w:sz w:val="20"/>
                <w:szCs w:val="20"/>
                <w:color w:val="auto"/>
              </w:rPr>
            </w:pPr>
            <w:r>
              <w:rPr>
                <w:rFonts w:ascii="Arial" w:cs="Arial" w:eastAsia="Arial" w:hAnsi="Arial"/>
                <w:sz w:val="18"/>
                <w:szCs w:val="18"/>
                <w:color w:val="auto"/>
                <w:w w:val="99"/>
              </w:rPr>
              <w:t>48</w:t>
            </w: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(c)</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 2015 and 2014 third quarter and nine month period regional operating special items principally related to merger integration expenses.</w:t>
      </w:r>
    </w:p>
    <w:p>
      <w:pPr>
        <w:spacing w:after="0" w:line="34" w:lineRule="exact"/>
        <w:rPr>
          <w:rFonts w:ascii="Arial" w:cs="Arial" w:eastAsia="Arial" w:hAnsi="Arial"/>
          <w:sz w:val="14"/>
          <w:szCs w:val="14"/>
          <w:color w:val="auto"/>
        </w:rPr>
      </w:pPr>
    </w:p>
    <w:p>
      <w:pPr>
        <w:jc w:val="both"/>
        <w:ind w:left="460" w:hanging="452"/>
        <w:spacing w:after="0" w:line="290"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$24 million, which principally included $41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w:t>
      </w:r>
    </w:p>
    <w:p>
      <w:pPr>
        <w:spacing w:after="0" w:line="56" w:lineRule="exact"/>
        <w:rPr>
          <w:rFonts w:ascii="Arial" w:cs="Arial" w:eastAsia="Arial" w:hAnsi="Arial"/>
          <w:sz w:val="14"/>
          <w:szCs w:val="14"/>
          <w:color w:val="auto"/>
        </w:rPr>
      </w:pPr>
    </w:p>
    <w:p>
      <w:pPr>
        <w:jc w:val="both"/>
        <w:ind w:left="460"/>
        <w:spacing w:after="0" w:line="259" w:lineRule="auto"/>
        <w:rPr>
          <w:rFonts w:ascii="Arial" w:cs="Arial" w:eastAsia="Arial" w:hAnsi="Arial"/>
          <w:sz w:val="14"/>
          <w:szCs w:val="14"/>
          <w:color w:val="auto"/>
        </w:rPr>
      </w:pPr>
      <w:r>
        <w:rPr>
          <w:rFonts w:ascii="Arial" w:cs="Arial" w:eastAsia="Arial" w:hAnsi="Arial"/>
          <w:sz w:val="18"/>
          <w:szCs w:val="18"/>
          <w:color w:val="auto"/>
        </w:rPr>
        <w:t>The 2014 third quarter nonoperating special items totaled a net charge of $48 million, which was primarily due to early debt extinguishment costs related to the prepayment of American’s 7.50% senior secured notes and other indebtedness. The 2014 nine month period nonoperating special items totaled a net charge of $89 million, which primarily included $46 million of early debt extinguishment costs as described above and $29 million of non-cash interest accretion on the bankruptcy settlement obligations.</w:t>
      </w:r>
    </w:p>
    <w:p>
      <w:pPr>
        <w:spacing w:after="0" w:line="92" w:lineRule="exact"/>
        <w:rPr>
          <w:rFonts w:ascii="Arial" w:cs="Arial" w:eastAsia="Arial" w:hAnsi="Arial"/>
          <w:sz w:val="14"/>
          <w:szCs w:val="14"/>
          <w:color w:val="auto"/>
        </w:rPr>
      </w:pPr>
    </w:p>
    <w:p>
      <w:pPr>
        <w:ind w:left="460" w:hanging="452"/>
        <w:spacing w:after="0" w:line="27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2015 third quarter and nine month period tax special items were the result of a non-cash deferred income tax provision related to certain indefinite-lived intangible assets.</w:t>
      </w:r>
    </w:p>
    <w:p>
      <w:pPr>
        <w:spacing w:after="0" w:line="62" w:lineRule="exact"/>
        <w:rPr>
          <w:rFonts w:ascii="Arial" w:cs="Arial" w:eastAsia="Arial" w:hAnsi="Arial"/>
          <w:sz w:val="15"/>
          <w:szCs w:val="15"/>
          <w:color w:val="auto"/>
        </w:rPr>
      </w:pPr>
    </w:p>
    <w:p>
      <w:pPr>
        <w:jc w:val="both"/>
        <w:ind w:left="460"/>
        <w:spacing w:after="0" w:line="254" w:lineRule="auto"/>
        <w:rPr>
          <w:rFonts w:ascii="Arial" w:cs="Arial" w:eastAsia="Arial" w:hAnsi="Arial"/>
          <w:sz w:val="15"/>
          <w:szCs w:val="15"/>
          <w:color w:val="auto"/>
        </w:rPr>
      </w:pPr>
      <w:r>
        <w:rPr>
          <w:rFonts w:ascii="Arial" w:cs="Arial" w:eastAsia="Arial" w:hAnsi="Arial"/>
          <w:sz w:val="18"/>
          <w:szCs w:val="18"/>
          <w:color w:val="auto"/>
        </w:rPr>
        <w:t>During the 2014 third quarter, American recorded a special $7 million non-cash deferred income tax provision related to certain indefinite-lived intangible assets. During the 2014 nine month period,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the 2014 nine month period included a special $21 million non-cash deferred income tax provision related to certain indefinite-lived intangible assets.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3.25%, installments through 2020</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1,867</w:t>
            </w:r>
          </w:p>
        </w:tc>
        <w:tc>
          <w:tcPr>
            <w:tcW w:w="8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3.50%, installments through 2021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 3.38%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to 7.00%, maturing from 2017 to 2027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6,283</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1.63%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 8.10%, maturing from 2015 to 2027</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2,355</w:t>
            </w: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2.00% to 8.00%, maturing from</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2016 to 2035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AAdvantage Loan, effective rate of 8.30%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4.19% to 12.24%, maturing from</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2015 to 2028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shd w:val="clear" w:color="auto" w:fill="CCEEFF"/>
          </w:tcPr>
          <w:p>
            <w:pPr>
              <w:spacing w:after="0"/>
              <w:rPr>
                <w:sz w:val="18"/>
                <w:szCs w:val="18"/>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unsecured obligations</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13,268</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Less: Total unamortized debt discount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12,040</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2013 Credit Facilities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May 21, 2015, American refinanced its $1.9 billion term loan facility (the $1.9 billion 2015 Term Loan Facility and, together with a $1.4 billion revolving credit facility, the 2013 Credit Facilities) to extend the maturity date to June 29, 2020 and reduce the LIBOR margin from 3.00% to 2.75%. In addition, American entered into certain amendments to reflect the ability for American to make future modifications to the collateral pledged, subject to certain restrictions. The LIBOR margin under the $1.9 billion 2015 Term Loan Facility may vary based on American’s credit ratings. As of September 30, 2015, as a result of American’s improved credit ratings, the LIBOR margin was 2.50%.</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Credit Facilities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April 20, 2015, American refinanced its $750 million term loan facility (the $750 million 2015 Term Loan Facility and, together with a $400 million revolving credit facility, the 2014 Credit Facilities) to reduce the LIBOR margin from 3.50% to 3.00% and entered into certain amendments to reflect the release of certain existing collateral and the addition of certain new collateral, as well as the ability for American to make future modifications to the collateral pledged, subject to certain restrictions. The LIBOR margin under the $750 million 2015 Term Loan Facility may vary based on American’s credit ratings. As of September 30, 2015, as a result of American’s improved credit ratings, the LIBOR margin was 2.75%.</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2015-1 EETCs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(the 2015-1 EETCs) in connection with the financing of 28 aircraft owned by American (the 2015 EETC Aircraft).</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of September 30, 2015, the entire $1.2 billion of the proceeds from the sale of the 2015-1 EETCs has been used to purchase equipment notes issued by American in two series: Series A equipment notes in the amount of $948 million bearing interest at 3.375% per annum and Series B equipment notes in the amount of $266 million bearing interest at 3.70% per annum. Interest and principal payments on the equipment notes are payable semi-annually in May and November of each year, beginning in November 2015. The final payments on the Series A and Series B equipment notes will be due in May 2027 and May 2023, respectively. These equipment notes are secured by liens on the 2015 EETC Aircraft.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2015-2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September 2015, American created three pass-through trusts which issued approximately $1.1 billion aggregate face amount of Series 2015-2 Class AA, Class A and Class B EETCs (the 2015-2 EETCs) in connection with the financing of 21 aircraft owned by American (the 2015-2 EETC Aircraft).</w:t>
      </w:r>
    </w:p>
    <w:p>
      <w:pPr>
        <w:spacing w:after="0" w:line="12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September 30, 2015, the entire $1.1 billion of the proceeds from the sale of the 2015-2 EETCs has been used to purchase equipment notes issued by American in three series: Series AA equipment notes in the amount of $583 million bearing interest at 3.60% per annum, Series A equipment notes in the amount of $239 million bearing interest at 4.00% per annum and Series B equipment notes in the amount of $239 million bearing interest at 4.40% per annum. Interest and principal payments on the equipment notes are payable semi-annually in March and September of each year, with interest payments beginning in March 2016 and principal payments beginning in September 2016. The final payments on the Series AA and Series A equipment notes will be in September 2027 and the final payments on the Series B equipment notes will be in September 2023. These equipment notes are secured by liens on the 2015-2 EETC Aircraft.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AAdvantage Loan</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Effective January 2, 2015, American exercised its loan repayment right with respect to the full value of the outstanding balance of the AAdvantage Loan with Citibank for $400 million. In connection with the repayment, in the first quarter of 2015, American recognized an early debt extinguishment gain of approximately $17 million.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Obligations Associated with Special Facility Revenue Bonds</w:t>
      </w:r>
    </w:p>
    <w:p>
      <w:pPr>
        <w:spacing w:after="0" w:line="11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December 2014, American acquired approximately $112 million aggregate principal amount of special facility revenue bonds related to the Tulsa International Airport, when such bonds were mandatorily tendered to American. The acquisition of these bonds resulted in an $11 million reduction of debt on American’s consolidated balance sheet and a $50 million reduction of a long-term operating lease obligation included in other long-term liabilities on American’s consolidated balance sheet as of December 31, 2014. American exercised its option to remarket approximately $104 million of these bonds in May 2015. The remarketed bonds bear interest at 5.0% per annum from the date of initial issuance and delivery of the bonds on May 27, 2015, until the day preceding June 1, 2025, on which date the bonds will be subject to mandatory tender for purchase by American. In connection with the remarketing of these special facility revenue bonds, American received cash proceeds of $112 million and recognized a total obligation of $62 million. Of that total obligation, $11 million is reflected as a capital lease and $51 million is reflected in other long-term liabilities on American’s condensed consolidated balance sheet as of September 30, 2015.</w:t>
      </w:r>
    </w:p>
    <w:p>
      <w:pPr>
        <w:spacing w:after="0" w:line="19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June 2015, American exercised its right to adjust the interest rate on approximately $365 million aggregate principal amount of special facility revenue bonds related to the John F. Kennedy International Airport, which were bearing interest at 8.50% per annum. In August 2015, these bonds were purchased by American and subsequently remarketed. The remarketed bonds bear interest at 2.00% per annum from the date of initial issuance and delivery of the bonds in August 2015, until August 2016, when the bonds will be subject to mandatory tender for purchase by American. In connection with this transaction, American recorded a special nonoperating charge of $20 million related primarily to non-cash write offs of unamortized debt discount and debt issuance costs. The $365 million obligation is reflected in current maturities of long-term debt on American’s condensed consolidated balance sheet as of September 30, 2015.</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Aircraft Financing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first nine months of 2015, American prepaid $72 million principal amount of outstanding debt secured by certain aircraft.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first nine months of 2015, American entered into loan agreements to borrow $902 million in connection with the financing of certain aircraft.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notes mature in 2023 through 2027 and bear interest at a rate of LIBOR plus an applicable margin.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At December 31, 2014, American had approximately $10.3 billion of gross NOL Carryforwards to reduce future federal taxable income, substantially all of which are expected to be available for use in 2015. American is a member of AAG’s consolidated federal and certain state income tax returns. The amount of federal and state NOL Carryforwards available in those returns is $10.1 billion and $4.6 billion, respectively, substantially all of which is expected to be available for use in 2015. The federal NOL Carryforwards will expire beginning in 2022 if unused. These NOL Carryforwards include an unrealized tax benefit of $712 million related to the implementation of share-based compensation accounting guidance that will be recorded in equity when realized. American also had approximately $3.9 billion of NOL Carryforwards to reduce future state taxable income at December 31, 2014, which will expire in years 2015 through 2034 if unused. American’s ability to deduct its NOL Carryforwards and to utilize certain other available tax attributes can be substantially constrained under the general annual limitation rules of Section 382 where an “ownership change” has</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occurred. American experienced an ownership change in connection with its emergence from the Chapter 11 Cases. The general limitation rules of Section 382 for a debtor in a bankruptcy case are liberalized where the ownership change occurs upon emergence from bankruptcy. American elected to be covered by certain special rules for federal income tax purposes that permit approximately $9.5 billion of its federal NOL Carryforwards to be utilized without regard to the Section 382 annual limitation rules. Similar limitations may apply for state income tax purposes. American’s ability to utilize any new NOL Carryforwards arising after the ownership change is not affected by the annual limitation rules imposed by Section 382 unless another ownership change occurs.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American had an Alternative Minimum Tax (AMT) credit carryforward of approximately $435 million available for federal income tax purposes, which is available for an indefinite period. American’s net deferred tax assets, which include the NOL Carryforwards, are subject to a full valuation allowance. At December 31, 2014, the federal and state valuation allowances were $5.1 billion and $208 million, respectively. In accordance with GAAP, utilization of the NOL Carryforwards after December 9, 2013 will result in a corresponding decrease in the valuation allowance and offset American’s tax provision dollar for dollar.</w:t>
      </w:r>
    </w:p>
    <w:p>
      <w:pPr>
        <w:spacing w:after="0" w:line="18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which impact American’s projections of future sustained profitability including risks associated with merger integration as well as other conditions which are beyond American’s control, such as the health of the economy, the level and volatility of fuel prices and travel demand. American has concluded as of September 30, 2015, that the valuation allowance was still needed on its deferred tax assets based on the weight of the factors described above. However, if for the remainder of 2015, projections for future sustained profitability continue and additional merger integration milestones are completed, American anticipates that it may reverse substantially all of its valuation allowance as early as the end of 2015.</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2015, American recorded a special $6 million and $20 million, respectively, non-cash deferred income tax provision related to certain indefinite-lived intangible assets. In addition, for the three and nine months ended September 30, 2015, American recorded $3 million and $8 million, respectively, of state and international income tax expense related to certain states and other jurisdictions where NOLs were limited or unavailable to be used.</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2014, American recorded a special $7 million and $21 million, respectively, non-cash deferred income tax provision related to certain indefinite-lived intangible assets. In addition for the 2014 nine month period, American recorded a special $328 million non-cash tax provision related to the settlement of fuel hedges discussed below and $3 million of tax expense principally related to certain states and other jurisdictions where NOLs were limited or unavailable to be used.</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During the second quarter of 2014, American sold its portfolio of fuel hedging contracts that were scheduled to settle on or after June 30, 2014. In connection with this sale, American recorded a special non-cash tax provision of $328 million in the statement of operations for the nine months ended September 30, 2014 that reversed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and liabilities. The market approach uses prices and other relevant information generated by market transactions involving identical or comparable assets or liabilities. American’s short-term investments classified as Level 2 primarily utilize broker quotes in a non-active market for valuation of these securities. No changes in valuation techniques or inputs occurred during the nine months ended September 30, 2015.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6"/>
              </w:rPr>
              <w:t>Fair Value Measurements as of September 30, 2015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1,419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Corporate obligations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notes / certificates of deposit / time deposits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right="20" w:hanging="452"/>
        <w:spacing w:after="0" w:line="261"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In addition, all short-term investments mature in one year or less except for $375 million of corporate obligations and $1.3 billion of bank notes/certificates of deposit/time deposits.</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nine months ended September 30, 2015.</w:t>
      </w:r>
    </w:p>
    <w:p>
      <w:pPr>
        <w:spacing w:after="0" w:line="33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Venezuela Cash and Short-term Investments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2015, American had approximately $609 million of unrestricted cash and short-term investments held in Venezuelan bolivars. This balance is valued at 6.3 bolivars to the U.S. dollar, which is the rate that was in effect on the date American submitted each of its repatriation requests to the Venezuelan government. This rate is materially more favorable than the exchange rates currently prevailing for other transactions conducted outside of the Venezuelan government’s currency exchange system.</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American significantly reduced capacity in the Venezuelan market and is no longer accepting bolivars as payment for airline tickets. American is monitoring this situation closely and continues to evaluate its holdings of Venezuelan bolivars for additional foreign currency losses or other accounting adjustments, which could be material, particularly in light of the additional uncertainty posed by the recent changes to the foreign exchange regulations and the continued deterioration of economic conditions in Venezuela. More generally, fluctuations in foreign currencies, including devaluations, cannot be predicted by American and can significantly affect the value of American’s assets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economic and political 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2015</w:t>
            </w: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3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13,252</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13,461</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11,234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600" w:type="dxa"/>
            <w:vAlign w:val="bottom"/>
            <w:vMerge w:val="restart"/>
          </w:tcPr>
          <w:p>
            <w:pPr>
              <w:jc w:val="right"/>
              <w:ind w:right="2130"/>
              <w:spacing w:after="0"/>
              <w:rPr>
                <w:sz w:val="20"/>
                <w:szCs w:val="20"/>
                <w:color w:val="auto"/>
              </w:rPr>
            </w:pPr>
            <w:r>
              <w:rPr>
                <w:rFonts w:ascii="Arial" w:cs="Arial" w:eastAsia="Arial" w:hAnsi="Arial"/>
                <w:sz w:val="18"/>
                <w:szCs w:val="18"/>
                <w:color w:val="auto"/>
              </w:rPr>
              <w:t>47</w:t>
            </w: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components of net periodic benefit cost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w w:val="95"/>
              </w:rPr>
              <w:t>Pension Benefits</w:t>
            </w:r>
          </w:p>
        </w:tc>
        <w:tc>
          <w:tcPr>
            <w:tcW w:w="140" w:type="dxa"/>
            <w:vAlign w:val="bottom"/>
          </w:tcPr>
          <w:p>
            <w:pPr>
              <w:spacing w:after="0"/>
              <w:rPr>
                <w:sz w:val="14"/>
                <w:szCs w:val="14"/>
                <w:color w:val="auto"/>
              </w:rPr>
            </w:pPr>
          </w:p>
        </w:tc>
        <w:tc>
          <w:tcPr>
            <w:tcW w:w="25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4"/>
              </w:rPr>
              <w:t>Retiree Medical and Other Benefits</w:t>
            </w: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5"/>
              </w:rPr>
              <w:t>(212)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0"/>
              </w:rPr>
              <w:t>(196)</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360"/>
              <w:spacing w:after="0"/>
              <w:rPr>
                <w:sz w:val="20"/>
                <w:szCs w:val="20"/>
                <w:color w:val="auto"/>
              </w:rPr>
            </w:pPr>
            <w:r>
              <w:rPr>
                <w:rFonts w:ascii="Arial" w:cs="Arial" w:eastAsia="Arial" w:hAnsi="Arial"/>
                <w:sz w:val="18"/>
                <w:szCs w:val="18"/>
                <w:color w:val="auto"/>
              </w:rPr>
              <w:t>Prior service cost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Net periodic benefit cost (income)</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w w:val="95"/>
              </w:rPr>
              <w:t>Pension Benefits</w:t>
            </w:r>
          </w:p>
        </w:tc>
        <w:tc>
          <w:tcPr>
            <w:tcW w:w="140" w:type="dxa"/>
            <w:vAlign w:val="bottom"/>
          </w:tcPr>
          <w:p>
            <w:pPr>
              <w:spacing w:after="0"/>
              <w:rPr>
                <w:sz w:val="24"/>
                <w:szCs w:val="24"/>
                <w:color w:val="auto"/>
              </w:rPr>
            </w:pPr>
          </w:p>
        </w:tc>
        <w:tc>
          <w:tcPr>
            <w:tcW w:w="25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4"/>
              </w:rPr>
              <w:t>Retiree Medical and Other Benefits</w:t>
            </w: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46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0"/>
              </w:rPr>
              <w:t>(636)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0"/>
              </w:rPr>
              <w:t>(587)</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4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360" w:hanging="452"/>
        <w:spacing w:after="0" w:line="530" w:lineRule="auto"/>
        <w:tabs>
          <w:tab w:leader="none" w:pos="449" w:val="left"/>
        </w:tabs>
        <w:numPr>
          <w:ilvl w:val="0"/>
          <w:numId w:val="14"/>
        </w:numPr>
        <w:rPr>
          <w:rFonts w:ascii="Arial" w:cs="Arial" w:eastAsia="Arial" w:hAnsi="Arial"/>
          <w:sz w:val="14"/>
          <w:szCs w:val="14"/>
          <w:color w:val="auto"/>
        </w:rPr>
      </w:pPr>
      <w:r>
        <w:rPr>
          <w:rFonts w:ascii="Arial" w:cs="Arial" w:eastAsia="Arial" w:hAnsi="Arial"/>
          <w:sz w:val="17"/>
          <w:szCs w:val="17"/>
          <w:color w:val="auto"/>
        </w:rPr>
        <w:t>The 2015 nine month period prior service cost does not include amortization of $2 million related to other post-employment benefits. Effective November 1, 2012, substantially all of American’s defined benefit pension plans were frozen.</w:t>
      </w:r>
    </w:p>
    <w:p>
      <w:pPr>
        <w:spacing w:after="0" w:line="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American is required to make minimum contributions to its defined benefit pension plans under the minimum funding requirements of the Employee Retirement Income Security Act of 1974, the Pension Funding Equity Act of 2004, the Pension Protection Act of 2006, the Pension Relief Act of 2010 and the Moving Ahead for Progress in the 21st Century Act of 2012. Based on current funding assumptions, American has no minimum required contributions until 2019. Currently, American’s minimum funding obligation for its pension plans is subject to temporary favorable rules that are scheduled to expire at the end of 2017. American’s pension funding obligations are likely to increase materially beginning in 2019, when American will be required to make contributions relating to the 2018 fiscal year. The amount of these obligations will depend on the performance of American’s investments held in trust by the pension plans, interest rates for determining liabilities and American’s actuarial experience.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Pension and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Unrealized</w:t>
            </w:r>
          </w:p>
        </w:tc>
        <w:tc>
          <w:tcPr>
            <w:tcW w:w="12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Income Tax</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Retiree</w:t>
            </w: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Medical</w:t>
            </w:r>
          </w:p>
        </w:tc>
        <w:tc>
          <w:tcPr>
            <w:tcW w:w="8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Financial</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Gain/(Loss) 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Benefit</w:t>
            </w:r>
          </w:p>
        </w:tc>
        <w:tc>
          <w:tcPr>
            <w:tcW w:w="22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Liability</w:t>
            </w:r>
          </w:p>
        </w:tc>
        <w:tc>
          <w:tcPr>
            <w:tcW w:w="5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Instruments</w:t>
            </w:r>
          </w:p>
        </w:tc>
        <w:tc>
          <w:tcPr>
            <w:tcW w:w="5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7"/>
              </w:rPr>
              <w:t>Investments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(Expense)</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0"/>
              </w:rPr>
              <w:t>(991)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700"/>
              <w:spacing w:after="0"/>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left="133"/>
              <w:spacing w:after="0"/>
              <w:rPr>
                <w:sz w:val="20"/>
                <w:szCs w:val="20"/>
                <w:color w:val="auto"/>
              </w:rPr>
            </w:pPr>
            <w:r>
              <w:rPr>
                <w:rFonts w:ascii="Arial" w:cs="Arial" w:eastAsia="Arial" w:hAnsi="Arial"/>
                <w:sz w:val="18"/>
                <w:szCs w:val="18"/>
                <w:color w:val="auto"/>
                <w:w w:val="99"/>
              </w:rPr>
              <w:t>—</w:t>
            </w:r>
          </w:p>
        </w:tc>
        <w:tc>
          <w:tcPr>
            <w:tcW w:w="3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(3,736)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56"/>
              <w:spacing w:after="0"/>
              <w:rPr>
                <w:sz w:val="20"/>
                <w:szCs w:val="20"/>
                <w:color w:val="auto"/>
              </w:rPr>
            </w:pPr>
            <w:r>
              <w:rPr>
                <w:rFonts w:ascii="Arial" w:cs="Arial" w:eastAsia="Arial" w:hAnsi="Arial"/>
                <w:sz w:val="18"/>
                <w:szCs w:val="18"/>
                <w:color w:val="auto"/>
                <w:w w:val="89"/>
              </w:rPr>
              <w:t>48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and nine months ended September 30, 2015 and 2014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1"/>
          </w:tcPr>
          <w:p>
            <w:pPr>
              <w:jc w:val="right"/>
              <w:ind w:right="10"/>
              <w:spacing w:after="0"/>
              <w:rPr>
                <w:sz w:val="20"/>
                <w:szCs w:val="20"/>
                <w:color w:val="auto"/>
              </w:rPr>
            </w:pPr>
            <w:r>
              <w:rPr>
                <w:rFonts w:ascii="Arial" w:cs="Arial" w:eastAsia="Arial" w:hAnsi="Arial"/>
                <w:sz w:val="14"/>
                <w:szCs w:val="14"/>
                <w:b w:val="1"/>
                <w:bCs w:val="1"/>
                <w:color w:val="auto"/>
              </w:rPr>
              <w:t>Amounts reclassified from AOCI</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Affected line items on condensed</w:t>
            </w:r>
          </w:p>
        </w:tc>
        <w:tc>
          <w:tcPr>
            <w:tcW w:w="0" w:type="dxa"/>
            <w:vAlign w:val="bottom"/>
          </w:tcPr>
          <w:p>
            <w:pPr>
              <w:spacing w:after="0"/>
              <w:rPr>
                <w:sz w:val="1"/>
                <w:szCs w:val="1"/>
                <w:color w:val="auto"/>
              </w:rPr>
            </w:pPr>
          </w:p>
        </w:tc>
      </w:tr>
      <w:tr>
        <w:trPr>
          <w:trHeight w:val="115"/>
        </w:trPr>
        <w:tc>
          <w:tcPr>
            <w:tcW w:w="12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7"/>
          </w:tcPr>
          <w:p>
            <w:pPr>
              <w:jc w:val="right"/>
              <w:ind w:right="260"/>
              <w:spacing w:after="0" w:line="115" w:lineRule="exact"/>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6"/>
          </w:tcPr>
          <w:p>
            <w:pPr>
              <w:jc w:val="right"/>
              <w:spacing w:after="0" w:line="115" w:lineRule="exact"/>
              <w:rPr>
                <w:sz w:val="20"/>
                <w:szCs w:val="20"/>
                <w:color w:val="auto"/>
              </w:rPr>
            </w:pPr>
            <w:r>
              <w:rPr>
                <w:rFonts w:ascii="Arial" w:cs="Arial" w:eastAsia="Arial" w:hAnsi="Arial"/>
                <w:sz w:val="13"/>
                <w:szCs w:val="13"/>
                <w:b w:val="1"/>
                <w:bCs w:val="1"/>
                <w:color w:val="auto"/>
              </w:rPr>
              <w:t>Nine Months Ended</w:t>
            </w:r>
          </w:p>
        </w:tc>
        <w:tc>
          <w:tcPr>
            <w:tcW w:w="300" w:type="dxa"/>
            <w:vAlign w:val="bottom"/>
          </w:tcPr>
          <w:p>
            <w:pPr>
              <w:spacing w:after="0"/>
              <w:rPr>
                <w:sz w:val="10"/>
                <w:szCs w:val="10"/>
                <w:color w:val="auto"/>
              </w:rPr>
            </w:pPr>
          </w:p>
        </w:tc>
        <w:tc>
          <w:tcPr>
            <w:tcW w:w="3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AOCI Components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560" w:type="dxa"/>
            <w:vAlign w:val="bottom"/>
            <w:gridSpan w:val="6"/>
          </w:tcPr>
          <w:p>
            <w:pPr>
              <w:ind w:left="140"/>
              <w:spacing w:after="0"/>
              <w:rPr>
                <w:sz w:val="20"/>
                <w:szCs w:val="20"/>
                <w:color w:val="auto"/>
              </w:rPr>
            </w:pPr>
            <w:r>
              <w:rPr>
                <w:rFonts w:ascii="Arial" w:cs="Arial" w:eastAsia="Arial" w:hAnsi="Arial"/>
                <w:sz w:val="14"/>
                <w:szCs w:val="14"/>
                <w:b w:val="1"/>
                <w:bCs w:val="1"/>
                <w:color w:val="auto"/>
              </w:rPr>
              <w:t>September 30,</w:t>
            </w:r>
          </w:p>
        </w:tc>
        <w:tc>
          <w:tcPr>
            <w:tcW w:w="3960" w:type="dxa"/>
            <w:vAlign w:val="bottom"/>
          </w:tcPr>
          <w:p>
            <w:pPr>
              <w:ind w:left="860"/>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3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Amortization of</w:t>
            </w:r>
          </w:p>
        </w:tc>
        <w:tc>
          <w:tcPr>
            <w:tcW w:w="2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pension and retiree medical liability:</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39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Reversal of non-cash tax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w:t>
            </w: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340" w:type="dxa"/>
            <w:vAlign w:val="bottom"/>
          </w:tcPr>
          <w:p>
            <w:pPr>
              <w:spacing w:after="0"/>
              <w:rPr>
                <w:sz w:val="14"/>
                <w:szCs w:val="14"/>
                <w:color w:val="auto"/>
              </w:rPr>
            </w:pPr>
          </w:p>
        </w:tc>
        <w:tc>
          <w:tcPr>
            <w:tcW w:w="260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4"/>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790</w:t>
            </w:r>
          </w:p>
        </w:tc>
        <w:tc>
          <w:tcPr>
            <w:tcW w:w="7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2,318</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11. 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40" w:type="dxa"/>
            <w:vAlign w:val="bottom"/>
            <w:gridSpan w:val="4"/>
          </w:tcPr>
          <w:p>
            <w:pPr>
              <w:ind w:left="460"/>
              <w:spacing w:after="0"/>
              <w:rPr>
                <w:sz w:val="20"/>
                <w:szCs w:val="20"/>
                <w:color w:val="auto"/>
              </w:rPr>
            </w:pPr>
            <w:r>
              <w:rPr>
                <w:rFonts w:ascii="Arial" w:cs="Arial" w:eastAsia="Arial" w:hAnsi="Arial"/>
                <w:sz w:val="18"/>
                <w:szCs w:val="18"/>
                <w:color w:val="auto"/>
                <w:w w:val="94"/>
              </w:rPr>
              <w:t>The following represents the net payables to (receivables from) related parties (in millions):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w w:val="97"/>
              </w:rPr>
              <w:t>September 30, 2015</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American Airlines Group Parent</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US Airways Group, Inc.</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Envoy Aviation Group </w:t>
            </w:r>
            <w:r>
              <w:rPr>
                <w:rFonts w:ascii="Arial" w:cs="Arial" w:eastAsia="Arial" w:hAnsi="Arial"/>
                <w:sz w:val="15"/>
                <w:szCs w:val="15"/>
                <w:color w:val="auto"/>
              </w:rPr>
              <w:t>(1)</w:t>
            </w:r>
            <w:r>
              <w:rPr>
                <w:rFonts w:ascii="Arial" w:cs="Arial" w:eastAsia="Arial" w:hAnsi="Arial"/>
                <w:sz w:val="18"/>
                <w:szCs w:val="18"/>
                <w:color w:val="auto"/>
              </w:rPr>
              <w:t xml:space="preserve"> and other subsidiaries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7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net payable to AAG’s wholly-owned regional airline operating under the brand name of American Eagle consists principally of amounts due under regional capacity purchase agreements.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Frequent Flyer Program</w:t>
      </w:r>
    </w:p>
    <w:p>
      <w:pPr>
        <w:spacing w:after="0" w:line="117" w:lineRule="exact"/>
        <w:rPr>
          <w:sz w:val="20"/>
          <w:szCs w:val="20"/>
          <w:color w:val="auto"/>
        </w:rPr>
      </w:pPr>
    </w:p>
    <w:p>
      <w:pPr>
        <w:jc w:val="both"/>
        <w:ind w:firstLine="390"/>
        <w:spacing w:after="0" w:line="272" w:lineRule="auto"/>
        <w:rPr>
          <w:sz w:val="20"/>
          <w:szCs w:val="20"/>
          <w:color w:val="auto"/>
        </w:rPr>
      </w:pPr>
      <w:r>
        <w:rPr>
          <w:rFonts w:ascii="Arial" w:cs="Arial" w:eastAsia="Arial" w:hAnsi="Arial"/>
          <w:sz w:val="17"/>
          <w:szCs w:val="17"/>
          <w:color w:val="auto"/>
        </w:rPr>
        <w:t>In the first quarter of 2015, the US Airways Dividend Miles frequent flyer program was merged into American’s AAdvantage program. Accordingly, as of March 31, 2015, the related frequent flyer deferred revenue and incremental cost liability for the Dividend Miles program has been transferred to American with a corresponding intercompany receivable from US Airways recorded by American. No gain or loss was incurred from the transaction as the liabilities were transferred at their respective net book values. American’s intercompany receivable associated with the transfer of this obligation will be settled by US Airways through future redemptions by AAdvantage members on US Airways operated flights. For the three and nine months ended September 30, 2015, $208 million and $430 million, respectively, of total operating revenues was allocated from American to US Airways in connection with redemptions by AAdvantage members on US Airways operated flights as well as certain marketing services.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Allocated Expenses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Until American and US Airways are merged into one legal entity, revenue and expenses will continue to be recorded by each entity based on either specific identification of the related transaction where applicable or appropriate allocations based on metrics that are</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systematic and rational. The operating expenses of American reflect allocated expenses for certain services shared with US Airways. These allocated expenses include certain selling expenses, certain airport operating expenses at co-located airports, information technology expenses and corporate management and support functions. Shared selling expenses have been allocated primarily based on the passenger revenue of each respective carrier. Shared airport operating expenses have been allocated based on American’s and US Airways’ respective departures at those airports. Shared other expenses have been allocated primarily based on American’s and US Airways’ respective available seat miles (ASMs). For the three and nine months ended September 30, 2015, $389 million and $808 million of total net operating expenses, respectively, was allocated from American to US Airways. There were no material allocations recorded during the three and nine months ended September 30, 2014.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Chapter 11 Cases</w:t>
      </w:r>
      <w:r>
        <w:rPr>
          <w:rFonts w:ascii="Arial" w:cs="Arial" w:eastAsia="Arial" w:hAnsi="Arial"/>
          <w:sz w:val="16"/>
          <w:szCs w:val="16"/>
          <w:color w:val="auto"/>
        </w:rPr>
        <w:t>. As previously disclosed, on the Petition Date, November 29, 2011, the Debtors filed the Chapter 11 Cases. On October 21,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Court entered the Confirmation Order confirming the Plan. On the Effective Date, December 9, 2013, the Debtors consummated their reorganization pursuant to the Plan and completed the Merger.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66" w:lineRule="exact"/>
        <w:rPr>
          <w:sz w:val="20"/>
          <w:szCs w:val="20"/>
          <w:color w:val="auto"/>
        </w:rPr>
      </w:pPr>
    </w:p>
    <w:p>
      <w:pPr>
        <w:jc w:val="both"/>
        <w:ind w:firstLine="456"/>
        <w:spacing w:after="0" w:line="267"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$2 million from the Disputed Claims Reserve at the then-prevailing market price in order to fund cash tax obligations resulting from this distribution. As of September 30,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8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American has denied both grievances and intends to defend these matters vigorously.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 xml:space="preserve">DOJ Antitrust Civil Investigative Demand. </w:t>
      </w:r>
      <w:r>
        <w:rPr>
          <w:rFonts w:ascii="Arial" w:cs="Arial" w:eastAsia="Arial" w:hAnsi="Arial"/>
          <w:sz w:val="17"/>
          <w:szCs w:val="17"/>
          <w:color w:val="auto"/>
        </w:rPr>
        <w:t>In June 2015, American received a Civil Investigative Demand (CID) from the United States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Justice (DOJ) as part of an investigation into whether there have been illegal agreements or coordination of air passenger capacity. The CID seeks documents and other information from American, and other airlines have announced that they have received similar requests. American intends to cooperate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process and these lawsuits are in their very early stages and American intends to defend the lawsuits vigorously.</w:t>
      </w:r>
    </w:p>
    <w:p>
      <w:pPr>
        <w:spacing w:after="0" w:line="179"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Plaintiffs have indicated that they will seek further relief from the JPML. American believes this lawsuit is without merit and intends to vigorously defend against the allegations.</w:t>
      </w:r>
    </w:p>
    <w:p>
      <w:pPr>
        <w:spacing w:after="0" w:line="1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American is also engaged in other legal proceedings from time to time. Legal proceedings can be complex and take many months, or even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to reach resolution, with the final outcome depending on a number of variables, some of which are not within the control of American. Therefore, although American will vigorously defend itself in each of the actions described above and such other legal proceedings, their ultimate resolution and potential financial and other impacts on American are uncertain.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2014 (the 2014 Form 10-K). The information contained herein is not a comprehensive discussion and analysis of the financial condition and results of operations of the Company, but rather updates disclosures made in the 2014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 Airlines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We continue to move toward operating under the single brand name of “American Airlines” through our mainline operating subsidiaries, American and US Airways. Together with our wholly-owned regional airline subsidiaries and third-party regional carriers operating as American Eagle and US Airways Express, our airlines operate an average of nearly 6,700 flights per day to nearly 350 destinations in more than 50 countries from our hubs in Charlotte, Chicago, Dallas/Fort Worth, Los Angeles, Miami, New York, Philadelphia, Phoenix and Washington, D.C. In the third quarter of 2015, approximately 53 million passengers boarded our mainline and regional flights. As of September 30, 2015, we operated 943 mainline aircraft and were supported by our regional airline subsidiaries and third-party regional carriers, which operated 584 regional aircraft.</w:t>
      </w:r>
    </w:p>
    <w:p>
      <w:pPr>
        <w:spacing w:after="0" w:line="17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Since American and US Airways merged in December 2013, the airline has been making steady integration progress. In the second quarter of 2015, we received a single operating certificate from the Federal Aviation Administration (FAA) for American and US Airways, marking a major milestone in the integration of the two airlines. During the third quarter of 2015, we set in motion the events that allowed us to merge our reservations systems and create a seamless travel experience for our customers, and on October 17, 2015, we successfully implemented a single integrated reservation system for US Airways and American.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During the third quarter of 2015, U.S. airline industry revenues declined as compared to the third quarter of 2014, while capacity, as measured by available seat miles, increased and certain foreign currencies experienced devaluation. In its most recent data available, Airlines for America, the trade association for U.S. airlines, reported the following changes in U.S. industry passenger revenues and yields: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w:t>
            </w:r>
          </w:p>
        </w:tc>
        <w:tc>
          <w:tcPr>
            <w:tcW w:w="1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1"/>
              </w:rPr>
              <w:t>August</w:t>
            </w:r>
          </w:p>
        </w:tc>
        <w:tc>
          <w:tcPr>
            <w:tcW w:w="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September</w:t>
            </w: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w w:val="85"/>
              </w:rPr>
              <w:t>2015 vs. 2014</w:t>
            </w:r>
          </w:p>
        </w:tc>
        <w:tc>
          <w:tcPr>
            <w:tcW w:w="74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Passenger Revenues</w:t>
            </w:r>
          </w:p>
        </w:tc>
        <w:tc>
          <w:tcPr>
            <w:tcW w:w="980" w:type="dxa"/>
            <w:vAlign w:val="bottom"/>
            <w:gridSpan w:val="4"/>
          </w:tcPr>
          <w:p>
            <w:pPr>
              <w:ind w:left="60"/>
              <w:spacing w:after="0"/>
              <w:rPr>
                <w:sz w:val="20"/>
                <w:szCs w:val="20"/>
                <w:color w:val="auto"/>
              </w:rPr>
            </w:pPr>
            <w:r>
              <w:rPr>
                <w:rFonts w:ascii="Arial" w:cs="Arial" w:eastAsia="Arial" w:hAnsi="Arial"/>
                <w:sz w:val="18"/>
                <w:szCs w:val="18"/>
                <w:color w:val="auto"/>
              </w:rPr>
              <w:t>(0.1)%</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(4.0)%</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Yields</w:t>
            </w:r>
          </w:p>
        </w:tc>
        <w:tc>
          <w:tcPr>
            <w:tcW w:w="9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(4.8)%</w:t>
            </w: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39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July</w:t>
            </w:r>
          </w:p>
        </w:tc>
        <w:tc>
          <w:tcPr>
            <w:tcW w:w="100" w:type="dxa"/>
            <w:vAlign w:val="bottom"/>
          </w:tcPr>
          <w:p>
            <w:pPr>
              <w:spacing w:after="0"/>
              <w:rPr>
                <w:sz w:val="24"/>
                <w:szCs w:val="2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August</w:t>
            </w:r>
          </w:p>
        </w:tc>
        <w:tc>
          <w:tcPr>
            <w:tcW w:w="6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September</w:t>
            </w: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w w:val="85"/>
              </w:rPr>
              <w:t>2014 vs. 2013</w:t>
            </w:r>
          </w:p>
        </w:tc>
        <w:tc>
          <w:tcPr>
            <w:tcW w:w="74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Passenger Revenues</w:t>
            </w:r>
          </w:p>
        </w:tc>
        <w:tc>
          <w:tcPr>
            <w:tcW w:w="980" w:type="dxa"/>
            <w:vAlign w:val="bottom"/>
            <w:gridSpan w:val="4"/>
          </w:tcPr>
          <w:p>
            <w:pPr>
              <w:jc w:val="right"/>
              <w:ind w:right="340"/>
              <w:spacing w:after="0"/>
              <w:rPr>
                <w:sz w:val="20"/>
                <w:szCs w:val="20"/>
                <w:color w:val="auto"/>
              </w:rPr>
            </w:pPr>
            <w:r>
              <w:rPr>
                <w:rFonts w:ascii="Arial" w:cs="Arial" w:eastAsia="Arial" w:hAnsi="Arial"/>
                <w:sz w:val="18"/>
                <w:szCs w:val="18"/>
                <w:color w:val="auto"/>
              </w:rPr>
              <w:t>4.9%</w:t>
            </w: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4.0%</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Yields</w:t>
            </w: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0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With respect to international versus domestic performance, Airlines for America reported that in the third quarter of 2015, domestic markets outperformed international markets (Atlantic, Pacific, and Latin America) in both yield and overall revenue performance.</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Jet fuel prices closely follow the price of Brent crude oil. On average, the price of Brent crude oil per barrel was approximately 51% lower in the third quarter of 2015 as compared to the third quarter of 2014. The average daily spot price for Brent crude oil during the third quarter of 2015 was $50 per barrel as compared to an average daily spot price of $102 per barrel during the third quarter of 2014. On a daily basis, Brent crude oil prices fluctuated during the quarter between a high of $62 per barrel to a low of $42 per barrel, and closed the third quarter on September 30, 2015 at $47 per barrel.</w:t>
      </w:r>
    </w:p>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While jet fuel prices have declined year-over-year as described above, uncertainty exists regarding the economic conditions driving these factors. See Part II, Item 1A. Risk Factors – </w:t>
      </w:r>
      <w:r>
        <w:rPr>
          <w:rFonts w:ascii="Arial" w:cs="Arial" w:eastAsia="Arial" w:hAnsi="Arial"/>
          <w:sz w:val="18"/>
          <w:szCs w:val="18"/>
          <w:i w:val="1"/>
          <w:iCs w:val="1"/>
          <w:color w:val="auto"/>
        </w:rPr>
        <w:t>“Downturns in economic conditions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dependent on the price and</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Third Quarter 2015 Results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Driven by substantially lower fuel costs, we realized operating income of $2.0 billion and net income of $1.7 billion in the third quarter of 2015. This compares to operating income of $1.3 billion and net income of $942 million in the third quarter of 2014.</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Excluding the effects of net special charges, we recognized operating income of $2.2 billion and net income of $1.9 billion in the third quarter of 2015 as compared to operating income of $1.5 billion and net income of $1.2 billion in the third quarter of 2014. This represents improvements of 46% and 54%, respectively, in operating income and net income during the third quarter of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36"/>
              <w:spacing w:after="0" w:line="142" w:lineRule="exact"/>
              <w:rPr>
                <w:sz w:val="20"/>
                <w:szCs w:val="20"/>
                <w:color w:val="auto"/>
              </w:rPr>
            </w:pPr>
            <w:r>
              <w:rPr>
                <w:rFonts w:ascii="Arial" w:cs="Arial" w:eastAsia="Arial" w:hAnsi="Arial"/>
                <w:sz w:val="14"/>
                <w:szCs w:val="14"/>
                <w:b w:val="1"/>
                <w:bCs w:val="1"/>
                <w:color w:val="auto"/>
                <w:w w:val="94"/>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10,706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11,139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8,707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9,879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942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Special items: </w:t>
            </w:r>
            <w:r>
              <w:rPr>
                <w:rFonts w:ascii="Arial" w:cs="Arial" w:eastAsia="Arial" w:hAnsi="Arial"/>
                <w:sz w:val="15"/>
                <w:szCs w:val="15"/>
                <w:b w:val="1"/>
                <w:bCs w:val="1"/>
                <w:color w:val="auto"/>
              </w:rPr>
              <w:t>(1)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Operating special charges,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charges, net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Income tax special charges, net</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net special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 xml:space="preserve">AAG’s third quarter 2015 results were impacted by net special charges of $192 million, consisting principally of $198 million of merger integration expenses and a $38 million charge in connection with the dissolution of the Texas Aero Engine Services joint venture, offset in part by a net special credit of $66 million related to proceeds received from a legal settlement. The third quarter of 2014 results were impacted by net special charges of $281 million consisting principally of $168 million of merger integration expenses, an $81 million charge to revise prior estimates of certain aircraft residual values and $50 million in debt extinguishment charges, offset in part by net credits of $40 million for bankruptcy related items. See Part I, Item 2.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of this report for more information on net special items.</w:t>
      </w:r>
    </w:p>
    <w:p>
      <w:pPr>
        <w:spacing w:after="0" w:line="29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the third quarter of 2015, we reported operating revenues of $10.7 billion, which was $433 million, or 3.9%, lower as compared to the third quarter of 2014. Mainline and regional passenger revenues were $9.4 billion, a decrease of $405 million, or 4.2%, as compared to the third quarter of 2014. The decline in revenues was driven by a 9.2% decrease in passenger yield due to competitive growth, as well as weaker international yields due to foreign currency devaluation. Our mainline and regional passenger revenue per available seat mile (PRASM) was 13.16 cents in the third quarter of 2015, a 6.8% decrease as compared to 14.12 cents in the third quarter of 2014.</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Fuel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Mainline and regional fuel expense totaled $1.9 billion in the third quarter of 2015, which was $1.5 billion, or 43.5%, lower as compared to the third quarter of 2014. This decrease was driven by a 44.0% decrease in the average price per gallon of fuel to $1.67 in the third quarter of 2015 from $2.98 in the 2014 period.</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of September 30, 2015,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remain committed to maintaining a low cost structure, which we believe is necessary in an industry whose economic prospects are heavily dependent upon two variables we cannot control: the health of the economy and the price of fuel. Our 2015 third quarter mainline cost per available seat mile (CASM) excluding special items and fuel was 8.56 cents, an increase of 2.6% as compared to the third quarter of 2014. The increase was primarily due to higher salaries, wages and benefits driven by new merger-related labor contracts.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mainline CASM for the three months ended September 30, 2015 and 2014: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60" w:type="dxa"/>
            <w:vAlign w:val="bottom"/>
            <w:gridSpan w:val="2"/>
          </w:tcPr>
          <w:p>
            <w:pPr>
              <w:jc w:val="center"/>
              <w:ind w:left="18"/>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5"/>
          </w:tcPr>
          <w:p>
            <w:pPr>
              <w:jc w:val="right"/>
              <w:ind w:right="278"/>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Mainline CASM excluding special items and aircraft fuel and related taxes:</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Total mainline CASM</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11.33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13.28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(2.51)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w w:val="98"/>
              </w:rPr>
              <w:t>Mainline operating expenses per ASM, excluding special items and aircraft fuel and related taxes</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40" w:type="dxa"/>
            <w:vAlign w:val="bottom"/>
            <w:vMerge w:val="restart"/>
            <w:shd w:val="clear" w:color="auto" w:fill="CCEEFF"/>
          </w:tcPr>
          <w:p>
            <w:pPr>
              <w:spacing w:after="0"/>
              <w:rPr>
                <w:sz w:val="17"/>
                <w:szCs w:val="17"/>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vMerge w:val="restart"/>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(1)</w:t>
            </w: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29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Customer Service</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consistently delivering safe, reliable and convenient service to our customers in every aspect of our operation. We are currently making investments in our operation to improve our on-time departures and baggage handling performance as well as reduce the number of aircraft out of service. We reported the following combined operating statistics to the U.S. Department of Transportation (DOT) for mainline operations for the third quarter of 2015 and 2014: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7"/>
              </w:rPr>
              <w:t>Better (Worse)</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July</w:t>
            </w: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7"/>
              </w:rPr>
              <w:t>August</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September</w:t>
            </w:r>
            <w:r>
              <w:rPr>
                <w:rFonts w:ascii="Arial" w:cs="Arial" w:eastAsia="Arial" w:hAnsi="Arial"/>
                <w:sz w:val="12"/>
                <w:szCs w:val="12"/>
                <w:b w:val="1"/>
                <w:bCs w:val="1"/>
                <w:color w:val="auto"/>
                <w:w w:val="91"/>
              </w:rPr>
              <w:t>(e)</w:t>
            </w:r>
          </w:p>
        </w:tc>
        <w:tc>
          <w:tcPr>
            <w:tcW w:w="26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July</w:t>
            </w: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7"/>
              </w:rPr>
              <w:t>August</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September</w:t>
            </w:r>
          </w:p>
        </w:tc>
        <w:tc>
          <w:tcPr>
            <w:tcW w:w="280" w:type="dxa"/>
            <w:vAlign w:val="bottom"/>
          </w:tcPr>
          <w:p>
            <w:pPr>
              <w:spacing w:after="0"/>
              <w:rPr>
                <w:sz w:val="12"/>
                <w:szCs w:val="12"/>
                <w:color w:val="auto"/>
              </w:rPr>
            </w:pPr>
          </w:p>
        </w:tc>
        <w:tc>
          <w:tcPr>
            <w:tcW w:w="74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July</w:t>
            </w:r>
          </w:p>
        </w:tc>
        <w:tc>
          <w:tcPr>
            <w:tcW w:w="160" w:type="dxa"/>
            <w:vAlign w:val="bottom"/>
          </w:tcPr>
          <w:p>
            <w:pPr>
              <w:spacing w:after="0"/>
              <w:rPr>
                <w:sz w:val="12"/>
                <w:szCs w:val="12"/>
                <w:color w:val="auto"/>
              </w:rPr>
            </w:pPr>
          </w:p>
        </w:tc>
        <w:tc>
          <w:tcPr>
            <w:tcW w:w="940" w:type="dxa"/>
            <w:vAlign w:val="bottom"/>
            <w:gridSpan w:val="2"/>
          </w:tcPr>
          <w:p>
            <w:pPr>
              <w:jc w:val="right"/>
              <w:ind w:right="410"/>
              <w:spacing w:after="0" w:line="142" w:lineRule="exact"/>
              <w:rPr>
                <w:sz w:val="20"/>
                <w:szCs w:val="20"/>
                <w:color w:val="auto"/>
              </w:rPr>
            </w:pPr>
            <w:r>
              <w:rPr>
                <w:rFonts w:ascii="Arial" w:cs="Arial" w:eastAsia="Arial" w:hAnsi="Arial"/>
                <w:sz w:val="14"/>
                <w:szCs w:val="14"/>
                <w:b w:val="1"/>
                <w:bCs w:val="1"/>
                <w:color w:val="auto"/>
                <w:w w:val="87"/>
              </w:rPr>
              <w:t>August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September</w:t>
            </w:r>
          </w:p>
        </w:tc>
        <w:tc>
          <w:tcPr>
            <w:tcW w:w="32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On-time performance </w:t>
            </w:r>
            <w:r>
              <w:rPr>
                <w:rFonts w:ascii="Arial" w:cs="Arial" w:eastAsia="Arial" w:hAnsi="Arial"/>
                <w:sz w:val="15"/>
                <w:szCs w:val="15"/>
                <w:color w:val="auto"/>
              </w:rPr>
              <w:t>(a)</w:t>
            </w: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80.0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74.2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82.7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pts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pts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pts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 xml:space="preserve">Completion factor </w:t>
            </w:r>
            <w:r>
              <w:rPr>
                <w:rFonts w:ascii="Arial" w:cs="Arial" w:eastAsia="Arial" w:hAnsi="Arial"/>
                <w:sz w:val="15"/>
                <w:szCs w:val="15"/>
                <w:color w:val="auto"/>
              </w:rPr>
              <w:t>(b)</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99.3</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99.0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99.5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98.5</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99.1</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99.4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0.8 pts</w:t>
            </w:r>
          </w:p>
        </w:tc>
        <w:tc>
          <w:tcPr>
            <w:tcW w:w="16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(0.1)pts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 pts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Mishandled baggage </w:t>
            </w:r>
            <w:r>
              <w:rPr>
                <w:rFonts w:ascii="Arial" w:cs="Arial" w:eastAsia="Arial" w:hAnsi="Arial"/>
                <w:sz w:val="15"/>
                <w:szCs w:val="15"/>
                <w:color w:val="auto"/>
              </w:rPr>
              <w:t>(c)</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3.73</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3.98</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3.12</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6.3 %</w:t>
            </w:r>
          </w:p>
        </w:tc>
        <w:tc>
          <w:tcPr>
            <w:tcW w:w="11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 xml:space="preserve">Customer complaints </w:t>
            </w:r>
            <w:r>
              <w:rPr>
                <w:rFonts w:ascii="Arial" w:cs="Arial" w:eastAsia="Arial" w:hAnsi="Arial"/>
                <w:sz w:val="15"/>
                <w:szCs w:val="15"/>
                <w:color w:val="auto"/>
              </w:rPr>
              <w:t>(d)</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3.45</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4.70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2.57</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1.87</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w:t>
            </w:r>
          </w:p>
        </w:tc>
        <w:tc>
          <w:tcPr>
            <w:tcW w:w="1100" w:type="dxa"/>
            <w:vAlign w:val="bottom"/>
            <w:gridSpan w:val="3"/>
          </w:tcPr>
          <w:p>
            <w:pPr>
              <w:jc w:val="right"/>
              <w:ind w:right="190"/>
              <w:spacing w:after="0"/>
              <w:rPr>
                <w:sz w:val="20"/>
                <w:szCs w:val="20"/>
                <w:color w:val="auto"/>
              </w:rPr>
            </w:pPr>
            <w:r>
              <w:rPr>
                <w:rFonts w:ascii="Arial" w:cs="Arial" w:eastAsia="Arial" w:hAnsi="Arial"/>
                <w:sz w:val="18"/>
                <w:szCs w:val="18"/>
                <w:color w:val="auto"/>
              </w:rPr>
              <w:t>(67.8)%</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Percentage of reported flight operations arriving on time as defined by the DOT.</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Percentage of scheduled flight operations completed.</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Rate of mishandled baggage reports per 1,000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Rate of customer complaints filed with the DOT per 100,000 enplanements.</w:t>
      </w:r>
    </w:p>
    <w:p>
      <w:pPr>
        <w:spacing w:after="0" w:line="9" w:lineRule="exact"/>
        <w:rPr>
          <w:rFonts w:ascii="Arial" w:cs="Arial" w:eastAsia="Arial" w:hAnsi="Arial"/>
          <w:sz w:val="15"/>
          <w:szCs w:val="15"/>
          <w:color w:val="auto"/>
        </w:rPr>
      </w:pPr>
    </w:p>
    <w:p>
      <w:pPr>
        <w:ind w:left="460" w:right="20" w:hanging="452"/>
        <w:spacing w:after="0" w:line="26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September 2015 operating statistics are preliminary as the DOT has not issued its September 2015 Air Travel Consumer report as of the date of this filing.</w:t>
      </w:r>
    </w:p>
    <w:p>
      <w:pPr>
        <w:spacing w:after="0" w:line="29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Liquidity Position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September 30, 2015, our total cash, short-term investments and restricted cash was $9.6 billion, of which $710 million was restricted. We also had available $1.8 billion under undrawn revolving lines of credit facilities.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the first nine months of 2015, we utilized cash generated from operations to invest in our airline. Capital expenditures totaled $4.6 billion as we continued to renew our fleet, make investments in our operation, and improve our product offerings. Expenditures included:</w:t>
      </w:r>
    </w:p>
    <w:p>
      <w:pPr>
        <w:spacing w:after="0" w:line="76" w:lineRule="exact"/>
        <w:rPr>
          <w:sz w:val="20"/>
          <w:szCs w:val="20"/>
          <w:color w:val="auto"/>
        </w:rPr>
      </w:pPr>
    </w:p>
    <w:p>
      <w:pPr>
        <w:ind w:left="148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of 84 new aircraft including 24 Airbus A321 family aircraft, 15 Embraer 175 aircraft, 14 Bombardier CRJ900 aircraft, 12 Boeing 737 aircraft, 11 Boeing 787 aircraft, seven Airbus A319 aircraft and one Boeing 777 aircraft</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ground support equipment, bag handling technology and the opening of the new state-of-the-art Integrated Operations Center to improve our operation</w:t>
      </w:r>
    </w:p>
    <w:p>
      <w:pPr>
        <w:spacing w:after="0" w:line="75" w:lineRule="exact"/>
        <w:rPr>
          <w:rFonts w:ascii="Arial" w:cs="Arial" w:eastAsia="Arial" w:hAnsi="Arial"/>
          <w:sz w:val="18"/>
          <w:szCs w:val="18"/>
          <w:color w:val="auto"/>
        </w:rPr>
      </w:pPr>
    </w:p>
    <w:p>
      <w:pPr>
        <w:jc w:val="both"/>
        <w:ind w:left="1480" w:hanging="446"/>
        <w:spacing w:after="0" w:line="264"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 enhancements to improve our customer experience including fully lie-flat seats on our long-haul, international fleet, international Wi-Fi, AC power outlets and USB power in cabins on new and retrofitted aircraft, enhanced in-seat entertainment, Main Cabin Extra seating, improved and updated kiosks and Admirals Club refurbishments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also returned capital to our shareholders. In the first nine months of 2015, we repurchased 59.5 million shares at a cost of $2.5 billion. As of September 30, 2015, we can repurchase up to an additional $1.5 billion of shares under our program. Additionally, we paid $206 million in connection with quarterly dividends of $0.10 per share declared in January, April and July of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These cash outflows described above were offset in part by new debt issuances in the first nine months of 2015, including the issuance of $2.3 billion in equipment notes under the 2015-1 and 2015-2 Enhanced Equipment Trust Certificates to finance certain unencumbered aircraft. Additionally, we issued $500 million aggregate principal amount of 4.625% senior notes due 2020.</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also strengthened our liquidity position by paying down or refinancing certain higher rate debt. We repaid our $400 million Citibank AAdvantage loan, refinanced and lowered the LIBOR margins on our $1.9 billion and $750 million term loan facilities and purchased and remarketed $365 million of special revenue facility bonds at a lower interest rate.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and short-term investment balances: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2015</w:t>
            </w:r>
          </w:p>
        </w:tc>
        <w:tc>
          <w:tcPr>
            <w:tcW w:w="9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and short-term investments </w:t>
            </w:r>
            <w:r>
              <w:rPr>
                <w:rFonts w:ascii="Arial" w:cs="Arial" w:eastAsia="Arial" w:hAnsi="Arial"/>
                <w:sz w:val="15"/>
                <w:szCs w:val="15"/>
                <w:color w:val="auto"/>
              </w:rPr>
              <w:t>(1)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8,873</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(2)</w:t>
            </w: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short-term investments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9,583</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9"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of September 30, 2015, we had approximately $609 million of unrestricted cash and short-term investments held in Venezuelan bolivars. This balance is valued at 6.3 bolivars to the U.S. dollar, which is the rate that was in effect on the date we submitted each of our repatriation requests to the Venezuelan government. This rate is materially more favorable than the exchange rates currently prevailing for other transactions conducted outside of the Venezuelan government’s currency exchange system.</w:t>
      </w:r>
    </w:p>
    <w:p>
      <w:pPr>
        <w:spacing w:after="0" w:line="78" w:lineRule="exact"/>
        <w:rPr>
          <w:rFonts w:ascii="Arial" w:cs="Arial" w:eastAsia="Arial" w:hAnsi="Arial"/>
          <w:sz w:val="15"/>
          <w:szCs w:val="15"/>
          <w:color w:val="auto"/>
        </w:rPr>
      </w:pPr>
    </w:p>
    <w:p>
      <w:pPr>
        <w:jc w:val="both"/>
        <w:ind w:left="460"/>
        <w:spacing w:after="0" w:line="270" w:lineRule="auto"/>
        <w:rPr>
          <w:rFonts w:ascii="Arial" w:cs="Arial" w:eastAsia="Arial" w:hAnsi="Arial"/>
          <w:sz w:val="15"/>
          <w:szCs w:val="15"/>
          <w:color w:val="auto"/>
        </w:rPr>
      </w:pPr>
      <w:r>
        <w:rPr>
          <w:rFonts w:ascii="Arial" w:cs="Arial" w:eastAsia="Arial" w:hAnsi="Arial"/>
          <w:sz w:val="17"/>
          <w:szCs w:val="17"/>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additional uncertainty posed by the recent changes to the foreign exchange regulations and the continued deterioration of 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 economic and 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87" w:lineRule="exact"/>
        <w:rPr>
          <w:rFonts w:ascii="Arial" w:cs="Arial" w:eastAsia="Arial" w:hAnsi="Arial"/>
          <w:sz w:val="15"/>
          <w:szCs w:val="15"/>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Restricted cash and investments primarily include cash collateral to secure workers’ compensation claims.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third quarter of 2015, we realized operating income of $2.0 billion and net income of $1.7 billion. Our third quarter 2015 net income included net special operating charges of $165 million and total net special charges of $192 million. Excluding the effects of these special charges, we realized operating income of $2.2 billion and net income of $1.9 billion.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third quarter of 2014, we realized operating income of $1.3 billion and net income of $942 million. Our third quarter 2014 net income included net special operating charges of $223 million and total net special charges of $281 million. Excluding the effects of these special charges, we realized operating income of $1.5 billion and net income of $1.2 billion.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nine months of 2015, we realized operating income of $5.1 billion and net income of $4.3 billion. Our 2015 nine month period net income included net special operating charges of $630 million and total net special charges of $654 million. Excluding the effects of these special charges, we realized operating income of $5.8 billion and net income of $5.0 billion.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nine months of 2014, we realized operating income of $3.4 billion and net income of $2.3 billion. Our 2014 nine month period net income included net special operating charges of $342 million and total net special charges of $795 million. Excluding the effects of these special charges, we realized operating income of $3.7 billion and net income of $3.1 billion.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4"/>
                <w:szCs w:val="1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Special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 excluding special items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3"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2015 third quarter mainline operating special items totaled a net charge of $163 million, which principally included $196 million of merger integration expenses related to information technology, professional fees, severance, share-based compensation, fleet restructuring, re-branding of aircraft and airport facilities, relocation and training, as well as a $38 million charge in connection with the dissolution of the Texas Aero Engine Services joint venture. These charges were offset in part by a $66 million credit related to proceeds received from a legal settlement. The 2015 nine month period mainline operating special items totaled a net charge of $610 million, which principally included $633 million of merger integration expenses as described above, a net $99 million charge related to our new pilot joint collective bargaining agreement and a $38 million charge in connection with the dissolution of the Texas Aero Engine Services joint venture. These charges were offset in part by a net $75 million credit for bankruptcy related items primarily consisting of fair value adjustments for bankruptcy settlement obligations and a $66 million credit related to proceeds received from a legal settlement.</w:t>
      </w:r>
    </w:p>
    <w:p>
      <w:pPr>
        <w:spacing w:after="0" w:line="89" w:lineRule="exact"/>
        <w:rPr>
          <w:rFonts w:ascii="Arial" w:cs="Arial" w:eastAsia="Arial" w:hAnsi="Arial"/>
          <w:sz w:val="15"/>
          <w:szCs w:val="15"/>
          <w:color w:val="auto"/>
        </w:rPr>
      </w:pPr>
    </w:p>
    <w:p>
      <w:pPr>
        <w:jc w:val="both"/>
        <w:ind w:left="460"/>
        <w:spacing w:after="0" w:line="270" w:lineRule="auto"/>
        <w:rPr>
          <w:rFonts w:ascii="Arial" w:cs="Arial" w:eastAsia="Arial" w:hAnsi="Arial"/>
          <w:sz w:val="15"/>
          <w:szCs w:val="15"/>
          <w:color w:val="auto"/>
        </w:rPr>
      </w:pPr>
      <w:r>
        <w:rPr>
          <w:rFonts w:ascii="Arial" w:cs="Arial" w:eastAsia="Arial" w:hAnsi="Arial"/>
          <w:sz w:val="17"/>
          <w:szCs w:val="17"/>
          <w:color w:val="auto"/>
        </w:rPr>
        <w:t>The 2014 third quarter mainline operating special items totaled a net charge of $221 million, which principally included $166 million of merger integration expenses related to information technology, alignment of labor union contracts, professional fees, severance and retention, share-based compensation, re-branding of aircraft and airport facilities, relocation and training, as well as $99 million in other special charges, including an $81 million charge to revise prior estimates of certain aircraft residual values, and other spare parts asset impairments. These charges were offset in part by a net $40 million credit for bankruptcy related items primarily consisting of fair value adjustments for bankruptcy settlement obligations. The 2014 nine month period mainline operating special items totaled a net charge of $335 million, which principally included $530 million of merger integration expenses as described above, $99 million in other special charges, including an $81 million charge to revise prior estimates of certain aircraft residual values, and other spare parts asset impairments, as well as $46 million in charges primarily relating to the buyout of certain aircraft leases. These charges were offset in part by a $309 million gain on the sale of Slots at Ronald Reagan Washington National Airport (DCA) and a net $35 million credit for bankruptcy related items as described above.</w:t>
      </w:r>
    </w:p>
    <w:p>
      <w:pPr>
        <w:spacing w:after="0" w:line="83"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The 2015 and 2014 third quarter and nine month period regional operating special items principally related to merger integration expenses.</w:t>
      </w:r>
    </w:p>
    <w:p>
      <w:pPr>
        <w:spacing w:after="0" w:line="34" w:lineRule="exact"/>
        <w:rPr>
          <w:rFonts w:ascii="Arial" w:cs="Arial" w:eastAsia="Arial" w:hAnsi="Arial"/>
          <w:sz w:val="14"/>
          <w:szCs w:val="14"/>
          <w:color w:val="auto"/>
        </w:rPr>
      </w:pPr>
    </w:p>
    <w:p>
      <w:pPr>
        <w:jc w:val="both"/>
        <w:ind w:left="460" w:hanging="452"/>
        <w:spacing w:after="0" w:line="252"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 million, which principally included $40 million in charges primarily related to non-cash write offs of unamortized debt discount and debt issuance costs associated with refinancing our secured term loan facilities, prepayments of certain aircraft financings and the purchase and subsequent remarketing of certain special facility revenue bonds. These charges were offset in part by a $22 million gain associated with the sale of an investment and a $17 million early debt extinguishment gain associated with the repayment of American’s AAdvantage loan with Citibank.</w:t>
      </w:r>
    </w:p>
    <w:p>
      <w:pPr>
        <w:spacing w:after="0" w:line="84" w:lineRule="exact"/>
        <w:rPr>
          <w:rFonts w:ascii="Arial" w:cs="Arial" w:eastAsia="Arial" w:hAnsi="Arial"/>
          <w:sz w:val="15"/>
          <w:szCs w:val="15"/>
          <w:color w:val="auto"/>
        </w:rPr>
      </w:pPr>
    </w:p>
    <w:p>
      <w:pPr>
        <w:jc w:val="both"/>
        <w:ind w:left="460"/>
        <w:spacing w:after="0" w:line="259" w:lineRule="auto"/>
        <w:rPr>
          <w:rFonts w:ascii="Arial" w:cs="Arial" w:eastAsia="Arial" w:hAnsi="Arial"/>
          <w:sz w:val="15"/>
          <w:szCs w:val="15"/>
          <w:color w:val="auto"/>
        </w:rPr>
      </w:pPr>
      <w:r>
        <w:rPr>
          <w:rFonts w:ascii="Arial" w:cs="Arial" w:eastAsia="Arial" w:hAnsi="Arial"/>
          <w:sz w:val="18"/>
          <w:szCs w:val="18"/>
          <w:color w:val="auto"/>
        </w:rPr>
        <w:t>The 2014 third quarter nonoperating special items totaled a net charge of $50 million, which was primarily due to early debt extinguishment costs related to the prepayment of our 7.50% senior secured notes and other indebtedness. The 2014 nine month period nonoperating special items totaled a net charge of $101 million, which primarily included $54 million of early debt extinguishment costs as described above and $33 million of non-cash interest accretion on the bankruptcy settlement obligations.</w:t>
      </w:r>
    </w:p>
    <w:p>
      <w:pPr>
        <w:spacing w:after="0" w:line="92" w:lineRule="exact"/>
        <w:rPr>
          <w:rFonts w:ascii="Arial" w:cs="Arial" w:eastAsia="Arial" w:hAnsi="Arial"/>
          <w:sz w:val="15"/>
          <w:szCs w:val="15"/>
          <w:color w:val="auto"/>
        </w:rPr>
      </w:pPr>
    </w:p>
    <w:p>
      <w:pPr>
        <w:ind w:left="460" w:right="60" w:hanging="452"/>
        <w:spacing w:after="0" w:line="27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2015 third quarter and nine month period tax special items were the result of a non-cash deferred income tax provision related to certain indefinite-lived intangible assets.</w:t>
      </w:r>
    </w:p>
    <w:p>
      <w:pPr>
        <w:spacing w:after="0" w:line="62" w:lineRule="exact"/>
        <w:rPr>
          <w:rFonts w:ascii="Arial" w:cs="Arial" w:eastAsia="Arial" w:hAnsi="Arial"/>
          <w:sz w:val="15"/>
          <w:szCs w:val="15"/>
          <w:color w:val="auto"/>
        </w:rPr>
      </w:pPr>
    </w:p>
    <w:p>
      <w:pPr>
        <w:jc w:val="both"/>
        <w:ind w:left="460"/>
        <w:spacing w:after="0" w:line="257" w:lineRule="auto"/>
        <w:rPr>
          <w:rFonts w:ascii="Arial" w:cs="Arial" w:eastAsia="Arial" w:hAnsi="Arial"/>
          <w:sz w:val="15"/>
          <w:szCs w:val="15"/>
          <w:color w:val="auto"/>
        </w:rPr>
      </w:pPr>
      <w:r>
        <w:rPr>
          <w:rFonts w:ascii="Arial" w:cs="Arial" w:eastAsia="Arial" w:hAnsi="Arial"/>
          <w:sz w:val="18"/>
          <w:szCs w:val="18"/>
          <w:color w:val="auto"/>
        </w:rPr>
        <w:t>During the 2014 third quarter, we recorded a special $8 million non-cash deferred income tax provision related to certain indefinite-lived intangible assets. During the 2014 nine month period, we sold our portfolio of fuel hedging contracts that were scheduled to settle on or after June 30, 2014. In connection with this sale, we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in OCI principally in 2009 due to a net increase in the fair value of our fuel hedging contracts. In accordance with accounting principles generally accepted in the United States (GAAP), we retained the $330 million tax provision in OCI until the last contract was settled or terminated. In addition, the 2014 nine month period included a special $22 million non-cash deferred income tax provision related to certain indefinite-lived intangible assets.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At December 31, 2014, we had approximately $10.1 billion of gross net operating losses (NOLs) carried over from prior taxable years (NOL Carryforwards) to reduce future federal taxable income, substantially all of which are expected to be available for use in 2015. The federal NOL Carryforwards will expire beginning in 2022 if unused. These NOL Carryforwards include an unrealized tax benefit of $867 million related to the implementation of share-based compensation accounting guidance that will be recorded in equity when realized. We also had approximately $4.6 billion of NOL Carryforwards to reduce future state taxable income at December 31, 2014, which will expire in years 2015 through 2034 if unused. Our ability to deduct our NOL Carryforwards and to utilize certain other available tax attributes can be substantially constrained under the general annual limitation rules of Section 382 where an “ownership change” has occurred. We experienced an ownership change in connection with our emergence from the Chapter 11 Cases, and US Airways Group experienced an ownership change in connection with the Merger. As a result of the Merger, US Airways Group is now included in the AAG consolidated federal and state income tax return. The general limitation rules of Section 382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Section 382 annual limitation rules. Substantially all of our remaining federal NOL Carryforwards (attributable to US Airways Group)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ownership changes is not affected by the annual limitation rules imposed by Section 382 unless another ownership change occurs.</w:t>
      </w:r>
    </w:p>
    <w:p>
      <w:pPr>
        <w:spacing w:after="0" w:line="18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we had an Alternative Minimum Tax (AMT) credit carryforward of approximately $341 million available for federal income tax purposes, which is available for an indefinite period. Our net deferred tax assets, which include the NOL Carryforwards, are subject to a full valuation allowance. At December 31, 2014, the federal and state valuation allowances were $4.5 billion and $264 million, respectively. In accordance with GAAP, utilization of the NOL Carryforwards after December 9, 2013 will result in a corresponding decrease in the valuation allowance and offset our tax provision dollar for dollar.</w:t>
      </w:r>
    </w:p>
    <w:p>
      <w:pPr>
        <w:spacing w:after="0" w:line="18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We provide a valuation allowance for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which impact our projections of future sustained profitability including risks associated with merger integration as well as other conditions which are beyond our control, such as the health of the economy, the level and volatility of fuel prices and travel demand. We have concluded as of September 30, 2015, that the valuation allowance was still needed on our deferred tax assets based on the weight of the factors described above. However, if for the remainder of 2015, projections for future sustained profitability continue and additional merger integration milestones are completed, we anticipate that we may reverse substantially all of our valuation allowance as early as the end of 2015.</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2015, we recorded a special $6 million and $22 million, respectively, non-cash deferred income tax provision related to certain indefinite-lived intangible assets. In addition, for the three and nine months ended September 30, 2015, we recorded $10 million and $20 million, respectively, of state and international income tax expense related to certain states and other jurisdictions where NOLs were limited or unavailable to be used.</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2014, we recorded a special $8 million and $22 million, respectively, non-cash deferred income tax provision related to certain indefinite-lived intangible assets. In addition, for the 2014 nine month period, we recorded a special $330 million non-cash tax provision related to the settlement of fuel hedges as discussed above and $8 million of tax expense principally related to certain states and other jurisdictions where NOLs were limited or unavailable to be used.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selected mainline and regional operating data for the three and nine months ended September 30, 2015 and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Increase</w:t>
            </w:r>
          </w:p>
        </w:tc>
        <w:tc>
          <w:tcPr>
            <w:tcW w:w="15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06"/>
        </w:trPr>
        <w:tc>
          <w:tcPr>
            <w:tcW w:w="5500" w:type="dxa"/>
            <w:vAlign w:val="bottom"/>
          </w:tcPr>
          <w:p>
            <w:pPr>
              <w:spacing w:after="0"/>
              <w:rPr>
                <w:sz w:val="9"/>
                <w:szCs w:val="9"/>
                <w:color w:val="auto"/>
              </w:rPr>
            </w:pPr>
          </w:p>
        </w:tc>
        <w:tc>
          <w:tcPr>
            <w:tcW w:w="76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9"/>
                <w:szCs w:val="9"/>
                <w:color w:val="auto"/>
              </w:rPr>
            </w:pPr>
          </w:p>
        </w:tc>
        <w:tc>
          <w:tcPr>
            <w:tcW w:w="6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9"/>
                <w:szCs w:val="9"/>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(Decrease)</w:t>
            </w: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54,667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51,895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151,148</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149,129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63,459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61,851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181,232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179,682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86.1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 pts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 pts</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12.06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13.08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640" w:type="dxa"/>
            <w:vAlign w:val="bottom"/>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13.11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11.33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38,909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37,516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110,683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110,270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Departures (thousands)</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943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978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Block hours (thousands) </w:t>
            </w:r>
            <w:r>
              <w:rPr>
                <w:rFonts w:ascii="Arial" w:cs="Arial" w:eastAsia="Arial" w:hAnsi="Arial"/>
                <w:sz w:val="15"/>
                <w:szCs w:val="15"/>
                <w:color w:val="auto"/>
              </w:rPr>
              <w:t>(h)</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Average stage length (miles) </w:t>
            </w:r>
            <w:r>
              <w:rPr>
                <w:rFonts w:ascii="Arial" w:cs="Arial" w:eastAsia="Arial" w:hAnsi="Arial"/>
                <w:sz w:val="15"/>
                <w:szCs w:val="15"/>
                <w:color w:val="auto"/>
              </w:rPr>
              <w:t>(i)</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1,259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1,229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640" w:type="dxa"/>
            <w:vAlign w:val="bottom"/>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1,211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w w:val="94"/>
              </w:rPr>
              <w:t>Average aircraft fuel price including related taxes (dollars per gallon)</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1.67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99,700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 xml:space="preserve">Regional </w:t>
            </w:r>
            <w:r>
              <w:rPr>
                <w:rFonts w:ascii="Arial" w:cs="Arial" w:eastAsia="Arial" w:hAnsi="Arial"/>
                <w:sz w:val="15"/>
                <w:szCs w:val="15"/>
                <w:b w:val="1"/>
                <w:bCs w:val="1"/>
                <w:color w:val="auto"/>
              </w:rPr>
              <w:t>(j)</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6,199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7,633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7,269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22,050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20,922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 pts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 pts</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27.40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28.93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640" w:type="dxa"/>
            <w:vAlign w:val="bottom"/>
          </w:tcPr>
          <w:p>
            <w:pPr>
              <w:jc w:val="right"/>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28.79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22.25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19.89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22.94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640" w:type="dxa"/>
            <w:vAlign w:val="bottom"/>
          </w:tcPr>
          <w:p>
            <w:pPr>
              <w:jc w:val="right"/>
              <w:spacing w:after="0"/>
              <w:rPr>
                <w:sz w:val="20"/>
                <w:szCs w:val="20"/>
                <w:color w:val="auto"/>
              </w:rPr>
            </w:pPr>
            <w:r>
              <w:rPr>
                <w:rFonts w:ascii="Arial" w:cs="Arial" w:eastAsia="Arial" w:hAnsi="Arial"/>
                <w:sz w:val="18"/>
                <w:szCs w:val="18"/>
                <w:color w:val="auto"/>
              </w:rPr>
              <w:t>20.57</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23.51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14,413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13,483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41,032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38,745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584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w w:val="94"/>
              </w:rPr>
              <w:t>Average aircraft fuel price including related taxes (dollars per gallon)</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1.67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15"/>
                <w:szCs w:val="15"/>
                <w:color w:val="auto"/>
              </w:rPr>
              <w:t>(k)</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60,866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57,650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168,877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165,730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71,092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69,120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203,282</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200,604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Cargo ton miles (millions) </w:t>
            </w:r>
            <w:r>
              <w:rPr>
                <w:rFonts w:ascii="Arial" w:cs="Arial" w:eastAsia="Arial" w:hAnsi="Arial"/>
                <w:sz w:val="15"/>
                <w:szCs w:val="15"/>
                <w:color w:val="auto"/>
              </w:rPr>
              <w:t>(l)</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85.6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 pts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0.5 pts</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13.16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14.12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640" w:type="dxa"/>
            <w:vAlign w:val="bottom"/>
          </w:tcPr>
          <w:p>
            <w:pPr>
              <w:jc w:val="right"/>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14.13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15"/>
                <w:szCs w:val="15"/>
                <w:color w:val="auto"/>
              </w:rPr>
              <w:t>(m)</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xml:space="preserve">Cargo yield per ton mile (cents) </w:t>
            </w:r>
            <w:r>
              <w:rPr>
                <w:rFonts w:ascii="Arial" w:cs="Arial" w:eastAsia="Arial" w:hAnsi="Arial"/>
                <w:sz w:val="15"/>
                <w:szCs w:val="15"/>
                <w:color w:val="auto"/>
              </w:rPr>
              <w:t>(n)</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31.63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37.98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33.11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37.34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53,322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50,999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151,715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149,015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1,527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1,535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640" w:type="dxa"/>
            <w:vAlign w:val="bottom"/>
          </w:tcPr>
          <w:p>
            <w:pPr>
              <w:jc w:val="right"/>
              <w:spacing w:after="0"/>
              <w:rPr>
                <w:sz w:val="20"/>
                <w:szCs w:val="20"/>
                <w:color w:val="auto"/>
              </w:rPr>
            </w:pPr>
            <w:r>
              <w:rPr>
                <w:rFonts w:ascii="Arial" w:cs="Arial" w:eastAsia="Arial" w:hAnsi="Arial"/>
                <w:sz w:val="18"/>
                <w:szCs w:val="18"/>
                <w:color w:val="auto"/>
              </w:rPr>
              <w:t>1,527</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1,535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w w:val="94"/>
              </w:rPr>
              <w:t>Average aircraft fuel price including related taxes (dollars per gallon)</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1.67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(44.0)%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111,900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119,000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111,900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4"/>
                <w:szCs w:val="24"/>
                <w:color w:val="auto"/>
              </w:rPr>
            </w:pPr>
          </w:p>
        </w:tc>
        <w:tc>
          <w:tcPr>
            <w:tcW w:w="760" w:type="dxa"/>
            <w:vAlign w:val="bottom"/>
            <w:gridSpan w:val="2"/>
          </w:tcPr>
          <w:p>
            <w:pPr>
              <w:jc w:val="right"/>
              <w:ind w:right="388"/>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Available seat mile (ASM) – A basic measure of production. One ASM represents one seat flown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Passenger load factor – The percentage of available seats that are filled with revenue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Yield – A measure of airline revenue derived by dividing passenger revenue by RPMs.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Passenger revenue per available seat mile (PRASM) – Passenger revenues divided by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Operating cost per available seat mile (CASM) – Operating expenses divided by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Passenger enplanements – The number of passengers on board an aircraft, including local, connecting and through passengers.</w:t>
      </w:r>
    </w:p>
    <w:p>
      <w:pPr>
        <w:spacing w:after="0" w:line="9"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Average stage length – The average of the distances flown on each segment of every route.</w:t>
      </w:r>
    </w:p>
    <w:p>
      <w:pPr>
        <w:spacing w:after="0" w:line="9" w:lineRule="exact"/>
        <w:rPr>
          <w:rFonts w:ascii="Arial" w:cs="Arial" w:eastAsia="Arial" w:hAnsi="Arial"/>
          <w:sz w:val="15"/>
          <w:szCs w:val="15"/>
          <w:color w:val="auto"/>
        </w:rPr>
      </w:pPr>
    </w:p>
    <w:p>
      <w:pPr>
        <w:jc w:val="both"/>
        <w:ind w:left="460" w:hanging="452"/>
        <w:spacing w:after="0" w:line="265"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7"/>
          <w:szCs w:val="17"/>
          <w:color w:val="auto"/>
        </w:rPr>
        <w:t>Regional statistics include our subsidiaries, Envoy Aviation Group Inc. (Envoy), Piedmont Airlines, Inc. (Piedmont) and PSA Airlines, Inc. (PSA), and operating and financial results from our capacity purchase agreements with Air Wisconsin Airlines Corporation, Chautauqua Airlines, Inc., ExpressJet Airlines, Inc., Mesa Airlines, Inc., Republic Airline Inc., SkyWest Airlines, Inc., Compass Airlines, LLC and Trans States Airlines, Inc.</w:t>
      </w: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Regional full-time equivalent employees only include our wholly owned regional airline subsidiaries, Envoy, Piedmont and PSA.</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Total revenue per available seat mile (RASM) – Total revenues divided by total mainline and regional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Cargo yield per ton mile – Cargo revenues divided by total mainline and regional cargo ton miles.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to Three Months Ended September 30,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7"/>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1,665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10,706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11,139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Total operating revenues in the third quarter of 2015 decreased $433 million, or 3.9%, from the 2014 period principally due to competitive growth, as well as weaker international yields due to foreign currency devaluation. Significant changes in the components of operating revenues are as follows:</w:t>
      </w:r>
    </w:p>
    <w:p>
      <w:pPr>
        <w:spacing w:after="0" w:line="52" w:lineRule="exact"/>
        <w:rPr>
          <w:sz w:val="20"/>
          <w:szCs w:val="20"/>
          <w:color w:val="auto"/>
        </w:rPr>
      </w:pPr>
    </w:p>
    <w:p>
      <w:pPr>
        <w:jc w:val="both"/>
        <w:ind w:left="9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Mainline passenger revenues were $7.7 billion in the third quarter of 2015 as compared to $8.1 billion in the 2014 period. Mainline RPM’s increased 5.3% as mainline capacity, as measured by ASMs, increased 2.6%, resulting in a 2.2 point increase in load factor to 86.1%. Mainline passenger yield decreased 10.2% to 14.00 cents in the third quarter of 2015 from 15.60 cents in the 2014 period. Mainline PRASM decreased 7.8% to 12.06 cents in the third quarter of 2015 from 13.08 cents in the 2014 period.</w:t>
      </w:r>
    </w:p>
    <w:p>
      <w:pPr>
        <w:spacing w:after="0" w:line="9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Regional passenger revenues were $1.7 billion in each of the third quarters of 2015 and 2014. Regional RPM’s increased 7.7% as regional capacity, as measured by ASMs, increased 5.0%, resulting in a 2.0 point increase in load factor to 81.2%. Regional passenger yield decreased 5.3% to 27.40 cents in the third quarter of 2015 from 28.93 cents in the 2014 period. Regional PRASM decreased 2.8% to 22.25 cents in the third quarter of 2015 from 22.90 cents in the 2014 period.</w:t>
      </w:r>
    </w:p>
    <w:p>
      <w:pPr>
        <w:spacing w:after="0" w:line="9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Cargo revenue decreased $35 million, or 16.3%, in the third quarter of 2015 from the 2014 period driven primarily by a decrease in domestic and international freight yields.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2,137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538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expenses were $8.7 billion in the third quarter of 2015, a decrease of $1.2 billion, or 11.9%, from the 2014 period. The decrease in operating expenses was primarily due to substantially lower aircraft fuel costs, offset in part by higher salaries, wages and benefits driven by new merger-related labor contracts. See detailed explanations below relating to changes in operating costs per ASM.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Operating Expenses per ASM</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mainline CASM decreased 1.95 cents, or 14.7%, from 13.28 cents in the third quarter of 2014 to 11.33 cents in the third quarter of 2015. Excluding special items and aircraft fuel and related taxes, our mainline CASM increased 0.21 cents, or 2.6%, from 8.35 cents in the third quarter of 2014 to 8.56 cents in the third quarter of 2015, primarily due to higher salaries, wages and benefits driven by new merger-related labor contracts.</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aircraft fuel and related taxes for the three months ended September 30,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60" w:type="dxa"/>
            <w:vAlign w:val="bottom"/>
            <w:gridSpan w:val="2"/>
          </w:tcPr>
          <w:p>
            <w:pPr>
              <w:jc w:val="center"/>
              <w:ind w:left="13"/>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5"/>
          </w:tcPr>
          <w:p>
            <w:pPr>
              <w:jc w:val="right"/>
              <w:ind w:right="273"/>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5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5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0.86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5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5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(0.26)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0"/>
        </w:trPr>
        <w:tc>
          <w:tcPr>
            <w:tcW w:w="8320" w:type="dxa"/>
            <w:vAlign w:val="bottom"/>
          </w:tcPr>
          <w:p>
            <w:pPr>
              <w:ind w:left="720"/>
              <w:spacing w:after="0"/>
              <w:rPr>
                <w:sz w:val="20"/>
                <w:szCs w:val="20"/>
                <w:color w:val="auto"/>
              </w:rPr>
            </w:pPr>
            <w:r>
              <w:rPr>
                <w:rFonts w:ascii="Arial" w:cs="Arial" w:eastAsia="Arial" w:hAnsi="Arial"/>
                <w:sz w:val="18"/>
                <w:szCs w:val="18"/>
                <w:color w:val="auto"/>
                <w:w w:val="98"/>
              </w:rPr>
              <w:t>Mainline operating expenses per ASM, excluding special items and aircraft fuel and related taxes</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8.56</w:t>
            </w:r>
          </w:p>
        </w:tc>
        <w:tc>
          <w:tcPr>
            <w:tcW w:w="540" w:type="dxa"/>
            <w:vAlign w:val="bottom"/>
          </w:tcPr>
          <w:p>
            <w:pPr>
              <w:spacing w:after="0"/>
              <w:rPr>
                <w:sz w:val="18"/>
                <w:szCs w:val="1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8.35</w:t>
            </w:r>
          </w:p>
        </w:tc>
        <w:tc>
          <w:tcPr>
            <w:tcW w:w="300" w:type="dxa"/>
            <w:vAlign w:val="bottom"/>
            <w:vMerge w:val="restart"/>
          </w:tcPr>
          <w:p>
            <w:pPr>
              <w:spacing w:after="0"/>
              <w:rPr>
                <w:sz w:val="18"/>
                <w:szCs w:val="18"/>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0"/>
        </w:trPr>
        <w:tc>
          <w:tcPr>
            <w:tcW w:w="8320" w:type="dxa"/>
            <w:vAlign w:val="bottom"/>
          </w:tcPr>
          <w:p>
            <w:pPr>
              <w:ind w:left="900"/>
              <w:spacing w:after="0"/>
              <w:rPr>
                <w:sz w:val="20"/>
                <w:szCs w:val="20"/>
                <w:color w:val="auto"/>
              </w:rPr>
            </w:pPr>
            <w:r>
              <w:rPr>
                <w:rFonts w:ascii="Arial" w:cs="Arial" w:eastAsia="Arial" w:hAnsi="Arial"/>
                <w:sz w:val="15"/>
                <w:szCs w:val="15"/>
                <w:color w:val="auto"/>
              </w:rPr>
              <w:t>(1)</w:t>
            </w:r>
          </w:p>
        </w:tc>
        <w:tc>
          <w:tcPr>
            <w:tcW w:w="58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operating expense per 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45.1% primarily due to a 43.8% decrease in the average price per gallon to $1.67 in the third quarter of 2015 from an average price per gallon of $2.97 in the 2014 period.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Salaries, wages and benefits per ASM increased 9.7% primarily due to increased costs associated with the new pilot and flight attendant joint collective bargaining agreements.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materials and repairs per ASM decreased 16.0% primarily due to fewer engine overhauls in the 2015 period, driven by our fleet renewal program.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expenses per ASM decreased 9.3% primarily due to lower revenues in the 2015 period.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operating expenses per ASM increased 6.8% in the third quarter of 2015 as compared to the 2014 period primarily due to increases in crew travel, certain professional fees and aircraft food and catering.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Total regional expenses decreased $150 million, or 9.0%, in the third quarter of 2015 to $1.5 billion from $1.7 billion in the 2014 period. The period-over-period decrease was primarily due to a $228 million, or 42.3%, decrease in fuel costs, offset in part by a $78 million, or 6.9%, increase in other regional operating expenses. The average price per gallon of fuel decreased 44.8% to $1.67 in the third quarter of 2015 from $3.02 in the 2014 period. The increase in other regional operating expenses was principally due to increased flying under capacity purchase agreements.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income was $10 million and $7 million in the third quarter of 2015 and 2014, respectively. Our short-term investments in each period consisted of highly liquid investments that provided nominal returns.</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Other nonoperating expense, net in the third quarter of 2015 included $62 million of foreign currency losses and $21 million in other nonoperating special charges. The foreign currency losses were driven primarily by the strengthening of the U.S. dollar in foreign currency transactions relative to other currencies during the third quarter of 2015, principally in Latin American and European markets, including a 30% decrease in the value of the Brazilian real and a 4% decrease in the value of the British pound. The other nonoperating special charges were primarily due to non-cash write offs of unamortized debt discount and debt issuance costs associated with the purchase and subsequent remarketing of certain special facility revenue bonds.</w:t>
      </w:r>
    </w:p>
    <w:p>
      <w:pPr>
        <w:spacing w:after="0" w:line="173"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Other nonoperating expense, net in the third quarter of 2014 included $58 million of foreign currency losses and $50 million in other nonoperating special charges. The foreign currency losses were driven primarily by the strengthening of the U.S. dollar in foreign currency transactions relative to other currencies during the third quarter of 2014, principally in the Latin American market, including a 13% decrease in the value of the Venezuelan bolivar (SICAD1 rate) and a 12% decrease in the value of the Brazilian real. The other nonoperating special charges were primarily due to early debt extinguishment costs related to the prepayment of our 7.50% senior secured notes and other indebtedness.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to Nine Months Ended September 30,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920" w:type="dxa"/>
            <w:vAlign w:val="bottom"/>
            <w:tcBorders>
              <w:top w:val="single" w:sz="8" w:color="auto"/>
            </w:tcBorders>
            <w:gridSpan w:val="6"/>
          </w:tcPr>
          <w:p>
            <w:pPr>
              <w:jc w:val="right"/>
              <w:ind w:right="157"/>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$ 22,298</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$ 23,564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4,910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4,779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$ 31,360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$ 32,490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nine months of 2015 decreased $1.1 billion, or 3.5%, from the 2014 period principally due to winter storm flight cancellations and competitive growth, as well as weaker international yields due to foreign currency devaluation. Significant changes in the components of operating revenues are as follows:</w:t>
      </w:r>
    </w:p>
    <w:p>
      <w:pPr>
        <w:spacing w:after="0" w:line="87" w:lineRule="exact"/>
        <w:rPr>
          <w:sz w:val="20"/>
          <w:szCs w:val="20"/>
          <w:color w:val="auto"/>
        </w:rPr>
      </w:pPr>
    </w:p>
    <w:p>
      <w:pPr>
        <w:jc w:val="both"/>
        <w:ind w:left="900" w:hanging="325"/>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Mainline passenger revenues were $22.3 billion in the first nine months of 2015 as compared to $23.6 billion in the 2014 period. Mainline RPM’s increased 1.4% as mainline capacity, as measured by ASMs, increased 0.9%, resulting in a 0.4 point increase in load factor to 83.4%. Mainline passenger yield decreased 6.6% to 14.75 cents in the first nine months of 2015 from 15.80 cents in the 2014 period. Mainline PRASM decreased 6.2% to 12.30 cents in the first nine months of 2015 from 13.11 cents in the 2014 period.</w:t>
      </w:r>
    </w:p>
    <w:p>
      <w:pPr>
        <w:spacing w:after="0" w:line="76" w:lineRule="exact"/>
        <w:rPr>
          <w:rFonts w:ascii="Arial" w:cs="Arial" w:eastAsia="Arial" w:hAnsi="Arial"/>
          <w:sz w:val="17"/>
          <w:szCs w:val="17"/>
          <w:color w:val="auto"/>
        </w:rPr>
      </w:pPr>
    </w:p>
    <w:p>
      <w:pPr>
        <w:jc w:val="both"/>
        <w:ind w:left="900" w:hanging="325"/>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Regional passenger revenues were $4.9 billion in the first nine months of 2015 as compared to $4.8 billion in the 2014 period. Regional RPM’s increased 6.8% as regional capacity, as measured by ASMs, increased 5.4%, resulting in a 1.1 point increase in load factor to 80.4%. Regional passenger yield decreased 3.8% to 27.69 cents in the first nine months of 2015 from 28.79 cents in the 2014 period. Regional PRASM decreased 2.5% to 22.27 cents in the first nine months of 2015 from 22.84 cents in the 2014 period.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Cargo revenue decreased $75 million, or 11.6%, in the first nine months of 2015 from the 2014 period driven primarily by a decrease in international freight yields.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6,419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1,297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1,196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Special items, net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21,688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24,182</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Fuel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26,224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29,101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0"/>
        </w:trPr>
        <w:tc>
          <w:tcPr>
            <w:tcW w:w="5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expenses were $26.2 billion in the first nine months of 2015, a decrease of $2.9 billion, or 9.9%, from the 2014 period. The decrease in operating expenses was primarily due to substantially lower aircraft fuel costs, offset in part by higher salaries, wages and benefits driven by new merger-related labor contracts. See detailed explanations below relating to changes in operating costs per ASM.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Operating Expenses per ASM</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mainline CASM decreased 1.49 cents, or 11.1%, from 13.46 cents in the first nine months of 2014 to 11.97 cents in the first nine months of 2015. Excluding special items and aircraft fuel and related taxes, our mainline CASM increased 0.31 cents, or 3.6%, from 8.61 cents in the first nine months of 2014 to 8.92 cents in the first nine months of 2015, primarily due to higher salaries, wages and benefits due to new merger-related labor contracts.</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aircraft fuel and related taxes for the nine months ended September 30,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52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5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520" w:type="dxa"/>
            <w:vAlign w:val="bottom"/>
          </w:tcPr>
          <w:p>
            <w:pPr>
              <w:spacing w:after="0"/>
              <w:rPr>
                <w:sz w:val="12"/>
                <w:szCs w:val="12"/>
                <w:color w:val="auto"/>
              </w:rPr>
            </w:pPr>
          </w:p>
        </w:tc>
        <w:tc>
          <w:tcPr>
            <w:tcW w:w="2800" w:type="dxa"/>
            <w:vAlign w:val="bottom"/>
            <w:tcBorders>
              <w:top w:val="single" w:sz="8" w:color="auto"/>
            </w:tcBorders>
            <w:gridSpan w:val="6"/>
          </w:tcPr>
          <w:p>
            <w:pPr>
              <w:jc w:val="right"/>
              <w:ind w:right="173"/>
              <w:spacing w:after="0" w:line="142" w:lineRule="exact"/>
              <w:rPr>
                <w:sz w:val="20"/>
                <w:szCs w:val="20"/>
                <w:color w:val="auto"/>
              </w:rPr>
            </w:pPr>
            <w:r>
              <w:rPr>
                <w:rFonts w:ascii="Arial" w:cs="Arial" w:eastAsia="Arial" w:hAnsi="Arial"/>
                <w:sz w:val="14"/>
                <w:szCs w:val="14"/>
                <w:b w:val="1"/>
                <w:bCs w:val="1"/>
                <w:color w:val="auto"/>
                <w:w w:val="99"/>
              </w:rPr>
              <w:t>(In cents, except percentage changes)</w:t>
            </w:r>
          </w:p>
        </w:tc>
        <w:tc>
          <w:tcPr>
            <w:tcW w:w="10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4.66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0.85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7"/>
        </w:trPr>
        <w:tc>
          <w:tcPr>
            <w:tcW w:w="8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(0.34)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r>
      <w:tr>
        <w:trPr>
          <w:trHeight w:val="223"/>
        </w:trPr>
        <w:tc>
          <w:tcPr>
            <w:tcW w:w="8520" w:type="dxa"/>
            <w:vAlign w:val="bottom"/>
          </w:tcPr>
          <w:p>
            <w:pPr>
              <w:ind w:left="720"/>
              <w:spacing w:after="0"/>
              <w:rPr>
                <w:sz w:val="20"/>
                <w:szCs w:val="20"/>
                <w:color w:val="auto"/>
              </w:rPr>
            </w:pPr>
            <w:r>
              <w:rPr>
                <w:rFonts w:ascii="Arial" w:cs="Arial" w:eastAsia="Arial" w:hAnsi="Arial"/>
                <w:sz w:val="18"/>
                <w:szCs w:val="18"/>
                <w:color w:val="auto"/>
                <w:w w:val="97"/>
              </w:rPr>
              <w:t xml:space="preserve">Mainline operating expenses per ASM, excluding special items and aircraft fuel and related taxes </w:t>
            </w:r>
            <w:r>
              <w:rPr>
                <w:rFonts w:ascii="Arial" w:cs="Arial" w:eastAsia="Arial" w:hAnsi="Arial"/>
                <w:sz w:val="15"/>
                <w:szCs w:val="15"/>
                <w:color w:val="auto"/>
                <w:w w:val="97"/>
              </w:rPr>
              <w:t>(1)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8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operating expense per 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41.8% primarily due to a 40.7% decrease in the average price per gallon to $1.80 in the first nine months of 2015 from an average price per gallon of $3.03 in the 2014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Salaries, wages and benefits per ASM increased 10.3% primarily due to increased costs associated with the new pilot and flight attendant joint collective bargaining agreements.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Maintenance, materials and repairs per ASM decreased 5.8% primarily due to fewer engine overhauls in the 2015 period, driven by our fleet renewal program.</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Selling expenses per ASM decreased 12.9% primarily due to lower contractually negotiated rates for certain commissions and booking fees as well as lower revenues in the 2015 period.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Total regional expenses decreased $383 million, or 7.8%, in the first nine months of 2015 to $4.5 billion from $4.9 billion in the 2014 period. The period-over-period decrease was primarily due to a $603 million, or 38.3%, decrease in fuel costs, offset in part by a $220 million, or 6.6%, increase in other regional operating expenses. The average price per gallon of fuel decreased 40.9% to $1.81 in the first nine months of 2015 from $3.06 in the 2014 period. The increase in other regional operating expenses was principally due to increased flying under capacity purchase agreements.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12"/>
                <w:szCs w:val="12"/>
                <w:color w:val="auto"/>
              </w:rPr>
            </w:pPr>
          </w:p>
        </w:tc>
        <w:tc>
          <w:tcPr>
            <w:tcW w:w="1160" w:type="dxa"/>
            <w:vAlign w:val="bottom"/>
            <w:gridSpan w:val="2"/>
          </w:tcPr>
          <w:p>
            <w:pPr>
              <w:jc w:val="center"/>
              <w:ind w:left="3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8"/>
          </w:tcPr>
          <w:p>
            <w:pPr>
              <w:jc w:val="right"/>
              <w:ind w:right="35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income was $29 million and $22 million in the first nine months of 2015 and 2014, respectively. Our short-term investments in each period consisted of highly liquid investments that provided nominal returns.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2015 nine month period included $144 million of foreign currency losses driven primarily by the strengthening of the U.S. dollar in foreign currency transactions relative to other currencies during the 2015 nine month period, principally in Latin American and European markets, including a 50% decrease in the value of the Brazilian real, an 8% decrease in the value of the Euro and a 2% decrease in the value of the British pound.</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Other nonoperating expense, net in the 2014 nine month period included $46 million of foreign currency losses and $54 million in other nonoperating special charges. The foreign currency losses were driven primarily by the strengthening of the U.S. dollar in foreign currency transactions relative to other currencies during the 2014 nine month period, principally in the Latin American market, including a 91% decrease in the value of the Venezuelan bolivar (SICAD1 rate) and a 5% decrease in the value of the Brazilian real. The other nonoperating special charges were primarily due to early debt extinguishment costs related to the prepayment of our 7.50% senior secured notes and other indebtedness.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third quarter of 2015, American realized operating income of $1.2 billion and net income of $1.0 billion. American’s third quarter 2015 net income included net special operating charges of $78 million and total net special charges of $105 million. Excluding the effects of these special charges, American realized operating income of $1.3 billion and net income of $1.1 billion.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third quarter of 2014, American realized operating income of $698 million and net income of $465 million. American’s third quarter 2014 net income included net special operating charges of $166 million and total net special charges of $221 million. Excluding the effects of these special charges, American realized operating income of $864 million and net income of $686 million.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nine months of 2015, American realized operating income of $3.2 billion and net income of $2.6 billion. American’s 2015 nine month period net income included net special operating charges of $354 million and total net special charges of $398 million. Excluding the effects of these special charges, American realized operating income of $3.5 billion and net income of $3.0 billion.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first nine months of 2014, American realized operating income of $2.0 billion and net income of $1.1 billion. American’s 2014 nine month period net income included net special operating charges of $131 million and total net special charges of $569 million. Excluding the effects of these special charges, American realized operating income of $2.1 billion and net income of $1.7 billion.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American’s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Special items: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Net income excluding special items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0" w:hanging="452"/>
        <w:spacing w:after="0" w:line="259"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2015 third quarter mainline operating special items totaled a net charge of $77 million, which principally included $115 million of merger integration expenses related to information technology, professional fees, severance, share-based compensation, fleet restructuring, re-branding of aircraft and airport facilities, relocation and training, as well as a $38 million charge in connection with the dissolution of the Texas Aero Engine Services joint venture. These charges were offset in part by a $66</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76" w:lineRule="auto"/>
        <w:rPr>
          <w:sz w:val="20"/>
          <w:szCs w:val="20"/>
          <w:color w:val="auto"/>
        </w:rPr>
      </w:pPr>
      <w:r>
        <w:rPr>
          <w:rFonts w:ascii="Arial" w:cs="Arial" w:eastAsia="Arial" w:hAnsi="Arial"/>
          <w:sz w:val="17"/>
          <w:szCs w:val="17"/>
          <w:color w:val="auto"/>
        </w:rPr>
        <w:t>million credit related to proceeds received from a legal settlement. The 2015 nine month period mainline operating special items totaled a net charge of $350 million, which principally included $400 million of merger integration expenses as described above, a net $64 million charge related to American’s new pilot joint collective bargaining agreement and a $38 million charge in connection with the dissolution of the Texas Aero Engine Services joint venture. These charges were offset in part by a net $75 million credit for bankruptcy related items primarily consisting of fair value adjustments for bankruptcy settlement obligations and a $66 million credit related to proceeds received from a legal settlement.</w:t>
      </w:r>
    </w:p>
    <w:p>
      <w:pPr>
        <w:spacing w:after="0" w:line="64"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color w:val="auto"/>
        </w:rPr>
        <w:t>The 2014 third quarter mainline operating special items totaled a net charge of $164 million, which principally included $103 million of merger integration expenses related to information technology, alignment of labor union contracts, professional fees, severance and retention, share-based compensation, re-branding of aircraft and airport facilities, relocation and training, as well as $99 million in other special charges, including an $81 million charge to revise prior estimates of certain aircraft residual values, and other spare parts asset impairments. These charges were offset in part by a net $40 million credit for bankruptcy related items primarily consisting of fair value adjustments for bankruptcy settlement obligations. The 2014 nine month period mainline operating special items totaled a net charge of $127 million, which principally included $337 million of merger integration expenses as described above, $99 million in other special charges, including an $81 million charge to revise prior estimates of certain aircraft residual values, and other spare parts asset impairments, as well as $35 million in charges primarily relating to the buyout of certain aircraft leases. These charges were offset in part by a $305 million gain on the sale of Slots at DCA and a net $57 million credit for bankruptcy related items as described above.</w:t>
      </w:r>
    </w:p>
    <w:p>
      <w:pPr>
        <w:spacing w:after="0" w:line="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7"/>
          <w:szCs w:val="17"/>
          <w:color w:val="auto"/>
        </w:rPr>
        <w:t>The 2015 and 2014 third quarter and nine month period regional operating special items principally related to merger integration expenses.</w:t>
      </w:r>
    </w:p>
    <w:p>
      <w:pPr>
        <w:spacing w:after="0" w:line="21" w:lineRule="exact"/>
        <w:rPr>
          <w:rFonts w:ascii="Arial" w:cs="Arial" w:eastAsia="Arial" w:hAnsi="Arial"/>
          <w:sz w:val="14"/>
          <w:szCs w:val="14"/>
          <w:color w:val="auto"/>
        </w:rPr>
      </w:pPr>
    </w:p>
    <w:p>
      <w:pPr>
        <w:ind w:left="460" w:right="20" w:hanging="452"/>
        <w:spacing w:after="0" w:line="290" w:lineRule="auto"/>
        <w:tabs>
          <w:tab w:leader="none" w:pos="460"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$24 million, which principally included $41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w:t>
      </w:r>
    </w:p>
    <w:p>
      <w:pPr>
        <w:spacing w:after="0" w:line="56" w:lineRule="exact"/>
        <w:rPr>
          <w:rFonts w:ascii="Arial" w:cs="Arial" w:eastAsia="Arial" w:hAnsi="Arial"/>
          <w:sz w:val="14"/>
          <w:szCs w:val="14"/>
          <w:color w:val="auto"/>
        </w:rPr>
      </w:pPr>
    </w:p>
    <w:p>
      <w:pPr>
        <w:jc w:val="both"/>
        <w:ind w:left="460"/>
        <w:spacing w:after="0" w:line="254" w:lineRule="auto"/>
        <w:rPr>
          <w:rFonts w:ascii="Arial" w:cs="Arial" w:eastAsia="Arial" w:hAnsi="Arial"/>
          <w:sz w:val="14"/>
          <w:szCs w:val="14"/>
          <w:color w:val="auto"/>
        </w:rPr>
      </w:pPr>
      <w:r>
        <w:rPr>
          <w:rFonts w:ascii="Arial" w:cs="Arial" w:eastAsia="Arial" w:hAnsi="Arial"/>
          <w:sz w:val="18"/>
          <w:szCs w:val="18"/>
          <w:color w:val="auto"/>
        </w:rPr>
        <w:t>The 2014 third quarter nonoperating special items totaled a net charge of $48 million, which was primarily due to early debt extinguishment costs related to the prepayment of American’s 7.50% senior secured notes and other indebtedness. The 2014 nine month period nonoperating special items totaled a net charge of $89 million, which primarily included $46 million of early debt extinguishment costs as described above and $29 million of non-cash interest accretion on the bankruptcy settlement obligations.</w:t>
      </w:r>
    </w:p>
    <w:p>
      <w:pPr>
        <w:spacing w:after="0" w:line="2" w:lineRule="exact"/>
        <w:rPr>
          <w:rFonts w:ascii="Arial" w:cs="Arial" w:eastAsia="Arial" w:hAnsi="Arial"/>
          <w:sz w:val="14"/>
          <w:szCs w:val="14"/>
          <w:color w:val="auto"/>
        </w:rPr>
      </w:pPr>
    </w:p>
    <w:p>
      <w:pPr>
        <w:ind w:left="460" w:hanging="452"/>
        <w:spacing w:after="0" w:line="26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The 2015 third quarter and nine month period tax special items were the result of a non-cash deferred income tax provision related to certain indefinite-lived intangible assets.</w:t>
      </w:r>
    </w:p>
    <w:p>
      <w:pPr>
        <w:spacing w:after="0" w:line="75" w:lineRule="exact"/>
        <w:rPr>
          <w:rFonts w:ascii="Arial" w:cs="Arial" w:eastAsia="Arial" w:hAnsi="Arial"/>
          <w:sz w:val="15"/>
          <w:szCs w:val="15"/>
          <w:color w:val="auto"/>
        </w:rPr>
      </w:pPr>
    </w:p>
    <w:p>
      <w:pPr>
        <w:jc w:val="both"/>
        <w:ind w:left="460"/>
        <w:spacing w:after="0" w:line="291" w:lineRule="auto"/>
        <w:rPr>
          <w:rFonts w:ascii="Arial" w:cs="Arial" w:eastAsia="Arial" w:hAnsi="Arial"/>
          <w:sz w:val="15"/>
          <w:szCs w:val="15"/>
          <w:color w:val="auto"/>
        </w:rPr>
      </w:pPr>
      <w:r>
        <w:rPr>
          <w:rFonts w:ascii="Arial" w:cs="Arial" w:eastAsia="Arial" w:hAnsi="Arial"/>
          <w:sz w:val="16"/>
          <w:szCs w:val="16"/>
          <w:color w:val="auto"/>
        </w:rPr>
        <w:t>During the 2014 third quarter, American recorded a special $7 million non-cash deferred income tax provision related to certain indefinite-lived intangible assets. During the 2014 nine month period,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the 2014 nine month period included a special $21 million non-cash deferred income tax provision related to certain indefinite-lived intangible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At December 31, 2014, American had approximately $10.3 billion of gross NOL Carryforwards to reduce future federal taxable income, substantially all of which are expected to be available for use in 2015. American is a member of AAG’s consolidated federal and certain state income tax returns. The amount of federal and state NOL Carryforwards available in those returns is $10.1 billion and $4.6 billion, respectively, substantially all of which is expected to be available for use in 2015. The federal NOL Carryforwards will expire beginning in 2022 if unused. These NOL Carryforwards include an unrealized tax benefit of $712 million related to the implementation of share-based compensation accounting guidance that will be recorded in equity when realized. American also had approximately $3.9 billion of NOL Carryforwards to reduce future state taxable income at December 31, 2014, which will expire in years 2015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The general limitation rules of Section 382 for a debtor in a bankruptcy case are liberalized where the ownership change occurs upon emergence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bankruptcy. American elected to be covered by certain special rules for federal income tax purposes that permit approximately $9.5 billion of its federal NOL Carryforwards to be utilized without regard to the Section 382 annual limitation rules. Similar limitations may apply for state income tax purposes. American’s ability to utilize any new NOL Carryforwards arising after the ownership change is not affected by the annual limitation rules imposed by Section 382 unless another ownership change occurs.</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American had an AMT credit carryforward of approximately $435 million available for federal income tax purposes, which is available for an indefinite period. American’s net deferred tax assets, which include the NOL Carryforwards, are subject to a full valuation allowance. At December 31, 2014, the federal and state valuation allowances were $5.1 billion and $208 million, respectively. In accordance with GAAP, utilization of the NOL Carryforwards after December 9, 2013 will result in a corresponding decrease in the valuation allowance and offset American’s tax provision dollar for dollar.</w:t>
      </w:r>
    </w:p>
    <w:p>
      <w:pPr>
        <w:spacing w:after="0" w:line="18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which impact American’s projections of future sustained profitability including risks associated with merger integration as well as other conditions which are beyond American’s control, such as the health of the economy, the level and volatility of fuel prices and travel demand. American has concluded as of September 30, 2015, that the valuation allowance was still needed on its deferred tax assets based on the weight of the factors described above. However, if for the remainder of 2015, projections for future sustained profitability continue and additional merger integration milestones are completed, American anticipates that it may reverse substantially all of its valuation allowance as early as the end of 2015.</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2015, American recorded a special $6 million and $20 million, respectively, non-cash deferred income tax provision related to certain indefinite-lived intangible assets. In addition, for the three and nine months ended September 30, 2015, American recorded $3 million and $8 million, respectively, of state and international income tax expense related to certain states and other jurisdictions where NOLs were limited or unavailable to be used.</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2014, American recorded a special $7 million and $21 million, respectively, non-cash deferred income tax provision related to certain indefinite-lived intangible assets. In addition for the 2014 nine month period, American recorded a special $328 million non-cash tax provision related to the settlement of fuel hedges discussed above and $3 million of tax expense principally related to certain states and other jurisdictions where NOLs were limited or unavailable to be used.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to Three Months Ended September 30,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60" w:type="dxa"/>
            <w:vAlign w:val="bottom"/>
            <w:gridSpan w:val="2"/>
          </w:tcPr>
          <w:p>
            <w:pPr>
              <w:jc w:val="center"/>
              <w:ind w:left="17"/>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37"/>
              <w:spacing w:after="0" w:line="142" w:lineRule="exact"/>
              <w:rPr>
                <w:sz w:val="20"/>
                <w:szCs w:val="20"/>
                <w:color w:val="auto"/>
              </w:rPr>
            </w:pPr>
            <w:r>
              <w:rPr>
                <w:rFonts w:ascii="Arial" w:cs="Arial" w:eastAsia="Arial" w:hAnsi="Arial"/>
                <w:sz w:val="14"/>
                <w:szCs w:val="14"/>
                <w:b w:val="1"/>
                <w:bCs w:val="1"/>
                <w:color w:val="auto"/>
                <w:w w:val="94"/>
              </w:rPr>
              <w:t>(In millions, except percentage changes)</w:t>
            </w:r>
          </w:p>
        </w:tc>
        <w:tc>
          <w:tcPr>
            <w:tcW w:w="100" w:type="dxa"/>
            <w:vAlign w:val="bottom"/>
          </w:tcPr>
          <w:p>
            <w:pPr>
              <w:spacing w:after="0"/>
              <w:rPr>
                <w:sz w:val="12"/>
                <w:szCs w:val="1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Regional passenger</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811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7"/>
        </w:trPr>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7,055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0"/>
        </w:trPr>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Total operating revenues in the third quarter of 2015 decreased $273 million, or 3.9%, from the 2014 period principally due to competitive growth, as well as weaker international yields due to foreign currency devaluation. Significant changes in the components of operating revenues are as follows:</w:t>
      </w:r>
    </w:p>
    <w:p>
      <w:pPr>
        <w:spacing w:after="0" w:line="52" w:lineRule="exact"/>
        <w:rPr>
          <w:sz w:val="20"/>
          <w:szCs w:val="20"/>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Mainline passenger revenues decreased $394 million, or 7.4%, in the third quarter of 2015 from the 2014 period due to a decrease in yield, offset in part by higher ASMs.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Regional passenger revenues increased $110 million, or 14.7%, in the third quarter of 2015 from the 2014 period due to higher ASMs, offset in part by a decrease in yield.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Cargo revenue decreased $25 million, or 14.4%, in the third quarter of 2015 from the 2014 period driven primarily by a decrease in domestic and international freight yields.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1,412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279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Total operating expenses in the third quarter of 2015 decreased $786 million, or 12.4%, from the 2014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Aircraft fuel and related taxes decreased $829 million, or 43.7%, in the third quarter of 2015 from the 2014 period primarily due to a decrease in the average price per gallon of fuel.</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Salaries, wages and benefits increased $151 million, or 10.7%, in the third quarter of 2015 from the 2014 period primarily due to increased costs associated with the new pilot and flight attendant joint collective bargaining agreements.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Maintenance, materials and repairs decreased $92 million, or 26.0%, in the third quarter of 2015 from the 2014 period primarily due to fewer engine overhauls in the 2015 period, driven by American’s fleet renewal program.</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Selling expenses decreased $22 million, or 7.8%, in the third quarter of 2015 from the 2014 period primarily due to lower revenues in the 2015 period.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operating expenses increased $44 million, or 5.8%, in the third quarter of 2015 as compared to the 2014 period primarily due to increases in crew travel, certain professional fees and aircraft food and catering.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Total regional expenses increased $13 million, or 1.5%, in the third quarter of 2015 to $803 million from $790 million in the 2014 period. The period-over-period increase was primarily due to a $111 million, or 21.0%, increase in other regional operating expenses, offset in part by a $98 million, or 37.3%, decrease in fuel costs. The increase in other regional operating expenses was principally due to increased flying under capacity purchase agreements. The average price per gallon of fuel decreased in the third quarter of 2015 from the 2014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income was $10 million and $5 million in the third quarter of 2015 and 2014, respectively. American’s short-term investments in each period consisted of highly liquid investments that provided nominal returns.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Other nonoperating expense, net in the third quarter of 2015 included $59 million of foreign currency losses and $21 million in other nonoperating special charges. The foreign currency losses were driven primarily by the strengthening of the U.S. dollar in foreign currency transactions relative to other currencies during the third quarter of 2015, principally in Latin American and European markets, including a 30% decrease in the value of the Brazilian real and a 4% decrease in the value of the British pound. The other nonoperating special charges were primarily due to non-cash write offs of unamortized debt discount and debt issuance costs associated with the purchase and subsequent remarketing of certain special facility revenue bonds.</w:t>
      </w:r>
    </w:p>
    <w:p>
      <w:pPr>
        <w:spacing w:after="0" w:line="173"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Other nonoperating expense, net in the third quarter of 2014 included $48 million of foreign currency losses and $48 million in other nonoperating special charges. The foreign currency losses were driven primarily by the strengthening of the U.S. dollar in foreign currency transactions relative to other currencies during the third quarter of 2014 principally in the Latin American market, including a 13% decrease in the value of the Venezuelan bolivar (SICAD1 rate) and a 12% decrease in the value of the Brazilian real. The other nonoperating special charges were primarily due to early debt extinguishment costs related to the prepayment of American’s 7.50% senior secured notes and other indebtedness.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to Nine Months Ended September 30,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920" w:type="dxa"/>
            <w:vAlign w:val="bottom"/>
            <w:tcBorders>
              <w:top w:val="single" w:sz="8" w:color="auto"/>
            </w:tcBorders>
            <w:gridSpan w:val="6"/>
          </w:tcPr>
          <w:p>
            <w:pPr>
              <w:jc w:val="right"/>
              <w:ind w:right="157"/>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$ 14,565</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$ 15,579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2,399</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2,202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$ 19,969</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$ 20,676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nine months of 2015 decreased $707 million, or 3.4%, from the 2014 period principally due to winter storm flight cancellations and competitive growth, as well as weaker international yields due to foreign currency devaluation. Significant changes in the components of operating revenues are as follows:</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Mainline passenger revenues decreased $1.0 billion, or 6.5%, in the first nine months of 2015 from the 2014 period due to a decrease in yield.</w:t>
      </w:r>
    </w:p>
    <w:p>
      <w:pPr>
        <w:spacing w:after="0" w:line="153"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Regional passenger revenues increased $197 million, or 9.0%, in the first nine months of 2015 from the 2014 period due to higher ASMs, offset in part by a decrease in yield.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Cargo revenue decreased $49 million, or 9.4%, in the first nine months of 2015 from the 2014 period driven primarily by a decrease in international freight yields.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4,251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853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Special items, net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14,474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16,331</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Fuel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16,792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18,683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0"/>
        </w:trPr>
        <w:tc>
          <w:tcPr>
            <w:tcW w:w="5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Total operating expenses in the first nine months of 2015 decreased $1.9 billion, or 10.1%, from the 2014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Aircraft fuel and related taxes decreased $2.3 billion, or 41.1%, in the first nine months of 2015 from the 2014 period primarily due to a decrease in the average price per gallon of fuel.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Salaries, wages and benefits increased $433 million, or 10.2%, in the first nine months of 2015 from the 2014 period primarily due to increased costs associated with the new pilot and flight attendant joint collective bargaining agreements.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materials and repairs decreased $163 million, or 15.8%, in the first nine months of 2015 from the 2014 period primarily due to fewer engine overhauls in the 2015 period, driven by American’s fleet renewal program.</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Selling expenses decreased $156 million, or 18.4%, in the first nine months of 2015 from the 2014 period primarily due to lower contractually negotiated rates for certain commissions and booking fees as well as lower revenues in the 2015 period.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and amortization increased $64 million, or 9.6%, in the first nine months of 2015 from the 2014 period primarily due to deliveries of new owned aircraft subsequent to the third quarter of 2014 in connection with American’s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Total regional expenses decreased $34 million, or 1.5%, in the first nine months of 2015 to $2.3 billion from $2.4 billion in the 2014 period. The period-over-period decrease was primarily due to a $277 million, or 35.2%, decrease in fuel costs, offset in part by a $243 million, or 15.5%, increase in other regional operating expenses. The average price per gallon of fuel decreased in the first nine months of 2015 from the 2014 period. The increase in other regional operating expenses was principally due to increased flying under capacity purchase agreements.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8"/>
          </w:tcPr>
          <w:p>
            <w:pPr>
              <w:jc w:val="right"/>
              <w:ind w:right="258"/>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income was $26 million and $18 million in the first nine months of 2015 and 2014, respectively. American’s short-term investments in each period consisted of highly liquid investments that provided nominal returns.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Other nonoperating expense, net in the 2015 nine month period included $129 million of foreign currency losses and a net $24 million in other nonoperating special charges. The foreign currency losses were driven primarily by the strengthening of the U.S. dollar in foreign currency transactions relative to other currencies during the 2015 nine month period, principally in Latin American and European markets, including a 50% decrease in the value of the Brazilian real, an 8% decrease in the value of the Euro and a 2% decrease in the value of the British pound. The other nonoperating special charges were primarily due to $41 million in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w:t>
      </w:r>
    </w:p>
    <w:p>
      <w:pPr>
        <w:spacing w:after="0" w:line="16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Other nonoperating expense, net in the 2014 nine month period included $33 million of foreign currency losses and $46 million in other nonoperating special charges. The foreign currency losses were driven primarily by the strengthening of the U.S. dollar in foreign currency transactions relative to other currencies during the 2014 nine month period, principally in the Latin American market, including a 91% decrease in the value of the Venezuelan bolivar (SICAD1 rate) and a 5% decrease in the value of the Brazilian real. The other nonoperating special charges were primarily due to early debt extinguishment costs related to the prepayment of American’s 7.50% senior secured notes and other indebtedness.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As of September 30, 2015, AAG’s total cash, short-term investments and restricted cash and short-term investments was $9.6 billion, of which $710 million was restricted. Additional detail is provided in the table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AAG</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American</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September 30, 2015</w:t>
            </w:r>
          </w:p>
        </w:tc>
        <w:tc>
          <w:tcPr>
            <w:tcW w:w="1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20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100" w:type="dxa"/>
            <w:vAlign w:val="bottom"/>
          </w:tcPr>
          <w:p>
            <w:pPr>
              <w:spacing w:after="0"/>
              <w:rPr>
                <w:sz w:val="12"/>
                <w:szCs w:val="12"/>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7,857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6,309</w:t>
            </w:r>
          </w:p>
        </w:tc>
        <w:tc>
          <w:tcPr>
            <w:tcW w:w="4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5,405</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09"/>
        </w:trPr>
        <w:tc>
          <w:tcPr>
            <w:tcW w:w="6040" w:type="dxa"/>
            <w:vAlign w:val="bottom"/>
          </w:tcPr>
          <w:p>
            <w:pPr>
              <w:ind w:left="360"/>
              <w:spacing w:after="0"/>
              <w:rPr>
                <w:sz w:val="20"/>
                <w:szCs w:val="20"/>
                <w:color w:val="auto"/>
              </w:rPr>
            </w:pPr>
            <w:r>
              <w:rPr>
                <w:rFonts w:ascii="Arial" w:cs="Arial" w:eastAsia="Arial" w:hAnsi="Arial"/>
                <w:sz w:val="18"/>
                <w:szCs w:val="18"/>
                <w:color w:val="auto"/>
              </w:rPr>
              <w:t>Total cash, short-term investments and restricted cash and short-term</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40" w:type="dxa"/>
            <w:vAlign w:val="bottom"/>
          </w:tcPr>
          <w:p>
            <w:pPr>
              <w:ind w:left="54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9,583</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8,077</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6,868</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Our restricted cash and short-term investments related primarily to collateral held to support projected workers’ compensation obligations.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2015, we had approximately $609 million of unrestricted cash and short-term investments held in Venezuelan bolivars. This balance is valued at 6.3 bolivars to the U.S. dollar, which is the rate that was in effect on the date we submitted each of our repatriation requests to the Venezuelan government. This rate is materially more favorable than the exchange rates currently prevailing for other transactions conducted outside of the Venezuelan government’s currency exchange system.</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additional uncertainty posed by the recent changes to the foreign exchange regulations and the continued deterioration of 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 economic and 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On January 27, 2015, we announced that our Board of Directors had authorized a $2.0 billion share repurchase program, which was completed in the third quarter of 2015. In July 2015, we announced that our Board of Directors had authorized an additional $2.0 billion share repurchase program to be completed by the end of 2016. Share repurchases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us to repurchase any specific number of shares and may be suspended at any time at our discretion. During the three months ended September 30, 2015, we repurchased 38.4 million shares of AAG Common Stock for $1.6 billion at a weighted average cost per share of $40.56. During the nine months ended September 30, 2015, we repurchased 59.5 million shares of AAG Common Stock for $2.5 billion at a weighted average cost per share of $42.00.</w:t>
      </w:r>
    </w:p>
    <w:p>
      <w:pPr>
        <w:spacing w:after="0" w:line="179"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October 2015, we announced that our Board of Directors had authorized a new $2.0 billion share repurchase program to be completed by the end of 2016. Share repurchases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us to repurchase any specific number of shares and may be suspended at any time at our discretion.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January 2015, we announced that our Board of Directors had declared a $0.10 per share dividend for shareholders of record on February 9, 2015, and payable on February 23, 2015.</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April 2015, we announced that our Board of Directors had declared a $0.10 per share dividend for shareholders of record on May 4, 2015, and payable on May 18, 2015.</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July 2015, we announced that our Board of Directors had declared a $0.10 per share dividend for shareholders of record on August 10, 2015, and payable on August 24,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total cash payment for dividends during the three and nine months ended September 30, 2015 was $67 million and $206 million, respectively. 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October 2015, we announced that our Board of Directors had declared a $0.10 per share dividend for shareholders of record on November 5, 2015, and payable on November 19,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Net cash provided by operating activities was $6.0 billion and $2.3 billion for the first nine months of 2015 and 2014, respectively, a period-over-period increase of $3.7 billion. The increase was primarily due to increased profitability driven by substantially lower fuel costs and a decrease in pension contributions in the 2015 period. In the 2014 period, we contributed $781 million to fund its domestic defined benefit pension plans resulting in no additional minimum required contributions until 2019, when we will be required to make contributions relating to the 2018 fiscal year.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was $6.0 billion and $2.1 billion for the first nine months of 2015 and 2014, respectively.</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Principal investing activities in the 2015 period included expenditures of $4.6 billion for property and equipment, consisting primarily of the purchase of 84 newly delivered aircraft, including 24 Airbus A321 family aircraft, 15 Embraer 175 aircraft, 14 Bombardier CRJ900 aircraft, 12 Boeing 737 aircraft, 11 Boeing 787 aircraft, seven Airbus A319 aircraft and one Boeing 777 aircraft, the purchase of five Boeing 757 aircraft previously being leased, as well as $1.6 billion in net purchases of short-term investments.</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Principal investing activities in the 2014 period included expenditures of $4.0 billion for property and equipment, consisting primarily of the purchase of 51 newly delivered aircraft, including 23 Airbus A320 family aircraft, 13 Boeing 737 family aircraft, eight Bombardier CRJ900 aircraft, four Boeing 777 aircraft and three A330 aircraft, the purchase of aircraft previously being leased,</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including five A320 family aircraft, three A330 aircraft and three Boeing 777 aircraft, as well as pre-delivery deposits for certain aircraft on order. These cash outflows were offset in part by $1.4 billion in net sales of short-term investments, $307 million in proceeds from the sale of DCA Slots and a $160 million decrease in restricted cash and short-term investments due to lower collateral requirements with respect to projected workers’ compensation obligations.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Net cash provided by financing activities was $33 million for the first nine months of 2015 as compared to net cash used in financing activities of $113 million for the first nine months of 2014.</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Principal financing activities in the 2015 period included proceeds from the issuance of $4.5 billion of debt, including $2.3 billion in issuances of EETC equipment notes and the $500 million issuance of 4.625% senior notes. These cash inflows were offset in part by share repurchases of $2.4 billion, debt repayments of $1.8 billion, including the $400 million repayment of American’s AAdvantage loan with Citibank and $206 million in dividend payments.</w:t>
      </w:r>
    </w:p>
    <w:p>
      <w:pPr>
        <w:spacing w:after="0" w:line="14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Principal financing activities in the 2014 period included debt repayments of $2.8 billion, including the $1.0 billion prepayment of American’s 7.50% senior secured notes, the $355 million prepayment of certain airport facility revenue bonds, the $175 million cash settlement of US Airways Group’s 7.25% convertible notes and the $113 million prepayment of outstanding debt secured by certain aircraft. These cash outflows were offset in part by proceeds from the issuance of debt of $2.4 billion primarily from the 5.50% senior notes, certain EETC equipment notes and other aircraft related financings, as well as $531 million of proceeds from sale-leaseback transactions related to the financing of 13 Boeing 737 family aircraft.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Net cash provided by operating activities was $4.1 billion and $2.0 billion for the first nine months of 2015 and 2014, respectively, a period-over-period increase of $2.1 billion. The increase was primarily due to increased profitability driven by substantially lower fuel costs and a decrease in pension contributions in the 2015 period. In the 2014 period, American contributed $781 million to fund its domestic defined benefit pension plans resulting in no additional minimum required contributions until 2019, when American will be required to make contributions relating to the 2018 fiscal year.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was $6.1 billion and $1.2 billion for the first nine months of 2015 and 2014, respectively.</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Principal investing activities in the 2015 period included expenditures of $4.0 billion for property and equipment, consisting primarily of the purchase of 72 newly delivered aircraft, including 15 Embraer 175 aircraft, 14 Bombardier CRJ900 aircraft, 12 Airbus A321 family aircraft, 12 Boeing 737 aircraft, 11 Boeing 787 aircraft, seven Airbus A319 aircraft and one Boeing 777 aircraft, as well as $2.1 billion in net purchases of short-term investments.</w:t>
      </w:r>
    </w:p>
    <w:p>
      <w:pPr>
        <w:spacing w:after="0" w:line="14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Principal investing activities in the 2014 period included expenditures of $2.7 billion for property and equipment, consisting primarily of the purchase of 32 newly delivered aircraft including, 13 Boeing 737 family aircraft, eight Bombardier CRJ900 aircraft, seven Airbus A320 family aircraft and four Boeing 777 aircraft, the purchase of aircraft previously being leased, including five Airbus A320 family and three Boeing 777 aircraft, as well as pre-delivery deposits for certain aircraft on order and $198 million of cash transferred to affiliates. These cash outflows were offset in part by $1.4 billion in net sales of short-term investments, $299 million in proceeds from the sale of DCA Slots and a $50 million decrease in restricted cash and short-term investments due to lower collateral requirements with respect to projected workers’ compensation obligations.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Net cash provided by financing activities was $2.0 billion as compared to net cash used in financing activities of $628 million for the first nine months of 2015 and 2014, respectively.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Principal financing activities in the 2015 period included proceeds from the issuance of $3.6 billion of debt, including $2.3 billion in issuances of EETC equipment notes. These cash inflows were offset in part by debt repayments of $1.5 billion, including the $400 million repayment of American’s AAdvantage loan with Citibank.</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Principal financing activities in the 2014 period included debt repayments of $2.2 billion, including the $1.0 billion prepayment of American’s 7.50% senior secured notes, the $282 million prepayment of certain airport facility revenue bonds and the $61 million prepayment of outstanding debt secured by certain aircraft. These cash outflows were offset in part by proceeds from the issuance of debt of $1.1 billion, primarily from the issuance of certain EETC equipment notes and other aircraft related financings, as well as $531 million of proceeds from sale-leaseback transactions related to the financing of 13 Boeing 737 family aircraft.</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 of September 30, 2015, AAG and American had $20.6 billion and $13.3 billion, respectively, in long-term debt and capital leases (including current maturities and before debt discount). See Note 7 to AAG’s condensed consolidated financial statements in Part I, Item 1A and Note 5 to American’s condensed consolidated financial statements in Part I, Item 1B for further information on all indebtedness as of September 30, 2015. Our significant indebtedness includes the 2013 Credit Facilities, the 2013 Citicorp Credit Facility and the 2014 Credit Facilities described below.</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2013 Credit Facilities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June 27, 2013, American and AAG entered into a Credit and Guaranty Agreement (as amended, the 2013 Credit Agreement) with certain lenders. The 2013 Credit Agreement originally provided for a $1.9 billion term loan facility scheduled to mature on June 27, 2019 (the 2013 Term Loan Facility) and a $1.0 billion revolving credit facility scheduled to mature on June 27, 2018 (the 2013 Revolving Facility).</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2013 Revolving Facility provides that American may from time to time borrow, repay and reborrow loans thereunder and have letters of credit issued thereunder. On October 10, 2014, American and AAG amended the 2013 Credit Agreement to extend the maturity date of the 2013 Revolving Facility to October 10, 2019 and increased the commitments thereunder to an aggregate amount of $1.4 billion while reducing the letter of credit commitments thereunder to $300 million. As of September 30, 2015, there were no borrowings or letters of credit outstanding under the 2013 Revolving Facility.</w:t>
      </w:r>
    </w:p>
    <w:p>
      <w:pPr>
        <w:spacing w:after="0" w:line="15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On May 21, 2015, American refinanced its $1.9 billion term loan facility (the $1.9 billion 2015 Term Loan Facility and, together with the 2013 Revolving Facility, the 2013 Credit Facilities) to extend the maturity date to June 29, 2020 and reduce the LIBOR margin from 3.00% to 2.75%. In addition, American entered into certain amendments to reflect the ability for American to make future modifications to the collateral pledged, subject to certain restrictions. The $1.9 billion 2015 Term Loan Facility is repayable in annual installments on the amendment effective date thereof, with the first installment in an amount equal to 1.25% of the principal amount and installments thereafter, in an amount equal to 1.0% of the principal amount, with any unpaid balance due on the maturity date. As of September 30, 2015, $1.9 billion was outstanding under the $1.9 billion 2015 Term Loan Facility. Voluntary prepayments may be made by American at any time, with a premium of 1.00% applicable to certain prepayments made prior to the date that is six months following May 21, 2015.</w:t>
      </w:r>
    </w:p>
    <w:p>
      <w:pPr>
        <w:spacing w:after="0" w:line="19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$1.9 billion 2015 Term Loan Facility) plus an applicable LIBOR margin. If American’s corporate credit rating is Ba3 or higher from Moody’s and BB- or higher from S&amp;P, the applicable LIBOR margin would be 2.50% for the $1.9 billion 2015 Term Loan Facility. As of September 30, 2015, the applicable LIBOR margins were 2.50% and 3.00% for borrowings under the $1.9 billion 2015 Term Loan Facility and the 2013 Revolving Facility, respectively. The 2013 Revolving Credit Facility is subject to an undrawn fee of 0.75%.</w:t>
      </w:r>
    </w:p>
    <w:p>
      <w:pPr>
        <w:spacing w:after="0" w:line="188"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14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Subject to certain limitations and exceptions, the 2013 Credit Facilities are secured by certain collateral, including certain route authorities and certain take-off and landing rights and gate leaseholds at certain airports. American is required to maintain a certain minimum ratio of appraised value of the collateral to the outstanding loans under the 2013 Credit Facilities as further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6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2013 Citicorp Credit Facility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23, 2013, US Airways entered into a term loan credit facility (the 2013 Citicorp Credit Facility) with Citicorp North America, Inc., as administrative agent, and a syndicate of lenders. US Airways Group and certain other subsidiaries of US Airways Group are guarantors of the 2013 Citicorp Credit Facility agreement. In connection with the closing of the Merger, AAG and American entered into a joinder to the 2013 Citicorp Credit Facility loan agreement pursuant to which AAG and American became guarantors under such agreement.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2013 Citicorp Credit Facility consists of tranche B-1 term loans (Tranche B-1) and tranche B-2 term loans (Tranche B-2). As of September 30, 2015, $980 million was outstanding under Tranche B-1 and $588 million was outstanding under Tranche B-2. Voluntary prepayments may be made at any time.</w:t>
      </w:r>
    </w:p>
    <w:p>
      <w:pPr>
        <w:spacing w:after="0" w:line="18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2013 Citicorp Credit Facility bears interest at an index rate plus an applicable index margin or, at US Airways’ option, LIBOR (subject to a floor of 0.75%) plus an applicable LIBOR margin. As of September 30, 2015, the applicable LIBOR margin was 2.75% for Tranche B-1 and 2.25% for Tranche B-2.</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certain limitations and exceptions, the obligations of US Airways under the 2013 Citicorp Credit Facility are secured by liens on certain take-off and landing rights at certain airports, and certain other assets of US Airways. US Airways is required to maintain a certain minimum ratio of appraised value of the collateral to the outstanding loans under the 2013 Citicorp Credit Facility as further described below in “</w:t>
      </w:r>
      <w:r>
        <w:rPr>
          <w:rFonts w:ascii="Arial" w:cs="Arial" w:eastAsia="Arial" w:hAnsi="Arial"/>
          <w:sz w:val="18"/>
          <w:szCs w:val="18"/>
          <w:i w:val="1"/>
          <w:iCs w:val="1"/>
          <w:color w:val="auto"/>
        </w:rPr>
        <w:t>Collateral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2013 Citicorp Credit Facility agreement contains events of default customary for similar financings, including a cross-default provision to certain other material indebtedness of US Airways and certain of its affiliates. Upon the occurrence of an event of default, the outstanding obligations under the 2013 Citicorp Credit Facility may be accelerated and become due and payable immediately. In addition, if a “change of control” (as defined in the 2013 Citicorp Credit Facility agreement) occurs, US Airways will (absent an amendment or waiver) be required to repay the outstanding loans in full together with accrued interest thereon to the date of such prepayment. 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October 10, 2014, American, AAG, US Airways Group and US Airways entered into a Credit and Guaranty Agreement (the 2014 Credit Agreement) with certain lenders. The 2014 Credit Agreement provides for a $750 million term loan facility (the 2014 Term Loan Facility) and a $400 million revolving credit facility (the 2014 Revolving Facility). The 2014 Revolving Facility provides that American may from time to time borrow, repay and reborrow loans thereunder. American may have letters of credit issued under the 2014 Revolving Facility in an aggregate amount outstanding at any time up to $300 million. As of September 30, 2015, there were no borrowings or letters of credit outstanding under the 2014 Revolving Facility.</w:t>
      </w:r>
    </w:p>
    <w:p>
      <w:pPr>
        <w:spacing w:after="0" w:line="1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On April 20, 2015, American refinanced its $750 million term loan facility (the $750 million 2015 Term Loan Facility and, together with the 2014 Revolving Facility, the 2014 Credit Facilities) to reduce the LIBOR margin from 3.50% to 3.00% and entered into certain amendments to reflect the release of certain existing collateral and the addition of certain new collateral, as well as the ability for American to make future modifications to the collateral pledged, subject to certain restrictions. As of September 30, 2015, $750 million was outstanding under the $750 million 2015 Term Loan Facility.</w:t>
      </w:r>
    </w:p>
    <w:p>
      <w:pPr>
        <w:spacing w:after="0" w:line="154"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$750 million 2015 Term Loan Facility and 2014 Revolving Facility mature on October 10, 2021 and October 10, 2019, respectively, unless otherwise extended by the applicable parties. The $750 million 2015 Term Loan Facility is repayable in annual installments in an amount equal to 1.00% of the original principal balance with any unpaid balance due on the maturity date. Voluntary prepayments may be made by American at any time, with a premium of 1.00% applicable to certain prepayments made prior to the date that is six months following April 20, 2015.</w:t>
      </w:r>
    </w:p>
    <w:p>
      <w:pPr>
        <w:spacing w:after="0" w:line="17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$750 million 2015 Term Loan Facility) plus an applicable LIBOR margin. If American’s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credit rating is Ba3 or higher from Moody’s and BB- or higher from S&amp;P, the applicable LIBOR margin would be 2.75% for the $750 million 2015 Term Loan Facility. As of September 30, 2015, the applicable LIBOR margins were 2.75% and 3.00% for borrowings under the $750 million 2015 Term Loan Facility and the 2014 Revolving Facility, respectively.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as further described below in “</w:t>
      </w:r>
      <w:r>
        <w:rPr>
          <w:rFonts w:ascii="Arial" w:cs="Arial" w:eastAsia="Arial" w:hAnsi="Arial"/>
          <w:sz w:val="18"/>
          <w:szCs w:val="18"/>
          <w:i w:val="1"/>
          <w:iCs w:val="1"/>
          <w:color w:val="auto"/>
        </w:rPr>
        <w:t>Collateral Related Covenants</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2015-1 EETCs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(the 2015-1 EETCs) in connection with the financing of 28 aircraft owned by American (the 2015 EETC Aircraft).</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of September 30, 2015, the entire $1.2 billion of the proceeds from the sale of the 2015-1 EETCs has been used to purchase equipment notes issued by American in two series: Series A equipment notes in the amount of $948 million bearing interest at 3.375% per annum and Series B equipment notes in the amount of $266 million bearing interest at 3.70% per annum. Interest and principal payments on the equipment notes are payable semi-annually in May and November of each year, beginning in November 2015. The final payments on the Series A and Series B equipment notes will be due in May 2027 and May 2023, respectively. These equipment notes are secured by liens on the 2015 EETC Aircraft.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2015-2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September 2015, American created three pass-through trusts which issued approximately $1.1 billion aggregate face amount of Series 2015-2 Class AA, Class A and Class B EETCs (the 2015-2 EETCs) in connection with the financing of 21 aircraft owned by American (the 2015-2 EETC Aircraft).</w:t>
      </w:r>
    </w:p>
    <w:p>
      <w:pPr>
        <w:spacing w:after="0" w:line="12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September 30, 2015, the entire $1.1 billion of the proceeds from the sale of the 2015-2 EETCs has been used to purchase equipment notes issued by American in three series: Series AA equipment notes in the amount of $583 million bearing interest at 3.60% per annum, Series A equipment notes in the amount of $239 million bearing interest at 4.00% per annum and Series B equipment notes in the amount of $239 million bearing interest at 4.40% per annum. Interest and principal payments on the equipment notes are payable semi-annually in March and September of each year, with interest payments beginning in March 2016 and principal payments beginning in September 2016. The final payments on the Series AA and Series A equipment notes will be in September 2027 and the final payments on the Series B equipment notes will be in September 2023. These equipment notes are secured by liens on the 2015-2 EETC Aircraft.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4.625% Senior Notes</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March 2015, AAG issued $500 million aggregate principal amount of 4.625% senior notes due 2020 (the 4.625% senior notes). These notes bear interest at a rate of 4.625% per annum and are payable semi-annually in arrears on each March 1 and September 1, which began on September 1, 2015. The 4.625% senior notes mature on March 1, 2020 and are fully and unconditionally guaranteed by American, US Airways Group and US Airways. The 4.625% senior notes are senior unsecured obligations of AAG. The indenture for the 4.625% senior notes contains covenants and events of default generally customary for similar financings. In addition, if AAG experiences specific kinds of changes of control, AAG must offer to repurchase the 4.625% senior notes in whole or in part at a repurchase price of 101% of the aggregate principal amount plus accrued and unpaid interest, if any, to (but not including) the repurchase date. Upon the occurrence of certain events of default, the 4.625% senior notes may be accelerated and become due and payable.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AAdvantage Loan</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Effective January 2, 2015, American exercised its loan repayment right with respect to the full value of the outstanding balance of the AAdvantage Loan with Citibank for $400 million. In connection with the repayment, in the first quarter of 2015, American recognized an early debt extinguishment gain of approximately $17 million.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Obligations Associated with Special Facility Revenue Bonds</w:t>
      </w:r>
    </w:p>
    <w:p>
      <w:pPr>
        <w:spacing w:after="0" w:line="11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December 2014, American acquired approximately $112 million aggregate principal amount of special facility revenue bonds related to the Tulsa International Airport, when such bonds were mandatorily tendered to American. The acquisition of these bonds resulted in an $11 million reduction of debt on American’s consolidated balance sheet and a $50 million reduction of a long-term operating lease obligation included in other long-term liabilities on American’s consolidated balance sheet as of December 31, 2014. American exercised its option to remarket approximately $104 million of these bonds in May 2015. The remarketed bonds bear interest at 5.0% per annum from the date of initial issuance and delivery of the bonds on May 27, 2015, until the day preceding June 1, 2025, on which date the bonds will be subject to mandatory tender for purchase by American. In connection with the remarketing of these special facility revenue bonds, American received cash proceeds of $112 million and recognized a total obligation of $62 million. Of that total obligation, $11 million is reflected as a capital lease and $51 million is reflected in other long-term liabilities on American’s condensed consolidated balance sheet as of September 30, 2015.</w:t>
      </w:r>
    </w:p>
    <w:p>
      <w:pPr>
        <w:spacing w:after="0" w:line="19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June 2015, American exercised its right to adjust the interest rate on approximately $365 million aggregate principal amount of special facility revenue bonds related to the John F. Kennedy International Airport, which were bearing interest at 8.50% per annum. In August 2015, these bonds were purchased by American and subsequently remarketed. The remarketed bonds bear interest at 2.00% per annum from the date of initial issuance and delivery of the bonds in August 2015, until August 2016, when the bonds will be subject to mandatory tender for purchase by American. In connection with this transaction, American recorded a special nonoperating charge of $20 million related primarily to non-cash write offs of unamortized debt discount and debt issuance costs. The $365 million obligation is reflected in current maturities of long-term debt on American’s condensed consolidated balance sheet as of September 30, 2015.</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Aircraft Financing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first nine months of 2015, we prepaid $72 million principal amount of outstanding debt secured by certain aircraft.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nine months of 2015, we entered into loan agreements to borrow $1.3 billion in connection with the financing of certain aircraft. The notes mature in 2022 through 2027 and bear interest at a rate of LIBOR plus an applicable margin.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Certain of our debt financing agreements contain loan to value ratio covenants and require us to periodically appraise the collateral. Pursuant to such agreements, if the loan to value ratio exceeds a specified threshold, we are required, as applicable, to pledge additional qualifying collateral (which in some cases may include cash collateral), or pay down such financing, in whole or in part, with premium (if any). Specifically, American is required to meet collateral coverage tests on a periodic basis on the 2013 Credit Facilities and the 2014 Credit Facilities, and US Airways is required to meet such tests on the 2013 Citicorp Credit Facility. We were in compliance with the collateral coverage tests for the 2013 Credit Facilities, 2013 Citicorp Credit Facility and the 2014 Credit Facilities as of the most recent measurement dates.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credit ratings as of September 30,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S&amp;P Local</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Fitch</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149"/>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Issuer Credit</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Issuer Default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r>
      <w:tr>
        <w:trPr>
          <w:trHeight w:val="17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Rating</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Credit Rating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Family Rating</w:t>
            </w:r>
          </w:p>
        </w:tc>
      </w:tr>
      <w:tr>
        <w:trPr>
          <w:trHeight w:val="210"/>
        </w:trPr>
        <w:tc>
          <w:tcPr>
            <w:tcW w:w="7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Airlines Group</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Ba3</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American Airlines</w:t>
            </w: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BB-</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B+</w:t>
            </w:r>
          </w:p>
        </w:tc>
        <w:tc>
          <w:tcPr>
            <w:tcW w:w="900" w:type="dxa"/>
            <w:vAlign w:val="bottom"/>
          </w:tcPr>
          <w:p>
            <w:pPr>
              <w:jc w:val="right"/>
              <w:ind w:right="321"/>
              <w:spacing w:after="0"/>
              <w:rPr>
                <w:sz w:val="20"/>
                <w:szCs w:val="20"/>
                <w:color w:val="auto"/>
              </w:rPr>
            </w:pPr>
            <w:r>
              <w:rPr>
                <w:rFonts w:ascii="Arial" w:cs="Arial" w:eastAsia="Arial" w:hAnsi="Arial"/>
                <w:sz w:val="18"/>
                <w:szCs w:val="18"/>
                <w:color w:val="auto"/>
              </w:rPr>
              <w:t>*</w:t>
            </w:r>
          </w:p>
        </w:tc>
      </w:tr>
      <w:tr>
        <w:trPr>
          <w:trHeight w:val="121"/>
        </w:trPr>
        <w:tc>
          <w:tcPr>
            <w:tcW w:w="1160" w:type="dxa"/>
            <w:vAlign w:val="bottom"/>
            <w:tcBorders>
              <w:bottom w:val="single" w:sz="8" w:color="auto"/>
            </w:tcBorders>
          </w:tcPr>
          <w:p>
            <w:pPr>
              <w:spacing w:after="0"/>
              <w:rPr>
                <w:sz w:val="10"/>
                <w:szCs w:val="10"/>
                <w:color w:val="auto"/>
              </w:rPr>
            </w:pPr>
          </w:p>
        </w:tc>
        <w:tc>
          <w:tcPr>
            <w:tcW w:w="6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7480" w:type="dxa"/>
            <w:vAlign w:val="bottom"/>
            <w:gridSpan w:val="2"/>
          </w:tcPr>
          <w:p>
            <w:pPr>
              <w:spacing w:after="0"/>
              <w:rPr>
                <w:sz w:val="20"/>
                <w:szCs w:val="20"/>
                <w:color w:val="auto"/>
              </w:rPr>
            </w:pPr>
            <w:r>
              <w:rPr>
                <w:rFonts w:ascii="Arial" w:cs="Arial" w:eastAsia="Arial" w:hAnsi="Arial"/>
                <w:sz w:val="18"/>
                <w:szCs w:val="18"/>
                <w:color w:val="auto"/>
              </w:rPr>
              <w:t>*  The credit agency does not rate this category for the respective entity.</w:t>
            </w: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2"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September 30, 2015, we had definitive purchase agreements with Airbus, Boeing and other manufacturers for the acquisition of the following mainline and regional aircraft: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2020 and</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2015</w:t>
            </w: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Thereafter</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Airbus</w:t>
            </w:r>
          </w:p>
        </w:tc>
        <w:tc>
          <w:tcPr>
            <w:tcW w:w="60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 Family</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A350 XWB</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1"/>
              </w:rPr>
              <w:t>Boeing</w:t>
            </w:r>
          </w:p>
        </w:tc>
        <w:tc>
          <w:tcPr>
            <w:tcW w:w="60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737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MAX Family</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777-300 ER</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80" w:type="dxa"/>
            <w:vAlign w:val="bottom"/>
            <w:gridSpan w:val="5"/>
          </w:tcPr>
          <w:p>
            <w:pPr>
              <w:spacing w:after="0"/>
              <w:rPr>
                <w:sz w:val="20"/>
                <w:szCs w:val="20"/>
                <w:color w:val="auto"/>
              </w:rPr>
            </w:pPr>
            <w:r>
              <w:rPr>
                <w:rFonts w:ascii="Arial" w:cs="Arial" w:eastAsia="Arial" w:hAnsi="Arial"/>
                <w:sz w:val="18"/>
                <w:szCs w:val="18"/>
                <w:b w:val="1"/>
                <w:bCs w:val="1"/>
                <w:color w:val="auto"/>
              </w:rPr>
              <w:t>Bombardier</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CRJ900 </w:t>
            </w:r>
            <w:r>
              <w:rPr>
                <w:rFonts w:ascii="Arial" w:cs="Arial" w:eastAsia="Arial" w:hAnsi="Arial"/>
                <w:sz w:val="15"/>
                <w:szCs w:val="15"/>
                <w:color w:val="auto"/>
              </w:rPr>
              <w:t>(1)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80" w:type="dxa"/>
            <w:vAlign w:val="bottom"/>
            <w:gridSpan w:val="5"/>
          </w:tcPr>
          <w:p>
            <w:pPr>
              <w:spacing w:after="0"/>
              <w:rPr>
                <w:sz w:val="20"/>
                <w:szCs w:val="20"/>
                <w:color w:val="auto"/>
              </w:rPr>
            </w:pPr>
            <w:r>
              <w:rPr>
                <w:rFonts w:ascii="Arial" w:cs="Arial" w:eastAsia="Arial" w:hAnsi="Arial"/>
                <w:sz w:val="18"/>
                <w:szCs w:val="18"/>
                <w:b w:val="1"/>
                <w:bCs w:val="1"/>
                <w:color w:val="auto"/>
              </w:rPr>
              <w:t>Embraer</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ERJ175 </w:t>
            </w:r>
            <w:r>
              <w:rPr>
                <w:rFonts w:ascii="Arial" w:cs="Arial" w:eastAsia="Arial" w:hAnsi="Arial"/>
                <w:sz w:val="15"/>
                <w:szCs w:val="15"/>
                <w:color w:val="auto"/>
              </w:rPr>
              <w:t>(1)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gridSpan w:val="4"/>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79"/>
              </w:rPr>
              <w:t>135</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line="27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have agreements for 62 spare engines to be delivered in 2015 and beyond. Under all of our aircraft and engine purchase agreements, our total future commitments as of September 30, 2015 are expected to be as follows (approximately,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Remainder</w:t>
            </w:r>
          </w:p>
        </w:tc>
        <w:tc>
          <w:tcPr>
            <w:tcW w:w="100" w:type="dxa"/>
            <w:vAlign w:val="bottom"/>
          </w:tcPr>
          <w:p>
            <w:pPr>
              <w:spacing w:after="0"/>
              <w:rPr>
                <w:sz w:val="14"/>
                <w:szCs w:val="14"/>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2020 and</w:t>
            </w:r>
          </w:p>
        </w:tc>
        <w:tc>
          <w:tcPr>
            <w:tcW w:w="8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of 2015</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Payments for American aircraft commitments and certain engines </w:t>
            </w:r>
            <w:r>
              <w:rPr>
                <w:rFonts w:ascii="Arial" w:cs="Arial" w:eastAsia="Arial" w:hAnsi="Arial"/>
                <w:sz w:val="15"/>
                <w:szCs w:val="15"/>
                <w:color w:val="auto"/>
              </w:rPr>
              <w:t>(1)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4,034</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$1,911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xml:space="preserve">Payments for US Airways aircraft commitments and certain engines </w:t>
            </w:r>
            <w:r>
              <w:rPr>
                <w:rFonts w:ascii="Arial" w:cs="Arial" w:eastAsia="Arial" w:hAnsi="Arial"/>
                <w:sz w:val="15"/>
                <w:szCs w:val="15"/>
                <w:color w:val="auto"/>
              </w:rPr>
              <w:t>(1)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$1,019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308"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7"/>
          <w:szCs w:val="17"/>
          <w:color w:val="auto"/>
        </w:rPr>
        <w:t>These amounts are net of purchase deposits currently held by the manufacturers and include all commitments for regional aircraft. American has granted Boeing a security interest in its purchase deposits with Boeing. Our purchase deposits totaled $1.1 billion as of September 30, 2015.</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April 2015, we amended our delivery agreement with Boeing to defer four 787 aircraft from 2016 to 2017 and one 787 aircraft from 2017 to 2018. On June 11, 2015, we amended our delivery agreement with Airbus to defer delivery of 10 A320neo family aircraft in 2017 and 25 A320neo family aircraft in 2018 to years 2021 through 2023. These deferrals are reflected in the table above.</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As of September 30, 2015, we did not have financing commitments for the following aircraft currently on order and scheduled to be delivered through 2017: 52 Airbus A320 family aircraft, 30 Boeing 737 family aircraft, 23 Boeing 787 family aircraft, three Boeing 737 MAX family aircraft and three Boeing 777-300 ER aircraft. In addition, we did not have financing commitments in place for substantially all aircraft currently on order and scheduled to be delivered in 2018 and beyond. See Part II, Item 1A. Risk Factors – “</w:t>
      </w:r>
      <w:r>
        <w:rPr>
          <w:rFonts w:ascii="Arial" w:cs="Arial" w:eastAsia="Arial" w:hAnsi="Arial"/>
          <w:sz w:val="16"/>
          <w:szCs w:val="16"/>
          <w:i w:val="1"/>
          <w:iCs w:val="1"/>
          <w:color w:val="auto"/>
        </w:rPr>
        <w:t>We will need to obtain sufficient financing or other capital to operate successfully</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Card Processing</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 currently required to maintain any holdbacks pursuant to these requirements. Certain of our agreements provide that these holdback 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Pension Funding Obligation</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Employee Retirement Income Security Act of 1974, the Pension Funding Equity Act of 2004, the Pension Protection Act of 2006, the Pension Relief Act of 2010 and the Moving Ahead for Progress in the 21st Century Act of 2012.</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Based on our current funding assumptions, we have no minimum required contributions until 2019. Currently, our minimum funding obligation for our pension plans is subject to temporary favorable rules that are scheduled to expire at the end of 2017. Our pension funding obligations are likely to increase materially beginning in 2019, when we will be required to make contributions relating to the 2018 fiscal year. The amount of these obligations will depend on the performance of our investments held in trust by the pension plans, interest rates for determining liabilities and our actuarial experience.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On December 18, 2014, we reached a joint collective bargaining agreement (JCBA) with the Association of Professional Flight Attendants (APFA). On December 23, 2014, the APFA JCBA pay rates were increased by 4% due to a corporate wide initiative announced on that day. The new agreement did not require ratification and was effective immediately with the wage increases under the JCBA becoming effective January 1, 2015. We estimate that our total flight attendant costs in 2015 will be approximately $200 million higher as a result of this new agreement.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January 3, 2015, we reached a tentative agreement with the Allied Pilots Association on a five-year joint collective bargaining agreement, which was ratified on January 30, 2015. The new, higher pay rates were implemented retroactive to December 2, 2014. We estimate that the ratified contract will increase our 2015 cost of pilot compensation and benefits by approximately $650 million, of which $99 million has been reflected as a special charge in the first nine months of 2015 in the condensed consolidated statement of operations.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September 2015, we reached a tentative agreement with the Communications Workers of America and International Brotherhood of Teamsters (CWA-IBT) for a new joint collective bargaining agreement applicable to passenger service employees. Subject to ratification by the CWA-IBT membership, the contract would provide significant pay increases for combined airport and ticket agents, premium service representatives, reservations representatives and travel center representatives.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off-balance sheet arrangements as set forth in our 2014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future cash contractual obligations as of September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Remainder</w:t>
            </w:r>
          </w:p>
        </w:tc>
        <w:tc>
          <w:tcPr>
            <w:tcW w:w="100" w:type="dxa"/>
            <w:vAlign w:val="bottom"/>
          </w:tcPr>
          <w:p>
            <w:pPr>
              <w:spacing w:after="0"/>
              <w:rPr>
                <w:sz w:val="10"/>
                <w:szCs w:val="10"/>
                <w:color w:val="auto"/>
              </w:rPr>
            </w:pP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2020 and</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of 2015</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1,114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8,625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13,241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Commitments for aircraft and engine purchases </w:t>
            </w:r>
            <w:r>
              <w:rPr>
                <w:rFonts w:ascii="Arial" w:cs="Arial" w:eastAsia="Arial" w:hAnsi="Arial"/>
                <w:sz w:val="15"/>
                <w:szCs w:val="15"/>
                <w:color w:val="auto"/>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4,450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4,034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21,399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10,978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2,211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15"/>
                <w:szCs w:val="15"/>
                <w:color w:val="auto"/>
              </w:rPr>
              <w:t>(7)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Retiree medical and other purchase obligations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American Contractual Obligations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$5,320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28,767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59,391</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i w:val="1"/>
                <w:iCs w:val="1"/>
                <w:color w:val="auto"/>
              </w:rPr>
              <w:t>AAG Parent, US Airways Group and Other AAG Subsidiaries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for aircraft and engine purchases </w:t>
            </w:r>
            <w:r>
              <w:rPr>
                <w:rFonts w:ascii="Arial" w:cs="Arial" w:eastAsia="Arial" w:hAnsi="Arial"/>
                <w:sz w:val="15"/>
                <w:szCs w:val="15"/>
                <w:color w:val="auto"/>
              </w:rPr>
              <w:t>(4)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Retiree medical and other purchase obligations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AAG Contractual Obligations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11,806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10,969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33,499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79,207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58"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Amounts represent contractual amounts due. Excludes $16 million and $16 million of unamortized debt discount for American and US Airways Group, respectively, as of September 30, 2015.</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For variable-rate debt, future interest obligations are estimated using the current forward rates at September 30, 2015.</w:t>
      </w:r>
    </w:p>
    <w:p>
      <w:pPr>
        <w:spacing w:after="0" w:line="9" w:lineRule="exact"/>
        <w:rPr>
          <w:rFonts w:ascii="Arial" w:cs="Arial" w:eastAsia="Arial" w:hAnsi="Arial"/>
          <w:sz w:val="15"/>
          <w:szCs w:val="15"/>
          <w:color w:val="auto"/>
        </w:rPr>
      </w:pPr>
    </w:p>
    <w:p>
      <w:pPr>
        <w:jc w:val="both"/>
        <w:ind w:left="460" w:hanging="452"/>
        <w:spacing w:after="0" w:line="25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For American, includes $6.3 billion of future principal payments and $1.6 billion of future interest payments, respectively, and for US Airways Group, includes $2.6 billion of future principal payments and $780 million of future interest payments, respectively, as of September 30, 2015, related to EETCs associated with mortgage financings for the purchase of certain aircraft.</w:t>
      </w:r>
    </w:p>
    <w:p>
      <w:pPr>
        <w:spacing w:after="0" w:line="1"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 obligations of American and US Airways Group.</w:t>
      </w:r>
    </w:p>
    <w:p>
      <w:pPr>
        <w:ind w:left="460" w:right="20" w:hanging="452"/>
        <w:spacing w:after="0" w:line="25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For American, includes $244 million and for US Airways Group, includes $1.6 billion of future minimum lease payments related to EETCs associated with leveraged lease financings of certain aircraft as of September 30, 2015.</w:t>
      </w:r>
    </w:p>
    <w:p>
      <w:pPr>
        <w:ind w:left="460" w:hanging="452"/>
        <w:spacing w:after="0" w:line="265"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ind w:left="460" w:hanging="452"/>
        <w:spacing w:after="0" w:line="261"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2024. See Note 8 to American’s condensed consolidated financial statements in Part I, Item 1B.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21"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light of our significant financial commitments related to, among other things, new aircraft and the servicing and amortization of existing debt and equipment leasing arrangements,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decrease the amount of cash available to cover cash contractual obligations. Moreover, the 2013 Credit Facilities, the 2014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third quarter of 2015, there were no changes to our critical accounting policies and estimates from those disclosed in the consolidated financial statements and accompanying notes contained in our 2014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On July 9, 2015, the FASB issued ASU 2015-14, which deferred the effective date of this new standard to periods beginning after December 15, 2017 for public entities. Early application is permitted, but not before interim and annual reporting periods beginning after December 15, 2016. Entities have the choice to apply ASU 2014-09 either retrospectively to each reporting period presented or by recognizing the cumulative effect of applying ASU 2014-09 at the date of initial application and not adjusting comparative information. We are currently evaluating the requirements of ASU 2014-09 and have not yet determined its impact on our condensed consolidated financial statements.</w:t>
      </w:r>
    </w:p>
    <w:p>
      <w:pPr>
        <w:spacing w:after="0" w:line="16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April 2015, the FASB issued ASU 2015-03, “Interest - Imputation of Interest (Subtopic 835-30): Simplifying the Presentation of Debt Issuance Costs.” The update requires debt issuance costs related to a recognized debt liability to be presented in the balance sheet as a direct deduction from the carrying amount of the related debt liability instead of being presented as an asset. Debt disclosures will include the face amount of the debt liability and the effective interest rate. The update requires retrospective application and represents a change in accounting principle. The update is effective for fiscal years beginning after December 15, 2015. Early adoption is permitted for financial statements that have not been previously issued. ASU 2015-03 is not expected to have a material impact on our condensed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AAG’s Market Risk Sensitive Instruments and Positions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2014 Form 10-K except as updated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of September 30, 2015,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2015 forecasted mainline and regional fuel consumption is presently approximately 4.3 billion gallons, and based on this forecast, a one cent per gallon increase in aviation fuel price would result in a $43 million increase in annual expense.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Japanese yen and various Latin American currencies, particularly the Venezuelan bolivar, Brazilian real and Argentine peso. We do not currently have a foreign currency hedge program related to our foreign currency-denominated ticket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2015, we had approximately $609 million of unrestricted cash and short-term investments held in Venezuelan bolivars. This balance is valued at 6.3 bolivars to the U.S. dollar, which is the rate that was in effect on the date we submitted each of our repatriation requests to the Venezuelan government. This rate is materially more favorable than the exchange rates currently prevailing for other transactions conducted outside of the Venezuelan government’s currency exchange system.</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additional uncertainty posed by the recent changes to the foreign exchange regulations and the continued deterioration of 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 economic and 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American’s Market Risk Sensitive Instruments and Positions</w:t>
      </w:r>
    </w:p>
    <w:p>
      <w:pPr>
        <w:spacing w:after="0" w:line="121"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American’s primary market risk exposures include the price of aircraft fuel, foreign currency exchange rates and interest rate risk. American’s exposure to these market risks has not changed materially from its exposure discussed in its 2014 Form 10-K except as updated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As of September 30, 2015, American did not have any fuel hedging contracts outstanding to hedge American’s fuel consumption. As such, and assuming American does not enter into any future transactions to hedge its fuel consumption, American will continue to be fully exposed to fluctuations in fuel prices. American’s current policy is not to enter into transactions to hedge its fuel consumption, although American reviews that policy from time to time based on market conditions and other factors. American’s 2015 forecasted mainline and regional fuel consumption is presently approximately 2.8 billion gallons, and based on this forecast, a one cent per gallon increase in aviation fuel price would result in a $28 million increase in annual expense.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is exposed to the effect of foreign exchange rate fluctuations on the U.S. dollar value of foreign currency-denominated operating revenues and expenses. American’s largest exposure comes from the British pound, Euro, Canadian dollar, Japanese yen and various Latin American currencies, particularly the Venezuelan bolivar, Brazilian real and Argentine peso. American does not currently have a foreign currency hedge program related to its foreign currency-denominated ticket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2015, American had approximately $609 million of unrestricted cash and short-term investments held in Venezuelan bolivars. This balance is valued at 6.3 bolivars to the U.S. dollar, which is the rate that was in effect on the date American submitted each of its repatriation requests to the Venezuelan government. This rate is materially more favorable than the exchange rates currently prevailing for other transactions conducted outside of the Venezuelan government’s currency exchange system.</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American significantly reduced capacity in the Venezuelan market and is no longer accepting bolivars as payment for airline tickets. American is monitoring this situation closely and continues to evaluate its holdings of Venezuelan bolivars for additional foreign currency losses or other accounting adjustments, which could be material, particularly in light of the additional uncertainty posed by the recent changes to the foreign exchange regulations and the continued deterioration of economic conditions in Venezuela. More generally, fluctuations in foreign currencies, including devaluations, cannot be predicted by American and can significantly affect the value of American’s assets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economic and political 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term “disclosure controls and procedures” is defined in Rules 13a-15(e) and 15d-15(e) of the Securities Exchange Act of 1934, as amended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Securities and Exchange Commission. An evaluation of the effectiveness of AAG’s and American’s disclosure controls and procedures as of September 30, 2015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September 30,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quarter ended September 30, 2015, there has been no change in AAG’s or American’s internal control over financial reporting that has materially affected, or is reasonably likely to materially affect, AAG’s and American’s internal control over financial reporting.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September 30, 2015.</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Chapter 11 Cases. </w:t>
      </w:r>
      <w:r>
        <w:rPr>
          <w:rFonts w:ascii="Arial" w:cs="Arial" w:eastAsia="Arial" w:hAnsi="Arial"/>
          <w:sz w:val="16"/>
          <w:szCs w:val="16"/>
          <w:color w:val="auto"/>
        </w:rPr>
        <w:t>As previously disclosed, on the Petition Date, November 29, 2011, the Debtors filed the Chapter 11 Cases. On October 21,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Court entered the Confirmation Order confirming the Plan. On the Effective Date, December 9, 2013, the Debtors consummated their reorganization pursuant to the Plan and completed the Merger.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66" w:lineRule="exact"/>
        <w:rPr>
          <w:sz w:val="20"/>
          <w:szCs w:val="20"/>
          <w:color w:val="auto"/>
        </w:rPr>
      </w:pPr>
    </w:p>
    <w:p>
      <w:pPr>
        <w:jc w:val="both"/>
        <w:ind w:firstLine="456"/>
        <w:spacing w:after="0" w:line="267"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we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we repurchased less than 0.1 million shares of AAG Common Stock for an aggregate of $2 million from the Disputed Claims Reserve at the then-prevailing market price in order to fund cash tax obligations resulting from this distribution. As of September 30,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8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We have denied both grievances and intend to defend these matters vigorously.</w:t>
      </w:r>
    </w:p>
    <w:p>
      <w:pPr>
        <w:spacing w:after="0" w:line="18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DOJ Antitrust Civil Investigative Demand. </w:t>
      </w:r>
      <w:r>
        <w:rPr>
          <w:rFonts w:ascii="Arial" w:cs="Arial" w:eastAsia="Arial" w:hAnsi="Arial"/>
          <w:sz w:val="18"/>
          <w:szCs w:val="18"/>
          <w:color w:val="auto"/>
        </w:rPr>
        <w:t>In June 2015, we received a Civil Investigative Demand (CID) from the United States Department of Justice</w:t>
      </w:r>
      <w:r>
        <w:rPr>
          <w:rFonts w:ascii="Arial" w:cs="Arial" w:eastAsia="Arial" w:hAnsi="Arial"/>
          <w:sz w:val="18"/>
          <w:szCs w:val="18"/>
          <w:i w:val="1"/>
          <w:iCs w:val="1"/>
          <w:color w:val="auto"/>
        </w:rPr>
        <w:t xml:space="preserve"> </w:t>
      </w:r>
      <w:r>
        <w:rPr>
          <w:rFonts w:ascii="Arial" w:cs="Arial" w:eastAsia="Arial" w:hAnsi="Arial"/>
          <w:sz w:val="18"/>
          <w:szCs w:val="18"/>
          <w:color w:val="auto"/>
        </w:rPr>
        <w:t>(DOJ) as part of an investigation into whether there have been illegal agreements or coordination of air passenger capacity. The CID seeks documents and other information from us, and other airlines have announced that they have received similar requests. We intend to cooperate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unlawful agreements with respect to air passenger capacity. The U.S. lawsuits were the subject of multiple motions to consolidate them in a single forum, and they have now been consolidated in the Federal District Court for the District of Columbia. Both the DOJ process and these lawsuits are in their very early stages and we intend to defend the lawsuits vigorously.</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Plaintiffs have indicated that they will seek further relief from the JPML. We believe this lawsuit is without merit and intend to vigorously defend against the allegations.</w:t>
      </w:r>
    </w:p>
    <w:p>
      <w:pPr>
        <w:spacing w:after="0" w:line="1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and our subsidiaries are also engaged in other legal proceedings from time to time. Legal proceedings can be complex and take many</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our common stock or our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and Industry-Related Risks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286"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6"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volatile.</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Because of the amount of fuel needed to operate our business, even a relatively small increase in the price of fuel can have a material adverse aggregate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As of September 30, 2015,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AAG’s Market Risk Sensitive Instruments and Positions – Aircraft Fuel”</w:t>
      </w:r>
      <w:r>
        <w:rPr>
          <w:rFonts w:ascii="Arial" w:cs="Arial" w:eastAsia="Arial" w:hAnsi="Arial"/>
          <w:sz w:val="18"/>
          <w:szCs w:val="18"/>
          <w:color w:val="auto"/>
        </w:rPr>
        <w:t xml:space="preserve"> and “</w:t>
      </w:r>
      <w:r>
        <w:rPr>
          <w:rFonts w:ascii="Arial" w:cs="Arial" w:eastAsia="Arial" w:hAnsi="Arial"/>
          <w:sz w:val="18"/>
          <w:szCs w:val="18"/>
          <w:i w:val="1"/>
          <w:iCs w:val="1"/>
          <w:color w:val="auto"/>
        </w:rPr>
        <w:t>American’s</w:t>
      </w:r>
      <w:r>
        <w:rPr>
          <w:rFonts w:ascii="Arial" w:cs="Arial" w:eastAsia="Arial" w:hAnsi="Arial"/>
          <w:sz w:val="18"/>
          <w:szCs w:val="18"/>
          <w:color w:val="auto"/>
        </w:rPr>
        <w:t xml:space="preserve"> </w:t>
      </w:r>
      <w:r>
        <w:rPr>
          <w:rFonts w:ascii="Arial" w:cs="Arial" w:eastAsia="Arial" w:hAnsi="Arial"/>
          <w:sz w:val="18"/>
          <w:szCs w:val="18"/>
          <w:i w:val="1"/>
          <w:iCs w:val="1"/>
          <w:color w:val="auto"/>
        </w:rPr>
        <w:t>Market Risk Sensitive Instruments and Positions – Aircraft Fuel.”</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65"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Low-cost carriers have a profound impact on industry revenues. Using the advantage of low unit costs, these carriers offer lower fares in order to shift demand from larger, more established airlines.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overall performance. For example, as a result of divestitures completed in connection with gaining regulatory approval for the Merger, low-fare, low-cost carriers have gained additional access in a number of markets, including DCA, a Slot-controlled airport. In addition, the Wright Amendment Reform Act of 2006 reduced, and has now eliminated all, domestic non-stop geographic restrictions on operations by Southwest Airlines and other carriers at Dallas Love Field Airport (DAL). The two gates at DAL that we divested as part of our settlement of antitrust litigation related to the Merger have been allocated to Virgin America, a low-cost carrier. The changed operating rules at DAL and that divestiture have increased low-cost carrier competition for our hub at Dallas/Fort Worth International Airport. The actions of the low-cost carriers, including those described above, could have a material adverse effect on our operations and financial performance.</w:t>
      </w:r>
    </w:p>
    <w:p>
      <w:pPr>
        <w:spacing w:after="0" w:line="183"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Our presence in international markets is not as extensive as that of some of our competitors. We derived approximately 33% of our operating revenues in 2014 from operations outside of the U.S., as measured and reported to the DOT. In providing international air transportation, we compete with U.S. airlines to provide scheduled passenger and cargo service between the U.S. and various overseas locations, foreign investor-owned airlines and foreign state-owned or state-affiliated airlines, including carriers based in the Middle East, the three largest of which we believe benefit from significant government subsidies. In addition, open skies agreements with an increasing number of countries around the world provide international airlines with open access to U.S. markets. During 2014, international capacity grew more quickly than domestic service, creating a very competitive operating environment. See “</w:t>
      </w:r>
      <w:r>
        <w:rPr>
          <w:rFonts w:ascii="Arial" w:cs="Arial" w:eastAsia="Arial" w:hAnsi="Arial"/>
          <w:sz w:val="17"/>
          <w:szCs w:val="17"/>
          <w:i w:val="1"/>
          <w:iCs w:val="1"/>
          <w:color w:val="auto"/>
        </w:rPr>
        <w:t>Our business is</w:t>
      </w:r>
      <w:r>
        <w:rPr>
          <w:rFonts w:ascii="Arial" w:cs="Arial" w:eastAsia="Arial" w:hAnsi="Arial"/>
          <w:sz w:val="17"/>
          <w:szCs w:val="17"/>
          <w:color w:val="auto"/>
        </w:rPr>
        <w:t xml:space="preserve"> </w:t>
      </w:r>
      <w:r>
        <w:rPr>
          <w:rFonts w:ascii="Arial" w:cs="Arial" w:eastAsia="Arial" w:hAnsi="Arial"/>
          <w:sz w:val="17"/>
          <w:szCs w:val="17"/>
          <w:i w:val="1"/>
          <w:iCs w:val="1"/>
          <w:color w:val="auto"/>
        </w:rPr>
        <w:t>subject to extensive government regulation, which may result in increases in our costs, disruptions to our operations, limits on our operating flexibility, reductions in the demand for air travel, and competitive disadvantages</w:t>
      </w:r>
      <w:r>
        <w:rPr>
          <w:rFonts w:ascii="Arial" w:cs="Arial" w:eastAsia="Arial" w:hAnsi="Arial"/>
          <w:sz w:val="17"/>
          <w:szCs w:val="17"/>
          <w:color w:val="auto"/>
        </w:rPr>
        <w:t>”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implemented a joint business agreement (JBA) with British Airways, Iberia and Finnair, and antitrust-immunized cooperation with British Airways, Iberia, Finnair and Royal Jordanian. In addition, we have implemented an antitrust-immunized JBA with Japan Airlines and a JBA with Qantas Airways. No assurances can be given as to any benefits that we may derive from such arrangements or any other arrangements that may ultimately be implemented.</w:t>
      </w:r>
    </w:p>
    <w:p>
      <w:pPr>
        <w:spacing w:after="0" w:line="18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Merger involves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Although we received a single operating certificate from the FAA for American and US Airways on April 8, 2015, we must devote significant management attention and resources to integrating our business practices, cultures and operations. Potential difficulties we may encounter as part of the integration process include the following:</w:t>
      </w:r>
    </w:p>
    <w:p>
      <w:pPr>
        <w:spacing w:after="0" w:line="94" w:lineRule="exact"/>
        <w:rPr>
          <w:sz w:val="20"/>
          <w:szCs w:val="20"/>
          <w:color w:val="auto"/>
        </w:rPr>
      </w:pPr>
    </w:p>
    <w:p>
      <w:pPr>
        <w:ind w:left="900" w:right="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challenge of integrating complex systems, operating procedures, regulatory compliance programs, technology, aircraft fleets, networks, and other assets in a manner that minimizes any adverse impact on customers, suppliers, employees, and other constituencies;</w:t>
      </w:r>
    </w:p>
    <w:p>
      <w:pPr>
        <w:spacing w:after="0" w:line="51"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in connection with the settlement of the litigation brought by the Department of Justice (DOJ) and certain states prior to the closing of the Merger, including those involving DAL and DCA;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that will be necessary to operate American and US Airways as a single airline and to achieve cost synergies by eliminating redundancies in the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We face challenges in integrating our computer, communications and other technology systems”</w:t>
      </w:r>
      <w:r>
        <w:rPr>
          <w:rFonts w:ascii="Arial" w:cs="Arial" w:eastAsia="Arial" w:hAnsi="Arial"/>
          <w:sz w:val="18"/>
          <w:szCs w:val="18"/>
          <w:color w:val="auto"/>
        </w:rPr>
        <w:t>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at all, or it may take longer and cost more to realize such benefits than expected.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9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75" w:lineRule="exact"/>
        <w:rPr>
          <w:rFonts w:ascii="Arial" w:cs="Arial" w:eastAsia="Arial" w:hAnsi="Arial"/>
          <w:sz w:val="18"/>
          <w:szCs w:val="18"/>
          <w:color w:val="auto"/>
        </w:rPr>
      </w:pPr>
    </w:p>
    <w:p>
      <w:pPr>
        <w:jc w:val="both"/>
        <w:ind w:left="1480" w:hanging="446"/>
        <w:spacing w:after="0" w:line="264"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86"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7"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We estimate that, based on our commitments as of September 30, 2015, our planned aggregate expenditures for aircraft purchase commitments and certain engines on a consolidated basis for calendar years 2015-2019 would be approximately $16.7 billion, of which $14.2 billion represents commitments by American. We also currently anticipate cash transition costs to integrate our and US Airways’ businesses following the Merger to be approximately $1.2 billion, although these costs could exceed our expectations.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September 30, 2015, we did not have financing commitments for the following aircraft currently on order and scheduled to be delivered through 2017: 52 Airbus A320 family aircraft, 30 Boeing 737 family aircraft, 23 Boeing 787 family aircraft, three Boeing 737 MAX family aircraft and three Boeing 777-300 ER aircraft. In addition, we did not have financing commitments in place for substantially all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62"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65"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 xml:space="preserve">Further, a substantial portion of our indebtedness bears interest at fluctuating interest rates, primarily based on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the $1.9 billion term loan facility and the $1.4 billion revolving credit facility provided for by the credit and guaranty agreement, as amended, entered into June 27, 2013 between AAG, American and certain lenders (the 2013 Credit Facilities), the $750 million term loan facility and the $400 million revolving credit facility entered into October 10, 2014 between AAG and American and certain lenders (the 2014 Credit Facilities) and other of our floating rate debt, and accordingly, our interest expense for any particular period may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Arial" w:cs="Arial" w:eastAsia="Arial" w:hAnsi="Arial"/>
          <w:sz w:val="17"/>
          <w:szCs w:val="17"/>
          <w:i w:val="1"/>
          <w:iCs w:val="1"/>
          <w:color w:val="auto"/>
        </w:rPr>
        <w:t>“AAG’s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Sensitive Instruments and Positions – Interest” </w:t>
      </w:r>
      <w:r>
        <w:rPr>
          <w:rFonts w:ascii="Arial" w:cs="Arial" w:eastAsia="Arial" w:hAnsi="Arial"/>
          <w:sz w:val="17"/>
          <w:szCs w:val="17"/>
          <w:color w:val="auto"/>
        </w:rPr>
        <w:t>and “</w:t>
      </w:r>
      <w:r>
        <w:rPr>
          <w:rFonts w:ascii="Arial" w:cs="Arial" w:eastAsia="Arial" w:hAnsi="Arial"/>
          <w:sz w:val="17"/>
          <w:szCs w:val="17"/>
          <w:i w:val="1"/>
          <w:iCs w:val="1"/>
          <w:color w:val="auto"/>
        </w:rPr>
        <w:t xml:space="preserve">American’s Market Risk Sensitive Instruments and Positions – Interest” </w:t>
      </w:r>
      <w:r>
        <w:rPr>
          <w:rFonts w:ascii="Arial" w:cs="Arial" w:eastAsia="Arial" w:hAnsi="Arial"/>
          <w:sz w:val="17"/>
          <w:szCs w:val="17"/>
          <w:color w:val="auto"/>
        </w:rPr>
        <w:t>in our 2014 Form</w:t>
      </w:r>
      <w:r>
        <w:rPr>
          <w:rFonts w:ascii="Arial" w:cs="Arial" w:eastAsia="Arial" w:hAnsi="Arial"/>
          <w:sz w:val="17"/>
          <w:szCs w:val="17"/>
          <w:i w:val="1"/>
          <w:iCs w:val="1"/>
          <w:color w:val="auto"/>
        </w:rPr>
        <w:t xml:space="preserve"> </w:t>
      </w:r>
      <w:r>
        <w:rPr>
          <w:rFonts w:ascii="Arial" w:cs="Arial" w:eastAsia="Arial" w:hAnsi="Arial"/>
          <w:sz w:val="17"/>
          <w:szCs w:val="17"/>
          <w:color w:val="auto"/>
        </w:rPr>
        <w:t>10-K.</w:t>
      </w:r>
    </w:p>
    <w:p>
      <w:pPr>
        <w:spacing w:after="0" w:line="291"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16"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3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post-employment benefit funding obligations, which may adversely affect our liquidity, results of operations and financial condition.</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Our pension funding obligations are likely to increase materially beginning in 2019, when we will be required to make contributions relating to the 2018 fiscal year. In addition, we may have significant obligations for other post-employment benefits, the ultimate amount of which depends on, among other things, the outcome of an adversary proceeding related to retiree medical and life insurance obligations filed in the Chapter 11 Cases.</w:t>
      </w:r>
    </w:p>
    <w:p>
      <w:pPr>
        <w:spacing w:after="0" w:line="30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6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terms of the 2013 Credit Facilities, the 2013 Citicorp Credit Facility and the 2014 Credit Facilities require AAG and American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AAG and the other obligors thereunder to hold not less than $750 million (subject to partial reductions upon certain reductions in the outstanding amount of the loan) of that amount in accounts subject to control agreements.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post-employment funding obligations and cash transition costs associated with the Merger, will depend on our operating performance and cash flow, which are seasonal, as well as factors including fuel costs and general economic and political conditions.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15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 favorable terms, including the acceleration of amounts due, in the event of material adverse changes in our financial condition.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in our 2014 Form 10-K.</w:t>
      </w:r>
    </w:p>
    <w:p>
      <w:pPr>
        <w:spacing w:after="0" w:line="18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2014 Form 10-K.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2014,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30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6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296"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take-off from the particular airport during a specified time period and may have other operational restrictions as well. In the U.S., the FAA currently regulates the allocation of</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Slot or Slot exemptions at DCA and three New York City airports: Newark Liberty International Airport, John F. Kennedy International Airport and LaGuardia Airport (LGA).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w:t>
      </w:r>
    </w:p>
    <w:p>
      <w:pPr>
        <w:spacing w:after="0" w:line="17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connection with the settlement of litigation relating to the Merger brought by the DOJ and certain states, we entered into settlement agreements that provide for certain asset divestitures including 52 Slot pairs at DCA, 17 Slot pairs at LGA and gates and related ground facilities necessary to operate those Slot pairs, and two gates at each of Boston Logan International Airport, Chicago O’Hare International Airport, DAL, Los Angeles International Airport and Miami International Airport. The settlement agreements also require us to maintain certain hub operations and continue to provide service to certain specified communities for limited periods of time. In addition, we entered into a related settlement with DOT related to small community service from DCA. Further, as a consequence of the Merger clearance process in the European Union (EU), we made one pair of London Heathrow Slots available for use by another carrier and, along with our JBA partners, we made one pair of London Heathrow Slots available to competitors for use for up to six years in different markets.</w:t>
      </w:r>
    </w:p>
    <w:p>
      <w:pPr>
        <w:spacing w:after="0" w:line="16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and Los Angeles International Airport, where the airport gate and other facilities are inadequate to accommodate all of the service that we would like to provide.</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incur problems with any of our third-party regional operators or third-party service providers, our operations could be adversely affected by a resulting decline in revenue or negative public perception about our services.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and other risk factors, such as a bankruptcy restructuring of any of the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We rely on third-party distribution channels, including those provided by or through global distribution systems (GDSs) (e.g., Amadeus, Sabre and Travelport), conventional travel agents and online travel agents (OTAs) (e.g., Expedia and Orbitz and Travelocity, both of which will be owned by Expedia if previously announced transactions are completed),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the future, new regulatory requirements could have a material adverse effect on us and the industry.</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new disclosures concerning airline fares and ancillary fees such as baggage fees. The DOT has been aggressively investigating alleged violations of these new rules. Other DOT rules apply to post-ticket purchase price increases and an expansion of tarmac delay regulations to international airlines.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76" w:lineRule="exact"/>
        <w:rPr>
          <w:sz w:val="20"/>
          <w:szCs w:val="20"/>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5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the ATC systems in Chicago took weeks to recover following a fire in the ATC tower at Chicago O’Hare International Airport, which resulted in thousands of cancelled flights.</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ATC system will take effect. Failure to update the ATC system in a timely manner and the substantial funding requirements that may be imposed on airlines of a modernized ATC system may have a material adverse effect on our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As a result of the agreement, we face increased competition in these markets, including London Heathrow Airport.</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TSA security screening fees),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8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We have recently implemented several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8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301"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3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operate a global business with operations outside of the U.S. from which we derived approximately 33% of our operating revenues in 2014, as measured and reported to the DOT. Our current international activities and prospects have been and in the future could be adversely affected by reversals or delays in the opening of foreign markets, increased competition in international markets, exchange controls or other restrictions on repatriation of funds, currency and political risks (including changes in exchange rates and currency devaluations, which are more likely in countries with exchange controls such as Venezuela and Argentina), environmental regulation, increases in taxes and fees and changes in international government regulation of our operations, including the inability to obtain or retain needed route authorities and/or Slots.</w:t>
      </w:r>
    </w:p>
    <w:p>
      <w:pPr>
        <w:spacing w:after="0" w:line="193"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For example, the business environment in Venezuela has been challenging, with economic uncertainty fueled by currency devaluation, high inflation and governmental restrictions, including currency exchange and payment controls, price controls and the possibility of expropriation of property or other resources. As of September 30, 2015, we had approximately $609 million of unrestricted cash and short-term investments held in Venezuelan bolivars. This balance is valued at 6.3 bolivars to the U.S. dollar, which is the rate that was in effect on the date we submitted each of our repatriation requests to the Venezuelan government. This rate is materially more favorable than the exchange rates currently prevailing for other transactions conducted outside of the Venezuelan government’s currency exchange system.</w:t>
      </w:r>
    </w:p>
    <w:p>
      <w:pPr>
        <w:spacing w:after="0" w:line="17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continued deterioration of economic conditions in Venezuela and the additional uncertainty posed by the recent changes to the foreign exchange regulations, which created three new additional markets, as well as a new exchange rate to be utilized in those markets. The new exchange rate for transactions effected on those markets is intended to fluctuate based on supply and demand and was approximately 199 bolivars to the dollar as of September 30, 2015 (as reported by the Venezuelan Central Bank). Although the new regulations do not abolish the prior exchange rates at which we are valuing our bolivar balances, it is still uncertain what impact these new regulations will have on the foreign exchange environment or whether the Venezuelan government will announce further changes to the foreign exchange regulations that may have the effect of materially adversely affecting our ability to repatriate the local currency we hold in Venezuela or the exchange rate applicable thereto.</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many forms of environmental regulation and may incur substantial costs as a result.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8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June 2015, the U.S. Environmental Protection Agency (EPA) issued revised underground storage tank regulations that could affect airport fuel hydrant systems, as certain of those systems may need to be modified in order to comply with applicable portions of the revised regulations. Additionally, on June 4, 2015, the EPA reissued the Multi-Sector General Permit for Stormwater Discharges from Industrial Activities. Among other revisions, the reissued permit incorporates the EPA’s previously issued Airport Deicing Effluent Limitation Guidelines and New Source Performance Standards. In addition, California adopted a revised State Industrial General Permit for Stormwater Discharges on April 1, 2014, which became effective July 1, 2015. This permit places additional reporting and monitoring requirements on permittees and requires implementation of mandatory best management practices. Cost estimates to comply with the above permitting requirements have not been defined, but American and US Airways along with other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airlines would share a portion of these costs at applicable airports. In addition to the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88"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GHG emissions, in April 2013 the EU suspended for one year application of the ETS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amended the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Ultimately, the scope and application of ETS or other emissions trading schemes to our operations, now or in the near future, remains uncertain. We do not anticipate any significant emissions allowance expenditures in 2015. Beyond 2015,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or offsets and the number of future flights subject to ETS or other emissions-related requirements. These costs have not been completely defined and could fluctuate.</w:t>
      </w:r>
    </w:p>
    <w:p>
      <w:pPr>
        <w:spacing w:after="0" w:line="178"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Similarly, within the U.S., there is an increasing trend toward regulating GHG emissions directly under the Clean Air Act (CAA). In response to a 2012 ruling by the U.S. District Court for the District of Columbia, the EPA announced in June 2015 a proposed endangerment finding that aircraft engine GHG emissions cause or contribute to air pollution that may reasonably be anticipated to endanger public health or welfare. A public hearing regarding the proposed endangerment finding was held in August 2015. If the EPA finalizes the endangerment finding, the EPA is obligated under the CAA to set aircraft engine GHG emission standards. In addition, several states have adopted or are considering initiatives to regulate emissions of GHGs, primarily through the planned development of GHG emissions inventories and/or regional GHG cap and trade programs. 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7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6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systems,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7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74"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that we operate, an aircraft that is operated under our brand by one of our regional operators or an aircraft that is operated by an airline that is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25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3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76" w:lineRule="exact"/>
        <w:rPr>
          <w:sz w:val="20"/>
          <w:szCs w:val="20"/>
          <w:color w:val="auto"/>
        </w:rPr>
      </w:pPr>
    </w:p>
    <w:p>
      <w:pPr>
        <w:ind w:left="9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particular, an outbreak of a contagious disease such as the Ebola virus, Middle East Respiratory Syndrome, Severe Acute Respiratory Syndrome, H1N1 influenza virus, avian flu, or any other influenza-type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and our regional partners. On January 4, 2014, more stringent pilot flight and duty time requirements under Part 117 of the Federal Aviation Regulations took effect. In addition, in July 2013, the FAA issued regulations that increase the flight experience required for pilots working for airlines certificated under Part 121 of the Federal Aviation Regulations. These and other factors could contribute to a shortage of qualified pilots, particularly for our regional partners, which now face increased competition from large, mainline carriers to hire pilots. If we or our regional partners are unable to hire adequate numbers of pilots, we may experience disruptions, increased costs of operations and other adverse effects.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lawsuit filed in connection with the Merger remains pending, and this lawsuit could have a material adverse impact on our business.</w:t>
      </w:r>
    </w:p>
    <w:p>
      <w:pPr>
        <w:spacing w:after="0" w:line="12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US Airways Group, US Airways, AMR and American were named as defendants in a private antitrust lawsuit in connection with the Merger. The complaint alleges that the effect of the Merger may be to substantially lessen competition or tend to create a monopoly in violation of Section 7 of the Clayton Antitrust Act. The relief sought in the complaint includes an injunction against the Merger, or divestiture. In January 2014, the complaint was amended to add a claim for money damages and to request injunctive relief requiring the carriers to hold separate their assets. In March 2014, the court allowed plaintiffs to add certain allegations but denied plaintiffs’ requests to add a damages claim or seek preliminary injunctive relief requiring the carriers to hold separate their assets, and in June 2014 plaintiffs filed an amended motion for leave to file a second amended and supplemental complaint. This lawsuit could result in an obligation to pay damages or terms, conditions, requirements, limitations, costs or restrictions that would impose additional material costs on or materially limit our revenues, or materially limit some of the synergies and other benefits we anticipate following the Merger.</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2014, we had available NOL Carryforwards of approximately $10.1 billion for regular federal income tax purposes which will expire, if unused, beginning in 2022, and approximately $4.6 billion for state income tax purposes which will expire, if unused, between 2015 and 2034. As of December 31, 2014, the amount of NOL Carryforwards for state income tax purposes that will expire, if unused, in 2015 is $83 million. Our NOL Carryforwards are subject to adjustment on audit by the Internal Revenue Service and the respective state taxing authorities.</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shareholders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annual limitation generally imposed by Section 382. If the special rules do not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69"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shareholders.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recording a significant amount of goodwill, which amount is tested for impairment at least annually. In addition, AAG and American may never realize the full value of their respective intangible assets or long-lived assets, causing them to record material impairment charges.</w:t>
      </w:r>
    </w:p>
    <w:p>
      <w:pPr>
        <w:spacing w:after="0" w:line="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accordance with applicable acquisition accounting rules, AAG recorded goodwill on its consolidated balance sheet to the extent the US Airways Group acquisition purchase price exceeded the net fair value of US Airways Group’s tangible and intangible assets and liabilities as of the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assets for impairment if conditions indicate that an impairment may have occurred.</w:t>
      </w:r>
    </w:p>
    <w:p>
      <w:pPr>
        <w:spacing w:after="0" w:line="19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Future impairment of goodwill or other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 connection with the integration of American and US Airways, American may take actions not to American’s advantage as a standalone airline.</w:t>
      </w:r>
    </w:p>
    <w:p>
      <w:pPr>
        <w:spacing w:after="0" w:line="15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integration of the business and operations of American and US Airways has begun while they are separate, wholly-owned subsidiaries of AAG. As part of this integration, American may take actions intended to benefit the overall business and operations of the combined airline operations of American and US Airways that may not be to American’s advantage as a stand-alone airline.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market price of AAG Common Stock may fluctuate substantially due to a variety of factors, many of which are beyond our control, including:</w:t>
      </w:r>
    </w:p>
    <w:p>
      <w:pPr>
        <w:spacing w:after="0" w:line="14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RSUs, SARs, or similar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73"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As part of a capital deployment program, in July 2014, our Board of Directors authorized a $1.0 billion share repurchase program, which was completed in 2014, and in January 2015, our Board of Directors authorized a $2.0 billion share repurchase program, which was completed in the third quarter of 2015. In July 2015, our Board of Directors authorized a $2.0 billion share repurchase program to be completed no later than December 31, 2016. In addition, in October 2015, our Board of Directors authorized a new $2.0 billion share repurchase program to be completed no later than December 31, 2016. Share repurchases under the share repurchase program may be made through a variety of methods, which may include open market purchases, privately negotiated transactions, block trades or accelerated share repurchase transactions. This share repurchase program does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 may be limited, suspended or discontinued at any time without prior notice.</w:t>
      </w:r>
    </w:p>
    <w:p>
      <w:pPr>
        <w:spacing w:after="0" w:line="18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Although our Board of Directors declared cash dividends in July 2014, October 2014, January 2015, April 2015, July 2015 and October 2015 as part of the capital deployment program, 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repurchases of AAG Common Stock pursuant to our share repurchase program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 and any future dividends could diminish our cash reserves, which may impact our ability to finance future growth and to pursue possible future strategic opportunities and acquisitions. Further, our share repurchase program may fluctuate such that our cash flow may be insufficient to fully cover our share repurchases. Although our share repurchase program is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7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3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provisions of our Restated Certificate of Incorporation (Certificate of Incorporation) and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87"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9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3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information with respect to our purchases of shares of AAG Common Stock during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Total number of shares</w:t>
            </w:r>
          </w:p>
        </w:tc>
        <w:tc>
          <w:tcPr>
            <w:tcW w:w="240" w:type="dxa"/>
            <w:vAlign w:val="bottom"/>
          </w:tcPr>
          <w:p>
            <w:pPr>
              <w:spacing w:after="0"/>
              <w:rPr>
                <w:sz w:val="14"/>
                <w:szCs w:val="14"/>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Maximum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60" w:type="dxa"/>
            <w:vAlign w:val="bottom"/>
            <w:gridSpan w:val="2"/>
            <w:vMerge w:val="restart"/>
          </w:tcPr>
          <w:p>
            <w:pPr>
              <w:jc w:val="right"/>
              <w:ind w:right="443"/>
              <w:spacing w:after="0"/>
              <w:rPr>
                <w:sz w:val="20"/>
                <w:szCs w:val="20"/>
                <w:color w:val="auto"/>
              </w:rPr>
            </w:pPr>
            <w:r>
              <w:rPr>
                <w:rFonts w:ascii="Arial" w:cs="Arial" w:eastAsia="Arial" w:hAnsi="Arial"/>
                <w:sz w:val="14"/>
                <w:szCs w:val="14"/>
                <w:b w:val="1"/>
                <w:bCs w:val="1"/>
                <w:color w:val="auto"/>
                <w:w w:val="96"/>
              </w:rPr>
              <w:t>Total number of</w:t>
            </w:r>
          </w:p>
        </w:tc>
        <w:tc>
          <w:tcPr>
            <w:tcW w:w="3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40" w:type="dxa"/>
            <w:vAlign w:val="bottom"/>
          </w:tcPr>
          <w:p>
            <w:pPr>
              <w:spacing w:after="0"/>
              <w:rPr>
                <w:sz w:val="12"/>
                <w:szCs w:val="12"/>
                <w:color w:val="auto"/>
              </w:rPr>
            </w:pPr>
          </w:p>
        </w:tc>
        <w:tc>
          <w:tcPr>
            <w:tcW w:w="2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shares that may be</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price paid</w:t>
            </w:r>
          </w:p>
        </w:tc>
        <w:tc>
          <w:tcPr>
            <w:tcW w:w="2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purchased under the plan or program</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560" w:type="dxa"/>
            <w:vAlign w:val="bottom"/>
            <w:gridSpan w:val="2"/>
          </w:tcPr>
          <w:p>
            <w:pPr>
              <w:jc w:val="right"/>
              <w:ind w:right="423"/>
              <w:spacing w:after="0"/>
              <w:rPr>
                <w:sz w:val="20"/>
                <w:szCs w:val="20"/>
                <w:color w:val="auto"/>
              </w:rPr>
            </w:pPr>
            <w:r>
              <w:rPr>
                <w:rFonts w:ascii="Arial" w:cs="Arial" w:eastAsia="Arial" w:hAnsi="Arial"/>
                <w:sz w:val="14"/>
                <w:szCs w:val="14"/>
                <w:b w:val="1"/>
                <w:bCs w:val="1"/>
                <w:color w:val="auto"/>
                <w:w w:val="86"/>
              </w:rPr>
              <w:t>shares purchased</w:t>
            </w:r>
          </w:p>
        </w:tc>
        <w:tc>
          <w:tcPr>
            <w:tcW w:w="340" w:type="dxa"/>
            <w:vAlign w:val="bottom"/>
          </w:tcPr>
          <w:p>
            <w:pPr>
              <w:spacing w:after="0"/>
              <w:rPr>
                <w:sz w:val="14"/>
                <w:szCs w:val="14"/>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1"/>
              </w:rPr>
              <w:t>per share</w:t>
            </w:r>
          </w:p>
        </w:tc>
        <w:tc>
          <w:tcPr>
            <w:tcW w:w="2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 xml:space="preserve">plan or program </w:t>
            </w:r>
            <w:r>
              <w:rPr>
                <w:rFonts w:ascii="Arial" w:cs="Arial" w:eastAsia="Arial" w:hAnsi="Arial"/>
                <w:sz w:val="12"/>
                <w:szCs w:val="12"/>
                <w:b w:val="1"/>
                <w:bCs w:val="1"/>
                <w:color w:val="auto"/>
                <w:w w:val="95"/>
              </w:rPr>
              <w:t>(a)</w:t>
            </w:r>
          </w:p>
        </w:tc>
        <w:tc>
          <w:tcPr>
            <w:tcW w:w="24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3220" w:type="dxa"/>
            <w:vAlign w:val="bottom"/>
            <w:tcBorders>
              <w:top w:val="single" w:sz="8" w:color="CCEEFF"/>
            </w:tcBorders>
            <w:shd w:val="clear" w:color="auto" w:fill="CCEEFF"/>
          </w:tcPr>
          <w:p>
            <w:pPr>
              <w:jc w:val="right"/>
              <w:ind w:right="2835"/>
              <w:spacing w:after="0"/>
              <w:rPr>
                <w:sz w:val="20"/>
                <w:szCs w:val="20"/>
                <w:color w:val="auto"/>
              </w:rPr>
            </w:pPr>
            <w:r>
              <w:rPr>
                <w:rFonts w:ascii="Arial" w:cs="Arial" w:eastAsia="Arial" w:hAnsi="Arial"/>
                <w:sz w:val="17"/>
                <w:szCs w:val="17"/>
                <w:color w:val="auto"/>
                <w:w w:val="73"/>
              </w:rPr>
              <w:t>2015</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9,706,872</w:t>
            </w:r>
          </w:p>
        </w:tc>
        <w:tc>
          <w:tcPr>
            <w:tcW w:w="500" w:type="dxa"/>
            <w:vAlign w:val="bottom"/>
            <w:tcBorders>
              <w:top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w w:val="87"/>
              </w:rPr>
              <w:t>(b)</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7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9,655,878</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August 2015</w:t>
            </w:r>
          </w:p>
        </w:tc>
        <w:tc>
          <w:tcPr>
            <w:tcW w:w="1560" w:type="dxa"/>
            <w:vAlign w:val="bottom"/>
            <w:gridSpan w:val="2"/>
          </w:tcPr>
          <w:p>
            <w:pPr>
              <w:jc w:val="right"/>
              <w:ind w:right="423"/>
              <w:spacing w:after="0"/>
              <w:rPr>
                <w:sz w:val="20"/>
                <w:szCs w:val="20"/>
                <w:color w:val="auto"/>
              </w:rPr>
            </w:pPr>
            <w:r>
              <w:rPr>
                <w:rFonts w:ascii="Arial" w:cs="Arial" w:eastAsia="Arial" w:hAnsi="Arial"/>
                <w:sz w:val="18"/>
                <w:szCs w:val="18"/>
                <w:color w:val="auto"/>
              </w:rPr>
              <w:t>13,453,872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40.29</w:t>
            </w:r>
          </w:p>
        </w:tc>
        <w:tc>
          <w:tcPr>
            <w:tcW w:w="2140" w:type="dxa"/>
            <w:vAlign w:val="bottom"/>
            <w:gridSpan w:val="2"/>
          </w:tcPr>
          <w:p>
            <w:pPr>
              <w:jc w:val="right"/>
              <w:ind w:right="720"/>
              <w:spacing w:after="0"/>
              <w:rPr>
                <w:sz w:val="20"/>
                <w:szCs w:val="20"/>
                <w:color w:val="auto"/>
              </w:rPr>
            </w:pPr>
            <w:r>
              <w:rPr>
                <w:rFonts w:ascii="Arial" w:cs="Arial" w:eastAsia="Arial" w:hAnsi="Arial"/>
                <w:sz w:val="18"/>
                <w:szCs w:val="18"/>
                <w:color w:val="auto"/>
              </w:rPr>
              <w:t>13,453,872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2015</w:t>
            </w:r>
          </w:p>
        </w:tc>
        <w:tc>
          <w:tcPr>
            <w:tcW w:w="156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15,309,182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40.82</w:t>
            </w:r>
          </w:p>
        </w:tc>
        <w:tc>
          <w:tcPr>
            <w:tcW w:w="2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15,309,182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hanging="452"/>
        <w:spacing w:after="0" w:line="284"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6"/>
          <w:szCs w:val="16"/>
          <w:color w:val="auto"/>
        </w:rPr>
        <w:t>On January 27, 2015, we announced that our Board of Directors had authorized a $2.0 billion share repurchase program, which was completed in the third quarter of 2015. In addition, in July 2015, our Board of Directors authorized an additional $2.0 billion share repurchase program to be completed no later than December 31, 2016. Share repurchases under the share repurchase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This share repurchase program does not obligate us to repurchase any specific number of shares for any fixed period and may be suspended at any time at our discretion.</w:t>
      </w:r>
    </w:p>
    <w:p>
      <w:pPr>
        <w:spacing w:after="0" w:line="4" w:lineRule="exact"/>
        <w:rPr>
          <w:rFonts w:ascii="Arial" w:cs="Arial" w:eastAsia="Arial" w:hAnsi="Arial"/>
          <w:sz w:val="14"/>
          <w:szCs w:val="14"/>
          <w:color w:val="auto"/>
        </w:rPr>
      </w:pPr>
    </w:p>
    <w:p>
      <w:pPr>
        <w:jc w:val="both"/>
        <w:ind w:left="460" w:hanging="452"/>
        <w:spacing w:after="0" w:line="255"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8"/>
          <w:szCs w:val="18"/>
          <w:color w:val="auto"/>
        </w:rPr>
        <w:t>Separate from our share repurchase program, in July 2015 we repurchased 50,994 shares of AAG Common Stock for an aggregate of $2 million from the Disputed Claims Reserve at the then prevailing market price in order to fund cash tax obligations resulting from distributions by the Disputed Claims Reserve.</w:t>
      </w:r>
    </w:p>
    <w:p>
      <w:pPr>
        <w:spacing w:after="0" w:line="3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in the Exhibit Index following the signature pages to this report are filed as part of, or incorporated by reference into, this report.</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American Airlines Group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22, 2015</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22, 2015</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Second Amended and Restated Letter Agreement No. 6, dated as of July 7, 2015 to the Amended and Restated Airbus A350 XWB Purchase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Agreement, dated as of October 2, 2007, between US Airways, Inc. and Airbus S.A.S.*</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89"/>
              </w:rPr>
              <w:t>Supplemental Agreement No. 37, dated as of July 31, 2015, to Purchase Agreement No. 1980 dated as of October 31, 1997, between American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Airlines, Inc. and The Boeing Company.*</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Amendment No. 9, dated as of September 23, 2015, to the A320 Family Aircraft Purchase Agreement, dated as of July 20, 2011, between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American Airlines, Inc. and Airbus S.A.S.*</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Computation of ratio of earnings to fixed charges of American Airlines Group Inc. for the three and nine months ended September 30, 2015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and 2014.</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12.2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Computation of ratio of earnings to fixed charges of American Airlines, Inc. for the three and nine months ended September 30, 2015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AAG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AAG Chief Financial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American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American Chief Financial Officer pursuant to Rule 13a-14(a).</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Certification pursuant to Rule 13a-14(b) and section 906 of the Sarbanes-Oxley Act of 2002 (subsections (a) and (b) of section 1350, chapter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63 of title 18, United States Code).</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Certification pursuant to Rule 13a-14(b) and section 906 of the Sarbanes-Oxley Act of 2002 (subsections (a) and (b) of section 1350, chapter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63 of title 18, United States Code).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Interactive data files pursuant to Rule 405 of Regulation S-T.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80" w:right="4560" w:hanging="5572"/>
        <w:spacing w:after="0" w:line="449" w:lineRule="auto"/>
        <w:tabs>
          <w:tab w:leader="none" w:pos="2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 103</w:t>
      </w:r>
    </w:p>
    <w:p>
      <w:pPr>
        <w:sectPr>
          <w:pgSz w:w="11900" w:h="16838" w:orient="portrait"/>
          <w:cols w:equalWidth="0" w:num="1">
            <w:col w:w="11420"/>
          </w:cols>
          <w:pgMar w:left="240" w:top="459"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AMENDED AND RESTATED AIRBUS A350 XWB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 2007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July 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Airways,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SPECIFICATION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US Airways, Inc. (the “</w:t>
      </w:r>
      <w:r>
        <w:rPr>
          <w:rFonts w:ascii="Arial" w:cs="Arial" w:eastAsia="Arial" w:hAnsi="Arial"/>
          <w:sz w:val="16"/>
          <w:szCs w:val="16"/>
          <w:u w:val="single" w:color="auto"/>
          <w:color w:val="auto"/>
        </w:rPr>
        <w:t>Buyer</w:t>
      </w:r>
      <w:r>
        <w:rPr>
          <w:rFonts w:ascii="Arial" w:cs="Arial" w:eastAsia="Arial" w:hAnsi="Arial"/>
          <w:sz w:val="16"/>
          <w:szCs w:val="16"/>
          <w:color w:val="auto"/>
        </w:rPr>
        <w:t>”) and Airbus S.A.S. (the “</w:t>
      </w:r>
      <w:r>
        <w:rPr>
          <w:rFonts w:ascii="Arial" w:cs="Arial" w:eastAsia="Arial" w:hAnsi="Arial"/>
          <w:sz w:val="16"/>
          <w:szCs w:val="16"/>
          <w:u w:val="single" w:color="auto"/>
          <w:color w:val="auto"/>
        </w:rPr>
        <w:t>Seller</w:t>
      </w:r>
      <w:r>
        <w:rPr>
          <w:rFonts w:ascii="Arial" w:cs="Arial" w:eastAsia="Arial" w:hAnsi="Arial"/>
          <w:sz w:val="16"/>
          <w:szCs w:val="16"/>
          <w:color w:val="auto"/>
        </w:rPr>
        <w:t>”) have entered into an Amended and Restated Airbus A350 XWB Purchase Agreement dated as of October 2, 2007, as amended, supplemented or otherwise modified to and including the date hereof (the “</w:t>
      </w:r>
      <w:r>
        <w:rPr>
          <w:rFonts w:ascii="Arial" w:cs="Arial" w:eastAsia="Arial" w:hAnsi="Arial"/>
          <w:sz w:val="16"/>
          <w:szCs w:val="16"/>
          <w:u w:val="single" w:color="auto"/>
          <w:color w:val="auto"/>
        </w:rPr>
        <w:t>Agreement</w:t>
      </w:r>
      <w:r>
        <w:rPr>
          <w:rFonts w:ascii="Arial" w:cs="Arial" w:eastAsia="Arial" w:hAnsi="Arial"/>
          <w:sz w:val="16"/>
          <w:szCs w:val="16"/>
          <w:color w:val="auto"/>
        </w:rPr>
        <w:t>”), which covers, among other things, the sale by the Seller and the purchase by the Buyer of certain Aircraft, under the terms and conditions set forth in said Agreement. The Amended and Restated Letter Agreement No. 6 dated as of December 20, 2013 to the Agreement is hereby amended and restated to read in its entirety as set forth herein.</w:t>
      </w:r>
    </w:p>
    <w:p>
      <w:pPr>
        <w:spacing w:after="0" w:line="15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Capitalized terms used herein and not otherwise defined in this Second Amended and Restated Letter Agreement No. 6 (this “</w:t>
      </w:r>
      <w:r>
        <w:rPr>
          <w:rFonts w:ascii="Arial" w:cs="Arial" w:eastAsia="Arial" w:hAnsi="Arial"/>
          <w:sz w:val="16"/>
          <w:szCs w:val="16"/>
          <w:u w:val="single" w:color="auto"/>
          <w:color w:val="auto"/>
        </w:rPr>
        <w:t>Letter Agreement</w:t>
      </w:r>
      <w:r>
        <w:rPr>
          <w:rFonts w:ascii="Arial" w:cs="Arial" w:eastAsia="Arial" w:hAnsi="Arial"/>
          <w:sz w:val="16"/>
          <w:szCs w:val="16"/>
          <w:color w:val="auto"/>
        </w:rPr>
        <w:t>”) have the meanings assigned thereto in the Agreement. The terms “herein,” “hereof” and “hereunder” and words of similar import refer to this Letter Agreement.</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parties agree that this Letter Agreement constitutes an integral, non-severable part of said Agreement, that the provisions of said Agreement are hereby incorporated herein by reference, and that this Letter Agreement is governed by the provisions of said Agreement, except that if the Agreement and this Letter Agreement have specific provisions that are inconsistent, the specific provisions contained in this Letter Agreement will govern.</w:t>
      </w:r>
    </w:p>
    <w:p>
      <w:pPr>
        <w:sectPr>
          <w:pgSz w:w="11900" w:h="16838" w:orient="portrait"/>
          <w:cols w:equalWidth="0" w:num="1">
            <w:col w:w="11420"/>
          </w:cols>
          <w:pgMar w:left="240" w:top="121" w:right="239" w:bottom="1440" w:gutter="0" w:footer="0" w:header="0"/>
        </w:sectPr>
      </w:pPr>
    </w:p>
    <w:bookmarkStart w:id="104" w:name="page105"/>
    <w:bookmarkEnd w:id="104"/>
    <w:p>
      <w:pPr>
        <w:ind w:right="9660" w:firstLine="8"/>
        <w:spacing w:after="0" w:line="406" w:lineRule="auto"/>
        <w:tabs>
          <w:tab w:leader="none" w:pos="44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SPECIFICATION </w:t>
      </w:r>
      <w:r>
        <w:rPr>
          <w:rFonts w:ascii="Arial" w:cs="Arial" w:eastAsia="Arial" w:hAnsi="Arial"/>
          <w:sz w:val="17"/>
          <w:szCs w:val="17"/>
          <w:color w:val="auto"/>
        </w:rPr>
        <w:t xml:space="preserve">1.1 </w:t>
      </w:r>
      <w:r>
        <w:rPr>
          <w:rFonts w:ascii="Arial" w:cs="Arial" w:eastAsia="Arial" w:hAnsi="Arial"/>
          <w:sz w:val="17"/>
          <w:szCs w:val="17"/>
          <w:u w:val="single" w:color="auto"/>
          <w:color w:val="auto"/>
        </w:rPr>
        <w:t>Aggregate SCNs</w:t>
      </w:r>
    </w:p>
    <w:p>
      <w:pPr>
        <w:ind w:left="460" w:right="80"/>
        <w:spacing w:after="0" w:line="277" w:lineRule="auto"/>
        <w:rPr>
          <w:sz w:val="20"/>
          <w:szCs w:val="20"/>
          <w:color w:val="auto"/>
        </w:rPr>
      </w:pPr>
      <w:r>
        <w:rPr>
          <w:rFonts w:ascii="Arial" w:cs="Arial" w:eastAsia="Arial" w:hAnsi="Arial"/>
          <w:sz w:val="18"/>
          <w:szCs w:val="18"/>
          <w:color w:val="auto"/>
        </w:rPr>
        <w:t xml:space="preserve">A provisional list of contemplated SCNs (currently ADD specification changes) is set forth in Exhibit B-1.B of the Agreement for the A350-900 XWB Aircraft. </w:t>
      </w:r>
      <w:r>
        <w:rPr>
          <w:rFonts w:ascii="Arial" w:cs="Arial" w:eastAsia="Arial" w:hAnsi="Arial"/>
          <w:sz w:val="18"/>
          <w:szCs w:val="18"/>
          <w:b w:val="1"/>
          <w:bCs w:val="1"/>
          <w:color w:val="auto"/>
        </w:rPr>
        <w:t>[*CTR].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[*CTR]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If (i) the Buyer and the Seller </w:t>
      </w:r>
      <w:r>
        <w:rPr>
          <w:rFonts w:ascii="Arial" w:cs="Arial" w:eastAsia="Arial" w:hAnsi="Arial"/>
          <w:sz w:val="18"/>
          <w:szCs w:val="18"/>
          <w:b w:val="1"/>
          <w:bCs w:val="1"/>
          <w:color w:val="auto"/>
        </w:rPr>
        <w:t>[*CTR].</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[*CTR]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In the event that </w:t>
      </w:r>
      <w:r>
        <w:rPr>
          <w:rFonts w:ascii="Arial" w:cs="Arial" w:eastAsia="Arial" w:hAnsi="Arial"/>
          <w:sz w:val="18"/>
          <w:szCs w:val="18"/>
          <w:b w:val="1"/>
          <w:bCs w:val="1"/>
          <w:color w:val="auto"/>
        </w:rPr>
        <w:t>[*CTR]</w:t>
      </w:r>
      <w:r>
        <w:rPr>
          <w:rFonts w:ascii="Arial" w:cs="Arial" w:eastAsia="Arial" w:hAnsi="Arial"/>
          <w:sz w:val="18"/>
          <w:szCs w:val="18"/>
          <w:color w:val="auto"/>
        </w:rPr>
        <w:t xml:space="preserve"> is offered by the Seller, the Seller will </w:t>
      </w:r>
      <w:r>
        <w:rPr>
          <w:rFonts w:ascii="Arial" w:cs="Arial" w:eastAsia="Arial" w:hAnsi="Arial"/>
          <w:sz w:val="18"/>
          <w:szCs w:val="18"/>
          <w:b w:val="1"/>
          <w:bCs w:val="1"/>
          <w:color w:val="auto"/>
        </w:rPr>
        <w:t>[*CTR].</w:t>
      </w:r>
    </w:p>
    <w:p>
      <w:pPr>
        <w:spacing w:after="0" w:line="377"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IFE SYSTEMS</w:t>
      </w:r>
    </w:p>
    <w:p>
      <w:pPr>
        <w:spacing w:after="0" w:line="117" w:lineRule="exact"/>
        <w:rPr>
          <w:rFonts w:ascii="Arial" w:cs="Arial" w:eastAsia="Arial" w:hAnsi="Arial"/>
          <w:sz w:val="18"/>
          <w:szCs w:val="18"/>
          <w:color w:val="auto"/>
        </w:rPr>
      </w:pPr>
    </w:p>
    <w:p>
      <w:pPr>
        <w:ind w:left="460" w:right="280"/>
        <w:spacing w:after="0" w:line="277" w:lineRule="auto"/>
        <w:rPr>
          <w:rFonts w:ascii="Arial" w:cs="Arial" w:eastAsia="Arial" w:hAnsi="Arial"/>
          <w:sz w:val="18"/>
          <w:szCs w:val="18"/>
          <w:color w:val="auto"/>
        </w:rPr>
      </w:pPr>
      <w:r>
        <w:rPr>
          <w:rFonts w:ascii="Arial" w:cs="Arial" w:eastAsia="Arial" w:hAnsi="Arial"/>
          <w:sz w:val="18"/>
          <w:szCs w:val="18"/>
          <w:color w:val="auto"/>
        </w:rPr>
        <w:t>The Seller shall keep the Buyer regularly apprised of developments with respect to IFE platform and relevant capabilities contemplated on the A350 XWB aircraft.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ASSIGNMENT</w:t>
      </w:r>
    </w:p>
    <w:p>
      <w:pPr>
        <w:spacing w:after="0" w:line="117" w:lineRule="exact"/>
        <w:rPr>
          <w:rFonts w:ascii="Arial" w:cs="Arial" w:eastAsia="Arial" w:hAnsi="Arial"/>
          <w:sz w:val="18"/>
          <w:szCs w:val="18"/>
          <w:color w:val="auto"/>
        </w:rPr>
      </w:pPr>
    </w:p>
    <w:p>
      <w:pPr>
        <w:jc w:val="both"/>
        <w:ind w:left="460"/>
        <w:spacing w:after="0" w:line="264" w:lineRule="auto"/>
        <w:rPr>
          <w:rFonts w:ascii="Arial" w:cs="Arial" w:eastAsia="Arial" w:hAnsi="Arial"/>
          <w:sz w:val="18"/>
          <w:szCs w:val="18"/>
          <w:color w:val="auto"/>
        </w:rPr>
      </w:pPr>
      <w:r>
        <w:rPr>
          <w:rFonts w:ascii="Arial" w:cs="Arial" w:eastAsia="Arial" w:hAnsi="Arial"/>
          <w:sz w:val="18"/>
          <w:szCs w:val="18"/>
          <w:color w:val="auto"/>
        </w:rPr>
        <w:t>Except as set forth in Clause 20.2 of the Agreement, this Letter Agreement and the rights and obligations of the Buyer hereunder will not be assigned or transferred in any manner without the prior written consent of the Seller, and any attempted assignment or transfer in contravention of the provisions of this Paragraph 4 will be void and of no force or effect.</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rFonts w:ascii="Arial" w:cs="Arial" w:eastAsia="Arial" w:hAnsi="Arial"/>
          <w:sz w:val="18"/>
          <w:szCs w:val="18"/>
          <w:color w:val="auto"/>
        </w:rPr>
      </w:pPr>
    </w:p>
    <w:p>
      <w:pPr>
        <w:ind w:left="460" w:right="340"/>
        <w:spacing w:after="0" w:line="342" w:lineRule="auto"/>
        <w:rPr>
          <w:rFonts w:ascii="Arial" w:cs="Arial" w:eastAsia="Arial" w:hAnsi="Arial"/>
          <w:sz w:val="18"/>
          <w:szCs w:val="18"/>
          <w:color w:val="auto"/>
        </w:rPr>
      </w:pPr>
      <w:r>
        <w:rPr>
          <w:rFonts w:ascii="Arial" w:cs="Arial" w:eastAsia="Arial" w:hAnsi="Arial"/>
          <w:sz w:val="16"/>
          <w:szCs w:val="16"/>
          <w:color w:val="auto"/>
        </w:rPr>
        <w:t>This Letter Agreement may be signed in any number of separate counterparts. Each counterpart, when signed and delivered (including counterparts delivered by facsimile transmission), will be an original, and the counterparts will together constitute one and the same instrument.</w:t>
      </w:r>
    </w:p>
    <w:p>
      <w:pPr>
        <w:spacing w:after="0" w:line="124"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LA 6 - 2 of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USA – Second Amended and Restated Letter Agreement No. 6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Airbus A350 XWB Purchase Agreement</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EXECUTION PRIVILEGED AND CONFIDENTIAL [*CTR] = [CONFIDENTIAL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05" w:name="page106"/>
    <w:bookmarkEnd w:id="105"/>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sign two (2) counterparts hereof in the space provided below and return one (1) such counterpart to the Seller.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US AIRWAYS, INC.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AIRBUS S.A.S.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US Airways, Inc.</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Airbus S.A.S.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US AIRWAYS, INC.</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Airbus S.A.S.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 – Fleet Planning</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Senior Vice President Contracts</w:t>
            </w:r>
          </w:p>
        </w:tc>
      </w:tr>
    </w:tbl>
    <w:p>
      <w:pPr>
        <w:sectPr>
          <w:pgSz w:w="11900" w:h="16838" w:orient="portrait"/>
          <w:cols w:equalWidth="0" w:num="1">
            <w:col w:w="11420"/>
          </w:cols>
          <w:pgMar w:left="240" w:top="27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Agreement No.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No. 1980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Boeing Model 777 Aircraft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THIS SUPPLEMENTAL AGREEMENT No. 37, entered into this 31</w:t>
      </w:r>
      <w:r>
        <w:rPr>
          <w:rFonts w:ascii="Arial" w:cs="Arial" w:eastAsia="Arial" w:hAnsi="Arial"/>
          <w:sz w:val="15"/>
          <w:szCs w:val="15"/>
          <w:color w:val="auto"/>
        </w:rPr>
        <w:t>st</w:t>
      </w:r>
      <w:r>
        <w:rPr>
          <w:rFonts w:ascii="Arial" w:cs="Arial" w:eastAsia="Arial" w:hAnsi="Arial"/>
          <w:sz w:val="18"/>
          <w:szCs w:val="18"/>
          <w:color w:val="auto"/>
        </w:rPr>
        <w:t xml:space="preserve"> day of July, 2015, (</w:t>
      </w:r>
      <w:r>
        <w:rPr>
          <w:rFonts w:ascii="Arial" w:cs="Arial" w:eastAsia="Arial" w:hAnsi="Arial"/>
          <w:sz w:val="18"/>
          <w:szCs w:val="18"/>
          <w:b w:val="1"/>
          <w:bCs w:val="1"/>
          <w:i w:val="1"/>
          <w:iCs w:val="1"/>
          <w:color w:val="auto"/>
        </w:rPr>
        <w:t>SA-37</w:t>
      </w:r>
      <w:r>
        <w:rPr>
          <w:rFonts w:ascii="Arial" w:cs="Arial" w:eastAsia="Arial" w:hAnsi="Arial"/>
          <w:sz w:val="18"/>
          <w:szCs w:val="18"/>
          <w:color w:val="auto"/>
        </w:rPr>
        <w:t>) by and between THE BOEING COMPANY, a Delaware corporation with offices in Seattle, Washington,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WHEREAS, Boeing and Customer entered into Purchase Agreement No. 1980 dated as of October 31, 1997, as amended and supplemented relating to Boeing Model 777 aircraft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in such Purchase Agreement; and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Customer and Boeing mutually desire to revise the delivery of certain MADP and QADP rights as follows:</w:t>
      </w:r>
    </w:p>
    <w:p>
      <w:pPr>
        <w:spacing w:after="0" w:line="225" w:lineRule="exact"/>
        <w:rPr>
          <w:sz w:val="20"/>
          <w:szCs w:val="20"/>
          <w:color w:val="auto"/>
        </w:rPr>
      </w:pPr>
    </w:p>
    <w:p>
      <w:pPr>
        <w:ind w:right="480" w:firstLine="921"/>
        <w:spacing w:after="0" w:line="277" w:lineRule="auto"/>
        <w:tabs>
          <w:tab w:leader="none" w:pos="10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convert two (2) QADP Rights with delivery in [*CTR] ([*CTR</w:t>
      </w:r>
      <w:r>
        <w:rPr>
          <w:rFonts w:ascii="Arial" w:cs="Arial" w:eastAsia="Arial" w:hAnsi="Arial"/>
          <w:sz w:val="18"/>
          <w:szCs w:val="18"/>
          <w:b w:val="1"/>
          <w:bCs w:val="1"/>
          <w:i w:val="1"/>
          <w:iCs w:val="1"/>
          <w:color w:val="auto"/>
        </w:rPr>
        <w:t>] QADP Rights</w:t>
      </w:r>
      <w:r>
        <w:rPr>
          <w:rFonts w:ascii="Arial" w:cs="Arial" w:eastAsia="Arial" w:hAnsi="Arial"/>
          <w:sz w:val="18"/>
          <w:szCs w:val="18"/>
          <w:color w:val="auto"/>
        </w:rPr>
        <w:t>) into [*CTR] MADP Rights with deliveries in [*CTR] ([*CTR</w:t>
      </w:r>
      <w:r>
        <w:rPr>
          <w:rFonts w:ascii="Arial" w:cs="Arial" w:eastAsia="Arial" w:hAnsi="Arial"/>
          <w:sz w:val="18"/>
          <w:szCs w:val="18"/>
          <w:b w:val="1"/>
          <w:bCs w:val="1"/>
          <w:i w:val="1"/>
          <w:iCs w:val="1"/>
          <w:color w:val="auto"/>
        </w:rPr>
        <w:t>] MADP Right</w:t>
      </w:r>
      <w:r>
        <w:rPr>
          <w:rFonts w:ascii="Arial" w:cs="Arial" w:eastAsia="Arial" w:hAnsi="Arial"/>
          <w:sz w:val="18"/>
          <w:szCs w:val="18"/>
          <w:i w:val="1"/>
          <w:iCs w:val="1"/>
          <w:color w:val="auto"/>
        </w:rPr>
        <w:t>s</w:t>
      </w:r>
      <w:r>
        <w:rPr>
          <w:rFonts w:ascii="Arial" w:cs="Arial" w:eastAsia="Arial" w:hAnsi="Arial"/>
          <w:sz w:val="18"/>
          <w:szCs w:val="18"/>
          <w:color w:val="auto"/>
        </w:rPr>
        <w:t>)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Item No.</w:t>
            </w:r>
          </w:p>
        </w:tc>
        <w:tc>
          <w:tcPr>
            <w:tcW w:w="3040" w:type="dxa"/>
            <w:vAlign w:val="bottom"/>
            <w:gridSpan w:val="3"/>
          </w:tcPr>
          <w:p>
            <w:pPr>
              <w:jc w:val="center"/>
              <w:ind w:left="99"/>
              <w:spacing w:after="0"/>
              <w:rPr>
                <w:sz w:val="20"/>
                <w:szCs w:val="20"/>
                <w:color w:val="auto"/>
              </w:rPr>
            </w:pPr>
            <w:r>
              <w:rPr>
                <w:rFonts w:ascii="Arial" w:cs="Arial" w:eastAsia="Arial" w:hAnsi="Arial"/>
                <w:sz w:val="14"/>
                <w:szCs w:val="14"/>
                <w:b w:val="1"/>
                <w:bCs w:val="1"/>
                <w:color w:val="auto"/>
                <w:w w:val="96"/>
              </w:rPr>
              <w:t>Prior to SA-37</w:t>
            </w:r>
          </w:p>
        </w:tc>
        <w:tc>
          <w:tcPr>
            <w:tcW w:w="4180" w:type="dxa"/>
            <w:vAlign w:val="bottom"/>
            <w:gridSpan w:val="3"/>
          </w:tcPr>
          <w:p>
            <w:pPr>
              <w:ind w:left="860"/>
              <w:spacing w:after="0"/>
              <w:rPr>
                <w:sz w:val="20"/>
                <w:szCs w:val="20"/>
                <w:color w:val="auto"/>
              </w:rPr>
            </w:pPr>
            <w:r>
              <w:rPr>
                <w:rFonts w:ascii="Arial" w:cs="Arial" w:eastAsia="Arial" w:hAnsi="Arial"/>
                <w:sz w:val="14"/>
                <w:szCs w:val="14"/>
                <w:b w:val="1"/>
                <w:bCs w:val="1"/>
                <w:color w:val="auto"/>
              </w:rPr>
              <w:t>Pursuant to SA-37</w:t>
            </w:r>
          </w:p>
        </w:tc>
      </w:tr>
      <w:tr>
        <w:trPr>
          <w:trHeight w:val="195"/>
        </w:trPr>
        <w:tc>
          <w:tcPr>
            <w:tcW w:w="258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[*CTR]</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8"/>
              </w:rPr>
              <w:t>QADP, [*CTR]</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MADP, [*CTR]</w:t>
            </w:r>
          </w:p>
        </w:tc>
        <w:tc>
          <w:tcPr>
            <w:tcW w:w="2180" w:type="dxa"/>
            <w:vAlign w:val="bottom"/>
          </w:tcPr>
          <w:p>
            <w:pPr>
              <w:spacing w:after="0"/>
              <w:rPr>
                <w:sz w:val="16"/>
                <w:szCs w:val="16"/>
                <w:color w:val="auto"/>
              </w:rPr>
            </w:pPr>
          </w:p>
        </w:tc>
      </w:tr>
      <w:tr>
        <w:trPr>
          <w:trHeight w:val="230"/>
        </w:trPr>
        <w:tc>
          <w:tcPr>
            <w:tcW w:w="4200" w:type="dxa"/>
            <w:vAlign w:val="bottom"/>
            <w:gridSpan w:val="3"/>
          </w:tcPr>
          <w:p>
            <w:pPr>
              <w:ind w:left="2580"/>
              <w:spacing w:after="0"/>
              <w:rPr>
                <w:sz w:val="20"/>
                <w:szCs w:val="20"/>
                <w:color w:val="auto"/>
              </w:rPr>
            </w:pPr>
            <w:r>
              <w:rPr>
                <w:rFonts w:ascii="Arial" w:cs="Arial" w:eastAsia="Arial" w:hAnsi="Arial"/>
                <w:sz w:val="18"/>
                <w:szCs w:val="18"/>
                <w:color w:val="auto"/>
              </w:rPr>
              <w:t>[*CTR]</w:t>
            </w:r>
          </w:p>
        </w:tc>
        <w:tc>
          <w:tcPr>
            <w:tcW w:w="3040" w:type="dxa"/>
            <w:vAlign w:val="bottom"/>
            <w:gridSpan w:val="3"/>
          </w:tcPr>
          <w:p>
            <w:pPr>
              <w:jc w:val="center"/>
              <w:ind w:left="119"/>
              <w:spacing w:after="0"/>
              <w:rPr>
                <w:sz w:val="20"/>
                <w:szCs w:val="20"/>
                <w:color w:val="auto"/>
              </w:rPr>
            </w:pPr>
            <w:r>
              <w:rPr>
                <w:rFonts w:ascii="Arial" w:cs="Arial" w:eastAsia="Arial" w:hAnsi="Arial"/>
                <w:sz w:val="18"/>
                <w:szCs w:val="18"/>
                <w:color w:val="auto"/>
                <w:w w:val="97"/>
              </w:rPr>
              <w:t>QADP, [*CTR]</w:t>
            </w:r>
          </w:p>
        </w:tc>
        <w:tc>
          <w:tcPr>
            <w:tcW w:w="4180" w:type="dxa"/>
            <w:vAlign w:val="bottom"/>
            <w:gridSpan w:val="3"/>
          </w:tcPr>
          <w:p>
            <w:pPr>
              <w:ind w:left="840"/>
              <w:spacing w:after="0"/>
              <w:rPr>
                <w:sz w:val="20"/>
                <w:szCs w:val="20"/>
                <w:color w:val="auto"/>
              </w:rPr>
            </w:pPr>
            <w:r>
              <w:rPr>
                <w:rFonts w:ascii="Arial" w:cs="Arial" w:eastAsia="Arial" w:hAnsi="Arial"/>
                <w:sz w:val="18"/>
                <w:szCs w:val="18"/>
                <w:color w:val="auto"/>
              </w:rPr>
              <w:t>MADP, [*CTR]</w:t>
            </w:r>
          </w:p>
        </w:tc>
      </w:tr>
      <w:tr>
        <w:trPr>
          <w:trHeight w:val="365"/>
        </w:trPr>
        <w:tc>
          <w:tcPr>
            <w:tcW w:w="4200" w:type="dxa"/>
            <w:vAlign w:val="bottom"/>
            <w:gridSpan w:val="3"/>
          </w:tcPr>
          <w:p>
            <w:pPr>
              <w:spacing w:after="0"/>
              <w:rPr>
                <w:sz w:val="20"/>
                <w:szCs w:val="20"/>
                <w:color w:val="auto"/>
              </w:rPr>
            </w:pPr>
            <w:r>
              <w:rPr>
                <w:rFonts w:ascii="Arial" w:cs="Arial" w:eastAsia="Arial" w:hAnsi="Arial"/>
                <w:sz w:val="18"/>
                <w:szCs w:val="18"/>
                <w:color w:val="auto"/>
              </w:rPr>
              <w:t>PA No. 1980</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80" w:type="dxa"/>
            <w:vAlign w:val="bottom"/>
          </w:tcPr>
          <w:p>
            <w:pPr>
              <w:ind w:left="1720"/>
              <w:spacing w:after="0"/>
              <w:rPr>
                <w:sz w:val="20"/>
                <w:szCs w:val="20"/>
                <w:color w:val="auto"/>
              </w:rPr>
            </w:pPr>
            <w:r>
              <w:rPr>
                <w:rFonts w:ascii="Arial" w:cs="Arial" w:eastAsia="Arial" w:hAnsi="Arial"/>
                <w:sz w:val="18"/>
                <w:szCs w:val="18"/>
                <w:color w:val="auto"/>
                <w:w w:val="87"/>
              </w:rPr>
              <w:t>SA-37</w:t>
            </w:r>
          </w:p>
        </w:tc>
      </w:tr>
    </w:tbl>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w:t>
      </w:r>
      <w:r>
        <w:rPr>
          <w:rFonts w:ascii="Arial" w:cs="Arial" w:eastAsia="Arial" w:hAnsi="Arial"/>
          <w:sz w:val="18"/>
          <w:szCs w:val="18"/>
          <w:color w:val="auto"/>
        </w:rPr>
        <w:t xml:space="preserve"> the parties agree that the Purchase Agreement is amended as set forth below and otherwise agree as follows:</w:t>
      </w:r>
    </w:p>
    <w:p>
      <w:pPr>
        <w:spacing w:after="0" w:line="37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jc w:val="both"/>
        <w:ind w:right="780" w:firstLine="456"/>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Table of Contents</w:t>
      </w:r>
      <w:r>
        <w:rPr>
          <w:rFonts w:ascii="Arial" w:cs="Arial" w:eastAsia="Arial" w:hAnsi="Arial"/>
          <w:sz w:val="16"/>
          <w:szCs w:val="16"/>
          <w:color w:val="auto"/>
        </w:rPr>
        <w:t xml:space="preserve"> referencing SA-36 in the footer is deleted in its entirety and is replaced with a new </w:t>
      </w:r>
      <w:r>
        <w:rPr>
          <w:rFonts w:ascii="Arial" w:cs="Arial" w:eastAsia="Arial" w:hAnsi="Arial"/>
          <w:sz w:val="16"/>
          <w:szCs w:val="16"/>
          <w:u w:val="single" w:color="auto"/>
          <w:color w:val="auto"/>
        </w:rPr>
        <w:t>Table of Contents</w:t>
      </w:r>
      <w:r>
        <w:rPr>
          <w:rFonts w:ascii="Arial" w:cs="Arial" w:eastAsia="Arial" w:hAnsi="Arial"/>
          <w:sz w:val="16"/>
          <w:szCs w:val="16"/>
          <w:color w:val="auto"/>
        </w:rPr>
        <w:t xml:space="preserve"> (attached hereto) referencing SA-37 in the footer. Such new Table of Contents is hereby incorporated into the Purchase Agreement in replacement of its predecessor.</w:t>
      </w:r>
    </w:p>
    <w:p>
      <w:pPr>
        <w:spacing w:after="0" w:line="27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Revision of Attachment B to Letter Agreement No. 6-1162-AKP-110R3</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Attachment B entitled “</w:t>
      </w:r>
      <w:r>
        <w:rPr>
          <w:rFonts w:ascii="Arial" w:cs="Arial" w:eastAsia="Arial" w:hAnsi="Arial"/>
          <w:sz w:val="18"/>
          <w:szCs w:val="18"/>
          <w:u w:val="single" w:color="auto"/>
          <w:color w:val="auto"/>
        </w:rPr>
        <w:t>Information Regarding MADP Rights to Letter Agreement No. 6-1162-AKP-110R3</w:t>
      </w:r>
      <w:r>
        <w:rPr>
          <w:rFonts w:ascii="Arial" w:cs="Arial" w:eastAsia="Arial" w:hAnsi="Arial"/>
          <w:sz w:val="18"/>
          <w:szCs w:val="18"/>
          <w:color w:val="auto"/>
        </w:rPr>
        <w:t>” is deleted in its entirety and replaced with the similarly titled Attachment B (attached hereto) referencing SA-37 (</w:t>
      </w:r>
      <w:r>
        <w:rPr>
          <w:rFonts w:ascii="Arial" w:cs="Arial" w:eastAsia="Arial" w:hAnsi="Arial"/>
          <w:sz w:val="18"/>
          <w:szCs w:val="18"/>
          <w:b w:val="1"/>
          <w:bCs w:val="1"/>
          <w:i w:val="1"/>
          <w:iCs w:val="1"/>
          <w:color w:val="auto"/>
        </w:rPr>
        <w:t>Revised Attachment B</w:t>
      </w:r>
      <w:r>
        <w:rPr>
          <w:rFonts w:ascii="Arial" w:cs="Arial" w:eastAsia="Arial" w:hAnsi="Arial"/>
          <w:sz w:val="18"/>
          <w:szCs w:val="18"/>
          <w:color w:val="auto"/>
        </w:rPr>
        <w:t>) in the footer to incorporate the conversion of the [*CTR] QADP Rights into the [*CTR] MADP Rights with the Exercise Date and Delivery Date as specified in Revised Attachment B. Revised Attachment B is hereby incorporated into the Purchase Agreement in replacement of its predecessor.</w:t>
      </w:r>
    </w:p>
    <w:p>
      <w:pPr>
        <w:spacing w:after="0" w:line="33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Revision of Attachment C to Letter Agreement No. 6-1162-AKP-110R3</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Attachment C entitled “</w:t>
      </w:r>
      <w:r>
        <w:rPr>
          <w:rFonts w:ascii="Arial" w:cs="Arial" w:eastAsia="Arial" w:hAnsi="Arial"/>
          <w:sz w:val="18"/>
          <w:szCs w:val="18"/>
          <w:u w:val="single" w:color="auto"/>
          <w:color w:val="auto"/>
        </w:rPr>
        <w:t>Information Regarding QADP Rights to Letter Agreement No. 6-1162-AKP-110R3</w:t>
      </w:r>
      <w:r>
        <w:rPr>
          <w:rFonts w:ascii="Arial" w:cs="Arial" w:eastAsia="Arial" w:hAnsi="Arial"/>
          <w:sz w:val="18"/>
          <w:szCs w:val="18"/>
          <w:color w:val="auto"/>
        </w:rPr>
        <w:t>” is deleted in its entirety and replaced with the similarly titled Attachment C (attached hereto) referencing SA-37 in the footer (</w:t>
      </w:r>
      <w:r>
        <w:rPr>
          <w:rFonts w:ascii="Arial" w:cs="Arial" w:eastAsia="Arial" w:hAnsi="Arial"/>
          <w:sz w:val="18"/>
          <w:szCs w:val="18"/>
          <w:b w:val="1"/>
          <w:bCs w:val="1"/>
          <w:i w:val="1"/>
          <w:iCs w:val="1"/>
          <w:color w:val="auto"/>
        </w:rPr>
        <w:t>Revised Attachment C</w:t>
      </w:r>
      <w:r>
        <w:rPr>
          <w:rFonts w:ascii="Arial" w:cs="Arial" w:eastAsia="Arial" w:hAnsi="Arial"/>
          <w:sz w:val="18"/>
          <w:szCs w:val="18"/>
          <w:color w:val="auto"/>
        </w:rPr>
        <w:t>) to incorporate the conversion of the [*CTR] QADP Rights into the [*CTR] MADP Rights by eliminating the [*CTR] QADP Rights from Revised Attachment C.</w:t>
      </w:r>
    </w:p>
    <w:p>
      <w:pPr>
        <w:spacing w:after="0" w:line="33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Effect on Purchase Agreement</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rest of this page is left intentionally blank.</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PA No. 1980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SA-37</w:t>
      </w:r>
    </w:p>
    <w:p>
      <w:pPr>
        <w:spacing w:after="0" w:line="46" w:lineRule="exact"/>
        <w:rPr>
          <w:sz w:val="20"/>
          <w:szCs w:val="20"/>
          <w:color w:val="auto"/>
        </w:rPr>
      </w:pPr>
    </w:p>
    <w:p>
      <w:pPr>
        <w:sectPr>
          <w:pgSz w:w="11900" w:h="16838" w:orient="portrait"/>
          <w:cols w:equalWidth="0" w:num="2">
            <w:col w:w="10240" w:space="720"/>
            <w:col w:w="4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3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IN DUPLICATE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THE BOEING COMPANY</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The Boeing Company</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American Airlines, Inc.</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Attorney-In-Fact</w:t>
            </w:r>
          </w:p>
        </w:tc>
        <w:tc>
          <w:tcPr>
            <w:tcW w:w="1260" w:type="dxa"/>
            <w:vAlign w:val="bottom"/>
          </w:tcPr>
          <w:p>
            <w:pPr>
              <w:ind w:left="660"/>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Vice President Fleet Planning</w:t>
            </w:r>
          </w:p>
        </w:tc>
      </w:tr>
    </w:tbl>
    <w:p>
      <w:pPr>
        <w:spacing w:after="0" w:line="134"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PA No. 1980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SA-37</w:t>
      </w:r>
    </w:p>
    <w:p>
      <w:pPr>
        <w:spacing w:after="0" w:line="46" w:lineRule="exact"/>
        <w:rPr>
          <w:sz w:val="20"/>
          <w:szCs w:val="20"/>
          <w:color w:val="auto"/>
        </w:rPr>
      </w:pPr>
    </w:p>
    <w:p>
      <w:pPr>
        <w:sectPr>
          <w:pgSz w:w="11900" w:h="16838" w:orient="portrait"/>
          <w:cols w:equalWidth="0" w:num="2">
            <w:col w:w="10240" w:space="720"/>
            <w:col w:w="4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3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380" w:type="dxa"/>
            <w:vAlign w:val="bottom"/>
            <w:gridSpan w:val="2"/>
          </w:tcPr>
          <w:p>
            <w:pPr>
              <w:ind w:left="76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73"/>
        </w:trPr>
        <w:tc>
          <w:tcPr>
            <w:tcW w:w="700" w:type="dxa"/>
            <w:vAlign w:val="bottom"/>
            <w:vMerge w:val="restart"/>
          </w:tcPr>
          <w:p>
            <w:pPr>
              <w:spacing w:after="0"/>
              <w:rPr>
                <w:sz w:val="20"/>
                <w:szCs w:val="20"/>
                <w:color w:val="auto"/>
              </w:rPr>
            </w:pPr>
            <w:r>
              <w:rPr>
                <w:rFonts w:ascii="Arial" w:cs="Arial" w:eastAsia="Arial" w:hAnsi="Arial"/>
                <w:sz w:val="14"/>
                <w:szCs w:val="14"/>
                <w:color w:val="auto"/>
                <w:w w:val="99"/>
              </w:rPr>
              <w:t>ARTICLES</w:t>
            </w:r>
          </w:p>
        </w:tc>
        <w:tc>
          <w:tcPr>
            <w:tcW w:w="3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8"/>
              </w:rPr>
              <w:t>PAGE &amp; SA</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3340" w:type="dxa"/>
            <w:vAlign w:val="bottom"/>
            <w:vMerge w:val="restart"/>
          </w:tcPr>
          <w:p>
            <w:pPr>
              <w:ind w:left="220"/>
              <w:spacing w:after="0"/>
              <w:rPr>
                <w:sz w:val="20"/>
                <w:szCs w:val="20"/>
                <w:color w:val="auto"/>
              </w:rPr>
            </w:pPr>
            <w:r>
              <w:rPr>
                <w:rFonts w:ascii="Arial" w:cs="Arial" w:eastAsia="Arial" w:hAnsi="Arial"/>
                <w:sz w:val="18"/>
                <w:szCs w:val="18"/>
                <w:color w:val="auto"/>
              </w:rPr>
              <w:t>Quantity, Model and Description</w:t>
            </w:r>
          </w:p>
        </w:tc>
        <w:tc>
          <w:tcPr>
            <w:tcW w:w="5880" w:type="dxa"/>
            <w:vAlign w:val="bottom"/>
          </w:tcPr>
          <w:p>
            <w:pPr>
              <w:spacing w:after="0"/>
              <w:rPr>
                <w:sz w:val="15"/>
                <w:szCs w:val="15"/>
                <w:color w:val="auto"/>
              </w:rPr>
            </w:pPr>
          </w:p>
        </w:tc>
        <w:tc>
          <w:tcPr>
            <w:tcW w:w="150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3340" w:type="dxa"/>
            <w:vAlign w:val="bottom"/>
            <w:vMerge w:val="continue"/>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 SA-20</w:t>
            </w:r>
          </w:p>
        </w:tc>
        <w:tc>
          <w:tcPr>
            <w:tcW w:w="0" w:type="dxa"/>
            <w:vAlign w:val="bottom"/>
          </w:tcPr>
          <w:p>
            <w:pPr>
              <w:spacing w:after="0"/>
              <w:rPr>
                <w:sz w:val="1"/>
                <w:szCs w:val="1"/>
                <w:color w:val="auto"/>
              </w:rPr>
            </w:pP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3340" w:type="dxa"/>
            <w:vAlign w:val="bottom"/>
          </w:tcPr>
          <w:p>
            <w:pPr>
              <w:ind w:left="220"/>
              <w:spacing w:after="0"/>
              <w:rPr>
                <w:sz w:val="20"/>
                <w:szCs w:val="20"/>
                <w:color w:val="auto"/>
              </w:rPr>
            </w:pPr>
            <w:r>
              <w:rPr>
                <w:rFonts w:ascii="Arial" w:cs="Arial" w:eastAsia="Arial" w:hAnsi="Arial"/>
                <w:sz w:val="18"/>
                <w:szCs w:val="18"/>
                <w:color w:val="auto"/>
              </w:rPr>
              <w:t>Delivery Schedule</w:t>
            </w:r>
          </w:p>
        </w:tc>
        <w:tc>
          <w:tcPr>
            <w:tcW w:w="58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 SA-20</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3340" w:type="dxa"/>
            <w:vAlign w:val="bottom"/>
          </w:tcPr>
          <w:p>
            <w:pPr>
              <w:ind w:left="220"/>
              <w:spacing w:after="0"/>
              <w:rPr>
                <w:sz w:val="20"/>
                <w:szCs w:val="20"/>
                <w:color w:val="auto"/>
              </w:rPr>
            </w:pPr>
            <w:r>
              <w:rPr>
                <w:rFonts w:ascii="Arial" w:cs="Arial" w:eastAsia="Arial" w:hAnsi="Arial"/>
                <w:sz w:val="18"/>
                <w:szCs w:val="18"/>
                <w:color w:val="auto"/>
              </w:rPr>
              <w:t>Price</w:t>
            </w:r>
          </w:p>
        </w:tc>
        <w:tc>
          <w:tcPr>
            <w:tcW w:w="58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 SA-20</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3340" w:type="dxa"/>
            <w:vAlign w:val="bottom"/>
          </w:tcPr>
          <w:p>
            <w:pPr>
              <w:ind w:left="220"/>
              <w:spacing w:after="0"/>
              <w:rPr>
                <w:sz w:val="20"/>
                <w:szCs w:val="20"/>
                <w:color w:val="auto"/>
              </w:rPr>
            </w:pPr>
            <w:r>
              <w:rPr>
                <w:rFonts w:ascii="Arial" w:cs="Arial" w:eastAsia="Arial" w:hAnsi="Arial"/>
                <w:sz w:val="18"/>
                <w:szCs w:val="18"/>
                <w:color w:val="auto"/>
              </w:rPr>
              <w:t>Payment</w:t>
            </w:r>
          </w:p>
        </w:tc>
        <w:tc>
          <w:tcPr>
            <w:tcW w:w="58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2, SA-20</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334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58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2, SA-20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TABLE</w:t>
      </w:r>
    </w:p>
    <w:p>
      <w:pPr>
        <w:spacing w:after="0" w:line="21" w:lineRule="exact"/>
        <w:rPr>
          <w:sz w:val="20"/>
          <w:szCs w:val="20"/>
          <w:color w:val="auto"/>
        </w:rPr>
      </w:pPr>
    </w:p>
    <w:p>
      <w:pPr>
        <w:ind w:left="1280" w:right="1620" w:hanging="1272"/>
        <w:spacing w:after="0" w:line="249"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strike w:val="1"/>
        </w:rPr>
        <w:t>777-200ER Aircraft Delivery, Description, Price and Advance Payments (</w:t>
      </w: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 xml:space="preserve">] </w:t>
      </w:r>
      <w:r>
        <w:rPr>
          <w:rFonts w:ascii="Arial" w:cs="Arial" w:eastAsia="Arial" w:hAnsi="Arial"/>
          <w:sz w:val="18"/>
          <w:szCs w:val="18"/>
          <w:color w:val="auto"/>
          <w:strike w:val="1"/>
        </w:rPr>
        <w:t>Deliveries)</w:t>
      </w:r>
      <w:r>
        <w:rPr>
          <w:rFonts w:ascii="Arial" w:cs="Arial" w:eastAsia="Arial" w:hAnsi="Arial"/>
          <w:sz w:val="18"/>
          <w:szCs w:val="18"/>
          <w:color w:val="auto"/>
        </w:rPr>
        <w:t xml:space="preserve"> </w:t>
      </w:r>
      <w:r>
        <w:rPr>
          <w:rFonts w:ascii="Arial" w:cs="Arial" w:eastAsia="Arial" w:hAnsi="Arial"/>
          <w:sz w:val="18"/>
          <w:szCs w:val="18"/>
          <w:color w:val="auto"/>
          <w:strike w:val="1"/>
        </w:rPr>
        <w:t>Jul.</w:t>
      </w:r>
      <w:r>
        <w:rPr>
          <w:rFonts w:ascii="Arial" w:cs="Arial" w:eastAsia="Arial" w:hAnsi="Arial"/>
          <w:sz w:val="18"/>
          <w:szCs w:val="18"/>
          <w:color w:val="auto"/>
        </w:rPr>
        <w:t xml:space="preserve"> [*CTR] </w:t>
      </w:r>
      <w:r>
        <w:rPr>
          <w:rFonts w:ascii="Arial" w:cs="Arial" w:eastAsia="Arial" w:hAnsi="Arial"/>
          <w:sz w:val="18"/>
          <w:szCs w:val="18"/>
          <w:color w:val="auto"/>
          <w:strike w:val="1"/>
        </w:rPr>
        <w:t>Airframe Base Year</w:t>
      </w:r>
    </w:p>
    <w:p>
      <w:pPr>
        <w:spacing w:after="0" w:line="1"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strike w:val="1"/>
        </w:rPr>
        <w:t>Jul.</w:t>
      </w:r>
      <w:r>
        <w:rPr>
          <w:rFonts w:ascii="Arial" w:cs="Arial" w:eastAsia="Arial" w:hAnsi="Arial"/>
          <w:sz w:val="18"/>
          <w:szCs w:val="18"/>
          <w:color w:val="auto"/>
        </w:rPr>
        <w:t xml:space="preserve"> [*CTR] </w:t>
      </w:r>
      <w:r>
        <w:rPr>
          <w:rFonts w:ascii="Arial" w:cs="Arial" w:eastAsia="Arial" w:hAnsi="Arial"/>
          <w:sz w:val="18"/>
          <w:szCs w:val="18"/>
          <w:color w:val="auto"/>
          <w:strike w:val="1"/>
        </w:rPr>
        <w:t>Engine Base Year</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Terminated</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777-200IGW Aircraft Information Table: 1999 Deliveries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Jul. 1995 Airframe &amp; Engine Base Year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SA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3810</wp:posOffset>
            </wp:positionV>
            <wp:extent cx="951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Original Purchase</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Agreement, SA-3,</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SA-17, SA-18,</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SA-26 &amp; SA-31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SA-35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SA-1</w:t>
      </w:r>
    </w:p>
    <w:p>
      <w:pPr>
        <w:spacing w:after="0" w:line="346" w:lineRule="exact"/>
        <w:rPr>
          <w:sz w:val="20"/>
          <w:szCs w:val="20"/>
          <w:color w:val="auto"/>
        </w:rPr>
      </w:pPr>
    </w:p>
    <w:p>
      <w:pPr>
        <w:sectPr>
          <w:pgSz w:w="11900" w:h="16838" w:orient="portrait"/>
          <w:cols w:equalWidth="0" w:num="2">
            <w:col w:w="9300" w:space="720"/>
            <w:col w:w="14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w:t>
            </w:r>
          </w:p>
        </w:tc>
        <w:tc>
          <w:tcPr>
            <w:tcW w:w="7520" w:type="dxa"/>
            <w:vAlign w:val="bottom"/>
          </w:tcPr>
          <w:p>
            <w:pPr>
              <w:ind w:left="320"/>
              <w:spacing w:after="0"/>
              <w:rPr>
                <w:sz w:val="20"/>
                <w:szCs w:val="20"/>
                <w:color w:val="auto"/>
              </w:rPr>
            </w:pPr>
            <w:r>
              <w:rPr>
                <w:rFonts w:ascii="Arial" w:cs="Arial" w:eastAsia="Arial" w:hAnsi="Arial"/>
                <w:sz w:val="18"/>
                <w:szCs w:val="18"/>
                <w:color w:val="auto"/>
              </w:rPr>
              <w:t>777-200IGW Aircraft Information Table: 2000-2001 Deliveries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5"/>
              </w:rPr>
              <w:t>SA-2 &amp; SA-6</w:t>
            </w: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1995 Airframe &amp; Engine Base Year</w:t>
            </w:r>
          </w:p>
        </w:tc>
        <w:tc>
          <w:tcPr>
            <w:tcW w:w="3300" w:type="dxa"/>
            <w:vAlign w:val="bottom"/>
          </w:tcPr>
          <w:p>
            <w:pPr>
              <w:spacing w:after="0"/>
              <w:rPr>
                <w:sz w:val="20"/>
                <w:szCs w:val="20"/>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1-3.</w:t>
            </w:r>
          </w:p>
        </w:tc>
        <w:tc>
          <w:tcPr>
            <w:tcW w:w="7520" w:type="dxa"/>
            <w:vAlign w:val="bottom"/>
          </w:tcPr>
          <w:p>
            <w:pPr>
              <w:ind w:left="320"/>
              <w:spacing w:after="0"/>
              <w:rPr>
                <w:sz w:val="20"/>
                <w:szCs w:val="20"/>
                <w:color w:val="auto"/>
              </w:rPr>
            </w:pPr>
            <w:r>
              <w:rPr>
                <w:rFonts w:ascii="Arial" w:cs="Arial" w:eastAsia="Arial" w:hAnsi="Arial"/>
                <w:sz w:val="18"/>
                <w:szCs w:val="18"/>
                <w:color w:val="auto"/>
              </w:rPr>
              <w:t>777-200IGW Aircraft Information Table: 2000-2001 Deliveries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4"/>
              </w:rPr>
              <w:t>SA-4, SA-5,</w:t>
            </w:r>
          </w:p>
        </w:tc>
      </w:tr>
      <w:tr>
        <w:trPr>
          <w:trHeight w:val="216"/>
        </w:trPr>
        <w:tc>
          <w:tcPr>
            <w:tcW w:w="60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1995 Airframe Base Year</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5"/>
              </w:rPr>
              <w:t>SA-6, SA-7 &amp;</w:t>
            </w: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1997 Engine Base Year</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4"/>
              </w:rPr>
              <w:t>SA-9</w:t>
            </w: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7520" w:type="dxa"/>
            <w:vAlign w:val="bottom"/>
          </w:tcPr>
          <w:p>
            <w:pPr>
              <w:ind w:left="320"/>
              <w:spacing w:after="0"/>
              <w:rPr>
                <w:sz w:val="20"/>
                <w:szCs w:val="20"/>
                <w:color w:val="auto"/>
              </w:rPr>
            </w:pPr>
            <w:r>
              <w:rPr>
                <w:rFonts w:ascii="Arial" w:cs="Arial" w:eastAsia="Arial" w:hAnsi="Arial"/>
                <w:sz w:val="18"/>
                <w:szCs w:val="18"/>
                <w:color w:val="auto"/>
              </w:rPr>
              <w:t>777-200IGW Aircraft Information Table: 2000-2001 Deliveries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5"/>
              </w:rPr>
              <w:t>SA-5, SA-6 &amp;</w:t>
            </w:r>
          </w:p>
        </w:tc>
      </w:tr>
      <w:tr>
        <w:trPr>
          <w:trHeight w:val="216"/>
        </w:trPr>
        <w:tc>
          <w:tcPr>
            <w:tcW w:w="60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1995 Airframe Base Year</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4"/>
              </w:rPr>
              <w:t>SA-9</w:t>
            </w: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1998 Engine Base Year</w:t>
            </w:r>
          </w:p>
        </w:tc>
        <w:tc>
          <w:tcPr>
            <w:tcW w:w="3300" w:type="dxa"/>
            <w:vAlign w:val="bottom"/>
          </w:tcPr>
          <w:p>
            <w:pPr>
              <w:spacing w:after="0"/>
              <w:rPr>
                <w:sz w:val="20"/>
                <w:szCs w:val="20"/>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7520" w:type="dxa"/>
            <w:vAlign w:val="bottom"/>
          </w:tcPr>
          <w:p>
            <w:pPr>
              <w:ind w:left="320"/>
              <w:spacing w:after="0"/>
              <w:rPr>
                <w:sz w:val="20"/>
                <w:szCs w:val="20"/>
                <w:color w:val="auto"/>
              </w:rPr>
            </w:pPr>
            <w:r>
              <w:rPr>
                <w:rFonts w:ascii="Arial" w:cs="Arial" w:eastAsia="Arial" w:hAnsi="Arial"/>
                <w:sz w:val="18"/>
                <w:szCs w:val="18"/>
                <w:color w:val="auto"/>
              </w:rPr>
              <w:t>777-223IGW Aircraft Information Table: 2001-2002 Deliveries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2"/>
              </w:rPr>
              <w:t>SA-10, SA-11,</w:t>
            </w:r>
          </w:p>
        </w:tc>
      </w:tr>
      <w:tr>
        <w:trPr>
          <w:trHeight w:val="216"/>
        </w:trPr>
        <w:tc>
          <w:tcPr>
            <w:tcW w:w="60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1995 Airframe Base Year</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6"/>
              </w:rPr>
              <w:t>SA-12 &amp; SA-15</w:t>
            </w: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1999 Engine Base Year</w:t>
            </w:r>
          </w:p>
        </w:tc>
        <w:tc>
          <w:tcPr>
            <w:tcW w:w="3300" w:type="dxa"/>
            <w:vAlign w:val="bottom"/>
          </w:tcPr>
          <w:p>
            <w:pPr>
              <w:spacing w:after="0"/>
              <w:rPr>
                <w:sz w:val="20"/>
                <w:szCs w:val="20"/>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1-6.</w:t>
            </w:r>
          </w:p>
        </w:tc>
        <w:tc>
          <w:tcPr>
            <w:tcW w:w="7520" w:type="dxa"/>
            <w:vAlign w:val="bottom"/>
          </w:tcPr>
          <w:p>
            <w:pPr>
              <w:ind w:left="320"/>
              <w:spacing w:after="0"/>
              <w:rPr>
                <w:sz w:val="20"/>
                <w:szCs w:val="20"/>
                <w:color w:val="auto"/>
              </w:rPr>
            </w:pPr>
            <w:r>
              <w:rPr>
                <w:rFonts w:ascii="Arial" w:cs="Arial" w:eastAsia="Arial" w:hAnsi="Arial"/>
                <w:sz w:val="18"/>
                <w:szCs w:val="18"/>
                <w:color w:val="auto"/>
              </w:rPr>
              <w:t>777-200IGW Aircraft Information Table: 2003 Deliveries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1"/>
              </w:rPr>
              <w:t>SA-13</w:t>
            </w:r>
          </w:p>
        </w:tc>
      </w:tr>
      <w:tr>
        <w:trPr>
          <w:trHeight w:val="216"/>
        </w:trPr>
        <w:tc>
          <w:tcPr>
            <w:tcW w:w="60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1995 Airframe Base Year</w:t>
            </w:r>
          </w:p>
        </w:tc>
        <w:tc>
          <w:tcPr>
            <w:tcW w:w="33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1995 Engine Base Year</w:t>
            </w:r>
          </w:p>
        </w:tc>
        <w:tc>
          <w:tcPr>
            <w:tcW w:w="3300" w:type="dxa"/>
            <w:vAlign w:val="bottom"/>
          </w:tcPr>
          <w:p>
            <w:pPr>
              <w:spacing w:after="0"/>
              <w:rPr>
                <w:sz w:val="20"/>
                <w:szCs w:val="20"/>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1-7.</w:t>
            </w:r>
          </w:p>
        </w:tc>
        <w:tc>
          <w:tcPr>
            <w:tcW w:w="7520" w:type="dxa"/>
            <w:vAlign w:val="bottom"/>
          </w:tcPr>
          <w:p>
            <w:pPr>
              <w:ind w:left="320"/>
              <w:spacing w:after="0"/>
              <w:rPr>
                <w:sz w:val="20"/>
                <w:szCs w:val="20"/>
                <w:color w:val="auto"/>
              </w:rPr>
            </w:pPr>
            <w:r>
              <w:rPr>
                <w:rFonts w:ascii="Arial" w:cs="Arial" w:eastAsia="Arial" w:hAnsi="Arial"/>
                <w:sz w:val="18"/>
                <w:szCs w:val="18"/>
                <w:color w:val="auto"/>
              </w:rPr>
              <w:t>777-323ER Aircraft Delivery, Description, Price and Advance Payments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2"/>
              </w:rPr>
              <w:t>SA-25, SA-26,</w:t>
            </w:r>
          </w:p>
        </w:tc>
      </w:tr>
      <w:tr>
        <w:trPr>
          <w:trHeight w:val="216"/>
        </w:trPr>
        <w:tc>
          <w:tcPr>
            <w:tcW w:w="60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(November 2012 – July 2013 Deliveries)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2"/>
              </w:rPr>
              <w:t>SA-28, SA-31</w:t>
            </w: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[*CTR] Airframe Base Year</w:t>
            </w:r>
          </w:p>
        </w:tc>
        <w:tc>
          <w:tcPr>
            <w:tcW w:w="3300" w:type="dxa"/>
            <w:vAlign w:val="bottom"/>
          </w:tcPr>
          <w:p>
            <w:pPr>
              <w:spacing w:after="0"/>
              <w:rPr>
                <w:sz w:val="20"/>
                <w:szCs w:val="20"/>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1-8.</w:t>
            </w:r>
          </w:p>
        </w:tc>
        <w:tc>
          <w:tcPr>
            <w:tcW w:w="7520" w:type="dxa"/>
            <w:vAlign w:val="bottom"/>
          </w:tcPr>
          <w:p>
            <w:pPr>
              <w:ind w:left="320"/>
              <w:spacing w:after="0"/>
              <w:rPr>
                <w:sz w:val="20"/>
                <w:szCs w:val="20"/>
                <w:color w:val="auto"/>
              </w:rPr>
            </w:pPr>
            <w:r>
              <w:rPr>
                <w:rFonts w:ascii="Arial" w:cs="Arial" w:eastAsia="Arial" w:hAnsi="Arial"/>
                <w:sz w:val="18"/>
                <w:szCs w:val="18"/>
                <w:color w:val="auto"/>
              </w:rPr>
              <w:t>777-323ER Aircraft Delivery, Description, Price and Advance Payments</w:t>
            </w:r>
          </w:p>
        </w:tc>
        <w:tc>
          <w:tcPr>
            <w:tcW w:w="3300" w:type="dxa"/>
            <w:vAlign w:val="bottom"/>
          </w:tcPr>
          <w:p>
            <w:pPr>
              <w:jc w:val="center"/>
              <w:ind w:left="1710"/>
              <w:spacing w:after="0"/>
              <w:rPr>
                <w:sz w:val="20"/>
                <w:szCs w:val="20"/>
                <w:color w:val="auto"/>
              </w:rPr>
            </w:pPr>
            <w:r>
              <w:rPr>
                <w:rFonts w:ascii="Arial" w:cs="Arial" w:eastAsia="Arial" w:hAnsi="Arial"/>
                <w:sz w:val="18"/>
                <w:szCs w:val="18"/>
                <w:color w:val="auto"/>
                <w:w w:val="91"/>
              </w:rPr>
              <w:t>SA-36</w:t>
            </w:r>
          </w:p>
        </w:tc>
      </w:tr>
      <w:tr>
        <w:trPr>
          <w:trHeight w:val="216"/>
        </w:trPr>
        <w:tc>
          <w:tcPr>
            <w:tcW w:w="60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(December [*CTR] and [*CTR] Deliveries)</w:t>
            </w:r>
          </w:p>
        </w:tc>
        <w:tc>
          <w:tcPr>
            <w:tcW w:w="33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Jul. [*CTR] Airframe Base Year</w:t>
            </w:r>
          </w:p>
        </w:tc>
        <w:tc>
          <w:tcPr>
            <w:tcW w:w="3300" w:type="dxa"/>
            <w:vAlign w:val="bottom"/>
          </w:tcPr>
          <w:p>
            <w:pPr>
              <w:spacing w:after="0"/>
              <w:rPr>
                <w:sz w:val="20"/>
                <w:szCs w:val="20"/>
                <w:color w:val="auto"/>
              </w:rPr>
            </w:pP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rPr>
              <w:t>PA No. 1980</w:t>
            </w:r>
          </w:p>
        </w:tc>
        <w:tc>
          <w:tcPr>
            <w:tcW w:w="3300" w:type="dxa"/>
            <w:vAlign w:val="bottom"/>
          </w:tcPr>
          <w:p>
            <w:pPr>
              <w:ind w:left="2840"/>
              <w:spacing w:after="0"/>
              <w:rPr>
                <w:sz w:val="20"/>
                <w:szCs w:val="20"/>
                <w:color w:val="auto"/>
              </w:rPr>
            </w:pPr>
            <w:r>
              <w:rPr>
                <w:rFonts w:ascii="Arial" w:cs="Arial" w:eastAsia="Arial" w:hAnsi="Arial"/>
                <w:sz w:val="18"/>
                <w:szCs w:val="18"/>
                <w:color w:val="auto"/>
                <w:w w:val="87"/>
              </w:rPr>
              <w:t>SA-37</w:t>
            </w:r>
          </w:p>
        </w:tc>
      </w:tr>
    </w:tbl>
    <w:p>
      <w:pPr>
        <w:jc w:val="center"/>
        <w:spacing w:after="0"/>
        <w:rPr>
          <w:sz w:val="20"/>
          <w:szCs w:val="20"/>
          <w:color w:val="auto"/>
        </w:rPr>
      </w:pPr>
      <w:r>
        <w:rPr>
          <w:rFonts w:ascii="Arial" w:cs="Arial" w:eastAsia="Arial" w:hAnsi="Arial"/>
          <w:sz w:val="18"/>
          <w:szCs w:val="18"/>
          <w:color w:val="auto"/>
        </w:rPr>
        <w:t>Table of Contents Page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40" w:type="dxa"/>
            <w:vAlign w:val="bottom"/>
            <w:gridSpan w:val="3"/>
          </w:tcPr>
          <w:p>
            <w:pPr>
              <w:spacing w:after="0"/>
              <w:rPr>
                <w:sz w:val="20"/>
                <w:szCs w:val="20"/>
                <w:color w:val="auto"/>
              </w:rPr>
            </w:pPr>
            <w:r>
              <w:rPr>
                <w:rFonts w:ascii="Arial" w:cs="Arial" w:eastAsia="Arial" w:hAnsi="Arial"/>
                <w:sz w:val="14"/>
                <w:szCs w:val="14"/>
                <w:color w:val="auto"/>
              </w:rPr>
              <w:t>TABLE</w:t>
            </w:r>
          </w:p>
        </w:tc>
        <w:tc>
          <w:tcPr>
            <w:tcW w:w="8700" w:type="dxa"/>
            <w:vAlign w:val="bottom"/>
            <w:gridSpan w:val="3"/>
            <w:vMerge w:val="restart"/>
          </w:tcPr>
          <w:p>
            <w:pPr>
              <w:ind w:left="40"/>
              <w:spacing w:after="0"/>
              <w:rPr>
                <w:sz w:val="20"/>
                <w:szCs w:val="20"/>
                <w:color w:val="auto"/>
              </w:rPr>
            </w:pPr>
            <w:r>
              <w:rPr>
                <w:rFonts w:ascii="Arial" w:cs="Arial" w:eastAsia="Arial" w:hAnsi="Arial"/>
                <w:sz w:val="18"/>
                <w:szCs w:val="18"/>
                <w:color w:val="auto"/>
              </w:rPr>
              <w:t>777-223IGW Aircraft Information Table: 2009-2010 Deliveries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rPr>
              <w:t>SA NUMBER</w:t>
            </w:r>
          </w:p>
        </w:tc>
        <w:tc>
          <w:tcPr>
            <w:tcW w:w="0" w:type="dxa"/>
            <w:vAlign w:val="bottom"/>
          </w:tcPr>
          <w:p>
            <w:pPr>
              <w:spacing w:after="0"/>
              <w:rPr>
                <w:sz w:val="1"/>
                <w:szCs w:val="1"/>
                <w:color w:val="auto"/>
              </w:rPr>
            </w:pPr>
          </w:p>
        </w:tc>
      </w:tr>
      <w:tr>
        <w:trPr>
          <w:trHeight w:val="175"/>
        </w:trPr>
        <w:tc>
          <w:tcPr>
            <w:tcW w:w="4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700" w:type="dxa"/>
            <w:vAlign w:val="bottom"/>
            <w:gridSpan w:val="3"/>
            <w:vMerge w:val="continue"/>
          </w:tcPr>
          <w:p>
            <w:pPr>
              <w:spacing w:after="0"/>
              <w:rPr>
                <w:sz w:val="15"/>
                <w:szCs w:val="15"/>
                <w:color w:val="auto"/>
              </w:rPr>
            </w:pPr>
          </w:p>
        </w:tc>
        <w:tc>
          <w:tcPr>
            <w:tcW w:w="1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6"/>
              </w:rPr>
              <w:t>SA-15 &amp; SA-16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Jul. 1995 Airframe Base Year</w:t>
            </w:r>
          </w:p>
        </w:tc>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Jul. 2001 Engine Base Year</w:t>
            </w:r>
          </w:p>
        </w:tc>
        <w:tc>
          <w:tcPr>
            <w:tcW w:w="5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700" w:type="dxa"/>
            <w:vAlign w:val="bottom"/>
            <w:gridSpan w:val="3"/>
          </w:tcPr>
          <w:p>
            <w:pPr>
              <w:ind w:left="40"/>
              <w:spacing w:after="0"/>
              <w:rPr>
                <w:sz w:val="20"/>
                <w:szCs w:val="20"/>
                <w:color w:val="auto"/>
              </w:rPr>
            </w:pPr>
            <w:r>
              <w:rPr>
                <w:rFonts w:ascii="Arial" w:cs="Arial" w:eastAsia="Arial" w:hAnsi="Arial"/>
                <w:sz w:val="18"/>
                <w:szCs w:val="18"/>
                <w:color w:val="auto"/>
              </w:rPr>
              <w:t>777-223IGW Aircraft Information Table: 2006-2010 Deliveries</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SA-15 &amp; SA-16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w w:val="94"/>
              </w:rPr>
              <w:t>Jul. 1995 Airframe Base Year [*CTR]</w:t>
            </w:r>
          </w:p>
        </w:tc>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Jul. 2001 Engine Base Year</w:t>
            </w:r>
          </w:p>
        </w:tc>
        <w:tc>
          <w:tcPr>
            <w:tcW w:w="5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54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Aircraft Configuration</w:t>
            </w:r>
          </w:p>
        </w:tc>
        <w:tc>
          <w:tcPr>
            <w:tcW w:w="55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rPr>
              <w:t>SA NUMBER</w:t>
            </w:r>
          </w:p>
        </w:tc>
        <w:tc>
          <w:tcPr>
            <w:tcW w:w="0" w:type="dxa"/>
            <w:vAlign w:val="bottom"/>
          </w:tcPr>
          <w:p>
            <w:pPr>
              <w:spacing w:after="0"/>
              <w:rPr>
                <w:sz w:val="1"/>
                <w:szCs w:val="1"/>
                <w:color w:val="auto"/>
              </w:rPr>
            </w:pPr>
          </w:p>
        </w:tc>
      </w:tr>
      <w:tr>
        <w:trPr>
          <w:trHeight w:val="175"/>
        </w:trPr>
        <w:tc>
          <w:tcPr>
            <w:tcW w:w="58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A.</w:t>
            </w:r>
          </w:p>
        </w:tc>
        <w:tc>
          <w:tcPr>
            <w:tcW w:w="960" w:type="dxa"/>
            <w:vAlign w:val="bottom"/>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55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A1.</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Aircraft Configuration – 777-323ER</w:t>
            </w:r>
          </w:p>
        </w:tc>
        <w:tc>
          <w:tcPr>
            <w:tcW w:w="5500" w:type="dxa"/>
            <w:vAlign w:val="bottom"/>
          </w:tcPr>
          <w:p>
            <w:pPr>
              <w:ind w:left="60"/>
              <w:spacing w:after="0"/>
              <w:rPr>
                <w:sz w:val="20"/>
                <w:szCs w:val="20"/>
                <w:color w:val="auto"/>
              </w:rPr>
            </w:pPr>
            <w:r>
              <w:rPr>
                <w:rFonts w:ascii="Arial" w:cs="Arial" w:eastAsia="Arial" w:hAnsi="Arial"/>
                <w:sz w:val="18"/>
                <w:szCs w:val="18"/>
                <w:color w:val="auto"/>
              </w:rPr>
              <w:t>WITHDRAWN</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SA-31</w:t>
            </w: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A2.</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Aircraft Configuration – 777-323ER</w:t>
            </w:r>
          </w:p>
        </w:tc>
        <w:tc>
          <w:tcPr>
            <w:tcW w:w="550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SA-28</w:t>
            </w: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B.</w:t>
            </w:r>
          </w:p>
        </w:tc>
        <w:tc>
          <w:tcPr>
            <w:tcW w:w="8700" w:type="dxa"/>
            <w:vAlign w:val="bottom"/>
            <w:gridSpan w:val="3"/>
          </w:tcPr>
          <w:p>
            <w:pPr>
              <w:ind w:left="40"/>
              <w:spacing w:after="0"/>
              <w:rPr>
                <w:sz w:val="20"/>
                <w:szCs w:val="20"/>
                <w:color w:val="auto"/>
              </w:rPr>
            </w:pPr>
            <w:r>
              <w:rPr>
                <w:rFonts w:ascii="Arial" w:cs="Arial" w:eastAsia="Arial" w:hAnsi="Arial"/>
                <w:sz w:val="18"/>
                <w:szCs w:val="18"/>
                <w:color w:val="auto"/>
              </w:rPr>
              <w:t>Aircraft Delivery Requirements and Responsibilities</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C.</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Defined Terms</w:t>
            </w:r>
          </w:p>
        </w:tc>
        <w:tc>
          <w:tcPr>
            <w:tcW w:w="550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385"/>
        </w:trPr>
        <w:tc>
          <w:tcPr>
            <w:tcW w:w="4740" w:type="dxa"/>
            <w:vAlign w:val="bottom"/>
            <w:gridSpan w:val="5"/>
          </w:tcPr>
          <w:p>
            <w:pPr>
              <w:spacing w:after="0"/>
              <w:rPr>
                <w:sz w:val="20"/>
                <w:szCs w:val="20"/>
                <w:color w:val="auto"/>
              </w:rPr>
            </w:pPr>
            <w:r>
              <w:rPr>
                <w:rFonts w:ascii="Arial" w:cs="Arial" w:eastAsia="Arial" w:hAnsi="Arial"/>
                <w:sz w:val="14"/>
                <w:szCs w:val="14"/>
                <w:color w:val="auto"/>
              </w:rPr>
              <w:t>SUPPLEMENTAL EXHIBITS</w:t>
            </w:r>
          </w:p>
        </w:tc>
        <w:tc>
          <w:tcPr>
            <w:tcW w:w="55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rPr>
              <w:t>SA NUMBER</w:t>
            </w:r>
          </w:p>
        </w:tc>
        <w:tc>
          <w:tcPr>
            <w:tcW w:w="0" w:type="dxa"/>
            <w:vAlign w:val="bottom"/>
          </w:tcPr>
          <w:p>
            <w:pPr>
              <w:spacing w:after="0"/>
              <w:rPr>
                <w:sz w:val="1"/>
                <w:szCs w:val="1"/>
                <w:color w:val="auto"/>
              </w:rPr>
            </w:pPr>
          </w:p>
        </w:tc>
      </w:tr>
      <w:tr>
        <w:trPr>
          <w:trHeight w:val="189"/>
        </w:trPr>
        <w:tc>
          <w:tcPr>
            <w:tcW w:w="15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AE1.</w:t>
            </w:r>
          </w:p>
        </w:tc>
        <w:tc>
          <w:tcPr>
            <w:tcW w:w="280" w:type="dxa"/>
            <w:vAlign w:val="bottom"/>
            <w:tcBorders>
              <w:top w:val="single" w:sz="8" w:color="auto"/>
            </w:tcBorders>
          </w:tcPr>
          <w:p>
            <w:pPr>
              <w:spacing w:after="0"/>
              <w:rPr>
                <w:sz w:val="16"/>
                <w:szCs w:val="16"/>
                <w:color w:val="auto"/>
              </w:rPr>
            </w:pPr>
          </w:p>
        </w:tc>
        <w:tc>
          <w:tcPr>
            <w:tcW w:w="842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Escalation Adjustment Airframe and Optional Features - 777-323ER</w:t>
            </w:r>
          </w:p>
        </w:tc>
        <w:tc>
          <w:tcPr>
            <w:tcW w:w="11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SA-20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BFE1.</w:t>
            </w:r>
          </w:p>
        </w:tc>
        <w:tc>
          <w:tcPr>
            <w:tcW w:w="2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BFE Variables</w:t>
            </w:r>
          </w:p>
        </w:tc>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BFE1-2.</w:t>
            </w:r>
          </w:p>
        </w:tc>
        <w:tc>
          <w:tcPr>
            <w:tcW w:w="2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BFE Variables - 777-323ER</w:t>
            </w:r>
          </w:p>
        </w:tc>
        <w:tc>
          <w:tcPr>
            <w:tcW w:w="550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SA-25, SA-26,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SA-28</w:t>
            </w:r>
          </w:p>
        </w:tc>
        <w:tc>
          <w:tcPr>
            <w:tcW w:w="0" w:type="dxa"/>
            <w:vAlign w:val="bottom"/>
          </w:tcPr>
          <w:p>
            <w:pPr>
              <w:spacing w:after="0"/>
              <w:rPr>
                <w:sz w:val="1"/>
                <w:szCs w:val="1"/>
                <w:color w:val="auto"/>
              </w:rPr>
            </w:pPr>
          </w:p>
        </w:tc>
      </w:tr>
      <w:tr>
        <w:trPr>
          <w:trHeight w:val="310"/>
        </w:trPr>
        <w:tc>
          <w:tcPr>
            <w:tcW w:w="1540" w:type="dxa"/>
            <w:vAlign w:val="bottom"/>
            <w:gridSpan w:val="3"/>
          </w:tcPr>
          <w:p>
            <w:pPr>
              <w:spacing w:after="0"/>
              <w:rPr>
                <w:sz w:val="20"/>
                <w:szCs w:val="20"/>
                <w:color w:val="auto"/>
              </w:rPr>
            </w:pPr>
            <w:r>
              <w:rPr>
                <w:rFonts w:ascii="Arial" w:cs="Arial" w:eastAsia="Arial" w:hAnsi="Arial"/>
                <w:sz w:val="18"/>
                <w:szCs w:val="18"/>
                <w:color w:val="auto"/>
              </w:rPr>
              <w:t>CS1.</w:t>
            </w:r>
          </w:p>
        </w:tc>
        <w:tc>
          <w:tcPr>
            <w:tcW w:w="280" w:type="dxa"/>
            <w:vAlign w:val="bottom"/>
          </w:tcPr>
          <w:p>
            <w:pPr>
              <w:spacing w:after="0"/>
              <w:rPr>
                <w:sz w:val="24"/>
                <w:szCs w:val="24"/>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Customer Support Variables</w:t>
            </w:r>
          </w:p>
        </w:tc>
        <w:tc>
          <w:tcPr>
            <w:tcW w:w="5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CS1-2</w:t>
            </w:r>
          </w:p>
        </w:tc>
        <w:tc>
          <w:tcPr>
            <w:tcW w:w="28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Customer Support Variables - 777-323ER</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SLP1</w:t>
            </w:r>
          </w:p>
        </w:tc>
        <w:tc>
          <w:tcPr>
            <w:tcW w:w="2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Service Life Policy Components</w:t>
            </w:r>
          </w:p>
        </w:tc>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EE1-BR1.</w:t>
            </w:r>
          </w:p>
        </w:tc>
        <w:tc>
          <w:tcPr>
            <w:tcW w:w="28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Engine Escalation and Engine Warranty</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SA-15</w:t>
            </w:r>
          </w:p>
        </w:tc>
        <w:tc>
          <w:tcPr>
            <w:tcW w:w="0" w:type="dxa"/>
            <w:vAlign w:val="bottom"/>
          </w:tcPr>
          <w:p>
            <w:pPr>
              <w:spacing w:after="0"/>
              <w:rPr>
                <w:sz w:val="1"/>
                <w:szCs w:val="1"/>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EE1-2.</w:t>
            </w:r>
          </w:p>
        </w:tc>
        <w:tc>
          <w:tcPr>
            <w:tcW w:w="28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Engine Escalation, Engine Warranty and Patent Indemnity – 777-323ER</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346"/>
        </w:trPr>
        <w:tc>
          <w:tcPr>
            <w:tcW w:w="1540" w:type="dxa"/>
            <w:vAlign w:val="bottom"/>
            <w:gridSpan w:val="3"/>
            <w:vMerge w:val="restart"/>
          </w:tcPr>
          <w:p>
            <w:pPr>
              <w:spacing w:after="0"/>
              <w:rPr>
                <w:sz w:val="20"/>
                <w:szCs w:val="20"/>
                <w:color w:val="auto"/>
              </w:rPr>
            </w:pPr>
            <w:r>
              <w:rPr>
                <w:rFonts w:ascii="Arial" w:cs="Arial" w:eastAsia="Arial" w:hAnsi="Arial"/>
                <w:sz w:val="14"/>
                <w:szCs w:val="14"/>
                <w:color w:val="auto"/>
                <w:w w:val="97"/>
              </w:rPr>
              <w:t>LETTER AGREEMENTS</w:t>
            </w: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PA or SA</w:t>
            </w:r>
          </w:p>
        </w:tc>
        <w:tc>
          <w:tcPr>
            <w:tcW w:w="0" w:type="dxa"/>
            <w:vAlign w:val="bottom"/>
          </w:tcPr>
          <w:p>
            <w:pPr>
              <w:spacing w:after="0"/>
              <w:rPr>
                <w:sz w:val="1"/>
                <w:szCs w:val="1"/>
                <w:color w:val="auto"/>
              </w:rPr>
            </w:pPr>
          </w:p>
        </w:tc>
      </w:tr>
      <w:tr>
        <w:trPr>
          <w:trHeight w:val="174"/>
        </w:trPr>
        <w:tc>
          <w:tcPr>
            <w:tcW w:w="1540" w:type="dxa"/>
            <w:vAlign w:val="bottom"/>
            <w:tcBorders>
              <w:bottom w:val="single" w:sz="8" w:color="auto"/>
            </w:tcBorders>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20" w:type="dxa"/>
            <w:vAlign w:val="bottom"/>
            <w:gridSpan w:val="2"/>
            <w:vMerge w:val="restart"/>
          </w:tcPr>
          <w:p>
            <w:pPr>
              <w:ind w:left="840"/>
              <w:spacing w:after="0"/>
              <w:rPr>
                <w:sz w:val="20"/>
                <w:szCs w:val="20"/>
                <w:color w:val="auto"/>
              </w:rPr>
            </w:pPr>
            <w:r>
              <w:rPr>
                <w:rFonts w:ascii="Arial" w:cs="Arial" w:eastAsia="Arial" w:hAnsi="Arial"/>
                <w:sz w:val="18"/>
                <w:szCs w:val="18"/>
                <w:color w:val="auto"/>
              </w:rPr>
              <w:t>Miscellaneous Commitments for Model 737, 757, 767 and 777 Aircraft</w:t>
            </w:r>
          </w:p>
        </w:tc>
        <w:tc>
          <w:tcPr>
            <w:tcW w:w="120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75"/>
        </w:trPr>
        <w:tc>
          <w:tcPr>
            <w:tcW w:w="1540" w:type="dxa"/>
            <w:vAlign w:val="bottom"/>
            <w:gridSpan w:val="3"/>
          </w:tcPr>
          <w:p>
            <w:pPr>
              <w:spacing w:after="0" w:line="176" w:lineRule="exact"/>
              <w:rPr>
                <w:sz w:val="20"/>
                <w:szCs w:val="20"/>
                <w:color w:val="auto"/>
              </w:rPr>
            </w:pPr>
            <w:r>
              <w:rPr>
                <w:rFonts w:ascii="Arial" w:cs="Arial" w:eastAsia="Arial" w:hAnsi="Arial"/>
                <w:sz w:val="18"/>
                <w:szCs w:val="18"/>
                <w:color w:val="auto"/>
              </w:rPr>
              <w:t>6-1162-AKP-070</w:t>
            </w:r>
          </w:p>
        </w:tc>
        <w:tc>
          <w:tcPr>
            <w:tcW w:w="280" w:type="dxa"/>
            <w:vAlign w:val="bottom"/>
          </w:tcPr>
          <w:p>
            <w:pPr>
              <w:spacing w:after="0"/>
              <w:rPr>
                <w:sz w:val="15"/>
                <w:szCs w:val="15"/>
                <w:color w:val="auto"/>
              </w:rPr>
            </w:pPr>
          </w:p>
        </w:tc>
        <w:tc>
          <w:tcPr>
            <w:tcW w:w="8420" w:type="dxa"/>
            <w:vAlign w:val="bottom"/>
            <w:gridSpan w:val="2"/>
            <w:vMerge w:val="continue"/>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strike w:val="1"/>
                <w:w w:val="96"/>
              </w:rPr>
              <w:t>6-1162-AKP-071R1</w:t>
            </w:r>
          </w:p>
        </w:tc>
        <w:tc>
          <w:tcPr>
            <w:tcW w:w="280" w:type="dxa"/>
            <w:vAlign w:val="bottom"/>
          </w:tcPr>
          <w:p>
            <w:pPr>
              <w:spacing w:after="0"/>
              <w:rPr>
                <w:sz w:val="18"/>
                <w:szCs w:val="18"/>
                <w:color w:val="auto"/>
              </w:rPr>
            </w:pPr>
          </w:p>
        </w:tc>
        <w:tc>
          <w:tcPr>
            <w:tcW w:w="2920" w:type="dxa"/>
            <w:vAlign w:val="bottom"/>
          </w:tcPr>
          <w:p>
            <w:pPr>
              <w:ind w:left="840"/>
              <w:spacing w:after="0"/>
              <w:rPr>
                <w:sz w:val="20"/>
                <w:szCs w:val="20"/>
                <w:color w:val="auto"/>
              </w:rPr>
            </w:pPr>
            <w:r>
              <w:rPr>
                <w:rFonts w:ascii="Arial" w:cs="Arial" w:eastAsia="Arial" w:hAnsi="Arial"/>
                <w:sz w:val="18"/>
                <w:szCs w:val="18"/>
                <w:color w:val="auto"/>
                <w:strike w:val="1"/>
              </w:rPr>
              <w:t>Purchase Obligations</w:t>
            </w:r>
          </w:p>
        </w:tc>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20" w:type="dxa"/>
            <w:vAlign w:val="bottom"/>
            <w:gridSpan w:val="2"/>
          </w:tcPr>
          <w:p>
            <w:pPr>
              <w:ind w:left="1020"/>
              <w:spacing w:after="0"/>
              <w:rPr>
                <w:sz w:val="20"/>
                <w:szCs w:val="20"/>
                <w:color w:val="auto"/>
              </w:rPr>
            </w:pPr>
            <w:r>
              <w:rPr>
                <w:rFonts w:ascii="Arial" w:cs="Arial" w:eastAsia="Arial" w:hAnsi="Arial"/>
                <w:sz w:val="18"/>
                <w:szCs w:val="18"/>
                <w:color w:val="auto"/>
              </w:rPr>
              <w:t>Terminated Per AAL-PA-1977-LA-1105595</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PA3219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ind w:left="840"/>
              <w:spacing w:after="0"/>
              <w:rPr>
                <w:sz w:val="20"/>
                <w:szCs w:val="20"/>
                <w:color w:val="auto"/>
              </w:rPr>
            </w:pPr>
            <w:r>
              <w:rPr>
                <w:rFonts w:ascii="Arial" w:cs="Arial" w:eastAsia="Arial" w:hAnsi="Arial"/>
                <w:sz w:val="18"/>
                <w:szCs w:val="18"/>
                <w:color w:val="auto"/>
              </w:rPr>
              <w:t>[*CTR]</w:t>
            </w:r>
          </w:p>
        </w:tc>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strike w:val="1"/>
                <w:w w:val="96"/>
              </w:rPr>
              <w:t>6-1162-AKP-072R3</w:t>
            </w:r>
          </w:p>
        </w:tc>
        <w:tc>
          <w:tcPr>
            <w:tcW w:w="280" w:type="dxa"/>
            <w:vAlign w:val="bottom"/>
          </w:tcPr>
          <w:p>
            <w:pPr>
              <w:spacing w:after="0"/>
              <w:rPr>
                <w:sz w:val="19"/>
                <w:szCs w:val="19"/>
                <w:color w:val="auto"/>
              </w:rPr>
            </w:pPr>
          </w:p>
        </w:tc>
        <w:tc>
          <w:tcPr>
            <w:tcW w:w="8420" w:type="dxa"/>
            <w:vAlign w:val="bottom"/>
            <w:gridSpan w:val="2"/>
          </w:tcPr>
          <w:p>
            <w:pPr>
              <w:ind w:left="1020"/>
              <w:spacing w:after="0"/>
              <w:rPr>
                <w:sz w:val="20"/>
                <w:szCs w:val="20"/>
                <w:color w:val="auto"/>
              </w:rPr>
            </w:pPr>
            <w:r>
              <w:rPr>
                <w:rFonts w:ascii="Arial" w:cs="Arial" w:eastAsia="Arial" w:hAnsi="Arial"/>
                <w:sz w:val="18"/>
                <w:szCs w:val="18"/>
                <w:color w:val="auto"/>
              </w:rPr>
              <w:t>Terminated Per AAL-PA-1977-LA-1105595</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w w:val="96"/>
              </w:rPr>
              <w:t>6-1162-AKP-073R1</w:t>
            </w:r>
          </w:p>
        </w:tc>
        <w:tc>
          <w:tcPr>
            <w:tcW w:w="280" w:type="dxa"/>
            <w:vAlign w:val="bottom"/>
          </w:tcPr>
          <w:p>
            <w:pPr>
              <w:spacing w:after="0"/>
              <w:rPr>
                <w:sz w:val="20"/>
                <w:szCs w:val="20"/>
                <w:color w:val="auto"/>
              </w:rPr>
            </w:pPr>
          </w:p>
        </w:tc>
        <w:tc>
          <w:tcPr>
            <w:tcW w:w="8420" w:type="dxa"/>
            <w:vAlign w:val="bottom"/>
            <w:gridSpan w:val="2"/>
          </w:tcPr>
          <w:p>
            <w:pPr>
              <w:ind w:left="840"/>
              <w:spacing w:after="0"/>
              <w:rPr>
                <w:sz w:val="20"/>
                <w:szCs w:val="20"/>
                <w:color w:val="auto"/>
              </w:rPr>
            </w:pPr>
            <w:r>
              <w:rPr>
                <w:rFonts w:ascii="Arial" w:cs="Arial" w:eastAsia="Arial" w:hAnsi="Arial"/>
                <w:sz w:val="18"/>
                <w:szCs w:val="18"/>
                <w:color w:val="auto"/>
              </w:rPr>
              <w:t>Accident Claims and Litigation</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PA3219</w:t>
            </w:r>
          </w:p>
        </w:tc>
        <w:tc>
          <w:tcPr>
            <w:tcW w:w="0" w:type="dxa"/>
            <w:vAlign w:val="bottom"/>
          </w:tcPr>
          <w:p>
            <w:pPr>
              <w:spacing w:after="0"/>
              <w:rPr>
                <w:sz w:val="1"/>
                <w:szCs w:val="1"/>
                <w:color w:val="auto"/>
              </w:rPr>
            </w:pPr>
          </w:p>
        </w:tc>
      </w:tr>
      <w:tr>
        <w:trPr>
          <w:trHeight w:val="365"/>
        </w:trPr>
        <w:tc>
          <w:tcPr>
            <w:tcW w:w="1540" w:type="dxa"/>
            <w:vAlign w:val="bottom"/>
            <w:gridSpan w:val="3"/>
          </w:tcPr>
          <w:p>
            <w:pPr>
              <w:spacing w:after="0"/>
              <w:rPr>
                <w:sz w:val="20"/>
                <w:szCs w:val="20"/>
                <w:color w:val="auto"/>
              </w:rPr>
            </w:pPr>
            <w:r>
              <w:rPr>
                <w:rFonts w:ascii="Arial" w:cs="Arial" w:eastAsia="Arial" w:hAnsi="Arial"/>
                <w:sz w:val="18"/>
                <w:szCs w:val="18"/>
                <w:color w:val="auto"/>
              </w:rPr>
              <w:t>PA No. 1980</w:t>
            </w: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w w:val="91"/>
              </w:rPr>
              <w:t>SA-37</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Table of Contents Page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rPr>
              <w:t>LETTER AGREEMENTS</w:t>
            </w:r>
          </w:p>
        </w:tc>
        <w:tc>
          <w:tcPr>
            <w:tcW w:w="820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PA or SA</w:t>
            </w:r>
          </w:p>
        </w:tc>
        <w:tc>
          <w:tcPr>
            <w:tcW w:w="0" w:type="dxa"/>
            <w:vAlign w:val="bottom"/>
          </w:tcPr>
          <w:p>
            <w:pPr>
              <w:spacing w:after="0"/>
              <w:rPr>
                <w:sz w:val="1"/>
                <w:szCs w:val="1"/>
                <w:color w:val="auto"/>
              </w:rPr>
            </w:pPr>
          </w:p>
        </w:tc>
      </w:tr>
      <w:tr>
        <w:trPr>
          <w:trHeight w:val="174"/>
        </w:trPr>
        <w:tc>
          <w:tcPr>
            <w:tcW w:w="2600" w:type="dxa"/>
            <w:vAlign w:val="bottom"/>
            <w:gridSpan w:val="2"/>
            <w:vMerge w:val="continue"/>
          </w:tcPr>
          <w:p>
            <w:pPr>
              <w:spacing w:after="0"/>
              <w:rPr>
                <w:sz w:val="15"/>
                <w:szCs w:val="15"/>
                <w:color w:val="auto"/>
              </w:rPr>
            </w:pPr>
          </w:p>
        </w:tc>
        <w:tc>
          <w:tcPr>
            <w:tcW w:w="8200" w:type="dxa"/>
            <w:vAlign w:val="bottom"/>
            <w:vMerge w:val="restart"/>
          </w:tcPr>
          <w:p>
            <w:pPr>
              <w:ind w:left="340"/>
              <w:spacing w:after="0"/>
              <w:rPr>
                <w:sz w:val="20"/>
                <w:szCs w:val="20"/>
                <w:color w:val="auto"/>
              </w:rPr>
            </w:pPr>
            <w:r>
              <w:rPr>
                <w:rFonts w:ascii="Arial" w:cs="Arial" w:eastAsia="Arial" w:hAnsi="Arial"/>
                <w:sz w:val="18"/>
                <w:szCs w:val="18"/>
                <w:color w:val="auto"/>
              </w:rPr>
              <w:t>Business Considerations</w:t>
            </w:r>
          </w:p>
        </w:tc>
        <w:tc>
          <w:tcPr>
            <w:tcW w:w="64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89"/>
        </w:trPr>
        <w:tc>
          <w:tcPr>
            <w:tcW w:w="1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6-1162-AKP-109R3</w:t>
            </w:r>
          </w:p>
        </w:tc>
        <w:tc>
          <w:tcPr>
            <w:tcW w:w="1060" w:type="dxa"/>
            <w:vAlign w:val="bottom"/>
          </w:tcPr>
          <w:p>
            <w:pPr>
              <w:spacing w:after="0"/>
              <w:rPr>
                <w:sz w:val="16"/>
                <w:szCs w:val="16"/>
                <w:color w:val="auto"/>
              </w:rPr>
            </w:pPr>
          </w:p>
        </w:tc>
        <w:tc>
          <w:tcPr>
            <w:tcW w:w="8200" w:type="dxa"/>
            <w:vAlign w:val="bottom"/>
            <w:vMerge w:val="continue"/>
          </w:tcPr>
          <w:p>
            <w:pPr>
              <w:spacing w:after="0"/>
              <w:rPr>
                <w:sz w:val="16"/>
                <w:szCs w:val="16"/>
                <w:color w:val="auto"/>
              </w:rPr>
            </w:pPr>
          </w:p>
        </w:tc>
        <w:tc>
          <w:tcPr>
            <w:tcW w:w="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SA-20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6-1162-AKP-110R3</w:t>
            </w:r>
          </w:p>
        </w:tc>
        <w:tc>
          <w:tcPr>
            <w:tcW w:w="8200" w:type="dxa"/>
            <w:vAlign w:val="bottom"/>
          </w:tcPr>
          <w:p>
            <w:pPr>
              <w:ind w:left="340"/>
              <w:spacing w:after="0"/>
              <w:rPr>
                <w:sz w:val="20"/>
                <w:szCs w:val="20"/>
                <w:color w:val="auto"/>
              </w:rPr>
            </w:pPr>
            <w:r>
              <w:rPr>
                <w:rFonts w:ascii="Arial" w:cs="Arial" w:eastAsia="Arial" w:hAnsi="Arial"/>
                <w:sz w:val="18"/>
                <w:szCs w:val="18"/>
                <w:color w:val="auto"/>
              </w:rPr>
              <w:t>Aircraft Purchase Rights and Substitution Rights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2"/>
        </w:trPr>
        <w:tc>
          <w:tcPr>
            <w:tcW w:w="2600" w:type="dxa"/>
            <w:vAlign w:val="bottom"/>
            <w:gridSpan w:val="2"/>
          </w:tcPr>
          <w:p>
            <w:pPr>
              <w:spacing w:after="0"/>
              <w:rPr>
                <w:sz w:val="20"/>
                <w:szCs w:val="20"/>
                <w:color w:val="auto"/>
              </w:rPr>
            </w:pPr>
            <w:r>
              <w:rPr>
                <w:rFonts w:ascii="Arial" w:cs="Arial" w:eastAsia="Arial" w:hAnsi="Arial"/>
                <w:sz w:val="18"/>
                <w:szCs w:val="18"/>
                <w:color w:val="auto"/>
              </w:rPr>
              <w:t>Attachment A</w:t>
            </w:r>
          </w:p>
        </w:tc>
        <w:tc>
          <w:tcPr>
            <w:tcW w:w="8200" w:type="dxa"/>
            <w:vAlign w:val="bottom"/>
          </w:tcPr>
          <w:p>
            <w:pPr>
              <w:ind w:left="340"/>
              <w:spacing w:after="0"/>
              <w:rPr>
                <w:sz w:val="20"/>
                <w:szCs w:val="20"/>
                <w:color w:val="auto"/>
              </w:rPr>
            </w:pPr>
            <w:r>
              <w:rPr>
                <w:rFonts w:ascii="Arial" w:cs="Arial" w:eastAsia="Arial" w:hAnsi="Arial"/>
                <w:sz w:val="18"/>
                <w:szCs w:val="18"/>
                <w:color w:val="auto"/>
              </w:rPr>
              <w:t>Description and Price for Eligible Models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Attachment B</w:t>
            </w:r>
          </w:p>
        </w:tc>
        <w:tc>
          <w:tcPr>
            <w:tcW w:w="8200" w:type="dxa"/>
            <w:vAlign w:val="bottom"/>
          </w:tcPr>
          <w:p>
            <w:pPr>
              <w:ind w:left="340"/>
              <w:spacing w:after="0"/>
              <w:rPr>
                <w:sz w:val="20"/>
                <w:szCs w:val="20"/>
                <w:color w:val="auto"/>
              </w:rPr>
            </w:pPr>
            <w:r>
              <w:rPr>
                <w:rFonts w:ascii="Arial" w:cs="Arial" w:eastAsia="Arial" w:hAnsi="Arial"/>
                <w:sz w:val="18"/>
                <w:szCs w:val="18"/>
                <w:b w:val="1"/>
                <w:bCs w:val="1"/>
                <w:color w:val="auto"/>
              </w:rPr>
              <w:t>Information Regarding MADP Rights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SA-37</w:t>
            </w:r>
          </w:p>
        </w:tc>
        <w:tc>
          <w:tcPr>
            <w:tcW w:w="0" w:type="dxa"/>
            <w:vAlign w:val="bottom"/>
          </w:tcPr>
          <w:p>
            <w:pPr>
              <w:spacing w:after="0"/>
              <w:rPr>
                <w:sz w:val="1"/>
                <w:szCs w:val="1"/>
                <w:color w:val="auto"/>
              </w:rPr>
            </w:pPr>
          </w:p>
        </w:tc>
      </w:tr>
      <w:tr>
        <w:trPr>
          <w:trHeight w:val="220"/>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Attachment C</w:t>
            </w:r>
          </w:p>
        </w:tc>
        <w:tc>
          <w:tcPr>
            <w:tcW w:w="8200" w:type="dxa"/>
            <w:vAlign w:val="bottom"/>
          </w:tcPr>
          <w:p>
            <w:pPr>
              <w:ind w:left="340"/>
              <w:spacing w:after="0"/>
              <w:rPr>
                <w:sz w:val="20"/>
                <w:szCs w:val="20"/>
                <w:color w:val="auto"/>
              </w:rPr>
            </w:pPr>
            <w:r>
              <w:rPr>
                <w:rFonts w:ascii="Arial" w:cs="Arial" w:eastAsia="Arial" w:hAnsi="Arial"/>
                <w:sz w:val="18"/>
                <w:szCs w:val="18"/>
                <w:b w:val="1"/>
                <w:bCs w:val="1"/>
                <w:color w:val="auto"/>
              </w:rPr>
              <w:t>Information Regarding QADP Rights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SA-37</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Attachment D</w:t>
            </w:r>
          </w:p>
        </w:tc>
        <w:tc>
          <w:tcPr>
            <w:tcW w:w="8200" w:type="dxa"/>
            <w:vAlign w:val="bottom"/>
          </w:tcPr>
          <w:p>
            <w:pPr>
              <w:ind w:left="340"/>
              <w:spacing w:after="0"/>
              <w:rPr>
                <w:sz w:val="20"/>
                <w:szCs w:val="20"/>
                <w:color w:val="auto"/>
              </w:rPr>
            </w:pPr>
            <w:r>
              <w:rPr>
                <w:rFonts w:ascii="Arial" w:cs="Arial" w:eastAsia="Arial" w:hAnsi="Arial"/>
                <w:sz w:val="18"/>
                <w:szCs w:val="18"/>
                <w:color w:val="auto"/>
              </w:rPr>
              <w:t>Forms of Purchase Agreement Supplement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Attachment E</w:t>
            </w:r>
          </w:p>
        </w:tc>
        <w:tc>
          <w:tcPr>
            <w:tcW w:w="8200" w:type="dxa"/>
            <w:vAlign w:val="bottom"/>
          </w:tcPr>
          <w:p>
            <w:pPr>
              <w:ind w:left="340"/>
              <w:spacing w:after="0"/>
              <w:rPr>
                <w:sz w:val="20"/>
                <w:szCs w:val="20"/>
                <w:color w:val="auto"/>
              </w:rPr>
            </w:pPr>
            <w:r>
              <w:rPr>
                <w:rFonts w:ascii="Arial" w:cs="Arial" w:eastAsia="Arial" w:hAnsi="Arial"/>
                <w:sz w:val="18"/>
                <w:szCs w:val="18"/>
                <w:color w:val="auto"/>
              </w:rPr>
              <w:t>Letter Agreements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Attachment F</w:t>
            </w:r>
          </w:p>
        </w:tc>
        <w:tc>
          <w:tcPr>
            <w:tcW w:w="8200" w:type="dxa"/>
            <w:vAlign w:val="bottom"/>
          </w:tcPr>
          <w:p>
            <w:pPr>
              <w:ind w:left="340"/>
              <w:spacing w:after="0"/>
              <w:rPr>
                <w:sz w:val="20"/>
                <w:szCs w:val="20"/>
                <w:color w:val="auto"/>
              </w:rPr>
            </w:pPr>
            <w:r>
              <w:rPr>
                <w:rFonts w:ascii="Arial" w:cs="Arial" w:eastAsia="Arial" w:hAnsi="Arial"/>
                <w:sz w:val="18"/>
                <w:szCs w:val="18"/>
                <w:color w:val="auto"/>
              </w:rPr>
              <w:t>Information regarding MADP and QADP Rights if no 787s are reconfirmed</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6-1162-AKP-111</w:t>
            </w:r>
          </w:p>
        </w:tc>
        <w:tc>
          <w:tcPr>
            <w:tcW w:w="8200" w:type="dxa"/>
            <w:vAlign w:val="bottom"/>
          </w:tcPr>
          <w:p>
            <w:pPr>
              <w:ind w:left="340"/>
              <w:spacing w:after="0"/>
              <w:rPr>
                <w:sz w:val="20"/>
                <w:szCs w:val="20"/>
                <w:color w:val="auto"/>
              </w:rPr>
            </w:pPr>
            <w:r>
              <w:rPr>
                <w:rFonts w:ascii="Arial" w:cs="Arial" w:eastAsia="Arial" w:hAnsi="Arial"/>
                <w:sz w:val="18"/>
                <w:szCs w:val="18"/>
                <w:color w:val="auto"/>
              </w:rPr>
              <w:t>Aircraft Performance Guarantees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AAL-PA-1980-LA-1003346</w:t>
            </w:r>
          </w:p>
        </w:tc>
        <w:tc>
          <w:tcPr>
            <w:tcW w:w="8200" w:type="dxa"/>
            <w:vAlign w:val="bottom"/>
          </w:tcPr>
          <w:p>
            <w:pPr>
              <w:ind w:left="340"/>
              <w:spacing w:after="0"/>
              <w:rPr>
                <w:sz w:val="20"/>
                <w:szCs w:val="20"/>
                <w:color w:val="auto"/>
              </w:rPr>
            </w:pPr>
            <w:r>
              <w:rPr>
                <w:rFonts w:ascii="Arial" w:cs="Arial" w:eastAsia="Arial" w:hAnsi="Arial"/>
                <w:sz w:val="18"/>
                <w:szCs w:val="18"/>
                <w:color w:val="auto"/>
              </w:rPr>
              <w:t>Aircraft Performance Guarantees - 777-323ER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AAL-PA-1980-LA-04205R4</w:t>
            </w:r>
          </w:p>
        </w:tc>
        <w:tc>
          <w:tcPr>
            <w:tcW w:w="8200" w:type="dxa"/>
            <w:vAlign w:val="bottom"/>
          </w:tcPr>
          <w:p>
            <w:pPr>
              <w:ind w:left="340"/>
              <w:spacing w:after="0"/>
              <w:rPr>
                <w:sz w:val="20"/>
                <w:szCs w:val="20"/>
                <w:color w:val="auto"/>
              </w:rPr>
            </w:pPr>
            <w:r>
              <w:rPr>
                <w:rFonts w:ascii="Arial" w:cs="Arial" w:eastAsia="Arial" w:hAnsi="Arial"/>
                <w:sz w:val="18"/>
                <w:szCs w:val="18"/>
                <w:color w:val="auto"/>
              </w:rPr>
              <w:t>Aircraft Performance Guarantees – 777-323ER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SA-28</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6-1162-AKP-112</w:t>
            </w:r>
          </w:p>
        </w:tc>
        <w:tc>
          <w:tcPr>
            <w:tcW w:w="8200" w:type="dxa"/>
            <w:vAlign w:val="bottom"/>
          </w:tcPr>
          <w:p>
            <w:pPr>
              <w:ind w:left="340"/>
              <w:spacing w:after="0"/>
              <w:rPr>
                <w:sz w:val="20"/>
                <w:szCs w:val="20"/>
                <w:color w:val="auto"/>
              </w:rPr>
            </w:pPr>
            <w:r>
              <w:rPr>
                <w:rFonts w:ascii="Arial" w:cs="Arial" w:eastAsia="Arial" w:hAnsi="Arial"/>
                <w:sz w:val="18"/>
                <w:szCs w:val="18"/>
                <w:color w:val="auto"/>
              </w:rPr>
              <w:t>Spares Matters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6-1162-AKP-113</w:t>
            </w:r>
          </w:p>
        </w:tc>
        <w:tc>
          <w:tcPr>
            <w:tcW w:w="8200" w:type="dxa"/>
            <w:vAlign w:val="bottom"/>
          </w:tcPr>
          <w:p>
            <w:pPr>
              <w:ind w:left="340"/>
              <w:spacing w:after="0"/>
              <w:rPr>
                <w:sz w:val="20"/>
                <w:szCs w:val="20"/>
                <w:color w:val="auto"/>
              </w:rPr>
            </w:pPr>
            <w:r>
              <w:rPr>
                <w:rFonts w:ascii="Arial" w:cs="Arial" w:eastAsia="Arial" w:hAnsi="Arial"/>
                <w:sz w:val="18"/>
                <w:szCs w:val="18"/>
                <w:color w:val="auto"/>
              </w:rPr>
              <w:t>Model 777 Miscellaneous Commitments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6-1162-AKP-114R1</w:t>
            </w:r>
          </w:p>
        </w:tc>
        <w:tc>
          <w:tcPr>
            <w:tcW w:w="8200" w:type="dxa"/>
            <w:vAlign w:val="bottom"/>
          </w:tcPr>
          <w:p>
            <w:pPr>
              <w:ind w:left="340"/>
              <w:spacing w:after="0"/>
              <w:rPr>
                <w:sz w:val="20"/>
                <w:szCs w:val="20"/>
                <w:color w:val="auto"/>
              </w:rPr>
            </w:pPr>
            <w:r>
              <w:rPr>
                <w:rFonts w:ascii="Arial" w:cs="Arial" w:eastAsia="Arial" w:hAnsi="Arial"/>
                <w:sz w:val="18"/>
                <w:szCs w:val="18"/>
                <w:color w:val="auto"/>
              </w:rPr>
              <w:t>Installation of Cabin Systems Equipment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SA-22</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AAL-PA-1980-LA-1003493</w:t>
            </w:r>
          </w:p>
        </w:tc>
        <w:tc>
          <w:tcPr>
            <w:tcW w:w="8200" w:type="dxa"/>
            <w:vAlign w:val="bottom"/>
          </w:tcPr>
          <w:p>
            <w:pPr>
              <w:ind w:left="340"/>
              <w:spacing w:after="0"/>
              <w:rPr>
                <w:sz w:val="20"/>
                <w:szCs w:val="20"/>
                <w:color w:val="auto"/>
              </w:rPr>
            </w:pPr>
            <w:r>
              <w:rPr>
                <w:rFonts w:ascii="Arial" w:cs="Arial" w:eastAsia="Arial" w:hAnsi="Arial"/>
                <w:sz w:val="18"/>
                <w:szCs w:val="18"/>
                <w:color w:val="auto"/>
              </w:rPr>
              <w:t>Installation of Cabin Systems Equipment – 777-323ER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6-1162-AKP-115</w:t>
            </w:r>
          </w:p>
        </w:tc>
        <w:tc>
          <w:tcPr>
            <w:tcW w:w="8200" w:type="dxa"/>
            <w:vAlign w:val="bottom"/>
          </w:tcPr>
          <w:p>
            <w:pPr>
              <w:ind w:left="340"/>
              <w:spacing w:after="0"/>
              <w:rPr>
                <w:sz w:val="20"/>
                <w:szCs w:val="20"/>
                <w:color w:val="auto"/>
              </w:rPr>
            </w:pPr>
            <w:r>
              <w:rPr>
                <w:rFonts w:ascii="Arial" w:cs="Arial" w:eastAsia="Arial" w:hAnsi="Arial"/>
                <w:sz w:val="18"/>
                <w:szCs w:val="18"/>
                <w:color w:val="auto"/>
              </w:rPr>
              <w:t>Component and System Reliability Commitments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6-1162-AKP-116</w:t>
            </w:r>
          </w:p>
        </w:tc>
        <w:tc>
          <w:tcPr>
            <w:tcW w:w="8200" w:type="dxa"/>
            <w:vAlign w:val="bottom"/>
          </w:tcPr>
          <w:p>
            <w:pPr>
              <w:ind w:left="340"/>
              <w:spacing w:after="0"/>
              <w:rPr>
                <w:sz w:val="20"/>
                <w:szCs w:val="20"/>
                <w:color w:val="auto"/>
              </w:rPr>
            </w:pPr>
            <w:r>
              <w:rPr>
                <w:rFonts w:ascii="Arial" w:cs="Arial" w:eastAsia="Arial" w:hAnsi="Arial"/>
                <w:sz w:val="18"/>
                <w:szCs w:val="18"/>
                <w:color w:val="auto"/>
              </w:rPr>
              <w:t>Price Adjustment on Rolls-Royce Engines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6-1162-AKP-117</w:t>
            </w:r>
          </w:p>
        </w:tc>
        <w:tc>
          <w:tcPr>
            <w:tcW w:w="8200" w:type="dxa"/>
            <w:vAlign w:val="bottom"/>
          </w:tcPr>
          <w:p>
            <w:pPr>
              <w:ind w:left="340"/>
              <w:spacing w:after="0"/>
              <w:rPr>
                <w:sz w:val="20"/>
                <w:szCs w:val="20"/>
                <w:color w:val="auto"/>
              </w:rPr>
            </w:pPr>
            <w:r>
              <w:rPr>
                <w:rFonts w:ascii="Arial" w:cs="Arial" w:eastAsia="Arial" w:hAnsi="Arial"/>
                <w:sz w:val="18"/>
                <w:szCs w:val="18"/>
                <w:color w:val="auto"/>
              </w:rPr>
              <w:t>Delivery Schedule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6-1162-AKP-118R2</w:t>
            </w:r>
          </w:p>
        </w:tc>
        <w:tc>
          <w:tcPr>
            <w:tcW w:w="820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6-1162-AKP-204</w:t>
            </w:r>
          </w:p>
        </w:tc>
        <w:tc>
          <w:tcPr>
            <w:tcW w:w="8200" w:type="dxa"/>
            <w:vAlign w:val="bottom"/>
          </w:tcPr>
          <w:p>
            <w:pPr>
              <w:ind w:left="340"/>
              <w:spacing w:after="0"/>
              <w:rPr>
                <w:sz w:val="20"/>
                <w:szCs w:val="20"/>
                <w:color w:val="auto"/>
              </w:rPr>
            </w:pPr>
            <w:r>
              <w:rPr>
                <w:rFonts w:ascii="Arial" w:cs="Arial" w:eastAsia="Arial" w:hAnsi="Arial"/>
                <w:sz w:val="18"/>
                <w:szCs w:val="18"/>
                <w:color w:val="auto"/>
              </w:rPr>
              <w:t>Multiple Operating Weight Program Model 777-200IGW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SA-6</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AAL-PA-1980-LA-1003536R1</w:t>
            </w:r>
          </w:p>
        </w:tc>
        <w:tc>
          <w:tcPr>
            <w:tcW w:w="8200" w:type="dxa"/>
            <w:vAlign w:val="bottom"/>
          </w:tcPr>
          <w:p>
            <w:pPr>
              <w:ind w:left="340"/>
              <w:spacing w:after="0"/>
              <w:rPr>
                <w:sz w:val="20"/>
                <w:szCs w:val="20"/>
                <w:color w:val="auto"/>
              </w:rPr>
            </w:pPr>
            <w:r>
              <w:rPr>
                <w:rFonts w:ascii="Arial" w:cs="Arial" w:eastAsia="Arial" w:hAnsi="Arial"/>
                <w:sz w:val="18"/>
                <w:szCs w:val="18"/>
                <w:color w:val="auto"/>
              </w:rPr>
              <w:t>Multiple Operating Weight Program, Model 777-323ER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SA-21</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AAL-PA-1980-LA-1003344</w:t>
            </w:r>
          </w:p>
        </w:tc>
        <w:tc>
          <w:tcPr>
            <w:tcW w:w="8200" w:type="dxa"/>
            <w:vAlign w:val="bottom"/>
          </w:tcPr>
          <w:p>
            <w:pPr>
              <w:ind w:left="340"/>
              <w:spacing w:after="0"/>
              <w:rPr>
                <w:sz w:val="20"/>
                <w:szCs w:val="20"/>
                <w:color w:val="auto"/>
              </w:rPr>
            </w:pPr>
            <w:r>
              <w:rPr>
                <w:rFonts w:ascii="Arial" w:cs="Arial" w:eastAsia="Arial" w:hAnsi="Arial"/>
                <w:sz w:val="18"/>
                <w:szCs w:val="18"/>
                <w:color w:val="auto"/>
              </w:rPr>
              <w:t>Open Configuration Matters -777-323ER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AAL-PA-1980-LA-1104563</w:t>
            </w:r>
          </w:p>
        </w:tc>
        <w:tc>
          <w:tcPr>
            <w:tcW w:w="8200" w:type="dxa"/>
            <w:vAlign w:val="bottom"/>
          </w:tcPr>
          <w:p>
            <w:pPr>
              <w:ind w:left="340"/>
              <w:spacing w:after="0"/>
              <w:rPr>
                <w:sz w:val="20"/>
                <w:szCs w:val="20"/>
                <w:color w:val="auto"/>
              </w:rPr>
            </w:pPr>
            <w:r>
              <w:rPr>
                <w:rFonts w:ascii="Arial" w:cs="Arial" w:eastAsia="Arial" w:hAnsi="Arial"/>
                <w:sz w:val="18"/>
                <w:szCs w:val="18"/>
                <w:color w:val="auto"/>
              </w:rPr>
              <w:t>Performance Guarantees for Rights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SA-23</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AAL-PA-1980-LA-1105629</w:t>
            </w:r>
          </w:p>
        </w:tc>
        <w:tc>
          <w:tcPr>
            <w:tcW w:w="8200" w:type="dxa"/>
            <w:vAlign w:val="bottom"/>
          </w:tcPr>
          <w:p>
            <w:pPr>
              <w:ind w:left="340"/>
              <w:spacing w:after="0"/>
              <w:rPr>
                <w:sz w:val="20"/>
                <w:szCs w:val="20"/>
                <w:color w:val="auto"/>
              </w:rPr>
            </w:pPr>
            <w:r>
              <w:rPr>
                <w:rFonts w:ascii="Arial" w:cs="Arial" w:eastAsia="Arial" w:hAnsi="Arial"/>
                <w:sz w:val="18"/>
                <w:szCs w:val="18"/>
                <w:color w:val="auto"/>
              </w:rPr>
              <w:t>Advance Payments and Permitted Transactions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SA-25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 PA 1980-LA-1207588</w:t>
            </w:r>
          </w:p>
        </w:tc>
        <w:tc>
          <w:tcPr>
            <w:tcW w:w="8200" w:type="dxa"/>
            <w:vAlign w:val="bottom"/>
          </w:tcPr>
          <w:p>
            <w:pPr>
              <w:ind w:left="340"/>
              <w:spacing w:after="0"/>
              <w:rPr>
                <w:sz w:val="20"/>
                <w:szCs w:val="20"/>
                <w:color w:val="auto"/>
              </w:rPr>
            </w:pPr>
            <w:r>
              <w:rPr>
                <w:rFonts w:ascii="Arial" w:cs="Arial" w:eastAsia="Arial" w:hAnsi="Arial"/>
                <w:sz w:val="18"/>
                <w:szCs w:val="18"/>
                <w:color w:val="auto"/>
              </w:rPr>
              <w:t>[*CTR] for Undelivered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AAL-PA-1980-LA-1208920</w:t>
            </w:r>
          </w:p>
        </w:tc>
        <w:tc>
          <w:tcPr>
            <w:tcW w:w="8200" w:type="dxa"/>
            <w:vAlign w:val="bottom"/>
          </w:tcPr>
          <w:p>
            <w:pPr>
              <w:ind w:left="340"/>
              <w:spacing w:after="0"/>
              <w:rPr>
                <w:sz w:val="20"/>
                <w:szCs w:val="20"/>
                <w:color w:val="auto"/>
              </w:rPr>
            </w:pPr>
            <w:r>
              <w:rPr>
                <w:rFonts w:ascii="Arial" w:cs="Arial" w:eastAsia="Arial" w:hAnsi="Arial"/>
                <w:sz w:val="18"/>
                <w:szCs w:val="18"/>
                <w:color w:val="auto"/>
              </w:rPr>
              <w:t>Delivery Flexibility for [*CTR] Purchase Rights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SA-30</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AAL-LA-1106678</w:t>
            </w:r>
          </w:p>
        </w:tc>
        <w:tc>
          <w:tcPr>
            <w:tcW w:w="8200" w:type="dxa"/>
            <w:vAlign w:val="bottom"/>
          </w:tcPr>
          <w:p>
            <w:pPr>
              <w:ind w:left="340"/>
              <w:spacing w:after="0"/>
              <w:rPr>
                <w:sz w:val="20"/>
                <w:szCs w:val="20"/>
                <w:color w:val="auto"/>
              </w:rPr>
            </w:pPr>
            <w:r>
              <w:rPr>
                <w:rFonts w:ascii="Arial" w:cs="Arial" w:eastAsia="Arial" w:hAnsi="Arial"/>
                <w:sz w:val="18"/>
                <w:szCs w:val="18"/>
                <w:color w:val="auto"/>
              </w:rPr>
              <w:t>Assignment Matters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365"/>
        </w:trPr>
        <w:tc>
          <w:tcPr>
            <w:tcW w:w="2600" w:type="dxa"/>
            <w:vAlign w:val="bottom"/>
            <w:gridSpan w:val="2"/>
          </w:tcPr>
          <w:p>
            <w:pPr>
              <w:spacing w:after="0"/>
              <w:rPr>
                <w:sz w:val="20"/>
                <w:szCs w:val="20"/>
                <w:color w:val="auto"/>
              </w:rPr>
            </w:pPr>
            <w:r>
              <w:rPr>
                <w:rFonts w:ascii="Arial" w:cs="Arial" w:eastAsia="Arial" w:hAnsi="Arial"/>
                <w:sz w:val="18"/>
                <w:szCs w:val="18"/>
                <w:color w:val="auto"/>
              </w:rPr>
              <w:t>PA No. 1980</w:t>
            </w:r>
          </w:p>
        </w:tc>
        <w:tc>
          <w:tcPr>
            <w:tcW w:w="8200" w:type="dxa"/>
            <w:vAlign w:val="bottom"/>
          </w:tcPr>
          <w:p>
            <w:pPr>
              <w:spacing w:after="0"/>
              <w:rPr>
                <w:sz w:val="24"/>
                <w:szCs w:val="24"/>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w w:val="91"/>
              </w:rPr>
              <w:t>SA-37</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Table of Contents Page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 to Letter Agreement 6-1162-AKP-110R3 (Model 777)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MADP Rights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60" w:type="dxa"/>
            <w:vAlign w:val="bottom"/>
            <w:gridSpan w:val="2"/>
          </w:tcPr>
          <w:p>
            <w:pPr>
              <w:ind w:left="1000"/>
              <w:spacing w:after="0"/>
              <w:rPr>
                <w:sz w:val="20"/>
                <w:szCs w:val="20"/>
                <w:color w:val="auto"/>
              </w:rPr>
            </w:pPr>
            <w:r>
              <w:rPr>
                <w:rFonts w:ascii="Arial" w:cs="Arial" w:eastAsia="Arial" w:hAnsi="Arial"/>
                <w:sz w:val="14"/>
                <w:szCs w:val="14"/>
                <w:b w:val="1"/>
                <w:bCs w:val="1"/>
                <w:color w:val="auto"/>
              </w:rPr>
              <w:t>MSN or Item #</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 Date</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6"/>
              </w:rPr>
              <w:t>Delivery Month/Year</w:t>
            </w:r>
          </w:p>
        </w:tc>
      </w:tr>
      <w:tr>
        <w:trPr>
          <w:trHeight w:val="195"/>
        </w:trPr>
        <w:tc>
          <w:tcPr>
            <w:tcW w:w="2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41665</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80" w:type="dxa"/>
            <w:vAlign w:val="bottom"/>
          </w:tcPr>
          <w:p>
            <w:pPr>
              <w:spacing w:after="0"/>
              <w:rPr>
                <w:sz w:val="16"/>
                <w:szCs w:val="16"/>
                <w:color w:val="auto"/>
              </w:rPr>
            </w:pPr>
          </w:p>
        </w:tc>
        <w:tc>
          <w:tcPr>
            <w:tcW w:w="2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91"/>
              </w:rPr>
              <w:t>31546</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91"/>
              </w:rPr>
              <w:t>31547</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91"/>
              </w:rPr>
              <w:t>33125</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91"/>
              </w:rPr>
              <w:t>41666</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2"/>
        </w:trPr>
        <w:tc>
          <w:tcPr>
            <w:tcW w:w="2940" w:type="dxa"/>
            <w:vAlign w:val="bottom"/>
          </w:tcPr>
          <w:p>
            <w:pPr>
              <w:jc w:val="center"/>
              <w:spacing w:after="0"/>
              <w:rPr>
                <w:sz w:val="20"/>
                <w:szCs w:val="20"/>
                <w:color w:val="auto"/>
              </w:rPr>
            </w:pPr>
            <w:r>
              <w:rPr>
                <w:rFonts w:ascii="Arial" w:cs="Arial" w:eastAsia="Arial" w:hAnsi="Arial"/>
                <w:sz w:val="18"/>
                <w:szCs w:val="18"/>
                <w:color w:val="auto"/>
                <w:w w:val="91"/>
              </w:rPr>
              <w:t>67680</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strike w:val="1"/>
                <w:w w:val="91"/>
              </w:rPr>
              <w:t>71939</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strike w:val="1"/>
                <w:w w:val="91"/>
              </w:rPr>
              <w:t>71940</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strike w:val="1"/>
                <w:w w:val="89"/>
              </w:rPr>
              <w:t>101794</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strike w:val="1"/>
                <w:w w:val="91"/>
              </w:rPr>
              <w:t>71942</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91"/>
              </w:rPr>
              <w:t>67655</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9"/>
              </w:rPr>
              <w:t>181030</w:t>
            </w:r>
          </w:p>
        </w:tc>
        <w:tc>
          <w:tcPr>
            <w:tcW w:w="12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234"/>
        </w:trPr>
        <w:tc>
          <w:tcPr>
            <w:tcW w:w="2940" w:type="dxa"/>
            <w:vAlign w:val="bottom"/>
          </w:tcPr>
          <w:p>
            <w:pPr>
              <w:jc w:val="center"/>
              <w:spacing w:after="0"/>
              <w:rPr>
                <w:sz w:val="20"/>
                <w:szCs w:val="20"/>
                <w:color w:val="auto"/>
              </w:rPr>
            </w:pPr>
            <w:r>
              <w:rPr>
                <w:rFonts w:ascii="Arial" w:cs="Arial" w:eastAsia="Arial" w:hAnsi="Arial"/>
                <w:sz w:val="18"/>
                <w:szCs w:val="18"/>
                <w:color w:val="auto"/>
                <w:w w:val="89"/>
              </w:rPr>
              <w:t>181031</w:t>
            </w:r>
          </w:p>
        </w:tc>
        <w:tc>
          <w:tcPr>
            <w:tcW w:w="12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bl>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PA No. 1980 SA-37 Attachment B to Letter Agreement 6-1162-AKP-110R3 Page 1 of 1</w:t>
      </w:r>
    </w:p>
    <w:p>
      <w:pPr>
        <w:spacing w:after="0" w:line="22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 to Letter Agreement 6-1162-AKP-110R3 (Model 777)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QADP Rights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MSN or Item</w:t>
            </w: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Exercise Date</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Delivery Quarter</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380" w:type="dxa"/>
            <w:vAlign w:val="bottom"/>
            <w:gridSpan w:val="2"/>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strike w:val="1"/>
                <w:w w:val="89"/>
              </w:rPr>
              <w:t>101789</w:t>
            </w:r>
          </w:p>
        </w:tc>
        <w:tc>
          <w:tcPr>
            <w:tcW w:w="120" w:type="dxa"/>
            <w:vAlign w:val="bottom"/>
          </w:tcPr>
          <w:p>
            <w:pPr>
              <w:spacing w:after="0"/>
              <w:rPr>
                <w:sz w:val="16"/>
                <w:szCs w:val="16"/>
                <w:color w:val="auto"/>
              </w:rPr>
            </w:pPr>
          </w:p>
        </w:tc>
        <w:tc>
          <w:tcPr>
            <w:tcW w:w="2280" w:type="dxa"/>
            <w:vAlign w:val="bottom"/>
            <w:tcBorders>
              <w:top w:val="single" w:sz="8" w:color="auto"/>
            </w:tcBorders>
          </w:tcPr>
          <w:p>
            <w:pPr>
              <w:ind w:left="860"/>
              <w:spacing w:after="0" w:line="195" w:lineRule="exact"/>
              <w:rPr>
                <w:sz w:val="20"/>
                <w:szCs w:val="20"/>
                <w:color w:val="auto"/>
              </w:rPr>
            </w:pPr>
            <w:r>
              <w:rPr>
                <w:rFonts w:ascii="Arial" w:cs="Arial" w:eastAsia="Arial" w:hAnsi="Arial"/>
                <w:sz w:val="18"/>
                <w:szCs w:val="18"/>
                <w:color w:val="auto"/>
                <w:strike w:val="1"/>
              </w:rPr>
              <w:t>9/30/10</w:t>
            </w:r>
          </w:p>
        </w:tc>
        <w:tc>
          <w:tcPr>
            <w:tcW w:w="100" w:type="dxa"/>
            <w:vAlign w:val="bottom"/>
          </w:tcPr>
          <w:p>
            <w:pPr>
              <w:spacing w:after="0"/>
              <w:rPr>
                <w:sz w:val="16"/>
                <w:szCs w:val="16"/>
                <w:color w:val="auto"/>
              </w:rPr>
            </w:pP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31543</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SA-20</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strike w:val="1"/>
                <w:w w:val="89"/>
              </w:rPr>
              <w:t>101790</w:t>
            </w:r>
          </w:p>
        </w:tc>
        <w:tc>
          <w:tcPr>
            <w:tcW w:w="120" w:type="dxa"/>
            <w:vAlign w:val="bottom"/>
          </w:tcPr>
          <w:p>
            <w:pPr>
              <w:spacing w:after="0"/>
              <w:rPr>
                <w:sz w:val="18"/>
                <w:szCs w:val="18"/>
                <w:color w:val="auto"/>
              </w:rPr>
            </w:pPr>
          </w:p>
        </w:tc>
        <w:tc>
          <w:tcPr>
            <w:tcW w:w="2280" w:type="dxa"/>
            <w:vAlign w:val="bottom"/>
          </w:tcPr>
          <w:p>
            <w:pPr>
              <w:ind w:left="860"/>
              <w:spacing w:after="0"/>
              <w:rPr>
                <w:sz w:val="20"/>
                <w:szCs w:val="20"/>
                <w:color w:val="auto"/>
              </w:rPr>
            </w:pPr>
            <w:r>
              <w:rPr>
                <w:rFonts w:ascii="Arial" w:cs="Arial" w:eastAsia="Arial" w:hAnsi="Arial"/>
                <w:sz w:val="18"/>
                <w:szCs w:val="18"/>
                <w:color w:val="auto"/>
                <w:strike w:val="1"/>
              </w:rPr>
              <w:t>3/31/11</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SA-21</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41668</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SA-23</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31548</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SA-25</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strike w:val="1"/>
                <w:w w:val="91"/>
              </w:rPr>
              <w:t>41669</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SA-27</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strike w:val="1"/>
                <w:w w:val="91"/>
              </w:rPr>
              <w:t>68870</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SA-21</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31553</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SA-31</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SA-31</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33127</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SA-31</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SA-31</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68872</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SA-32</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SA-32</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68870</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SA-34</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SA-34</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strike w:val="1"/>
                <w:w w:val="89"/>
              </w:rPr>
              <w:t>101801</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strike w:val="1"/>
                <w:w w:val="89"/>
              </w:rPr>
              <w:t>101790</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SA-29</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101798</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SA-36</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181032</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SA-36</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68864</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SA-36</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91"/>
              </w:rPr>
              <w:t>71938</w:t>
            </w:r>
          </w:p>
        </w:tc>
        <w:tc>
          <w:tcPr>
            <w:tcW w:w="120" w:type="dxa"/>
            <w:vAlign w:val="bottom"/>
          </w:tcPr>
          <w:p>
            <w:pPr>
              <w:spacing w:after="0"/>
              <w:rPr>
                <w:sz w:val="20"/>
                <w:szCs w:val="20"/>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2400" w:type="dxa"/>
            <w:vAlign w:val="bottom"/>
          </w:tcPr>
          <w:p>
            <w:pPr>
              <w:jc w:val="center"/>
              <w:spacing w:after="0"/>
              <w:rPr>
                <w:sz w:val="20"/>
                <w:szCs w:val="20"/>
                <w:color w:val="auto"/>
              </w:rPr>
            </w:pPr>
            <w:r>
              <w:rPr>
                <w:rFonts w:ascii="Arial" w:cs="Arial" w:eastAsia="Arial" w:hAnsi="Arial"/>
                <w:sz w:val="18"/>
                <w:szCs w:val="18"/>
                <w:color w:val="auto"/>
              </w:rPr>
              <w:t>[*CTR]</w:t>
            </w:r>
          </w:p>
        </w:tc>
        <w:tc>
          <w:tcPr>
            <w:tcW w:w="1460" w:type="dxa"/>
            <w:vAlign w:val="bottom"/>
          </w:tcPr>
          <w:p>
            <w:pPr>
              <w:ind w:left="1000"/>
              <w:spacing w:after="0"/>
              <w:rPr>
                <w:sz w:val="20"/>
                <w:szCs w:val="20"/>
                <w:color w:val="auto"/>
              </w:rPr>
            </w:pPr>
            <w:r>
              <w:rPr>
                <w:rFonts w:ascii="Arial" w:cs="Arial" w:eastAsia="Arial" w:hAnsi="Arial"/>
                <w:sz w:val="18"/>
                <w:szCs w:val="18"/>
                <w:color w:val="auto"/>
                <w:w w:val="87"/>
              </w:rPr>
              <w:t>SA-36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80" w:right="160" w:hanging="679"/>
        <w:spacing w:after="0" w:line="264" w:lineRule="auto"/>
        <w:tabs>
          <w:tab w:leader="none" w:pos="6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8"/>
          <w:szCs w:val="18"/>
          <w:color w:val="auto"/>
        </w:rPr>
        <w:t>Per SA-37, Item Numbers 181030 and 181031 are defined as the [*CTR] QADP Rights (which prior to SA-37 reflected a Delivery Quarter of [*CTR]) and are hereby converted to MADP Rights defined in SA-37 as the [*CTR] MADP Rights by eliminating the [*CTR] QADP Rights from this Revised Attachment C.</w:t>
      </w:r>
    </w:p>
    <w:p>
      <w:pPr>
        <w:spacing w:after="0" w:line="11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PA No. 1980 SA-37 Attachment C to Letter Agreement 6-1162-AKP-110R3 Page 1 of 1</w:t>
      </w:r>
    </w:p>
    <w:p>
      <w:pPr>
        <w:spacing w:after="0" w:line="22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A320 Family Aircraft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July 20,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AIRBUS 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Amendment No. 9 to the A320 Family Aircraft Purchase Agreement made July 20, 2011 (as amended, supplemented or otherwise modified, hereinafter referred to as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entered into as of September 23, 2015, by and between </w:t>
      </w:r>
      <w:r>
        <w:rPr>
          <w:rFonts w:ascii="Arial" w:cs="Arial" w:eastAsia="Arial" w:hAnsi="Arial"/>
          <w:sz w:val="17"/>
          <w:szCs w:val="17"/>
          <w:b w:val="1"/>
          <w:bCs w:val="1"/>
          <w:color w:val="auto"/>
        </w:rPr>
        <w:t>AIRBUS S.A.S</w:t>
      </w:r>
      <w:r>
        <w:rPr>
          <w:rFonts w:ascii="Arial" w:cs="Arial" w:eastAsia="Arial" w:hAnsi="Arial"/>
          <w:sz w:val="17"/>
          <w:szCs w:val="17"/>
          <w:color w:val="auto"/>
        </w:rPr>
        <w:t xml:space="preserve">.,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created and existing under French law having its registered office at 1 Rond-Point Maurice Bellonte, 31707 Blagnac-Cedex, France and registered with the Toulouse </w:t>
      </w:r>
      <w:r>
        <w:rPr>
          <w:rFonts w:ascii="Arial" w:cs="Arial" w:eastAsia="Arial" w:hAnsi="Arial"/>
          <w:sz w:val="17"/>
          <w:szCs w:val="17"/>
          <w:i w:val="1"/>
          <w:iCs w:val="1"/>
          <w:color w:val="auto"/>
        </w:rPr>
        <w:t xml:space="preserve">Registre du Commerce </w:t>
      </w:r>
      <w:r>
        <w:rPr>
          <w:rFonts w:ascii="Arial" w:cs="Arial" w:eastAsia="Arial" w:hAnsi="Arial"/>
          <w:sz w:val="17"/>
          <w:szCs w:val="17"/>
          <w:color w:val="auto"/>
        </w:rPr>
        <w:t>under number RCS Toulouse 383 474 814 (the “</w:t>
      </w:r>
      <w:r>
        <w:rPr>
          <w:rFonts w:ascii="Arial" w:cs="Arial" w:eastAsia="Arial" w:hAnsi="Arial"/>
          <w:sz w:val="17"/>
          <w:szCs w:val="17"/>
          <w:b w:val="1"/>
          <w:bCs w:val="1"/>
          <w:color w:val="auto"/>
        </w:rPr>
        <w:t>Seller</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AMERICAN AIRLINES, INC</w:t>
      </w:r>
      <w:r>
        <w:rPr>
          <w:rFonts w:ascii="Arial" w:cs="Arial" w:eastAsia="Arial" w:hAnsi="Arial"/>
          <w:sz w:val="17"/>
          <w:szCs w:val="17"/>
          <w:color w:val="auto"/>
        </w:rPr>
        <w:t>., a Delaware corporation having its</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office at 4333 Amon Carter Boulevard, Fort Worth, Texas 76155, United States of America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WHEREAS, the Buyer and the Seller entered into an Airbus A320 Family Aircraft Purchase Agreement, made July 20, 2011, which, together with all Exhibits, Appendices and Letter Agreements attached thereto and as amended, modified or supplemented from time to time is hereinafter called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WHEREAS, the Buyer and the Seller have agreed to modify certain terms relating to the Delivery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1" w:right="239" w:bottom="1440" w:gutter="0" w:footer="0" w:header="0"/>
        </w:sectPr>
      </w:pPr>
    </w:p>
    <w:bookmarkStart w:id="115" w:name="page116"/>
    <w:bookmarkEnd w:id="115"/>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A321 NEO CABINFLEX</w:t>
      </w:r>
    </w:p>
    <w:p>
      <w:pPr>
        <w:spacing w:after="0" w:line="135" w:lineRule="exact"/>
        <w:rPr>
          <w:sz w:val="20"/>
          <w:szCs w:val="20"/>
          <w:color w:val="auto"/>
        </w:rPr>
      </w:pPr>
    </w:p>
    <w:p>
      <w:pPr>
        <w:ind w:left="580" w:right="180" w:hanging="566"/>
        <w:spacing w:after="0" w:line="264"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Clause 0 of the Agreement is hereby amended by deleting the definitions for A319 Standard Specification, A320 Standard Specification, A321 Standard Specification, AirbusWorld and Customization Milestone Chart in their entirety and replacing such definitions with the following quoted text in alphabetical order:</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u w:val="single" w:color="auto"/>
          <w:color w:val="auto"/>
        </w:rPr>
        <w:t>A319 Standard Specification</w:t>
      </w:r>
      <w:r>
        <w:rPr>
          <w:rFonts w:ascii="Arial" w:cs="Arial" w:eastAsia="Arial" w:hAnsi="Arial"/>
          <w:sz w:val="18"/>
          <w:szCs w:val="18"/>
          <w:color w:val="auto"/>
        </w:rPr>
        <w:t xml:space="preserve"> – the A319 standard specification document number J.000.01000, Issue 7, dated June 20, 2011, a copy of which is annexed hereto as Exhibit A-1, as amended to include a maximum take-off weight (MTOW) of 166,449 pounds, a maximum landing weight (MLW) of 137,789 pounds and a maximum zero fuel weight (MZFW) of 128,970 pounds.</w:t>
      </w:r>
    </w:p>
    <w:p>
      <w:pPr>
        <w:spacing w:after="0" w:line="73"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u w:val="single" w:color="auto"/>
          <w:color w:val="auto"/>
        </w:rPr>
        <w:t>A320 Standard Specification</w:t>
      </w:r>
      <w:r>
        <w:rPr>
          <w:rFonts w:ascii="Arial" w:cs="Arial" w:eastAsia="Arial" w:hAnsi="Arial"/>
          <w:sz w:val="18"/>
          <w:szCs w:val="18"/>
          <w:color w:val="auto"/>
        </w:rPr>
        <w:t xml:space="preserve"> – the A320 standard specification document number D.000.02000, Issue 8, dated June 20, 2011, a copy of which is annexed hereto as Exhibit A-1, as amended to include a maximum take-off weight (MTOW) of 171,960 pounds, a maximum landing weight (MLW) of 145,505 pounds and a maximum zero fuel weight (MZFW) of 137,789 pounds.</w:t>
      </w:r>
    </w:p>
    <w:p>
      <w:pPr>
        <w:spacing w:after="0" w:line="73" w:lineRule="exact"/>
        <w:rPr>
          <w:sz w:val="20"/>
          <w:szCs w:val="20"/>
          <w:color w:val="auto"/>
        </w:rPr>
      </w:pPr>
    </w:p>
    <w:p>
      <w:pPr>
        <w:jc w:val="both"/>
        <w:ind w:left="580" w:right="40"/>
        <w:spacing w:after="0" w:line="288" w:lineRule="auto"/>
        <w:rPr>
          <w:sz w:val="20"/>
          <w:szCs w:val="20"/>
          <w:color w:val="auto"/>
        </w:rPr>
      </w:pPr>
      <w:r>
        <w:rPr>
          <w:rFonts w:ascii="Arial" w:cs="Arial" w:eastAsia="Arial" w:hAnsi="Arial"/>
          <w:sz w:val="16"/>
          <w:szCs w:val="16"/>
          <w:u w:val="single" w:color="auto"/>
          <w:color w:val="auto"/>
        </w:rPr>
        <w:t>A321 Standard Specification</w:t>
      </w:r>
      <w:r>
        <w:rPr>
          <w:rFonts w:ascii="Arial" w:cs="Arial" w:eastAsia="Arial" w:hAnsi="Arial"/>
          <w:sz w:val="16"/>
          <w:szCs w:val="16"/>
          <w:color w:val="auto"/>
        </w:rPr>
        <w:t xml:space="preserve"> – (i) with respect to any A321 Aircraft, the A321 standard specification document number E.000.02000, Issue 5, dated June 20, 2011, a copy of which is annexed hereto as Exhibit A-1, as amended to include a maximum take-off weight (MTOW) of 206,132 pounds, a maximum landing weight (MLW) of 171,519 pounds and a maximum zero fuel weight (MZFW) of 162,701 pounds and the installation of two</w:t>
      </w:r>
    </w:p>
    <w:p>
      <w:pPr>
        <w:ind w:left="580" w:hanging="1"/>
        <w:spacing w:after="0" w:line="323" w:lineRule="auto"/>
        <w:tabs>
          <w:tab w:leader="none" w:pos="8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auxiliary center tanks or (ii) with respect to any A321 NEO Aircraft and upon issuance thereof, the A321 NEO ACF standard specification, Issue 1, a copy of which will be provided to the Buyer and will be deemed to be incorporated herein as Exhibit A-1 as soon as it becomes available.</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AirbusWorld</w:t>
      </w:r>
      <w:r>
        <w:rPr>
          <w:rFonts w:ascii="Arial" w:cs="Arial" w:eastAsia="Arial" w:hAnsi="Arial"/>
          <w:sz w:val="18"/>
          <w:szCs w:val="18"/>
          <w:color w:val="auto"/>
        </w:rPr>
        <w:t xml:space="preserve"> – the internet portal maintained by the Seller to provide online access to the data and services described in Clause 14.</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Customization Milestone Chart</w:t>
      </w:r>
      <w:r>
        <w:rPr>
          <w:rFonts w:ascii="Arial" w:cs="Arial" w:eastAsia="Arial" w:hAnsi="Arial"/>
          <w:sz w:val="18"/>
          <w:szCs w:val="18"/>
          <w:color w:val="auto"/>
        </w:rPr>
        <w:t xml:space="preserve"> – as defined in Clause 2.5.1.</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Clause 0 of the Agreement is hereby amended by adding the following quoted text in alphabetical order: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Baseline ACF</w:t>
      </w:r>
      <w:r>
        <w:rPr>
          <w:rFonts w:ascii="Arial" w:cs="Arial" w:eastAsia="Arial" w:hAnsi="Arial"/>
          <w:sz w:val="18"/>
          <w:szCs w:val="18"/>
          <w:color w:val="auto"/>
        </w:rPr>
        <w:t xml:space="preserve"> – as defined in Clause 2.1.1.3.</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CabinFlex Door Configuration or ACF</w:t>
      </w:r>
      <w:r>
        <w:rPr>
          <w:rFonts w:ascii="Arial" w:cs="Arial" w:eastAsia="Arial" w:hAnsi="Arial"/>
          <w:sz w:val="18"/>
          <w:szCs w:val="18"/>
          <w:color w:val="auto"/>
        </w:rPr>
        <w:t xml:space="preserve"> - as defined in Clause 2.1.1.3.</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00"/>
          </w:cols>
          <w:pgMar w:left="240" w:top="270" w:right="359" w:bottom="1440" w:gutter="0" w:footer="0" w:header="0"/>
        </w:sectPr>
      </w:pPr>
    </w:p>
    <w:bookmarkStart w:id="116" w:name="page117"/>
    <w:bookmarkEnd w:id="11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A new Clause 2.1.1.3 is added to the Agreement with the following quoted text: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2.1.1.3 A321 NEO Aircraft – CabinFlex Door Configuration</w:t>
      </w:r>
    </w:p>
    <w:p>
      <w:pPr>
        <w:spacing w:after="0" w:line="117" w:lineRule="exact"/>
        <w:rPr>
          <w:sz w:val="20"/>
          <w:szCs w:val="20"/>
          <w:color w:val="auto"/>
        </w:rPr>
      </w:pPr>
    </w:p>
    <w:p>
      <w:pPr>
        <w:ind w:left="1140" w:right="180"/>
        <w:spacing w:after="0" w:line="308" w:lineRule="auto"/>
        <w:rPr>
          <w:sz w:val="20"/>
          <w:szCs w:val="20"/>
          <w:color w:val="auto"/>
        </w:rPr>
      </w:pPr>
      <w:r>
        <w:rPr>
          <w:rFonts w:ascii="Arial" w:cs="Arial" w:eastAsia="Arial" w:hAnsi="Arial"/>
          <w:sz w:val="17"/>
          <w:szCs w:val="17"/>
          <w:color w:val="auto"/>
        </w:rPr>
        <w:t>The Seller is currently developing a new door configuration for the A321 NEO Aircraft allowing the installation of up to 240 seats through, amongst other means, the activation or deactivation of certain doors (the “</w:t>
      </w:r>
      <w:r>
        <w:rPr>
          <w:rFonts w:ascii="Arial" w:cs="Arial" w:eastAsia="Arial" w:hAnsi="Arial"/>
          <w:sz w:val="17"/>
          <w:szCs w:val="17"/>
          <w:b w:val="1"/>
          <w:bCs w:val="1"/>
          <w:color w:val="auto"/>
        </w:rPr>
        <w:t>CabinFlex Door Configuration</w:t>
      </w:r>
      <w:r>
        <w:rPr>
          <w:rFonts w:ascii="Arial" w:cs="Arial" w:eastAsia="Arial" w:hAnsi="Arial"/>
          <w:sz w:val="17"/>
          <w:szCs w:val="17"/>
          <w:color w:val="auto"/>
        </w:rPr>
        <w:t>” or “</w:t>
      </w:r>
      <w:r>
        <w:rPr>
          <w:rFonts w:ascii="Arial" w:cs="Arial" w:eastAsia="Arial" w:hAnsi="Arial"/>
          <w:sz w:val="17"/>
          <w:szCs w:val="17"/>
          <w:b w:val="1"/>
          <w:bCs w:val="1"/>
          <w:color w:val="auto"/>
        </w:rPr>
        <w:t>ACF</w:t>
      </w:r>
      <w:r>
        <w:rPr>
          <w:rFonts w:ascii="Arial" w:cs="Arial" w:eastAsia="Arial" w:hAnsi="Arial"/>
          <w:sz w:val="17"/>
          <w:szCs w:val="17"/>
          <w:color w:val="auto"/>
        </w:rPr>
        <w:t>”).</w:t>
      </w:r>
    </w:p>
    <w:p>
      <w:pPr>
        <w:spacing w:after="0" w:line="38"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The baseline CabinFlex Door Configuration shall consist of a type C door 1, a type III overwing exit, a type C door 3 and a type C door 4 and shall allow for up to 220 seats to be installed on the A321 NEO Aircraft (the “</w:t>
      </w:r>
      <w:r>
        <w:rPr>
          <w:rFonts w:ascii="Arial" w:cs="Arial" w:eastAsia="Arial" w:hAnsi="Arial"/>
          <w:sz w:val="18"/>
          <w:szCs w:val="18"/>
          <w:b w:val="1"/>
          <w:bCs w:val="1"/>
          <w:color w:val="auto"/>
        </w:rPr>
        <w:t>Baseline ACF</w:t>
      </w:r>
      <w:r>
        <w:rPr>
          <w:rFonts w:ascii="Arial" w:cs="Arial" w:eastAsia="Arial" w:hAnsi="Arial"/>
          <w:sz w:val="18"/>
          <w:szCs w:val="18"/>
          <w:color w:val="auto"/>
        </w:rPr>
        <w:t xml:space="preserve">”). The Baseline ACF shall be irrevocably implemented on all A321 NEO Aircraft with a Scheduled Delivery Month from and including the </w:t>
      </w:r>
      <w:r>
        <w:rPr>
          <w:rFonts w:ascii="Arial" w:cs="Arial" w:eastAsia="Arial" w:hAnsi="Arial"/>
          <w:sz w:val="18"/>
          <w:szCs w:val="18"/>
          <w:b w:val="1"/>
          <w:bCs w:val="1"/>
          <w:color w:val="auto"/>
        </w:rPr>
        <w:t>[*CTR]</w:t>
      </w:r>
      <w:r>
        <w:rPr>
          <w:rFonts w:ascii="Arial" w:cs="Arial" w:eastAsia="Arial" w:hAnsi="Arial"/>
          <w:sz w:val="18"/>
          <w:szCs w:val="18"/>
          <w:color w:val="auto"/>
        </w:rPr>
        <w:t>, as set forth in the A321 Standard Specification applicable to A321 NEO Aircraft.</w:t>
      </w:r>
    </w:p>
    <w:p>
      <w:pPr>
        <w:spacing w:after="0" w:line="79" w:lineRule="exact"/>
        <w:rPr>
          <w:sz w:val="20"/>
          <w:szCs w:val="20"/>
          <w:color w:val="auto"/>
        </w:rPr>
      </w:pPr>
    </w:p>
    <w:p>
      <w:pPr>
        <w:ind w:left="1140"/>
        <w:spacing w:after="0" w:line="279" w:lineRule="auto"/>
        <w:rPr>
          <w:sz w:val="20"/>
          <w:szCs w:val="20"/>
          <w:color w:val="auto"/>
        </w:rPr>
      </w:pPr>
      <w:r>
        <w:rPr>
          <w:rFonts w:ascii="Arial" w:cs="Arial" w:eastAsia="Arial" w:hAnsi="Arial"/>
          <w:sz w:val="17"/>
          <w:szCs w:val="17"/>
          <w:color w:val="auto"/>
        </w:rPr>
        <w:t>In addition to the Baseline ACF, at the time of cabin definition and within a timeframe compatible with the contractual definition freeze of the A321 NEO Aircraft pursuant to Clause 2.5.2, the Buyer shall have the option to modify the allowable seating capacity of the A321 NEO Aircraft, at costs to be borne by the Buyer, by executing the relevant SCNs covering the installation of an additional type III overwing exit and/or the de-activation of door 3 and such other additional cabin features as may be selected by the Buyer.</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370"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DELIVERY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penultimate sentence in Clause 9.2.2 of the Agreement is deleted in its entirety and replaced with the following quoted text:</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QUOTE</w:t>
      </w:r>
    </w:p>
    <w:p>
      <w:pPr>
        <w:spacing w:after="0" w:line="117" w:lineRule="exact"/>
        <w:rPr>
          <w:rFonts w:ascii="Arial" w:cs="Arial" w:eastAsia="Arial" w:hAnsi="Arial"/>
          <w:sz w:val="18"/>
          <w:szCs w:val="18"/>
          <w:b w:val="1"/>
          <w:bCs w:val="1"/>
          <w:color w:val="auto"/>
        </w:rPr>
      </w:pPr>
    </w:p>
    <w:p>
      <w:pPr>
        <w:ind w:left="58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Seller will provide to the Buyer (or with respect to Leased Aircraft, the Lessor), or will cause its Affiliate to provide, (i) a warranty bill of sale, where the Delivery Location is Mobile, Alabama, in the form of Exhibit E-1 and, where the Delivery Location is any place other than Mobile, Alabama, in the form of Exhibit E-2 (the “</w:t>
      </w:r>
      <w:r>
        <w:rPr>
          <w:rFonts w:ascii="Arial" w:cs="Arial" w:eastAsia="Arial" w:hAnsi="Arial"/>
          <w:sz w:val="18"/>
          <w:szCs w:val="18"/>
          <w:b w:val="1"/>
          <w:bCs w:val="1"/>
          <w:color w:val="auto"/>
        </w:rPr>
        <w:t>Warranty Bill of Sale</w:t>
      </w:r>
      <w:r>
        <w:rPr>
          <w:rFonts w:ascii="Arial" w:cs="Arial" w:eastAsia="Arial" w:hAnsi="Arial"/>
          <w:sz w:val="18"/>
          <w:szCs w:val="18"/>
          <w:color w:val="auto"/>
        </w:rPr>
        <w:t>”), (ii) FAA Form 8050-2 (the “</w:t>
      </w:r>
      <w:r>
        <w:rPr>
          <w:rFonts w:ascii="Arial" w:cs="Arial" w:eastAsia="Arial" w:hAnsi="Arial"/>
          <w:sz w:val="18"/>
          <w:szCs w:val="18"/>
          <w:b w:val="1"/>
          <w:bCs w:val="1"/>
          <w:color w:val="auto"/>
        </w:rPr>
        <w:t>Aircraft Bill of Sale</w:t>
      </w:r>
      <w:r>
        <w:rPr>
          <w:rFonts w:ascii="Arial" w:cs="Arial" w:eastAsia="Arial" w:hAnsi="Arial"/>
          <w:sz w:val="18"/>
          <w:szCs w:val="18"/>
          <w:color w:val="auto"/>
        </w:rPr>
        <w:t>”), (iii) such other documentation confirming transfer of title and receipt of such Final Price of such Aircraft as may reasonably be requested by the Buyer (and, with respect to Leased Aircraft, by the Lessor), and (iv) if Mobile, Alabama is the Delivery Location, a warranty from Airbus S.A.S in the form of Exhibit J.</w:t>
      </w:r>
    </w:p>
    <w:p>
      <w:pPr>
        <w:spacing w:after="0" w:line="8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380"/>
          </w:cols>
          <w:pgMar w:left="240" w:top="274" w:right="279" w:bottom="1440" w:gutter="0" w:footer="0" w:header="0"/>
        </w:sectPr>
      </w:pPr>
    </w:p>
    <w:bookmarkStart w:id="117" w:name="page118"/>
    <w:bookmarkEnd w:id="117"/>
    <w:p>
      <w:pPr>
        <w:ind w:left="580" w:hanging="57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ACCEPTANCE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Clause 8.3 of the Agreement is deleted in its entirety and replaced with the following quoted text:</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QUOTE</w:t>
      </w:r>
    </w:p>
    <w:p>
      <w:pPr>
        <w:spacing w:after="0" w:line="117" w:lineRule="exact"/>
        <w:rPr>
          <w:rFonts w:ascii="Arial" w:cs="Arial" w:eastAsia="Arial" w:hAnsi="Arial"/>
          <w:sz w:val="18"/>
          <w:szCs w:val="18"/>
          <w:b w:val="1"/>
          <w:bCs w:val="1"/>
          <w:color w:val="auto"/>
        </w:rPr>
      </w:pPr>
    </w:p>
    <w:p>
      <w:pPr>
        <w:ind w:left="58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Within five (5) days after the Aircraft is Ready for Delivery, the Buyer will execute and deliver to the Seller a certificate of acceptance in respect of such Aircraft (x) if the Delivery Location is Mobile, Alabama, in the form of Exhibit D-1 and, (y) if the Delivery Location is any place other than Mobile, Alabama, in the form of Exhibit D-2 (the “</w:t>
      </w:r>
      <w:r>
        <w:rPr>
          <w:rFonts w:ascii="Arial" w:cs="Arial" w:eastAsia="Arial" w:hAnsi="Arial"/>
          <w:sz w:val="18"/>
          <w:szCs w:val="18"/>
          <w:b w:val="1"/>
          <w:bCs w:val="1"/>
          <w:color w:val="auto"/>
        </w:rPr>
        <w:t>Certificate of Acceptance</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BUYER FURNISHED EQUIPMENT</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last sentence of Clause 18.1.4 of the Agreement is deleted in its entirety and replaced with the following quoted text: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jc w:val="both"/>
        <w:ind w:left="580"/>
        <w:spacing w:after="0" w:line="312" w:lineRule="auto"/>
        <w:rPr>
          <w:sz w:val="20"/>
          <w:szCs w:val="20"/>
          <w:color w:val="auto"/>
        </w:rPr>
      </w:pPr>
      <w:r>
        <w:rPr>
          <w:rFonts w:ascii="Arial" w:cs="Arial" w:eastAsia="Arial" w:hAnsi="Arial"/>
          <w:sz w:val="16"/>
          <w:szCs w:val="16"/>
          <w:color w:val="auto"/>
        </w:rPr>
        <w:t>The Buyer will also provide, when requested by the Seller, at the Airbus Operations S.A.S. facility in Toulouse, France, the Airbus Operations GmbH Division Hamburger Flugzeugbau facility in Hamburg, Germany, and/or the Airbus Americas Inc. facility in Mobile, Alabama, adequate field service including support from BFE Suppliers to act in a technical advisory capacity to the Seller in the installation, calibration and possible repair of BFE.</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Clause 18.1.6 of the Agreement is renumbered as Clause 18.1.6(a).</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 new Clause 18.1.6 (b) is added to the Agreement after Clause 18.1.6(a) as set forth in the following quoted text: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1140" w:right="260" w:hanging="565"/>
        <w:spacing w:after="0" w:line="277"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BFE delivered to the Seller’s Affiliate in Mobile, Alabama, as may be specified by the Seller pursuant to Clause 18.1.6(a), will be shipped according to the Incoterms 2010 </w:t>
      </w:r>
      <w:r>
        <w:rPr>
          <w:rFonts w:ascii="Arial" w:cs="Arial" w:eastAsia="Arial" w:hAnsi="Arial"/>
          <w:sz w:val="18"/>
          <w:szCs w:val="18"/>
          <w:b w:val="1"/>
          <w:bCs w:val="1"/>
          <w:color w:val="auto"/>
        </w:rPr>
        <w:t>[*CTR]</w:t>
      </w:r>
      <w:r>
        <w:rPr>
          <w:rFonts w:ascii="Arial" w:cs="Arial" w:eastAsia="Arial" w:hAnsi="Arial"/>
          <w:sz w:val="18"/>
          <w:szCs w:val="18"/>
          <w:color w:val="auto"/>
        </w:rPr>
        <w:t xml:space="preserve"> Airbus Americas, Inc., Mobile, Alabama.</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w:t>
      </w:r>
    </w:p>
    <w:p>
      <w:pPr>
        <w:spacing w:after="0" w:line="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360"/>
          </w:cols>
          <w:pgMar w:left="240" w:top="270" w:right="299" w:bottom="1440" w:gutter="0" w:footer="0" w:header="0"/>
        </w:sectPr>
      </w:pPr>
    </w:p>
    <w:bookmarkStart w:id="118" w:name="page119"/>
    <w:bookmarkEnd w:id="118"/>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w:t>
      </w:r>
      <w:r>
        <w:rPr>
          <w:sz w:val="20"/>
          <w:szCs w:val="20"/>
          <w:color w:val="auto"/>
        </w:rPr>
        <w:tab/>
      </w:r>
      <w:r>
        <w:rPr>
          <w:rFonts w:ascii="Arial" w:cs="Arial" w:eastAsia="Arial" w:hAnsi="Arial"/>
          <w:sz w:val="18"/>
          <w:szCs w:val="18"/>
          <w:color w:val="auto"/>
        </w:rPr>
        <w:t>Clause 18.2.1(iii) of the Agreement is amended by replacing the words “DAP (Delivery at Place) according to the Incoterms,” with “the Declaration of Design and Performance”.</w:t>
      </w:r>
    </w:p>
    <w:p>
      <w:pPr>
        <w:spacing w:after="0" w:line="315"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NEW ENGINE OPTION</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Clause 2.1.1.1 of the Agreement is amended by replacing the words “Clauses 2.3.4, 2.3.5 and 2.3.6” with “Clauses 2.4.4, 2.4.5 and 2.4.6”.</w:t>
      </w:r>
    </w:p>
    <w:p>
      <w:pPr>
        <w:spacing w:after="0" w:line="381" w:lineRule="exact"/>
        <w:rPr>
          <w:rFonts w:ascii="Arial" w:cs="Arial" w:eastAsia="Arial" w:hAnsi="Arial"/>
          <w:sz w:val="18"/>
          <w:szCs w:val="18"/>
          <w:b w:val="1"/>
          <w:bCs w:val="1"/>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WARRANTED PARTS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Clause 12.1.9 of the Agreement is amended by replacing the words “Clause 12.1.2.3” with “Clause 12.1.3”.</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EXHIBIT D – Form of Certificate of Acceptance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Exhibit D is deleted in its entirety and replaced with Exhibits D-1 and D-2 attached hereto as Attachments A and B.</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EXHIBIT E – Form of Bill of Sale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Exhibit E is deleted in its entirety and replaced with Exhibits E-1 and E-2 attached hereto as Attachments C and D.</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EXHIBIT J – Form of Airbus S.A.S Warranty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Exhibit J attached hereto as Attachment E is hereby added to the Agreement.</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TABLE OF CONTENTS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Upon issuance by the Seller of the A321 NEO ACF standard specification, Issue 1, the reference to Exhibit A-1 in the Table of Contents to the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Agreement is deleted in its entirety and replaced with the following quoted text:</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ectPr>
          <w:pgSz w:w="11900" w:h="16838" w:orient="portrait"/>
          <w:cols w:equalWidth="0" w:num="1">
            <w:col w:w="11260"/>
          </w:cols>
          <w:pgMar w:left="240" w:top="274" w:right="399" w:bottom="1440" w:gutter="0" w:footer="0" w:header="0"/>
        </w:sectPr>
      </w:pPr>
    </w:p>
    <w:p>
      <w:pPr>
        <w:spacing w:after="0" w:line="252"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Exhibit A-1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A319 AIRCRAFT STANDARD SPECIFICATION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A320 AIRCRAFT STANDARD SPECIFICATION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A321 AIRCRAFT STANDARD SPECIFICATION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A321 NEO ACF STANDARD SPECIFICATION</w:t>
      </w:r>
    </w:p>
    <w:p>
      <w:pPr>
        <w:spacing w:after="0" w:line="114" w:lineRule="exact"/>
        <w:rPr>
          <w:sz w:val="20"/>
          <w:szCs w:val="20"/>
          <w:color w:val="auto"/>
        </w:rPr>
      </w:pPr>
    </w:p>
    <w:p>
      <w:pPr>
        <w:sectPr>
          <w:pgSz w:w="11900" w:h="16838" w:orient="portrait"/>
          <w:cols w:equalWidth="0" w:num="2">
            <w:col w:w="1420" w:space="600"/>
            <w:col w:w="9240"/>
          </w:cols>
          <w:pgMar w:left="240" w:top="274" w:right="39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UNQUOTE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Page 5</w:t>
      </w:r>
    </w:p>
    <w:p>
      <w:pPr>
        <w:sectPr>
          <w:pgSz w:w="11900" w:h="16838" w:orient="portrait"/>
          <w:cols w:equalWidth="0" w:num="1">
            <w:col w:w="11260"/>
          </w:cols>
          <w:pgMar w:left="240" w:top="274" w:right="399" w:bottom="1440" w:gutter="0" w:footer="0" w:header="0"/>
          <w:type w:val="continuous"/>
        </w:sectPr>
      </w:pPr>
    </w:p>
    <w:bookmarkStart w:id="119" w:name="page120"/>
    <w:bookmarkEnd w:id="11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r>
        <w:rPr>
          <w:sz w:val="20"/>
          <w:szCs w:val="20"/>
          <w:color w:val="auto"/>
        </w:rPr>
        <w:tab/>
      </w:r>
      <w:r>
        <w:rPr>
          <w:rFonts w:ascii="Arial" w:cs="Arial" w:eastAsia="Arial" w:hAnsi="Arial"/>
          <w:sz w:val="16"/>
          <w:szCs w:val="16"/>
          <w:color w:val="auto"/>
        </w:rPr>
        <w:t>The reference to Exhibit D in the Table of Contents to the Agreement is deleted in its entirety and replaced with the following quoted text: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8"/>
          <w:szCs w:val="18"/>
          <w:color w:val="auto"/>
        </w:rPr>
        <w:t>Exhibit D-1</w:t>
      </w:r>
      <w:r>
        <w:rPr>
          <w:sz w:val="20"/>
          <w:szCs w:val="20"/>
          <w:color w:val="auto"/>
        </w:rPr>
        <w:tab/>
      </w:r>
      <w:r>
        <w:rPr>
          <w:rFonts w:ascii="Arial" w:cs="Arial" w:eastAsia="Arial" w:hAnsi="Arial"/>
          <w:sz w:val="17"/>
          <w:szCs w:val="17"/>
          <w:color w:val="auto"/>
        </w:rPr>
        <w:t>FORM OF CERTIFICATE OF ACCEPTANCE (MOBILE DELIVERIES)</w:t>
      </w:r>
    </w:p>
    <w:p>
      <w:pPr>
        <w:spacing w:after="0" w:line="11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8"/>
          <w:szCs w:val="18"/>
          <w:color w:val="auto"/>
        </w:rPr>
        <w:t>Exhibit D-2</w:t>
      </w:r>
      <w:r>
        <w:rPr>
          <w:sz w:val="20"/>
          <w:szCs w:val="20"/>
          <w:color w:val="auto"/>
        </w:rPr>
        <w:tab/>
      </w:r>
      <w:r>
        <w:rPr>
          <w:rFonts w:ascii="Arial" w:cs="Arial" w:eastAsia="Arial" w:hAnsi="Arial"/>
          <w:sz w:val="17"/>
          <w:szCs w:val="17"/>
          <w:color w:val="auto"/>
        </w:rPr>
        <w:t>FORM OF CERTIFICATE OF ACCEPTANCE (BLAGNAC/HAMBURG DELIVERIES)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reference to Exhibit E in the Table of Contents to the Agreement is deleted in its entirety and replaced with the following quoted text: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8"/>
          <w:szCs w:val="18"/>
          <w:color w:val="auto"/>
        </w:rPr>
        <w:t>Exhibit E-1</w:t>
      </w:r>
      <w:r>
        <w:rPr>
          <w:sz w:val="20"/>
          <w:szCs w:val="20"/>
          <w:color w:val="auto"/>
        </w:rPr>
        <w:tab/>
      </w:r>
      <w:r>
        <w:rPr>
          <w:rFonts w:ascii="Arial" w:cs="Arial" w:eastAsia="Arial" w:hAnsi="Arial"/>
          <w:sz w:val="17"/>
          <w:szCs w:val="17"/>
          <w:color w:val="auto"/>
        </w:rPr>
        <w:t>FORM OF BILL OF SALE (MOBILE DELIVERIES)</w:t>
      </w:r>
    </w:p>
    <w:p>
      <w:pPr>
        <w:spacing w:after="0" w:line="11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8"/>
          <w:szCs w:val="18"/>
          <w:color w:val="auto"/>
        </w:rPr>
        <w:t>Exhibit E-2</w:t>
      </w:r>
      <w:r>
        <w:rPr>
          <w:sz w:val="20"/>
          <w:szCs w:val="20"/>
          <w:color w:val="auto"/>
        </w:rPr>
        <w:tab/>
      </w:r>
      <w:r>
        <w:rPr>
          <w:rFonts w:ascii="Arial" w:cs="Arial" w:eastAsia="Arial" w:hAnsi="Arial"/>
          <w:sz w:val="17"/>
          <w:szCs w:val="17"/>
          <w:color w:val="auto"/>
        </w:rPr>
        <w:t>FORM OF BILL OF SALE (BLAGNAC/HAMBURG DELIVERIES)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 new reference to Exhibit J is added to the Table of Contents to the Agreement in appropriate alphabetical order with the following quoted text: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7"/>
          <w:szCs w:val="17"/>
          <w:color w:val="auto"/>
        </w:rPr>
        <w:t>FORM OF AIRBUS S.A.S. WARRANTY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329"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EXHIBIT A-1 STANDARD SPECIFICATIONS</w:t>
      </w:r>
    </w:p>
    <w:p>
      <w:pPr>
        <w:spacing w:after="0" w:line="121"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issuance by the Seller of the A321 NEO ACF standard specification, Issue 1, Exhibit A-1 is amended by adding the quoted text at the end of the exhibit as follows:</w:t>
      </w:r>
    </w:p>
    <w:p>
      <w:pPr>
        <w:spacing w:after="0" w:line="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QUOTE</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A321 NEO ACF Standard Specification is contained in a separate folder.</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120" w:name="page121"/>
    <w:bookmarkEnd w:id="120"/>
    <w:p>
      <w:pPr>
        <w:ind w:left="572" w:hanging="572"/>
        <w:spacing w:after="0"/>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 LEADTIME OPTION AIRCRAFT DELIVERY SCHEDULE</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Schedule IIA to Letter Agreement No. 4 is deleted in its entirety and replaced with the Schedule IIA attached hereto as Attachment F.</w:t>
      </w:r>
    </w:p>
    <w:p>
      <w:pPr>
        <w:spacing w:after="0" w:line="369" w:lineRule="exact"/>
        <w:rPr>
          <w:rFonts w:ascii="Arial" w:cs="Arial" w:eastAsia="Arial" w:hAnsi="Arial"/>
          <w:sz w:val="18"/>
          <w:szCs w:val="18"/>
          <w:b w:val="1"/>
          <w:bCs w:val="1"/>
          <w:color w:val="auto"/>
        </w:rPr>
      </w:pPr>
    </w:p>
    <w:p>
      <w:pPr>
        <w:ind w:left="572" w:hanging="572"/>
        <w:spacing w:after="0"/>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REFERENCES</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On and after the date of this Amendment:</w:t>
      </w:r>
    </w:p>
    <w:p>
      <w:pPr>
        <w:spacing w:after="0" w:line="130" w:lineRule="exact"/>
        <w:rPr>
          <w:rFonts w:ascii="Arial" w:cs="Arial" w:eastAsia="Arial" w:hAnsi="Arial"/>
          <w:sz w:val="18"/>
          <w:szCs w:val="18"/>
          <w:b w:val="1"/>
          <w:bCs w:val="1"/>
          <w:color w:val="auto"/>
        </w:rPr>
      </w:pPr>
    </w:p>
    <w:p>
      <w:pPr>
        <w:ind w:left="1132" w:right="220" w:hanging="565"/>
        <w:spacing w:after="0" w:line="277" w:lineRule="auto"/>
        <w:tabs>
          <w:tab w:leader="none" w:pos="11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reference in the Agreement to “this Agreement”, “hereunder”, “hereof” or words of like import referring to the Agreement shall mean and be a reference to the Agreement as amended by this Amendment; and</w:t>
      </w:r>
    </w:p>
    <w:p>
      <w:pPr>
        <w:spacing w:after="0" w:line="75" w:lineRule="exact"/>
        <w:rPr>
          <w:rFonts w:ascii="Arial" w:cs="Arial" w:eastAsia="Arial" w:hAnsi="Arial"/>
          <w:sz w:val="18"/>
          <w:szCs w:val="18"/>
          <w:color w:val="auto"/>
        </w:rPr>
      </w:pPr>
    </w:p>
    <w:p>
      <w:pPr>
        <w:ind w:left="1132" w:right="540" w:hanging="565"/>
        <w:spacing w:after="0" w:line="308" w:lineRule="auto"/>
        <w:tabs>
          <w:tab w:leader="none" w:pos="1132" w:val="left"/>
        </w:tabs>
        <w:numPr>
          <w:ilvl w:val="1"/>
          <w:numId w:val="63"/>
        </w:numPr>
        <w:rPr>
          <w:rFonts w:ascii="Arial" w:cs="Arial" w:eastAsia="Arial" w:hAnsi="Arial"/>
          <w:sz w:val="17"/>
          <w:szCs w:val="17"/>
          <w:color w:val="auto"/>
        </w:rPr>
      </w:pPr>
      <w:r>
        <w:rPr>
          <w:rFonts w:ascii="Arial" w:cs="Arial" w:eastAsia="Arial" w:hAnsi="Arial"/>
          <w:sz w:val="17"/>
          <w:szCs w:val="17"/>
          <w:color w:val="auto"/>
        </w:rPr>
        <w:t>each reference in Letter Agreement No. 4 to “this Letter Agreement”, “hereunder”, “hereof” or words of like import referring to Letter Agreement No. 4 shall mean and be a reference to Letter Agreement No. 4 as amended by this Amendment.</w:t>
      </w:r>
    </w:p>
    <w:p>
      <w:pPr>
        <w:spacing w:after="0" w:line="291" w:lineRule="exact"/>
        <w:rPr>
          <w:rFonts w:ascii="Arial" w:cs="Arial" w:eastAsia="Arial" w:hAnsi="Arial"/>
          <w:sz w:val="17"/>
          <w:szCs w:val="17"/>
          <w:color w:val="auto"/>
        </w:rPr>
      </w:pPr>
    </w:p>
    <w:p>
      <w:pPr>
        <w:ind w:left="572" w:hanging="572"/>
        <w:spacing w:after="0"/>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This Amendment and the rights and obligations of the parties will be subject to the provisions of Clause 21 of the Agreement.</w:t>
      </w:r>
    </w:p>
    <w:p>
      <w:pPr>
        <w:spacing w:after="0" w:line="369" w:lineRule="exact"/>
        <w:rPr>
          <w:rFonts w:ascii="Arial" w:cs="Arial" w:eastAsia="Arial" w:hAnsi="Arial"/>
          <w:sz w:val="18"/>
          <w:szCs w:val="18"/>
          <w:b w:val="1"/>
          <w:bCs w:val="1"/>
          <w:color w:val="auto"/>
        </w:rPr>
      </w:pPr>
    </w:p>
    <w:p>
      <w:pPr>
        <w:ind w:left="572" w:hanging="572"/>
        <w:spacing w:after="0"/>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7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Seller and the Buyer agree not to disclose the terms and conditions of this Amendment to any person without the prior written consent of the other party. Notwithstanding the foregoing, the Seller and the Buyer agree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316" w:lineRule="exact"/>
        <w:rPr>
          <w:rFonts w:ascii="Arial" w:cs="Arial" w:eastAsia="Arial" w:hAnsi="Arial"/>
          <w:sz w:val="18"/>
          <w:szCs w:val="18"/>
          <w:b w:val="1"/>
          <w:bCs w:val="1"/>
          <w:color w:val="auto"/>
        </w:rPr>
      </w:pPr>
    </w:p>
    <w:p>
      <w:pPr>
        <w:ind w:left="572" w:hanging="572"/>
        <w:spacing w:after="0"/>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7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Amendment may be executed by the parties hereto in separate counterparts, each of which when so executed and delivered will be an original, but all such counterparts will together constitute but one and the same instrument.</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72"/>
          </w:cols>
          <w:pgMar w:left="248" w:top="270" w:right="279" w:bottom="1440" w:gutter="0" w:footer="0" w:header="0"/>
        </w:sectPr>
      </w:pPr>
    </w:p>
    <w:bookmarkStart w:id="121" w:name="page122"/>
    <w:bookmarkEnd w:id="12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Airbus S.A.S.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Airbus S.A.S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Contracts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American Airlines, Inc.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 Fleet Planning</w:t>
            </w:r>
          </w:p>
        </w:tc>
      </w:tr>
    </w:tbl>
    <w:p>
      <w:pPr>
        <w:sectPr>
          <w:pgSz w:w="11900" w:h="16838" w:orient="portrait"/>
          <w:cols w:equalWidth="0" w:num="1">
            <w:col w:w="11420"/>
          </w:cols>
          <w:pgMar w:left="240" w:top="27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ACCEPTANCE</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accordance with Clause 8.1 of the A320 Family Purchase Agreement dated 20</w:t>
      </w:r>
      <w:r>
        <w:rPr>
          <w:rFonts w:ascii="Arial" w:cs="Arial" w:eastAsia="Arial" w:hAnsi="Arial"/>
          <w:sz w:val="15"/>
          <w:szCs w:val="15"/>
          <w:color w:val="auto"/>
        </w:rPr>
        <w:t>th</w:t>
      </w:r>
      <w:r>
        <w:rPr>
          <w:rFonts w:ascii="Arial" w:cs="Arial" w:eastAsia="Arial" w:hAnsi="Arial"/>
          <w:sz w:val="18"/>
          <w:szCs w:val="18"/>
          <w:color w:val="auto"/>
        </w:rPr>
        <w:t xml:space="preserve"> of July 2011 made between American Airlines, Inc. (the “</w:t>
      </w:r>
      <w:r>
        <w:rPr>
          <w:rFonts w:ascii="Arial" w:cs="Arial" w:eastAsia="Arial" w:hAnsi="Arial"/>
          <w:sz w:val="18"/>
          <w:szCs w:val="18"/>
          <w:b w:val="1"/>
          <w:bCs w:val="1"/>
          <w:color w:val="auto"/>
        </w:rPr>
        <w:t>Customer</w:t>
      </w:r>
      <w:r>
        <w:rPr>
          <w:rFonts w:ascii="Arial" w:cs="Arial" w:eastAsia="Arial" w:hAnsi="Arial"/>
          <w:sz w:val="18"/>
          <w:szCs w:val="18"/>
          <w:color w:val="auto"/>
        </w:rPr>
        <w:t>”) and Airbus S.A.S., as amended and supplemented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the Technical Acceptance Process (as defined in the Purchase Agreement) relating to one Airbus A3[●]-[●]aircraft bearing manufacturer’s serial number [●] and registration mark [●], with two (2) [●] series propulsion systems installed thereon, serial numbers [●] (position #1) and [●] (position #2) (the “</w:t>
      </w:r>
      <w:r>
        <w:rPr>
          <w:rFonts w:ascii="Arial" w:cs="Arial" w:eastAsia="Arial" w:hAnsi="Arial"/>
          <w:sz w:val="18"/>
          <w:szCs w:val="18"/>
          <w:b w:val="1"/>
          <w:bCs w:val="1"/>
          <w:color w:val="auto"/>
        </w:rPr>
        <w:t>Aircraft</w:t>
      </w:r>
      <w:r>
        <w:rPr>
          <w:rFonts w:ascii="Arial" w:cs="Arial" w:eastAsia="Arial" w:hAnsi="Arial"/>
          <w:sz w:val="18"/>
          <w:szCs w:val="18"/>
          <w:color w:val="auto"/>
        </w:rPr>
        <w:t>”) has been successfully completed in Mobile, Alabama, United States.</w:t>
      </w:r>
    </w:p>
    <w:p>
      <w:pPr>
        <w:spacing w:after="0" w:line="18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Customer, [as agent of [insert the name of the lessor/SPC] (the “Owner”) pursuant to the [purchase agreement assignment] dated [day] [month] [year], between the Customer and the Owner] hereby accepts the Aircraft for delivery in accordance with the provisions of the Purchase Agreement.</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acceptance will not impair the rights that may be derived from the warranties, indemnities and performance guaranties relating to the Aircraft set forth in the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right at law or otherwise to revoke this acceptance of the Aircraft is hereby irrevocably waived.</w:t>
      </w:r>
    </w:p>
    <w:p>
      <w:pPr>
        <w:spacing w:after="0" w:line="225" w:lineRule="exact"/>
        <w:rPr>
          <w:sz w:val="20"/>
          <w:szCs w:val="20"/>
          <w:color w:val="auto"/>
        </w:rPr>
      </w:pPr>
    </w:p>
    <w:p>
      <w:pPr>
        <w:spacing w:after="0"/>
        <w:tabs>
          <w:tab w:leader="none" w:pos="11100" w:val="left"/>
        </w:tabs>
        <w:rPr>
          <w:sz w:val="20"/>
          <w:szCs w:val="20"/>
          <w:color w:val="auto"/>
        </w:rPr>
      </w:pPr>
      <w:r>
        <w:rPr>
          <w:rFonts w:ascii="Arial" w:cs="Arial" w:eastAsia="Arial" w:hAnsi="Arial"/>
          <w:sz w:val="17"/>
          <w:szCs w:val="17"/>
          <w:color w:val="auto"/>
        </w:rPr>
        <w:t>IN WITNESS WHEREOF, the Customer [, as agent of the Owner,] has caused this instrument to be executed by its duly authorized representative this</w:t>
      </w:r>
      <w:r>
        <w:rPr>
          <w:sz w:val="20"/>
          <w:szCs w:val="20"/>
          <w:color w:val="auto"/>
        </w:rPr>
        <w:tab/>
      </w:r>
      <w:r>
        <w:rPr>
          <w:rFonts w:ascii="Arial" w:cs="Arial" w:eastAsia="Arial" w:hAnsi="Arial"/>
          <w:sz w:val="16"/>
          <w:szCs w:val="16"/>
          <w:color w:val="auto"/>
        </w:rPr>
        <w:t>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-3175</wp:posOffset>
            </wp:positionV>
            <wp:extent cx="1143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in Mobile, Alabama,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-19050</wp:posOffset>
            </wp:positionV>
            <wp:extent cx="6000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American Airlines, Inc. </w:t>
      </w:r>
      <w:r>
        <w:rPr>
          <w:rFonts w:ascii="Arial" w:cs="Arial" w:eastAsia="Arial" w:hAnsi="Arial"/>
          <w:sz w:val="18"/>
          <w:szCs w:val="18"/>
          <w:color w:val="auto"/>
        </w:rPr>
        <w:t>[as agent of</w:t>
      </w:r>
      <w:r>
        <w:rPr>
          <w:rFonts w:ascii="Arial" w:cs="Arial" w:eastAsia="Arial" w:hAnsi="Arial"/>
          <w:sz w:val="18"/>
          <w:szCs w:val="18"/>
          <w:b w:val="1"/>
          <w:bCs w:val="1"/>
          <w:color w:val="auto"/>
        </w:rPr>
        <w:t xml:space="preserve"> OWNER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ACCEPTANCE</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accordance with Clause 8.1 of the A320 Family Purchase Agreement dated 20</w:t>
      </w:r>
      <w:r>
        <w:rPr>
          <w:rFonts w:ascii="Arial" w:cs="Arial" w:eastAsia="Arial" w:hAnsi="Arial"/>
          <w:sz w:val="15"/>
          <w:szCs w:val="15"/>
          <w:color w:val="auto"/>
        </w:rPr>
        <w:t>th</w:t>
      </w:r>
      <w:r>
        <w:rPr>
          <w:rFonts w:ascii="Arial" w:cs="Arial" w:eastAsia="Arial" w:hAnsi="Arial"/>
          <w:sz w:val="18"/>
          <w:szCs w:val="18"/>
          <w:color w:val="auto"/>
        </w:rPr>
        <w:t xml:space="preserve"> of July 2011 and made between American Airlines, Inc. (the “</w:t>
      </w:r>
      <w:r>
        <w:rPr>
          <w:rFonts w:ascii="Arial" w:cs="Arial" w:eastAsia="Arial" w:hAnsi="Arial"/>
          <w:sz w:val="18"/>
          <w:szCs w:val="18"/>
          <w:b w:val="1"/>
          <w:bCs w:val="1"/>
          <w:color w:val="auto"/>
        </w:rPr>
        <w:t>Customer</w:t>
      </w:r>
      <w:r>
        <w:rPr>
          <w:rFonts w:ascii="Arial" w:cs="Arial" w:eastAsia="Arial" w:hAnsi="Arial"/>
          <w:sz w:val="18"/>
          <w:szCs w:val="18"/>
          <w:color w:val="auto"/>
        </w:rPr>
        <w:t>”) and Airbus S.A.S., as amended and supplemented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the Technical Acceptance Process (as defined in the Purchase Agreement) relating to one Airbus A3[●]-[●] aircraft, bearing manufacturer’s serial number [●], and registration mark [●], [Customer Airplane Number [●], with two (2) [●] series propulsion systems installed thereon, serial numbers [●] (position #1) and [●] (position #2) (the “</w:t>
      </w:r>
      <w:r>
        <w:rPr>
          <w:rFonts w:ascii="Arial" w:cs="Arial" w:eastAsia="Arial" w:hAnsi="Arial"/>
          <w:sz w:val="18"/>
          <w:szCs w:val="18"/>
          <w:b w:val="1"/>
          <w:bCs w:val="1"/>
          <w:color w:val="auto"/>
        </w:rPr>
        <w:t>Aircraft</w:t>
      </w:r>
      <w:r>
        <w:rPr>
          <w:rFonts w:ascii="Arial" w:cs="Arial" w:eastAsia="Arial" w:hAnsi="Arial"/>
          <w:sz w:val="18"/>
          <w:szCs w:val="18"/>
          <w:color w:val="auto"/>
        </w:rPr>
        <w:t>”) has been successfully completed in [Blagnac/Hamburg].</w:t>
      </w:r>
    </w:p>
    <w:p>
      <w:pPr>
        <w:spacing w:after="0" w:line="184"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color w:val="auto"/>
        </w:rPr>
        <w:t>The Customer, [as agent of [insert the name of the lessor/SPC] (the “</w:t>
      </w:r>
      <w:r>
        <w:rPr>
          <w:rFonts w:ascii="Arial" w:cs="Arial" w:eastAsia="Arial" w:hAnsi="Arial"/>
          <w:sz w:val="17"/>
          <w:szCs w:val="17"/>
          <w:b w:val="1"/>
          <w:bCs w:val="1"/>
          <w:color w:val="auto"/>
        </w:rPr>
        <w:t>Owner</w:t>
      </w:r>
      <w:r>
        <w:rPr>
          <w:rFonts w:ascii="Arial" w:cs="Arial" w:eastAsia="Arial" w:hAnsi="Arial"/>
          <w:sz w:val="17"/>
          <w:szCs w:val="17"/>
          <w:color w:val="auto"/>
        </w:rPr>
        <w:t>”) pursuant to the [purchase agreement assignment] dated [</w:t>
      </w:r>
      <w:r>
        <w:rPr>
          <w:rFonts w:ascii="Arial" w:cs="Arial" w:eastAsia="Arial" w:hAnsi="Arial"/>
          <w:sz w:val="17"/>
          <w:szCs w:val="17"/>
          <w:i w:val="1"/>
          <w:iCs w:val="1"/>
          <w:color w:val="auto"/>
        </w:rPr>
        <w:t>day</w:t>
      </w:r>
      <w:r>
        <w:rPr>
          <w:rFonts w:ascii="Arial" w:cs="Arial" w:eastAsia="Arial" w:hAnsi="Arial"/>
          <w:sz w:val="17"/>
          <w:szCs w:val="17"/>
          <w:color w:val="auto"/>
        </w:rPr>
        <w:t>] [</w:t>
      </w:r>
      <w:r>
        <w:rPr>
          <w:rFonts w:ascii="Arial" w:cs="Arial" w:eastAsia="Arial" w:hAnsi="Arial"/>
          <w:sz w:val="17"/>
          <w:szCs w:val="17"/>
          <w:i w:val="1"/>
          <w:iCs w:val="1"/>
          <w:color w:val="auto"/>
        </w:rPr>
        <w:t>month</w:t>
      </w:r>
      <w:r>
        <w:rPr>
          <w:rFonts w:ascii="Arial" w:cs="Arial" w:eastAsia="Arial" w:hAnsi="Arial"/>
          <w:sz w:val="17"/>
          <w:szCs w:val="17"/>
          <w:color w:val="auto"/>
        </w:rPr>
        <w:t>] [</w:t>
      </w:r>
      <w:r>
        <w:rPr>
          <w:rFonts w:ascii="Arial" w:cs="Arial" w:eastAsia="Arial" w:hAnsi="Arial"/>
          <w:sz w:val="17"/>
          <w:szCs w:val="17"/>
          <w:i w:val="1"/>
          <w:iCs w:val="1"/>
          <w:color w:val="auto"/>
        </w:rPr>
        <w:t>year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between the Customer and the Owner] hereby accepts the Aircraft for delivery in accordance with the provisions of the Purchase Agreement.</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acceptance will not impair the rights that may be derived from the warranties, indemnities and performance guaranties relating to the Aircraft set forth in the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right at law or otherwise to revoke this acceptance of the Aircraft is hereby irrevocably waived.</w:t>
      </w:r>
    </w:p>
    <w:p>
      <w:pPr>
        <w:spacing w:after="0" w:line="225" w:lineRule="exact"/>
        <w:rPr>
          <w:sz w:val="20"/>
          <w:szCs w:val="20"/>
          <w:color w:val="auto"/>
        </w:rPr>
      </w:pPr>
    </w:p>
    <w:p>
      <w:pPr>
        <w:spacing w:after="0"/>
        <w:tabs>
          <w:tab w:leader="none" w:pos="11020" w:val="left"/>
        </w:tabs>
        <w:rPr>
          <w:sz w:val="20"/>
          <w:szCs w:val="20"/>
          <w:color w:val="auto"/>
        </w:rPr>
      </w:pPr>
      <w:r>
        <w:rPr>
          <w:rFonts w:ascii="Arial" w:cs="Arial" w:eastAsia="Arial" w:hAnsi="Arial"/>
          <w:sz w:val="17"/>
          <w:szCs w:val="17"/>
          <w:color w:val="auto"/>
        </w:rPr>
        <w:t>IN WITNESS WHEREOF, the Customer[, as agent of the Owner] has caused this instrument to be executed by its duly authorized representative this</w:t>
      </w:r>
      <w:r>
        <w:rPr>
          <w:sz w:val="20"/>
          <w:szCs w:val="20"/>
          <w:color w:val="auto"/>
        </w:rPr>
        <w:tab/>
      </w:r>
      <w:r>
        <w:rPr>
          <w:rFonts w:ascii="Arial" w:cs="Arial" w:eastAsia="Arial" w:hAnsi="Arial"/>
          <w:sz w:val="16"/>
          <w:szCs w:val="16"/>
          <w:color w:val="auto"/>
        </w:rPr>
        <w:t>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6861810</wp:posOffset>
            </wp:positionH>
            <wp:positionV relativeFrom="paragraph">
              <wp:posOffset>-3175</wp:posOffset>
            </wp:positionV>
            <wp:extent cx="1143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 w:lineRule="exact"/>
        <w:rPr>
          <w:sz w:val="20"/>
          <w:szCs w:val="20"/>
          <w:color w:val="auto"/>
        </w:rPr>
      </w:pPr>
    </w:p>
    <w:p>
      <w:pPr>
        <w:spacing w:after="0"/>
        <w:tabs>
          <w:tab w:leader="none" w:pos="720" w:val="left"/>
          <w:tab w:leader="none" w:pos="12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[Blagnac, France/Hamburg,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-19050</wp:posOffset>
            </wp:positionV>
            <wp:extent cx="6286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American Airlines, Inc. </w:t>
      </w:r>
      <w:r>
        <w:rPr>
          <w:rFonts w:ascii="Arial" w:cs="Arial" w:eastAsia="Arial" w:hAnsi="Arial"/>
          <w:sz w:val="18"/>
          <w:szCs w:val="18"/>
          <w:color w:val="auto"/>
        </w:rPr>
        <w:t>[as agent of</w:t>
      </w:r>
      <w:r>
        <w:rPr>
          <w:rFonts w:ascii="Arial" w:cs="Arial" w:eastAsia="Arial" w:hAnsi="Arial"/>
          <w:sz w:val="18"/>
          <w:szCs w:val="18"/>
          <w:b w:val="1"/>
          <w:bCs w:val="1"/>
          <w:color w:val="auto"/>
        </w:rPr>
        <w:t xml:space="preserve"> OWNER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E-1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WARRANTY BILL OF SALE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Know all men by these presents that Airbus Americas Inc., a Delaware corporation having its principal place of business at 2550 Wasser Terrace, Suite 9100,</w:t>
      </w:r>
    </w:p>
    <w:p>
      <w:pPr>
        <w:spacing w:after="0" w:line="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Herndon, VA 20171, United States (the “</w:t>
      </w:r>
      <w:r>
        <w:rPr>
          <w:rFonts w:ascii="Arial" w:cs="Arial" w:eastAsia="Arial" w:hAnsi="Arial"/>
          <w:sz w:val="18"/>
          <w:szCs w:val="18"/>
          <w:b w:val="1"/>
          <w:bCs w:val="1"/>
          <w:color w:val="auto"/>
        </w:rPr>
        <w:t>Seller</w:t>
      </w:r>
      <w:r>
        <w:rPr>
          <w:rFonts w:ascii="Arial" w:cs="Arial" w:eastAsia="Arial" w:hAnsi="Arial"/>
          <w:sz w:val="18"/>
          <w:szCs w:val="18"/>
          <w:color w:val="auto"/>
        </w:rPr>
        <w:t>”), was, this day of , the owner of the title to the following airframe (the “</w:t>
      </w:r>
      <w:r>
        <w:rPr>
          <w:rFonts w:ascii="Arial" w:cs="Arial" w:eastAsia="Arial" w:hAnsi="Arial"/>
          <w:sz w:val="18"/>
          <w:szCs w:val="18"/>
          <w:b w:val="1"/>
          <w:bCs w:val="1"/>
          <w:color w:val="auto"/>
        </w:rPr>
        <w:t>Airframe</w:t>
      </w:r>
      <w:r>
        <w:rPr>
          <w:rFonts w:ascii="Arial" w:cs="Arial" w:eastAsia="Arial" w:hAnsi="Arial"/>
          <w:sz w:val="18"/>
          <w:szCs w:val="18"/>
          <w:color w:val="auto"/>
        </w:rPr>
        <w:t>”), the [engines/propulsion systems] as specified (the “</w:t>
      </w:r>
      <w:r>
        <w:rPr>
          <w:rFonts w:ascii="Arial" w:cs="Arial" w:eastAsia="Arial" w:hAnsi="Arial"/>
          <w:sz w:val="18"/>
          <w:szCs w:val="18"/>
          <w:b w:val="1"/>
          <w:bCs w:val="1"/>
          <w:color w:val="auto"/>
        </w:rPr>
        <w:t>[Engines</w:t>
      </w:r>
      <w:r>
        <w:rPr>
          <w:rFonts w:ascii="Arial" w:cs="Arial" w:eastAsia="Arial" w:hAnsi="Arial"/>
          <w:sz w:val="18"/>
          <w:szCs w:val="18"/>
          <w:color w:val="auto"/>
        </w:rPr>
        <w:t>/</w:t>
      </w:r>
      <w:r>
        <w:rPr>
          <w:rFonts w:ascii="Arial" w:cs="Arial" w:eastAsia="Arial" w:hAnsi="Arial"/>
          <w:sz w:val="18"/>
          <w:szCs w:val="18"/>
          <w:b w:val="1"/>
          <w:bCs w:val="1"/>
          <w:color w:val="auto"/>
        </w:rPr>
        <w:t>Propulsion Systems]</w:t>
      </w:r>
      <w:r>
        <w:rPr>
          <w:rFonts w:ascii="Arial" w:cs="Arial" w:eastAsia="Arial" w:hAnsi="Arial"/>
          <w:sz w:val="18"/>
          <w:szCs w:val="18"/>
          <w:color w:val="auto"/>
        </w:rPr>
        <w:t>”) and all appliances, components, parts, instruments, appurtenances, accessories, furnishings, modules and other equipment of any nature, excluding buyer furnished equipment, (“</w:t>
      </w:r>
      <w:r>
        <w:rPr>
          <w:rFonts w:ascii="Arial" w:cs="Arial" w:eastAsia="Arial" w:hAnsi="Arial"/>
          <w:sz w:val="18"/>
          <w:szCs w:val="18"/>
          <w:b w:val="1"/>
          <w:bCs w:val="1"/>
          <w:color w:val="auto"/>
        </w:rPr>
        <w:t>BFE</w:t>
      </w:r>
      <w:r>
        <w:rPr>
          <w:rFonts w:ascii="Arial" w:cs="Arial" w:eastAsia="Arial" w:hAnsi="Arial"/>
          <w:sz w:val="18"/>
          <w:szCs w:val="18"/>
          <w:color w:val="auto"/>
        </w:rPr>
        <w:t>”), incorporated therein, installed thereon or attached thereto on the date hereof (the “</w:t>
      </w:r>
      <w:r>
        <w:rPr>
          <w:rFonts w:ascii="Arial" w:cs="Arial" w:eastAsia="Arial" w:hAnsi="Arial"/>
          <w:sz w:val="18"/>
          <w:szCs w:val="18"/>
          <w:b w:val="1"/>
          <w:bCs w:val="1"/>
          <w:color w:val="auto"/>
        </w:rPr>
        <w:t>Parts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-444500</wp:posOffset>
            </wp:positionV>
            <wp:extent cx="1143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-444500</wp:posOffset>
            </wp:positionV>
            <wp:extent cx="6286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AIRFRAME</w:t>
            </w:r>
            <w:r>
              <w:rPr>
                <w:rFonts w:ascii="Arial" w:cs="Arial" w:eastAsia="Arial" w:hAnsi="Arial"/>
                <w:sz w:val="18"/>
                <w:szCs w:val="18"/>
                <w:color w:val="auto"/>
              </w:rPr>
              <w:t>:</w:t>
            </w:r>
          </w:p>
        </w:tc>
        <w:tc>
          <w:tcPr>
            <w:tcW w:w="5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ENGINES/PROPULSION SYSTEMS</w:t>
            </w:r>
            <w:r>
              <w:rPr>
                <w:rFonts w:ascii="Arial" w:cs="Arial" w:eastAsia="Arial" w:hAnsi="Arial"/>
                <w:sz w:val="18"/>
                <w:szCs w:val="18"/>
                <w:color w:val="auto"/>
              </w:rPr>
              <w:t>]:</w:t>
            </w: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7"/>
        </w:trPr>
        <w:tc>
          <w:tcPr>
            <w:tcW w:w="5960" w:type="dxa"/>
            <w:vAlign w:val="bottom"/>
            <w:gridSpan w:val="5"/>
          </w:tcPr>
          <w:p>
            <w:pPr>
              <w:spacing w:after="0"/>
              <w:rPr>
                <w:sz w:val="20"/>
                <w:szCs w:val="20"/>
                <w:color w:val="auto"/>
              </w:rPr>
            </w:pPr>
            <w:r>
              <w:rPr>
                <w:rFonts w:ascii="Arial" w:cs="Arial" w:eastAsia="Arial" w:hAnsi="Arial"/>
                <w:sz w:val="18"/>
                <w:szCs w:val="18"/>
                <w:color w:val="auto"/>
              </w:rPr>
              <w:t>AIRBUS Model A3[●]-[●]</w:t>
            </w:r>
          </w:p>
        </w:tc>
        <w:tc>
          <w:tcPr>
            <w:tcW w:w="5020" w:type="dxa"/>
            <w:vAlign w:val="bottom"/>
            <w:gridSpan w:val="4"/>
          </w:tcPr>
          <w:p>
            <w:pPr>
              <w:spacing w:after="0"/>
              <w:rPr>
                <w:sz w:val="20"/>
                <w:szCs w:val="20"/>
                <w:color w:val="auto"/>
              </w:rPr>
            </w:pPr>
            <w:r>
              <w:rPr>
                <w:rFonts w:ascii="Arial" w:cs="Arial" w:eastAsia="Arial" w:hAnsi="Arial"/>
                <w:sz w:val="18"/>
                <w:szCs w:val="18"/>
                <w:color w:val="auto"/>
                <w:w w:val="91"/>
              </w:rPr>
              <w:t>[Insert name of engine or propulsion system manufacturer] Model [●]</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DATE OF MANUFACTURE: </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20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r>
      <w:tr>
        <w:trPr>
          <w:trHeight w:val="30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MANUFACTURER’S SERIAL NUMBER</w:t>
            </w:r>
            <w:r>
              <w:rPr>
                <w:rFonts w:ascii="Arial" w:cs="Arial" w:eastAsia="Arial" w:hAnsi="Arial"/>
                <w:sz w:val="18"/>
                <w:szCs w:val="18"/>
                <w:color w:val="auto"/>
              </w:rPr>
              <w:t>: [●]</w:t>
            </w:r>
          </w:p>
        </w:tc>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ENGINE SERIAL NUMBERS</w:t>
            </w:r>
            <w:r>
              <w:rPr>
                <w:rFonts w:ascii="Arial" w:cs="Arial" w:eastAsia="Arial" w:hAnsi="Arial"/>
                <w:sz w:val="18"/>
                <w:szCs w:val="18"/>
                <w:color w:val="auto"/>
              </w:rPr>
              <w:t>:</w:t>
            </w:r>
          </w:p>
        </w:tc>
      </w:tr>
      <w:tr>
        <w:trPr>
          <w:trHeight w:val="222"/>
        </w:trPr>
        <w:tc>
          <w:tcPr>
            <w:tcW w:w="10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80" w:type="dxa"/>
            <w:vAlign w:val="bottom"/>
          </w:tcPr>
          <w:p>
            <w:pPr>
              <w:spacing w:after="0"/>
              <w:rPr>
                <w:sz w:val="19"/>
                <w:szCs w:val="19"/>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LH: [●]</w:t>
            </w:r>
          </w:p>
        </w:tc>
        <w:tc>
          <w:tcPr>
            <w:tcW w:w="2660" w:type="dxa"/>
            <w:vAlign w:val="bottom"/>
            <w:gridSpan w:val="2"/>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RH: [●]</w:t>
            </w:r>
          </w:p>
        </w:tc>
      </w:tr>
      <w:tr>
        <w:trPr>
          <w:trHeight w:val="29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REGISTRATION MARK</w:t>
            </w: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Airframe, [Engines/Propulsion Systems] and Parts are hereafter together referred to as the “</w:t>
      </w:r>
      <w:r>
        <w:rPr>
          <w:rFonts w:ascii="Arial" w:cs="Arial" w:eastAsia="Arial" w:hAnsi="Arial"/>
          <w:sz w:val="18"/>
          <w:szCs w:val="18"/>
          <w:b w:val="1"/>
          <w:bCs w:val="1"/>
          <w:color w:val="auto"/>
        </w:rPr>
        <w:t>Aircraft</w:t>
      </w:r>
      <w:r>
        <w:rPr>
          <w:rFonts w:ascii="Arial" w:cs="Arial" w:eastAsia="Arial" w:hAnsi="Arial"/>
          <w:sz w:val="18"/>
          <w:szCs w:val="18"/>
          <w:color w:val="auto"/>
        </w:rPr>
        <w: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Seller does this day of [month] [year], grant, convey, bargain, sell, transfer, deliver and set over all of its rights, title and interest in and to the Aircraft to the following entity and to its successors and assigns forever, such Aircraft to be the property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-182245</wp:posOffset>
            </wp:positionV>
            <wp:extent cx="1143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Name/Address of Buyer</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Seller hereby warrants to the Buyer, its successors and assigns that it has good and lawful right to sell, deliver and transfer title to the Aircraft to the Buyer and that there is hereby conveyed to the Buyer good, legal and valid title to the Aircraft, free and clear of all liens, claims, charges, encumbrances and rights of others and that the Seller will warrant and defend such title forever against all claims and demands whatsoever.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Warranty Bill of Sale is governed by and shall be construed in accordance with the laws of the State of New York.</w:t>
      </w:r>
    </w:p>
    <w:p>
      <w:pPr>
        <w:sectPr>
          <w:pgSz w:w="11900" w:h="16838" w:orient="portrait"/>
          <w:cols w:equalWidth="0" w:num="1">
            <w:col w:w="11420"/>
          </w:cols>
          <w:pgMar w:left="240" w:top="270"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ATTACHMENT C</w:t>
            </w:r>
          </w:p>
        </w:tc>
      </w:tr>
      <w:tr>
        <w:trPr>
          <w:trHeight w:val="432"/>
        </w:trPr>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E-1</w:t>
            </w:r>
          </w:p>
        </w:tc>
      </w:tr>
      <w:tr>
        <w:trPr>
          <w:trHeight w:val="392"/>
        </w:trPr>
        <w:tc>
          <w:tcPr>
            <w:tcW w:w="9460" w:type="dxa"/>
            <w:vAlign w:val="bottom"/>
            <w:gridSpan w:val="5"/>
          </w:tcPr>
          <w:p>
            <w:pPr>
              <w:spacing w:after="0"/>
              <w:rPr>
                <w:sz w:val="20"/>
                <w:szCs w:val="20"/>
                <w:color w:val="auto"/>
              </w:rPr>
            </w:pPr>
            <w:r>
              <w:rPr>
                <w:rFonts w:ascii="Arial" w:cs="Arial" w:eastAsia="Arial" w:hAnsi="Arial"/>
                <w:sz w:val="18"/>
                <w:szCs w:val="18"/>
                <w:color w:val="auto"/>
                <w:w w:val="92"/>
              </w:rPr>
              <w:t>IN WITNESS WHEREOF, the Seller has caused this instrument to be executed by its duly authorized representative this   day of</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in Mobile,</w:t>
            </w:r>
          </w:p>
        </w:tc>
      </w:tr>
      <w:tr>
        <w:trPr>
          <w:trHeight w:val="237"/>
        </w:trPr>
        <w:tc>
          <w:tcPr>
            <w:tcW w:w="8740" w:type="dxa"/>
            <w:vAlign w:val="bottom"/>
            <w:gridSpan w:val="3"/>
          </w:tcPr>
          <w:p>
            <w:pPr>
              <w:spacing w:after="0"/>
              <w:rPr>
                <w:sz w:val="20"/>
                <w:szCs w:val="20"/>
                <w:color w:val="auto"/>
              </w:rPr>
            </w:pPr>
            <w:r>
              <w:rPr>
                <w:rFonts w:ascii="Arial" w:cs="Arial" w:eastAsia="Arial" w:hAnsi="Arial"/>
                <w:sz w:val="18"/>
                <w:szCs w:val="18"/>
                <w:color w:val="auto"/>
              </w:rPr>
              <w:t>Alabama, United States of America.</w:t>
            </w:r>
          </w:p>
        </w:tc>
        <w:tc>
          <w:tcPr>
            <w:tcW w:w="1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AIRBUS AMERICAS INC.</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9460" w:type="dxa"/>
            <w:vAlign w:val="bottom"/>
            <w:gridSpan w:val="5"/>
          </w:tcPr>
          <w:p>
            <w:pPr>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9460" w:type="dxa"/>
            <w:vAlign w:val="bottom"/>
            <w:gridSpan w:val="5"/>
          </w:tcPr>
          <w:p>
            <w:pPr>
              <w:spacing w:after="0"/>
              <w:rPr>
                <w:sz w:val="20"/>
                <w:szCs w:val="20"/>
                <w:color w:val="auto"/>
              </w:rPr>
            </w:pPr>
            <w:r>
              <w:rPr>
                <w:rFonts w:ascii="Arial" w:cs="Arial" w:eastAsia="Arial" w:hAnsi="Arial"/>
                <w:sz w:val="18"/>
                <w:szCs w:val="18"/>
                <w:color w:val="auto"/>
              </w:rPr>
              <w:t>Title:</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E-2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WARRANTY BILL OF SALE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Know all men by these presents that Airbus S.A.S., a s</w:t>
      </w:r>
      <w:r>
        <w:rPr>
          <w:rFonts w:ascii="Arial" w:cs="Arial" w:eastAsia="Arial" w:hAnsi="Arial"/>
          <w:sz w:val="16"/>
          <w:szCs w:val="16"/>
          <w:i w:val="1"/>
          <w:iCs w:val="1"/>
          <w:color w:val="auto"/>
        </w:rPr>
        <w:t>ociété par actions simplifiée</w:t>
      </w:r>
      <w:r>
        <w:rPr>
          <w:rFonts w:ascii="Arial" w:cs="Arial" w:eastAsia="Arial" w:hAnsi="Arial"/>
          <w:sz w:val="16"/>
          <w:szCs w:val="16"/>
          <w:color w:val="auto"/>
        </w:rPr>
        <w:t xml:space="preserve"> existing under French law and having its principal office at 1 rond-point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Maurice Bellonte, 31707 Blagnac Cedex, FRANCE (the “</w:t>
      </w:r>
      <w:r>
        <w:rPr>
          <w:rFonts w:ascii="Arial" w:cs="Arial" w:eastAsia="Arial" w:hAnsi="Arial"/>
          <w:sz w:val="17"/>
          <w:szCs w:val="17"/>
          <w:b w:val="1"/>
          <w:bCs w:val="1"/>
          <w:color w:val="auto"/>
        </w:rPr>
        <w:t>Seller</w:t>
      </w:r>
      <w:r>
        <w:rPr>
          <w:rFonts w:ascii="Arial" w:cs="Arial" w:eastAsia="Arial" w:hAnsi="Arial"/>
          <w:sz w:val="17"/>
          <w:szCs w:val="17"/>
          <w:color w:val="auto"/>
        </w:rPr>
        <w:t>”), was this [</w:t>
      </w:r>
      <w:r>
        <w:rPr>
          <w:rFonts w:ascii="Arial" w:cs="Arial" w:eastAsia="Arial" w:hAnsi="Arial"/>
          <w:sz w:val="17"/>
          <w:szCs w:val="17"/>
          <w:i w:val="1"/>
          <w:iCs w:val="1"/>
          <w:color w:val="auto"/>
        </w:rPr>
        <w:t>day</w:t>
      </w:r>
      <w:r>
        <w:rPr>
          <w:rFonts w:ascii="Arial" w:cs="Arial" w:eastAsia="Arial" w:hAnsi="Arial"/>
          <w:sz w:val="17"/>
          <w:szCs w:val="17"/>
          <w:color w:val="auto"/>
        </w:rPr>
        <w:t>] [</w:t>
      </w:r>
      <w:r>
        <w:rPr>
          <w:rFonts w:ascii="Arial" w:cs="Arial" w:eastAsia="Arial" w:hAnsi="Arial"/>
          <w:sz w:val="17"/>
          <w:szCs w:val="17"/>
          <w:i w:val="1"/>
          <w:iCs w:val="1"/>
          <w:color w:val="auto"/>
        </w:rPr>
        <w:t>month</w:t>
      </w:r>
      <w:r>
        <w:rPr>
          <w:rFonts w:ascii="Arial" w:cs="Arial" w:eastAsia="Arial" w:hAnsi="Arial"/>
          <w:sz w:val="17"/>
          <w:szCs w:val="17"/>
          <w:color w:val="auto"/>
        </w:rPr>
        <w:t>] [</w:t>
      </w:r>
      <w:r>
        <w:rPr>
          <w:rFonts w:ascii="Arial" w:cs="Arial" w:eastAsia="Arial" w:hAnsi="Arial"/>
          <w:sz w:val="17"/>
          <w:szCs w:val="17"/>
          <w:i w:val="1"/>
          <w:iCs w:val="1"/>
          <w:color w:val="auto"/>
        </w:rPr>
        <w:t>year</w:t>
      </w:r>
      <w:r>
        <w:rPr>
          <w:rFonts w:ascii="Arial" w:cs="Arial" w:eastAsia="Arial" w:hAnsi="Arial"/>
          <w:sz w:val="17"/>
          <w:szCs w:val="17"/>
          <w:color w:val="auto"/>
        </w:rPr>
        <w:t>] the owner of the title to the following airframe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Airframe</w:t>
      </w:r>
      <w:r>
        <w:rPr>
          <w:rFonts w:ascii="Arial" w:cs="Arial" w:eastAsia="Arial" w:hAnsi="Arial"/>
          <w:sz w:val="17"/>
          <w:szCs w:val="17"/>
          <w:color w:val="auto"/>
        </w:rPr>
        <w:t>”), the [engines/propulsion systems] as specified (the “[</w:t>
      </w:r>
      <w:r>
        <w:rPr>
          <w:rFonts w:ascii="Arial" w:cs="Arial" w:eastAsia="Arial" w:hAnsi="Arial"/>
          <w:sz w:val="17"/>
          <w:szCs w:val="17"/>
          <w:b w:val="1"/>
          <w:bCs w:val="1"/>
          <w:color w:val="auto"/>
        </w:rPr>
        <w:t>Engines</w:t>
      </w:r>
      <w:r>
        <w:rPr>
          <w:rFonts w:ascii="Arial" w:cs="Arial" w:eastAsia="Arial" w:hAnsi="Arial"/>
          <w:sz w:val="17"/>
          <w:szCs w:val="17"/>
          <w:color w:val="auto"/>
        </w:rPr>
        <w:t>/</w:t>
      </w:r>
      <w:r>
        <w:rPr>
          <w:rFonts w:ascii="Arial" w:cs="Arial" w:eastAsia="Arial" w:hAnsi="Arial"/>
          <w:sz w:val="17"/>
          <w:szCs w:val="17"/>
          <w:b w:val="1"/>
          <w:bCs w:val="1"/>
          <w:color w:val="auto"/>
        </w:rPr>
        <w:t>Propulsion Systems</w:t>
      </w:r>
      <w:r>
        <w:rPr>
          <w:rFonts w:ascii="Arial" w:cs="Arial" w:eastAsia="Arial" w:hAnsi="Arial"/>
          <w:sz w:val="17"/>
          <w:szCs w:val="17"/>
          <w:color w:val="auto"/>
        </w:rPr>
        <w:t>]”) and all appliances, components, parts,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appurtenances, accessories, furnishings, modules and other equipment of any nature, excluding buyer furnished equipment (“</w:t>
      </w:r>
      <w:r>
        <w:rPr>
          <w:rFonts w:ascii="Arial" w:cs="Arial" w:eastAsia="Arial" w:hAnsi="Arial"/>
          <w:sz w:val="16"/>
          <w:szCs w:val="16"/>
          <w:b w:val="1"/>
          <w:bCs w:val="1"/>
          <w:color w:val="auto"/>
        </w:rPr>
        <w:t>BFE</w:t>
      </w:r>
      <w:r>
        <w:rPr>
          <w:rFonts w:ascii="Arial" w:cs="Arial" w:eastAsia="Arial" w:hAnsi="Arial"/>
          <w:sz w:val="16"/>
          <w:szCs w:val="16"/>
          <w:color w:val="auto"/>
        </w:rPr>
        <w:t>”), incorporated therein,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installed thereon or attached thereto on the date hereof (the “</w:t>
      </w:r>
      <w:r>
        <w:rPr>
          <w:rFonts w:ascii="Arial" w:cs="Arial" w:eastAsia="Arial" w:hAnsi="Arial"/>
          <w:sz w:val="18"/>
          <w:szCs w:val="18"/>
          <w:b w:val="1"/>
          <w:bCs w:val="1"/>
          <w:color w:val="auto"/>
        </w:rPr>
        <w:t>Parts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AIRFRAME</w:t>
            </w:r>
            <w:r>
              <w:rPr>
                <w:rFonts w:ascii="Arial" w:cs="Arial" w:eastAsia="Arial" w:hAnsi="Arial"/>
                <w:sz w:val="18"/>
                <w:szCs w:val="18"/>
                <w:color w:val="auto"/>
              </w:rPr>
              <w:t>:</w:t>
            </w:r>
          </w:p>
        </w:tc>
        <w:tc>
          <w:tcPr>
            <w:tcW w:w="5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ENGINES/PROPULSION SYSTEMS]</w:t>
            </w:r>
            <w:r>
              <w:rPr>
                <w:rFonts w:ascii="Arial" w:cs="Arial" w:eastAsia="Arial" w:hAnsi="Arial"/>
                <w:sz w:val="18"/>
                <w:szCs w:val="18"/>
                <w:color w:val="auto"/>
              </w:rPr>
              <w:t>:</w:t>
            </w: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7"/>
        </w:trPr>
        <w:tc>
          <w:tcPr>
            <w:tcW w:w="5960" w:type="dxa"/>
            <w:vAlign w:val="bottom"/>
            <w:gridSpan w:val="5"/>
          </w:tcPr>
          <w:p>
            <w:pPr>
              <w:spacing w:after="0"/>
              <w:rPr>
                <w:sz w:val="20"/>
                <w:szCs w:val="20"/>
                <w:color w:val="auto"/>
              </w:rPr>
            </w:pPr>
            <w:r>
              <w:rPr>
                <w:rFonts w:ascii="Arial" w:cs="Arial" w:eastAsia="Arial" w:hAnsi="Arial"/>
                <w:sz w:val="18"/>
                <w:szCs w:val="18"/>
                <w:color w:val="auto"/>
              </w:rPr>
              <w:t>AIRBUS Model A3[●]-[●]</w:t>
            </w:r>
          </w:p>
        </w:tc>
        <w:tc>
          <w:tcPr>
            <w:tcW w:w="5020" w:type="dxa"/>
            <w:vAlign w:val="bottom"/>
            <w:gridSpan w:val="4"/>
          </w:tcPr>
          <w:p>
            <w:pPr>
              <w:spacing w:after="0"/>
              <w:rPr>
                <w:sz w:val="20"/>
                <w:szCs w:val="20"/>
                <w:color w:val="auto"/>
              </w:rPr>
            </w:pPr>
            <w:r>
              <w:rPr>
                <w:rFonts w:ascii="Arial" w:cs="Arial" w:eastAsia="Arial" w:hAnsi="Arial"/>
                <w:sz w:val="18"/>
                <w:szCs w:val="18"/>
                <w:color w:val="auto"/>
                <w:w w:val="91"/>
              </w:rPr>
              <w:t>[Insert name of engine or propulsion system manufacturer] Model [●]</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DATE OF MANUFACTURE: </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20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r>
      <w:tr>
        <w:trPr>
          <w:trHeight w:val="30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MANUFACTURER’S SERIAL NUMBER</w:t>
            </w:r>
            <w:r>
              <w:rPr>
                <w:rFonts w:ascii="Arial" w:cs="Arial" w:eastAsia="Arial" w:hAnsi="Arial"/>
                <w:sz w:val="18"/>
                <w:szCs w:val="18"/>
                <w:color w:val="auto"/>
              </w:rPr>
              <w:t>: [●]</w:t>
            </w:r>
          </w:p>
        </w:tc>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ENGINE SERIAL NUMBERS</w:t>
            </w:r>
            <w:r>
              <w:rPr>
                <w:rFonts w:ascii="Arial" w:cs="Arial" w:eastAsia="Arial" w:hAnsi="Arial"/>
                <w:sz w:val="18"/>
                <w:szCs w:val="18"/>
                <w:color w:val="auto"/>
              </w:rPr>
              <w:t>:</w:t>
            </w:r>
          </w:p>
        </w:tc>
      </w:tr>
      <w:tr>
        <w:trPr>
          <w:trHeight w:val="222"/>
        </w:trPr>
        <w:tc>
          <w:tcPr>
            <w:tcW w:w="10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80" w:type="dxa"/>
            <w:vAlign w:val="bottom"/>
          </w:tcPr>
          <w:p>
            <w:pPr>
              <w:spacing w:after="0"/>
              <w:rPr>
                <w:sz w:val="19"/>
                <w:szCs w:val="19"/>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LH: [●]</w:t>
            </w:r>
          </w:p>
        </w:tc>
        <w:tc>
          <w:tcPr>
            <w:tcW w:w="2660" w:type="dxa"/>
            <w:vAlign w:val="bottom"/>
            <w:gridSpan w:val="2"/>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RH: [●]</w:t>
            </w:r>
          </w:p>
        </w:tc>
      </w:tr>
      <w:tr>
        <w:trPr>
          <w:trHeight w:val="29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REGISTRATION MARK</w:t>
            </w: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Airframe, [Engines/Propulsion Systems] and Parts are hereafter together referred to as the “</w:t>
      </w:r>
      <w:r>
        <w:rPr>
          <w:rFonts w:ascii="Arial" w:cs="Arial" w:eastAsia="Arial" w:hAnsi="Arial"/>
          <w:sz w:val="18"/>
          <w:szCs w:val="18"/>
          <w:b w:val="1"/>
          <w:bCs w:val="1"/>
          <w:color w:val="auto"/>
        </w:rPr>
        <w:t>Aircraft</w:t>
      </w:r>
      <w:r>
        <w:rPr>
          <w:rFonts w:ascii="Arial" w:cs="Arial" w:eastAsia="Arial" w:hAnsi="Arial"/>
          <w:sz w:val="18"/>
          <w:szCs w:val="18"/>
          <w:color w:val="auto"/>
        </w:rPr>
        <w: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Seller does this day of [month] [year], grant, convey, bargain, sell, transfer, deliver and set over all of its rights, title and interest in and to the Aircraft to the following entity and to its successors and assigns forever, such Aircraft to be the property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-182245</wp:posOffset>
            </wp:positionV>
            <wp:extent cx="1143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Name/Address of Buyer</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Seller hereby warrants to the Buyer, its successors and assigns that it has good and lawful right to sell, deliver and transfer title to the Aircraft to the Buyer and that there is hereby conveyed to the Buyer good, legal and valid title to the Aircraft, free and clear of all liens, claims, charges, encumbrances and rights of others and that the Seller will warrant and defend such title forever against all claims and demands whatsoever.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Warranty Bill of Sale is governed by and shall be construed in accordance with the laws of the State of New York.</w:t>
      </w:r>
    </w:p>
    <w:p>
      <w:pPr>
        <w:sectPr>
          <w:pgSz w:w="11900" w:h="16838" w:orient="portrait"/>
          <w:cols w:equalWidth="0" w:num="1">
            <w:col w:w="11420"/>
          </w:cols>
          <w:pgMar w:left="240" w:top="27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D</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EXHIBIT E-2</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WITNESS WHEREOF, the Seller has caused this instrument to be executed by its duly authorized representative this day of [month], [year] in [Blagnac, France/Hamburg,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-182245</wp:posOffset>
            </wp:positionV>
            <wp:extent cx="1143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AIRBUS S.A.S.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960" w:type="dxa"/>
            <w:vAlign w:val="bottom"/>
          </w:tcPr>
          <w:p>
            <w:pPr>
              <w:ind w:left="3880"/>
              <w:spacing w:after="0"/>
              <w:rPr>
                <w:sz w:val="20"/>
                <w:szCs w:val="20"/>
                <w:color w:val="auto"/>
              </w:rPr>
            </w:pPr>
            <w:r>
              <w:rPr>
                <w:rFonts w:ascii="Arial" w:cs="Arial" w:eastAsia="Arial" w:hAnsi="Arial"/>
                <w:sz w:val="18"/>
                <w:szCs w:val="18"/>
                <w:b w:val="1"/>
                <w:bCs w:val="1"/>
                <w:color w:val="auto"/>
              </w:rPr>
              <w:t>EXHIBIT E-2</w:t>
            </w:r>
          </w:p>
        </w:tc>
      </w:tr>
      <w:tr>
        <w:trPr>
          <w:trHeight w:val="432"/>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00" w:type="dxa"/>
            <w:vAlign w:val="bottom"/>
            <w:gridSpan w:val="3"/>
          </w:tcPr>
          <w:p>
            <w:pPr>
              <w:ind w:left="900"/>
              <w:spacing w:after="0"/>
              <w:rPr>
                <w:sz w:val="20"/>
                <w:szCs w:val="20"/>
                <w:color w:val="auto"/>
              </w:rPr>
            </w:pPr>
            <w:r>
              <w:rPr>
                <w:rFonts w:ascii="Arial" w:cs="Arial" w:eastAsia="Arial" w:hAnsi="Arial"/>
                <w:sz w:val="18"/>
                <w:szCs w:val="18"/>
                <w:b w:val="1"/>
                <w:bCs w:val="1"/>
                <w:color w:val="auto"/>
              </w:rPr>
              <w:t>AIRBUS WARRANTY</w:t>
            </w:r>
          </w:p>
        </w:tc>
      </w:tr>
      <w:tr>
        <w:trPr>
          <w:trHeight w:val="392"/>
        </w:trPr>
        <w:tc>
          <w:tcPr>
            <w:tcW w:w="2440" w:type="dxa"/>
            <w:vAlign w:val="bottom"/>
            <w:gridSpan w:val="6"/>
          </w:tcPr>
          <w:p>
            <w:pPr>
              <w:spacing w:after="0"/>
              <w:rPr>
                <w:sz w:val="20"/>
                <w:szCs w:val="20"/>
                <w:color w:val="auto"/>
              </w:rPr>
            </w:pPr>
            <w:r>
              <w:rPr>
                <w:rFonts w:ascii="Arial" w:cs="Arial" w:eastAsia="Arial" w:hAnsi="Arial"/>
                <w:sz w:val="18"/>
                <w:szCs w:val="18"/>
                <w:color w:val="auto"/>
                <w:w w:val="92"/>
              </w:rPr>
              <w:t>Airbus S.A.S. hereby warrants to</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5"/>
          </w:tcPr>
          <w:p>
            <w:pPr>
              <w:ind w:left="20"/>
              <w:spacing w:after="0"/>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color w:val="auto"/>
                <w:w w:val="90"/>
              </w:rPr>
              <w:t>Buyer</w:t>
            </w:r>
            <w:r>
              <w:rPr>
                <w:rFonts w:ascii="Arial" w:cs="Arial" w:eastAsia="Arial" w:hAnsi="Arial"/>
                <w:sz w:val="18"/>
                <w:szCs w:val="18"/>
                <w:color w:val="auto"/>
                <w:w w:val="90"/>
              </w:rPr>
              <w:t>”), its successors and assigns that the Warranty Bill of Sale executed by Airbus Americas Inc. dated</w:t>
            </w:r>
          </w:p>
        </w:tc>
      </w:tr>
      <w:tr>
        <w:trPr>
          <w:trHeight w:val="196"/>
        </w:trPr>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3"/>
              </w:rPr>
              <w:t>and relating to one A3</w:t>
            </w:r>
          </w:p>
        </w:tc>
        <w:tc>
          <w:tcPr>
            <w:tcW w:w="360" w:type="dxa"/>
            <w:vAlign w:val="bottom"/>
            <w:tcBorders>
              <w:bottom w:val="single" w:sz="8" w:color="auto"/>
            </w:tcBorders>
          </w:tcPr>
          <w:p>
            <w:pPr>
              <w:spacing w:after="0"/>
              <w:rPr>
                <w:sz w:val="17"/>
                <w:szCs w:val="17"/>
                <w:color w:val="auto"/>
              </w:rPr>
            </w:pPr>
          </w:p>
        </w:tc>
        <w:tc>
          <w:tcPr>
            <w:tcW w:w="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40" w:type="dxa"/>
            <w:vAlign w:val="bottom"/>
          </w:tcPr>
          <w:p>
            <w:pPr>
              <w:ind w:left="60"/>
              <w:spacing w:after="0" w:line="196" w:lineRule="exact"/>
              <w:rPr>
                <w:sz w:val="20"/>
                <w:szCs w:val="20"/>
                <w:color w:val="auto"/>
              </w:rPr>
            </w:pPr>
            <w:r>
              <w:rPr>
                <w:rFonts w:ascii="Arial" w:cs="Arial" w:eastAsia="Arial" w:hAnsi="Arial"/>
                <w:sz w:val="18"/>
                <w:szCs w:val="18"/>
                <w:color w:val="auto"/>
                <w:w w:val="94"/>
              </w:rPr>
              <w:t>aircraft bearing MSN</w:t>
            </w:r>
          </w:p>
        </w:tc>
        <w:tc>
          <w:tcPr>
            <w:tcW w:w="900" w:type="dxa"/>
            <w:vAlign w:val="bottom"/>
            <w:tcBorders>
              <w:bottom w:val="single" w:sz="8" w:color="auto"/>
            </w:tcBorders>
          </w:tcPr>
          <w:p>
            <w:pPr>
              <w:spacing w:after="0"/>
              <w:rPr>
                <w:sz w:val="17"/>
                <w:szCs w:val="17"/>
                <w:color w:val="auto"/>
              </w:rPr>
            </w:pPr>
          </w:p>
        </w:tc>
        <w:tc>
          <w:tcPr>
            <w:tcW w:w="4960" w:type="dxa"/>
            <w:vAlign w:val="bottom"/>
          </w:tcPr>
          <w:p>
            <w:pPr>
              <w:ind w:left="40"/>
              <w:spacing w:after="0" w:line="196" w:lineRule="exact"/>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Aircraft</w:t>
            </w:r>
            <w:r>
              <w:rPr>
                <w:rFonts w:ascii="Arial" w:cs="Arial" w:eastAsia="Arial" w:hAnsi="Arial"/>
                <w:sz w:val="18"/>
                <w:szCs w:val="18"/>
                <w:color w:val="auto"/>
                <w:w w:val="92"/>
              </w:rPr>
              <w:t>”) conveys to the said Buyer on the date hereof good,</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40"/>
        <w:spacing w:after="0" w:line="286" w:lineRule="auto"/>
        <w:rPr>
          <w:sz w:val="20"/>
          <w:szCs w:val="20"/>
          <w:color w:val="auto"/>
        </w:rPr>
      </w:pPr>
      <w:r>
        <w:rPr>
          <w:rFonts w:ascii="Arial" w:cs="Arial" w:eastAsia="Arial" w:hAnsi="Arial"/>
          <w:sz w:val="17"/>
          <w:szCs w:val="17"/>
          <w:color w:val="auto"/>
        </w:rPr>
        <w:t>legal and valid title to the Aircraft, the [engines/propulsion systems], appliances, components, parts, instruments, appurtenances, accessories, furnishings, modules and other equipment of any nature, as described in the Warranty Bill of Sale, free and clear of all liens, claims, charges, encumbrances and rights of others, and that Airbus S.A.S. will warrant and defend such title forever against all claims and demands whatsoever.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Airbus Warranty is governed by and shall be construed in accordance with the laws of the State of New York.</w:t>
      </w:r>
    </w:p>
    <w:p>
      <w:pPr>
        <w:spacing w:after="0" w:line="221" w:lineRule="exact"/>
        <w:rPr>
          <w:sz w:val="20"/>
          <w:szCs w:val="20"/>
          <w:color w:val="auto"/>
        </w:rPr>
      </w:pPr>
    </w:p>
    <w:p>
      <w:pPr>
        <w:spacing w:after="0"/>
        <w:tabs>
          <w:tab w:leader="none" w:pos="9820" w:val="left"/>
        </w:tabs>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Airbus S.A.S. has caused this Airbus Warranty to be executed by its duly authorized representative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6106795</wp:posOffset>
            </wp:positionH>
            <wp:positionV relativeFrom="paragraph">
              <wp:posOffset>-635</wp:posOffset>
            </wp:positionV>
            <wp:extent cx="1143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-635</wp:posOffset>
            </wp:positionV>
            <wp:extent cx="3429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29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AIRBUS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F</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[*CTR] </w:t>
      </w:r>
      <w:r>
        <w:rPr>
          <w:rFonts w:ascii="Arial" w:cs="Arial" w:eastAsia="Arial" w:hAnsi="Arial"/>
          <w:sz w:val="18"/>
          <w:szCs w:val="18"/>
          <w:color w:val="auto"/>
        </w:rPr>
        <w:t>OPTION AIRCRAFT DELIVERY SCHEDULE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Batch consisting of</w:t>
            </w: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xml:space="preserve">[*CTR] </w:t>
            </w:r>
            <w:r>
              <w:rPr>
                <w:rFonts w:ascii="Arial" w:cs="Arial" w:eastAsia="Arial" w:hAnsi="Arial"/>
                <w:sz w:val="14"/>
                <w:szCs w:val="14"/>
                <w:color w:val="auto"/>
              </w:rPr>
              <w:t>Option</w:t>
            </w:r>
          </w:p>
        </w:tc>
        <w:tc>
          <w:tcPr>
            <w:tcW w:w="284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w w:val="94"/>
              </w:rPr>
              <w:t>Scheduled Delivery</w:t>
            </w:r>
          </w:p>
        </w:tc>
        <w:tc>
          <w:tcPr>
            <w:tcW w:w="2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[*CTR] </w:t>
            </w:r>
            <w:r>
              <w:rPr>
                <w:rFonts w:ascii="Arial" w:cs="Arial" w:eastAsia="Arial" w:hAnsi="Arial"/>
                <w:sz w:val="14"/>
                <w:szCs w:val="14"/>
                <w:color w:val="auto"/>
                <w:w w:val="96"/>
              </w:rPr>
              <w:t>Option Exercise Notice Date</w:t>
            </w:r>
          </w:p>
        </w:tc>
        <w:tc>
          <w:tcPr>
            <w:tcW w:w="0" w:type="dxa"/>
            <w:vAlign w:val="bottom"/>
          </w:tcPr>
          <w:p>
            <w:pPr>
              <w:spacing w:after="0"/>
              <w:rPr>
                <w:sz w:val="1"/>
                <w:szCs w:val="1"/>
                <w:color w:val="auto"/>
              </w:rPr>
            </w:pPr>
          </w:p>
        </w:tc>
      </w:tr>
      <w:tr>
        <w:trPr>
          <w:trHeight w:val="181"/>
        </w:trPr>
        <w:tc>
          <w:tcPr>
            <w:tcW w:w="30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Aircraft bearing rank</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Quarter</w:t>
            </w: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[*CTR]</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[*CTR]</w:t>
            </w:r>
          </w:p>
        </w:tc>
        <w:tc>
          <w:tcPr>
            <w:tcW w:w="80" w:type="dxa"/>
            <w:vAlign w:val="bottom"/>
          </w:tcPr>
          <w:p>
            <w:pPr>
              <w:spacing w:after="0"/>
              <w:rPr>
                <w:sz w:val="16"/>
                <w:szCs w:val="16"/>
                <w:color w:val="auto"/>
              </w:rPr>
            </w:pPr>
          </w:p>
        </w:tc>
        <w:tc>
          <w:tcPr>
            <w:tcW w:w="2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34"/>
        </w:trPr>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30" w:name="page131"/>
    <w:bookmarkEnd w:id="130"/>
    <w:tbl>
      <w:tblPr>
        <w:tblLayout w:type="fixed"/>
        <w:tblInd w:w="9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ATTACHMENT F</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IIA</w:t>
            </w:r>
          </w:p>
        </w:tc>
        <w:tc>
          <w:tcPr>
            <w:tcW w:w="0" w:type="dxa"/>
            <w:vAlign w:val="bottom"/>
          </w:tcPr>
          <w:p>
            <w:pPr>
              <w:spacing w:after="0"/>
              <w:rPr>
                <w:sz w:val="1"/>
                <w:szCs w:val="1"/>
                <w:color w:val="auto"/>
              </w:rPr>
            </w:pPr>
          </w:p>
        </w:tc>
      </w:tr>
      <w:tr>
        <w:trPr>
          <w:trHeight w:val="369"/>
        </w:trPr>
        <w:tc>
          <w:tcPr>
            <w:tcW w:w="33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Batch consisting of</w:t>
            </w: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xml:space="preserve">[*CTR] </w:t>
            </w:r>
            <w:r>
              <w:rPr>
                <w:rFonts w:ascii="Arial" w:cs="Arial" w:eastAsia="Arial" w:hAnsi="Arial"/>
                <w:sz w:val="14"/>
                <w:szCs w:val="14"/>
                <w:color w:val="auto"/>
              </w:rPr>
              <w:t>Option</w:t>
            </w:r>
          </w:p>
        </w:tc>
        <w:tc>
          <w:tcPr>
            <w:tcW w:w="314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w w:val="94"/>
              </w:rPr>
              <w:t>Scheduled Delivery</w:t>
            </w:r>
          </w:p>
        </w:tc>
        <w:tc>
          <w:tcPr>
            <w:tcW w:w="398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6"/>
              </w:rPr>
              <w:t xml:space="preserve">[*CTR] </w:t>
            </w:r>
            <w:r>
              <w:rPr>
                <w:rFonts w:ascii="Arial" w:cs="Arial" w:eastAsia="Arial" w:hAnsi="Arial"/>
                <w:sz w:val="14"/>
                <w:szCs w:val="14"/>
                <w:color w:val="auto"/>
                <w:w w:val="96"/>
              </w:rPr>
              <w:t>Option Exercise Notice Date</w:t>
            </w:r>
          </w:p>
        </w:tc>
        <w:tc>
          <w:tcPr>
            <w:tcW w:w="0" w:type="dxa"/>
            <w:vAlign w:val="bottom"/>
          </w:tcPr>
          <w:p>
            <w:pPr>
              <w:spacing w:after="0"/>
              <w:rPr>
                <w:sz w:val="1"/>
                <w:szCs w:val="1"/>
                <w:color w:val="auto"/>
              </w:rPr>
            </w:pPr>
          </w:p>
        </w:tc>
      </w:tr>
      <w:tr>
        <w:trPr>
          <w:trHeight w:val="181"/>
        </w:trPr>
        <w:tc>
          <w:tcPr>
            <w:tcW w:w="33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Aircraft bearing rank</w:t>
            </w:r>
          </w:p>
        </w:tc>
        <w:tc>
          <w:tcPr>
            <w:tcW w:w="31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Quarter</w:t>
            </w:r>
          </w:p>
        </w:tc>
        <w:tc>
          <w:tcPr>
            <w:tcW w:w="3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[*CTR]</w:t>
            </w:r>
          </w:p>
        </w:tc>
        <w:tc>
          <w:tcPr>
            <w:tcW w:w="120" w:type="dxa"/>
            <w:vAlign w:val="bottom"/>
          </w:tcPr>
          <w:p>
            <w:pPr>
              <w:spacing w:after="0"/>
              <w:rPr>
                <w:sz w:val="16"/>
                <w:szCs w:val="16"/>
                <w:color w:val="auto"/>
              </w:rPr>
            </w:pPr>
          </w:p>
        </w:tc>
        <w:tc>
          <w:tcPr>
            <w:tcW w:w="3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[*CTR]</w:t>
            </w:r>
          </w:p>
        </w:tc>
        <w:tc>
          <w:tcPr>
            <w:tcW w:w="80" w:type="dxa"/>
            <w:vAlign w:val="bottom"/>
          </w:tcPr>
          <w:p>
            <w:pPr>
              <w:spacing w:after="0"/>
              <w:rPr>
                <w:sz w:val="16"/>
                <w:szCs w:val="16"/>
                <w:color w:val="auto"/>
              </w:rPr>
            </w:pPr>
          </w:p>
        </w:tc>
        <w:tc>
          <w:tcPr>
            <w:tcW w:w="3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[*CTR]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3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39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34"/>
        </w:trPr>
        <w:tc>
          <w:tcPr>
            <w:tcW w:w="3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[*CTR]</w:t>
            </w:r>
          </w:p>
        </w:tc>
        <w:tc>
          <w:tcPr>
            <w:tcW w:w="3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[*CTR]</w:t>
            </w:r>
          </w:p>
        </w:tc>
        <w:tc>
          <w:tcPr>
            <w:tcW w:w="39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00" w:type="dxa"/>
            <w:vAlign w:val="bottom"/>
            <w:gridSpan w:val="7"/>
          </w:tcPr>
          <w:p>
            <w:pPr>
              <w:jc w:val="right"/>
              <w:ind w:right="220"/>
              <w:spacing w:after="0"/>
              <w:rPr>
                <w:sz w:val="20"/>
                <w:szCs w:val="20"/>
                <w:color w:val="auto"/>
              </w:rPr>
            </w:pPr>
            <w:r>
              <w:rPr>
                <w:rFonts w:ascii="Arial" w:cs="Arial" w:eastAsia="Arial" w:hAnsi="Arial"/>
                <w:sz w:val="14"/>
                <w:szCs w:val="14"/>
                <w:color w:val="auto"/>
                <w:w w:val="96"/>
              </w:rPr>
              <w:t>Three Months Ended</w:t>
            </w:r>
          </w:p>
        </w:tc>
        <w:tc>
          <w:tcPr>
            <w:tcW w:w="160" w:type="dxa"/>
            <w:vAlign w:val="bottom"/>
          </w:tcPr>
          <w:p>
            <w:pPr>
              <w:spacing w:after="0"/>
              <w:rPr>
                <w:sz w:val="14"/>
                <w:szCs w:val="14"/>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Nine Months Ended</w:t>
            </w:r>
          </w:p>
        </w:tc>
      </w:tr>
      <w:tr>
        <w:trPr>
          <w:trHeight w:val="167"/>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40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4"/>
                <w:szCs w:val="14"/>
                <w:color w:val="auto"/>
              </w:rPr>
              <w:t>September 30,</w:t>
            </w:r>
          </w:p>
        </w:tc>
      </w:tr>
      <w:tr>
        <w:trPr>
          <w:trHeight w:val="142"/>
        </w:trPr>
        <w:tc>
          <w:tcPr>
            <w:tcW w:w="8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$2,645</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Add: Total fixed charges (per below)</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1,439</w:t>
            </w:r>
          </w:p>
        </w:tc>
        <w:tc>
          <w:tcPr>
            <w:tcW w:w="50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color w:val="auto"/>
              </w:rPr>
              <w:t>Total earnings before income taxes</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692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Portion of rental expense representative of the interest factor</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1,439</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1,443</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nine month period ended September 30, 2014 includes non-cash interest accretion related to Bankruptcy Settlement Obligations.</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80" w:type="dxa"/>
            <w:vAlign w:val="bottom"/>
            <w:gridSpan w:val="6"/>
          </w:tcPr>
          <w:p>
            <w:pPr>
              <w:jc w:val="right"/>
              <w:ind w:right="200"/>
              <w:spacing w:after="0"/>
              <w:rPr>
                <w:sz w:val="20"/>
                <w:szCs w:val="20"/>
                <w:color w:val="auto"/>
              </w:rPr>
            </w:pPr>
            <w:r>
              <w:rPr>
                <w:rFonts w:ascii="Arial" w:cs="Arial" w:eastAsia="Arial" w:hAnsi="Arial"/>
                <w:sz w:val="14"/>
                <w:szCs w:val="14"/>
                <w:color w:val="auto"/>
                <w:w w:val="96"/>
              </w:rPr>
              <w:t>Three Months Ended</w:t>
            </w:r>
          </w:p>
        </w:tc>
        <w:tc>
          <w:tcPr>
            <w:tcW w:w="160" w:type="dxa"/>
            <w:vAlign w:val="bottom"/>
          </w:tcPr>
          <w:p>
            <w:pPr>
              <w:spacing w:after="0"/>
              <w:rPr>
                <w:sz w:val="14"/>
                <w:szCs w:val="1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w w:val="99"/>
              </w:rPr>
              <w:t>Nine Months Ended</w:t>
            </w:r>
          </w:p>
        </w:tc>
      </w:tr>
      <w:tr>
        <w:trPr>
          <w:trHeight w:val="167"/>
        </w:trPr>
        <w:tc>
          <w:tcPr>
            <w:tcW w:w="6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right"/>
              <w:ind w:right="40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September 30,</w:t>
            </w:r>
          </w:p>
        </w:tc>
      </w:tr>
      <w:tr>
        <w:trPr>
          <w:trHeight w:val="142"/>
        </w:trPr>
        <w:tc>
          <w:tcPr>
            <w:tcW w:w="6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9"/>
              </w:rPr>
              <w:t>2015</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2015</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2"/>
                <w:szCs w:val="12"/>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Add: Total fixed charges (per below)</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329</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ind w:left="720"/>
              <w:spacing w:after="0"/>
              <w:rPr>
                <w:sz w:val="20"/>
                <w:szCs w:val="20"/>
                <w:color w:val="auto"/>
              </w:rPr>
            </w:pPr>
            <w:r>
              <w:rPr>
                <w:rFonts w:ascii="Arial" w:cs="Arial" w:eastAsia="Arial" w:hAnsi="Arial"/>
                <w:sz w:val="18"/>
                <w:szCs w:val="18"/>
                <w:color w:val="auto"/>
              </w:rPr>
              <w:t>Total earnings before income taxes</w:t>
            </w:r>
          </w:p>
        </w:tc>
        <w:tc>
          <w:tcPr>
            <w:tcW w:w="1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3,575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2,441</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5"/>
                <w:szCs w:val="15"/>
                <w:color w:val="auto"/>
              </w:rPr>
              <w:t>(1)</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Portion of rental expense representative of the interest factor</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23"/>
        </w:trPr>
        <w:tc>
          <w:tcPr>
            <w:tcW w:w="656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nine month period ended September 30, 2014 includes non-cash interest accretion related to Bankruptcy Settlement Obligations.</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2015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 Douglas Parker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October 22, 2015</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J. Kerr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80"/>
              <w:spacing w:after="0"/>
              <w:rPr>
                <w:sz w:val="20"/>
                <w:szCs w:val="20"/>
                <w:color w:val="auto"/>
              </w:rPr>
            </w:pPr>
            <w:r>
              <w:rPr>
                <w:rFonts w:ascii="Arial" w:cs="Arial" w:eastAsia="Arial" w:hAnsi="Arial"/>
                <w:sz w:val="18"/>
                <w:szCs w:val="18"/>
                <w:color w:val="auto"/>
              </w:rPr>
              <w:t>Derek J. Kerr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80"/>
              <w:spacing w:after="0"/>
              <w:rPr>
                <w:sz w:val="20"/>
                <w:szCs w:val="20"/>
                <w:color w:val="auto"/>
              </w:rPr>
            </w:pPr>
            <w:r>
              <w:rPr>
                <w:rFonts w:ascii="Arial" w:cs="Arial" w:eastAsia="Arial" w:hAnsi="Arial"/>
                <w:sz w:val="18"/>
                <w:szCs w:val="18"/>
                <w:color w:val="auto"/>
              </w:rPr>
              <w:t>October 22, 2015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2015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 Douglas Parker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October 22, 2015</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J. Kerr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80"/>
              <w:spacing w:after="0"/>
              <w:rPr>
                <w:sz w:val="20"/>
                <w:szCs w:val="20"/>
                <w:color w:val="auto"/>
              </w:rPr>
            </w:pPr>
            <w:r>
              <w:rPr>
                <w:rFonts w:ascii="Arial" w:cs="Arial" w:eastAsia="Arial" w:hAnsi="Arial"/>
                <w:sz w:val="18"/>
                <w:szCs w:val="18"/>
                <w:color w:val="auto"/>
              </w:rPr>
              <w:t>Derek J. Kerr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80"/>
              <w:spacing w:after="0"/>
              <w:rPr>
                <w:sz w:val="20"/>
                <w:szCs w:val="20"/>
                <w:color w:val="auto"/>
              </w:rPr>
            </w:pPr>
            <w:r>
              <w:rPr>
                <w:rFonts w:ascii="Arial" w:cs="Arial" w:eastAsia="Arial" w:hAnsi="Arial"/>
                <w:sz w:val="18"/>
                <w:szCs w:val="18"/>
                <w:color w:val="auto"/>
              </w:rPr>
              <w:t>October 22, 2015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2"/>
    </w:lvl>
  </w:abstractNum>
  <w:abstractNum w:abstractNumId="3">
    <w:nsid w:val="7724C67E"/>
    <w:multiLevelType w:val="hybridMultilevel"/>
    <w:lvl w:ilvl="0">
      <w:lvlJc w:val="left"/>
      <w:lvlText w:val="(%1)"/>
      <w:numFmt w:val="lowerLetter"/>
      <w:start w:val="1"/>
    </w:lvl>
  </w:abstractNum>
  <w:abstractNum w:abstractNumId="4">
    <w:nsid w:val="5C482A97"/>
    <w:multiLevelType w:val="hybridMultilevel"/>
    <w:lvl w:ilvl="0">
      <w:lvlJc w:val="left"/>
      <w:lvlText w:val="(%1)"/>
      <w:numFmt w:val="lowerLetter"/>
      <w:start w:val="1"/>
    </w:lvl>
  </w:abstractNum>
  <w:abstractNum w:abstractNumId="5">
    <w:nsid w:val="2463B9EA"/>
    <w:multiLevelType w:val="hybridMultilevel"/>
    <w:lvl w:ilvl="0">
      <w:lvlJc w:val="left"/>
      <w:lvlText w:val="(%1)"/>
      <w:numFmt w:val="lowerLetter"/>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2"/>
    </w:lvl>
  </w:abstractNum>
  <w:abstractNum w:abstractNumId="10">
    <w:nsid w:val="153EA438"/>
    <w:multiLevelType w:val="hybridMultilevel"/>
    <w:lvl w:ilvl="0">
      <w:lvlJc w:val="left"/>
      <w:lvlText w:val="(%1)"/>
      <w:numFmt w:val="lowerLetter"/>
      <w:start w:val="1"/>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2"/>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lvl w:ilvl="1">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lowerLetter"/>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2"/>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2"/>
    </w:lvl>
  </w:abstractNum>
  <w:abstractNum w:abstractNumId="52">
    <w:nsid w:val="61574095"/>
    <w:multiLevelType w:val="hybridMultilevel"/>
    <w:lvl w:ilvl="0">
      <w:lvlJc w:val="left"/>
      <w:lvlText w:val="%1."/>
      <w:numFmt w:val="decimal"/>
      <w:start w:val="3"/>
    </w:lvl>
  </w:abstractNum>
  <w:abstractNum w:abstractNumId="53">
    <w:nsid w:val="7E0C57B1"/>
    <w:multiLevelType w:val="hybridMultilevel"/>
    <w:lvl w:ilvl="0">
      <w:lvlJc w:val="left"/>
      <w:lvlText w:val="%1."/>
      <w:numFmt w:val="decimal"/>
      <w:start w:val="4"/>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decimal"/>
      <w:start w:val="2"/>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1)"/>
      <w:numFmt w:val="lowerLetter"/>
      <w:start w:val="2"/>
    </w:lvl>
  </w:abstractNum>
  <w:abstractNum w:abstractNumId="60">
    <w:nsid w:val="1DBABF00"/>
    <w:multiLevelType w:val="hybridMultilevel"/>
    <w:lvl w:ilvl="0">
      <w:lvlJc w:val="left"/>
      <w:lvlText w:val="%1."/>
      <w:numFmt w:val="decimal"/>
      <w:start w:val="5"/>
    </w:lvl>
  </w:abstractNum>
  <w:abstractNum w:abstractNumId="61">
    <w:nsid w:val="4AD084E9"/>
    <w:multiLevelType w:val="hybridMultilevel"/>
    <w:lvl w:ilvl="0">
      <w:lvlJc w:val="left"/>
      <w:lvlText w:val="%1."/>
      <w:numFmt w:val="decimal"/>
      <w:start w:val="11"/>
    </w:lvl>
  </w:abstractNum>
  <w:abstractNum w:abstractNumId="62">
    <w:nsid w:val="1F48EAA1"/>
    <w:multiLevelType w:val="hybridMultilevel"/>
    <w:lvl w:ilvl="0">
      <w:lvlJc w:val="left"/>
      <w:lvlText w:val="%1."/>
      <w:numFmt w:val="decimal"/>
      <w:start w:val="12"/>
    </w:lvl>
    <w:lvl w:ilvl="1">
      <w:lvlJc w:val="left"/>
      <w:lvlText w:val="(%2)"/>
      <w:numFmt w:val="lowerRoman"/>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
    </w:lvl>
    <w:lvl w:ilvl="1">
      <w:lvlJc w:val="left"/>
      <w:lvlText w:val="(%2)"/>
      <w:numFmt w:val="lowerLetter"/>
      <w:start w:val="1"/>
    </w:lvl>
  </w:abstractNum>
  <w:abstractNum w:abstractNumId="66">
    <w:nsid w:val="6590700B"/>
    <w:multiLevelType w:val="hybridMultilevel"/>
    <w:lvl w:ilvl="0">
      <w:lvlJc w:val="left"/>
      <w:lvlText w:val="%1."/>
      <w:numFmt w:val="decimal"/>
      <w:start w:val="1"/>
    </w:lvl>
    <w:lvl w:ilvl="1">
      <w:lvlJc w:val="left"/>
      <w:lvlText w:val="(%2)"/>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2019-12-29T15:38:17Z</dcterms:created>
  <dcterms:modified xsi:type="dcterms:W3CDTF">2019-12-29T15:38:17Z</dcterms:modified>
</cp:coreProperties>
</file>