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288290</wp:posOffset>
            </wp:positionH>
            <wp:positionV relativeFrom="page">
              <wp:posOffset>494665</wp:posOffset>
            </wp:positionV>
            <wp:extent cx="697801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5715"/>
                    </a:xfrm>
                    <a:prstGeom prst="rect">
                      <a:avLst/>
                    </a:prstGeom>
                    <a:noFill/>
                  </pic:spPr>
                </pic:pic>
              </a:graphicData>
            </a:graphic>
          </wp:anchor>
        </w:drawing>
        <w:drawing>
          <wp:anchor simplePos="0" relativeHeight="251657728" behindDoc="1" locked="0" layoutInCell="0" allowOverlap="1">
            <wp:simplePos x="0" y="0"/>
            <wp:positionH relativeFrom="page">
              <wp:posOffset>288290</wp:posOffset>
            </wp:positionH>
            <wp:positionV relativeFrom="page">
              <wp:posOffset>471805</wp:posOffset>
            </wp:positionV>
            <wp:extent cx="697801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571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8-K</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July 22, 2021</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AMERICAN AIRLINES GROUP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AMERICAN AIRLINES,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4660" w:type="dxa"/>
            <w:vAlign w:val="bottom"/>
            <w:gridSpan w:val="3"/>
          </w:tcPr>
          <w:p>
            <w:pPr>
              <w:jc w:val="center"/>
              <w:ind w:right="1300"/>
              <w:spacing w:after="0"/>
              <w:rPr>
                <w:sz w:val="20"/>
                <w:szCs w:val="20"/>
                <w:color w:val="auto"/>
              </w:rPr>
            </w:pPr>
            <w:r>
              <w:rPr>
                <w:rFonts w:ascii="Arial" w:cs="Arial" w:eastAsia="Arial" w:hAnsi="Arial"/>
                <w:sz w:val="12"/>
                <w:szCs w:val="12"/>
                <w:b w:val="1"/>
                <w:bCs w:val="1"/>
                <w:color w:val="auto"/>
                <w:w w:val="98"/>
              </w:rPr>
              <w:t>Delaware</w:t>
            </w:r>
          </w:p>
        </w:tc>
        <w:tc>
          <w:tcPr>
            <w:tcW w:w="1940" w:type="dxa"/>
            <w:vAlign w:val="bottom"/>
          </w:tcPr>
          <w:p>
            <w:pPr>
              <w:jc w:val="center"/>
              <w:ind w:right="182"/>
              <w:spacing w:after="0"/>
              <w:rPr>
                <w:sz w:val="20"/>
                <w:szCs w:val="20"/>
                <w:color w:val="auto"/>
              </w:rPr>
            </w:pPr>
            <w:r>
              <w:rPr>
                <w:rFonts w:ascii="Arial" w:cs="Arial" w:eastAsia="Arial" w:hAnsi="Arial"/>
                <w:sz w:val="12"/>
                <w:szCs w:val="12"/>
                <w:b w:val="1"/>
                <w:bCs w:val="1"/>
                <w:color w:val="auto"/>
              </w:rPr>
              <w:t>1-8400</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80" w:type="dxa"/>
            <w:vAlign w:val="bottom"/>
          </w:tcPr>
          <w:p>
            <w:pPr>
              <w:jc w:val="center"/>
              <w:ind w:left="164"/>
              <w:spacing w:after="0"/>
              <w:rPr>
                <w:sz w:val="20"/>
                <w:szCs w:val="20"/>
                <w:color w:val="auto"/>
              </w:rPr>
            </w:pPr>
            <w:r>
              <w:rPr>
                <w:rFonts w:ascii="Arial" w:cs="Arial" w:eastAsia="Arial" w:hAnsi="Arial"/>
                <w:sz w:val="12"/>
                <w:szCs w:val="12"/>
                <w:b w:val="1"/>
                <w:bCs w:val="1"/>
                <w:color w:val="auto"/>
                <w:w w:val="99"/>
              </w:rPr>
              <w:t>75-1825172</w:t>
            </w:r>
          </w:p>
        </w:tc>
        <w:tc>
          <w:tcPr>
            <w:tcW w:w="240" w:type="dxa"/>
            <w:vAlign w:val="bottom"/>
          </w:tcPr>
          <w:p>
            <w:pPr>
              <w:spacing w:after="0"/>
              <w:rPr>
                <w:sz w:val="13"/>
                <w:szCs w:val="13"/>
                <w:color w:val="auto"/>
              </w:rPr>
            </w:pPr>
          </w:p>
        </w:tc>
      </w:tr>
      <w:tr>
        <w:trPr>
          <w:trHeight w:val="159"/>
        </w:trPr>
        <w:tc>
          <w:tcPr>
            <w:tcW w:w="24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tcPr>
          <w:p>
            <w:pPr>
              <w:jc w:val="center"/>
              <w:ind w:right="184"/>
              <w:spacing w:after="0"/>
              <w:rPr>
                <w:sz w:val="20"/>
                <w:szCs w:val="20"/>
                <w:color w:val="auto"/>
              </w:rPr>
            </w:pPr>
            <w:r>
              <w:rPr>
                <w:rFonts w:ascii="Arial" w:cs="Arial" w:eastAsia="Arial" w:hAnsi="Arial"/>
                <w:sz w:val="12"/>
                <w:szCs w:val="12"/>
                <w:b w:val="1"/>
                <w:bCs w:val="1"/>
                <w:color w:val="auto"/>
                <w:w w:val="98"/>
              </w:rPr>
              <w:t>Delaware</w:t>
            </w:r>
          </w:p>
        </w:tc>
        <w:tc>
          <w:tcPr>
            <w:tcW w:w="2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center"/>
              <w:ind w:right="182"/>
              <w:spacing w:after="0"/>
              <w:rPr>
                <w:sz w:val="20"/>
                <w:szCs w:val="20"/>
                <w:color w:val="auto"/>
              </w:rPr>
            </w:pPr>
            <w:r>
              <w:rPr>
                <w:rFonts w:ascii="Arial" w:cs="Arial" w:eastAsia="Arial" w:hAnsi="Arial"/>
                <w:sz w:val="12"/>
                <w:szCs w:val="12"/>
                <w:b w:val="1"/>
                <w:bCs w:val="1"/>
                <w:color w:val="auto"/>
              </w:rPr>
              <w:t>1-2691</w:t>
            </w: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380" w:type="dxa"/>
            <w:vAlign w:val="bottom"/>
            <w:tcBorders>
              <w:bottom w:val="single" w:sz="8" w:color="auto"/>
            </w:tcBorders>
          </w:tcPr>
          <w:p>
            <w:pPr>
              <w:jc w:val="center"/>
              <w:ind w:left="164"/>
              <w:spacing w:after="0"/>
              <w:rPr>
                <w:sz w:val="20"/>
                <w:szCs w:val="20"/>
                <w:color w:val="auto"/>
              </w:rPr>
            </w:pPr>
            <w:r>
              <w:rPr>
                <w:rFonts w:ascii="Arial" w:cs="Arial" w:eastAsia="Arial" w:hAnsi="Arial"/>
                <w:sz w:val="12"/>
                <w:szCs w:val="12"/>
                <w:b w:val="1"/>
                <w:bCs w:val="1"/>
                <w:color w:val="auto"/>
                <w:w w:val="99"/>
              </w:rPr>
              <w:t>13-1502798</w:t>
            </w:r>
          </w:p>
        </w:tc>
        <w:tc>
          <w:tcPr>
            <w:tcW w:w="240" w:type="dxa"/>
            <w:vAlign w:val="bottom"/>
            <w:tcBorders>
              <w:bottom w:val="single" w:sz="8" w:color="auto"/>
            </w:tcBorders>
          </w:tcPr>
          <w:p>
            <w:pPr>
              <w:spacing w:after="0"/>
              <w:rPr>
                <w:sz w:val="13"/>
                <w:szCs w:val="13"/>
                <w:color w:val="auto"/>
              </w:rPr>
            </w:pPr>
          </w:p>
        </w:tc>
      </w:tr>
      <w:tr>
        <w:trPr>
          <w:trHeight w:val="116"/>
        </w:trPr>
        <w:tc>
          <w:tcPr>
            <w:tcW w:w="240" w:type="dxa"/>
            <w:vAlign w:val="bottom"/>
          </w:tcPr>
          <w:p>
            <w:pPr>
              <w:spacing w:after="0"/>
              <w:rPr>
                <w:sz w:val="10"/>
                <w:szCs w:val="10"/>
                <w:color w:val="auto"/>
              </w:rPr>
            </w:pPr>
          </w:p>
        </w:tc>
        <w:tc>
          <w:tcPr>
            <w:tcW w:w="4660" w:type="dxa"/>
            <w:vAlign w:val="bottom"/>
            <w:gridSpan w:val="3"/>
          </w:tcPr>
          <w:p>
            <w:pPr>
              <w:jc w:val="center"/>
              <w:ind w:right="1320"/>
              <w:spacing w:after="0"/>
              <w:rPr>
                <w:sz w:val="20"/>
                <w:szCs w:val="20"/>
                <w:color w:val="auto"/>
              </w:rPr>
            </w:pPr>
            <w:r>
              <w:rPr>
                <w:rFonts w:ascii="Arial" w:cs="Arial" w:eastAsia="Arial" w:hAnsi="Arial"/>
                <w:sz w:val="10"/>
                <w:szCs w:val="10"/>
                <w:b w:val="1"/>
                <w:bCs w:val="1"/>
                <w:color w:val="auto"/>
                <w:w w:val="95"/>
              </w:rPr>
              <w:t>(State or other Jurisdiction of Incorporation)</w:t>
            </w:r>
          </w:p>
        </w:tc>
        <w:tc>
          <w:tcPr>
            <w:tcW w:w="2760" w:type="dxa"/>
            <w:vAlign w:val="bottom"/>
            <w:gridSpan w:val="4"/>
          </w:tcPr>
          <w:p>
            <w:pPr>
              <w:jc w:val="center"/>
              <w:ind w:right="1060"/>
              <w:spacing w:after="0"/>
              <w:rPr>
                <w:sz w:val="20"/>
                <w:szCs w:val="20"/>
                <w:color w:val="auto"/>
              </w:rPr>
            </w:pPr>
            <w:r>
              <w:rPr>
                <w:rFonts w:ascii="Arial" w:cs="Arial" w:eastAsia="Arial" w:hAnsi="Arial"/>
                <w:sz w:val="10"/>
                <w:szCs w:val="10"/>
                <w:b w:val="1"/>
                <w:bCs w:val="1"/>
                <w:color w:val="auto"/>
                <w:w w:val="95"/>
              </w:rPr>
              <w:t>(Commission File Number)</w:t>
            </w:r>
          </w:p>
        </w:tc>
        <w:tc>
          <w:tcPr>
            <w:tcW w:w="3620" w:type="dxa"/>
            <w:vAlign w:val="bottom"/>
            <w:gridSpan w:val="2"/>
          </w:tcPr>
          <w:p>
            <w:pPr>
              <w:jc w:val="center"/>
              <w:spacing w:after="0"/>
              <w:rPr>
                <w:sz w:val="20"/>
                <w:szCs w:val="20"/>
                <w:color w:val="auto"/>
              </w:rPr>
            </w:pPr>
            <w:r>
              <w:rPr>
                <w:rFonts w:ascii="Arial" w:cs="Arial" w:eastAsia="Arial" w:hAnsi="Arial"/>
                <w:sz w:val="10"/>
                <w:szCs w:val="10"/>
                <w:b w:val="1"/>
                <w:bCs w:val="1"/>
                <w:color w:val="auto"/>
                <w:w w:val="96"/>
              </w:rPr>
              <w:t>(IRS Employer Identification No.)</w:t>
            </w:r>
          </w:p>
        </w:tc>
      </w:tr>
      <w:tr>
        <w:trPr>
          <w:trHeight w:val="452"/>
        </w:trPr>
        <w:tc>
          <w:tcPr>
            <w:tcW w:w="240" w:type="dxa"/>
            <w:vAlign w:val="bottom"/>
          </w:tcPr>
          <w:p>
            <w:pPr>
              <w:spacing w:after="0"/>
              <w:rPr>
                <w:sz w:val="24"/>
                <w:szCs w:val="24"/>
                <w:color w:val="auto"/>
              </w:rPr>
            </w:pPr>
          </w:p>
        </w:tc>
        <w:tc>
          <w:tcPr>
            <w:tcW w:w="4660" w:type="dxa"/>
            <w:vAlign w:val="bottom"/>
            <w:gridSpan w:val="3"/>
          </w:tcPr>
          <w:p>
            <w:pPr>
              <w:ind w:left="2800"/>
              <w:spacing w:after="0"/>
              <w:rPr>
                <w:sz w:val="20"/>
                <w:szCs w:val="20"/>
                <w:color w:val="auto"/>
              </w:rPr>
            </w:pPr>
            <w:r>
              <w:rPr>
                <w:rFonts w:ascii="Arial" w:cs="Arial" w:eastAsia="Arial" w:hAnsi="Arial"/>
                <w:sz w:val="12"/>
                <w:szCs w:val="12"/>
                <w:b w:val="1"/>
                <w:bCs w:val="1"/>
                <w:color w:val="auto"/>
              </w:rPr>
              <w:t>1 Skyview Drive, Fort Worth,</w:t>
            </w:r>
          </w:p>
        </w:tc>
        <w:tc>
          <w:tcPr>
            <w:tcW w:w="2760" w:type="dxa"/>
            <w:vAlign w:val="bottom"/>
            <w:gridSpan w:val="4"/>
          </w:tcPr>
          <w:p>
            <w:pPr>
              <w:ind w:left="440"/>
              <w:spacing w:after="0"/>
              <w:rPr>
                <w:sz w:val="20"/>
                <w:szCs w:val="20"/>
                <w:color w:val="auto"/>
              </w:rPr>
            </w:pPr>
            <w:r>
              <w:rPr>
                <w:rFonts w:ascii="Arial" w:cs="Arial" w:eastAsia="Arial" w:hAnsi="Arial"/>
                <w:sz w:val="12"/>
                <w:szCs w:val="12"/>
                <w:b w:val="1"/>
                <w:bCs w:val="1"/>
                <w:color w:val="auto"/>
              </w:rPr>
              <w:t>Texas</w:t>
            </w:r>
          </w:p>
        </w:tc>
        <w:tc>
          <w:tcPr>
            <w:tcW w:w="3380" w:type="dxa"/>
            <w:vAlign w:val="bottom"/>
          </w:tcPr>
          <w:p>
            <w:pPr>
              <w:jc w:val="center"/>
              <w:ind w:right="384"/>
              <w:spacing w:after="0"/>
              <w:rPr>
                <w:sz w:val="20"/>
                <w:szCs w:val="20"/>
                <w:color w:val="auto"/>
              </w:rPr>
            </w:pPr>
            <w:r>
              <w:rPr>
                <w:rFonts w:ascii="Arial" w:cs="Arial" w:eastAsia="Arial" w:hAnsi="Arial"/>
                <w:sz w:val="12"/>
                <w:szCs w:val="12"/>
                <w:b w:val="1"/>
                <w:bCs w:val="1"/>
                <w:color w:val="auto"/>
              </w:rPr>
              <w:t>76155</w:t>
            </w:r>
          </w:p>
        </w:tc>
        <w:tc>
          <w:tcPr>
            <w:tcW w:w="240" w:type="dxa"/>
            <w:vAlign w:val="bottom"/>
          </w:tcPr>
          <w:p>
            <w:pPr>
              <w:spacing w:after="0"/>
              <w:rPr>
                <w:sz w:val="24"/>
                <w:szCs w:val="24"/>
                <w:color w:val="auto"/>
              </w:rPr>
            </w:pPr>
          </w:p>
        </w:tc>
      </w:tr>
      <w:tr>
        <w:trPr>
          <w:trHeight w:val="159"/>
        </w:trPr>
        <w:tc>
          <w:tcPr>
            <w:tcW w:w="240" w:type="dxa"/>
            <w:vAlign w:val="bottom"/>
          </w:tcPr>
          <w:p>
            <w:pPr>
              <w:spacing w:after="0"/>
              <w:rPr>
                <w:sz w:val="13"/>
                <w:szCs w:val="13"/>
                <w:color w:val="auto"/>
              </w:rPr>
            </w:pPr>
          </w:p>
        </w:tc>
        <w:tc>
          <w:tcPr>
            <w:tcW w:w="4660" w:type="dxa"/>
            <w:vAlign w:val="bottom"/>
            <w:tcBorders>
              <w:bottom w:val="single" w:sz="8" w:color="auto"/>
            </w:tcBorders>
            <w:gridSpan w:val="3"/>
          </w:tcPr>
          <w:p>
            <w:pPr>
              <w:ind w:left="2800"/>
              <w:spacing w:after="0"/>
              <w:rPr>
                <w:sz w:val="20"/>
                <w:szCs w:val="20"/>
                <w:color w:val="auto"/>
              </w:rPr>
            </w:pPr>
            <w:r>
              <w:rPr>
                <w:rFonts w:ascii="Arial" w:cs="Arial" w:eastAsia="Arial" w:hAnsi="Arial"/>
                <w:sz w:val="12"/>
                <w:szCs w:val="12"/>
                <w:b w:val="1"/>
                <w:bCs w:val="1"/>
                <w:color w:val="auto"/>
              </w:rPr>
              <w:t>1 Skyview Drive, Fort Worth,</w:t>
            </w:r>
          </w:p>
        </w:tc>
        <w:tc>
          <w:tcPr>
            <w:tcW w:w="194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Texas</w:t>
            </w:r>
          </w:p>
        </w:tc>
        <w:tc>
          <w:tcPr>
            <w:tcW w:w="380" w:type="dxa"/>
            <w:vAlign w:val="bottom"/>
          </w:tcPr>
          <w:p>
            <w:pPr>
              <w:spacing w:after="0"/>
              <w:rPr>
                <w:sz w:val="13"/>
                <w:szCs w:val="13"/>
                <w:color w:val="auto"/>
              </w:rPr>
            </w:pPr>
          </w:p>
        </w:tc>
        <w:tc>
          <w:tcPr>
            <w:tcW w:w="440" w:type="dxa"/>
            <w:vAlign w:val="bottom"/>
            <w:tcBorders>
              <w:bottom w:val="single" w:sz="8" w:color="auto"/>
            </w:tcBorders>
            <w:gridSpan w:val="2"/>
          </w:tcPr>
          <w:p>
            <w:pPr>
              <w:spacing w:after="0"/>
              <w:rPr>
                <w:sz w:val="13"/>
                <w:szCs w:val="13"/>
                <w:color w:val="auto"/>
              </w:rPr>
            </w:pPr>
          </w:p>
        </w:tc>
        <w:tc>
          <w:tcPr>
            <w:tcW w:w="3380" w:type="dxa"/>
            <w:vAlign w:val="bottom"/>
            <w:tcBorders>
              <w:bottom w:val="single" w:sz="8" w:color="auto"/>
            </w:tcBorders>
          </w:tcPr>
          <w:p>
            <w:pPr>
              <w:jc w:val="center"/>
              <w:ind w:right="384"/>
              <w:spacing w:after="0"/>
              <w:rPr>
                <w:sz w:val="20"/>
                <w:szCs w:val="20"/>
                <w:color w:val="auto"/>
              </w:rPr>
            </w:pPr>
            <w:r>
              <w:rPr>
                <w:rFonts w:ascii="Arial" w:cs="Arial" w:eastAsia="Arial" w:hAnsi="Arial"/>
                <w:sz w:val="12"/>
                <w:szCs w:val="12"/>
                <w:b w:val="1"/>
                <w:bCs w:val="1"/>
                <w:color w:val="auto"/>
              </w:rPr>
              <w:t>76155</w:t>
            </w:r>
          </w:p>
        </w:tc>
        <w:tc>
          <w:tcPr>
            <w:tcW w:w="240" w:type="dxa"/>
            <w:vAlign w:val="bottom"/>
          </w:tcPr>
          <w:p>
            <w:pPr>
              <w:spacing w:after="0"/>
              <w:rPr>
                <w:sz w:val="13"/>
                <w:szCs w:val="13"/>
                <w:color w:val="auto"/>
              </w:rPr>
            </w:pPr>
          </w:p>
        </w:tc>
      </w:tr>
      <w:tr>
        <w:trPr>
          <w:trHeight w:val="116"/>
        </w:trPr>
        <w:tc>
          <w:tcPr>
            <w:tcW w:w="240" w:type="dxa"/>
            <w:vAlign w:val="bottom"/>
          </w:tcPr>
          <w:p>
            <w:pPr>
              <w:spacing w:after="0"/>
              <w:rPr>
                <w:sz w:val="10"/>
                <w:szCs w:val="10"/>
                <w:color w:val="auto"/>
              </w:rPr>
            </w:pPr>
          </w:p>
        </w:tc>
        <w:tc>
          <w:tcPr>
            <w:tcW w:w="4660" w:type="dxa"/>
            <w:vAlign w:val="bottom"/>
            <w:gridSpan w:val="3"/>
          </w:tcPr>
          <w:p>
            <w:pPr>
              <w:ind w:left="2400"/>
              <w:spacing w:after="0"/>
              <w:rPr>
                <w:sz w:val="20"/>
                <w:szCs w:val="20"/>
                <w:color w:val="auto"/>
              </w:rPr>
            </w:pPr>
            <w:r>
              <w:rPr>
                <w:rFonts w:ascii="Arial" w:cs="Arial" w:eastAsia="Arial" w:hAnsi="Arial"/>
                <w:sz w:val="10"/>
                <w:szCs w:val="10"/>
                <w:b w:val="1"/>
                <w:bCs w:val="1"/>
                <w:color w:val="auto"/>
              </w:rPr>
              <w:t>(Address of principal executive offices)</w:t>
            </w:r>
          </w:p>
        </w:tc>
        <w:tc>
          <w:tcPr>
            <w:tcW w:w="1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20" w:type="dxa"/>
            <w:vAlign w:val="bottom"/>
            <w:gridSpan w:val="2"/>
          </w:tcPr>
          <w:p>
            <w:pPr>
              <w:jc w:val="center"/>
              <w:ind w:right="680"/>
              <w:spacing w:after="0"/>
              <w:rPr>
                <w:sz w:val="20"/>
                <w:szCs w:val="20"/>
                <w:color w:val="auto"/>
              </w:rPr>
            </w:pPr>
            <w:r>
              <w:rPr>
                <w:rFonts w:ascii="Arial" w:cs="Arial" w:eastAsia="Arial" w:hAnsi="Arial"/>
                <w:sz w:val="10"/>
                <w:szCs w:val="10"/>
                <w:b w:val="1"/>
                <w:bCs w:val="1"/>
                <w:color w:val="auto"/>
                <w:w w:val="92"/>
              </w:rPr>
              <w:t>(Zip Code)</w:t>
            </w:r>
          </w:p>
        </w:tc>
      </w:tr>
    </w:tbl>
    <w:p>
      <w:pPr>
        <w:spacing w:after="0" w:line="1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p>
    <w:p>
      <w:pPr>
        <w:ind w:left="5540" w:hanging="306"/>
        <w:spacing w:after="0"/>
        <w:tabs>
          <w:tab w:leader="none" w:pos="5540"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278-9000</w:t>
      </w:r>
    </w:p>
    <w:p>
      <w:pPr>
        <w:spacing w:after="0" w:line="6" w:lineRule="exact"/>
        <w:rPr>
          <w:rFonts w:ascii="Arial" w:cs="Arial" w:eastAsia="Arial" w:hAnsi="Arial"/>
          <w:sz w:val="12"/>
          <w:szCs w:val="12"/>
          <w:b w:val="1"/>
          <w:bCs w:val="1"/>
          <w:color w:val="auto"/>
        </w:rPr>
      </w:pPr>
    </w:p>
    <w:p>
      <w:pPr>
        <w:ind w:left="5540" w:hanging="306"/>
        <w:spacing w:after="0"/>
        <w:tabs>
          <w:tab w:leader="none" w:pos="5540"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278-9000</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13335</wp:posOffset>
            </wp:positionV>
            <wp:extent cx="39033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03345" cy="571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151"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600" w:hanging="596"/>
        <w:spacing w:after="0"/>
        <w:tabs>
          <w:tab w:leader="none" w:pos="600" w:val="left"/>
        </w:tabs>
        <w:numPr>
          <w:ilvl w:val="0"/>
          <w:numId w:val="3"/>
        </w:numPr>
        <w:rPr>
          <w:rFonts w:ascii="MS PGothic" w:cs="MS PGothic" w:eastAsia="MS PGothic" w:hAnsi="MS PGothic"/>
          <w:sz w:val="12"/>
          <w:szCs w:val="12"/>
          <w:color w:val="auto"/>
        </w:rPr>
      </w:pPr>
      <w:r>
        <w:rPr>
          <w:rFonts w:ascii="Arial" w:cs="Arial" w:eastAsia="Arial" w:hAnsi="Arial"/>
          <w:sz w:val="11"/>
          <w:szCs w:val="11"/>
          <w:color w:val="auto"/>
        </w:rPr>
        <w:t>Written communications pursuant to Rule 425 under the Securities Act (17 CFR 230.425)</w:t>
      </w:r>
    </w:p>
    <w:p>
      <w:pPr>
        <w:spacing w:after="0" w:line="26" w:lineRule="exact"/>
        <w:rPr>
          <w:rFonts w:ascii="MS PGothic" w:cs="MS PGothic" w:eastAsia="MS PGothic" w:hAnsi="MS PGothic"/>
          <w:sz w:val="12"/>
          <w:szCs w:val="12"/>
          <w:color w:val="auto"/>
        </w:rPr>
      </w:pPr>
    </w:p>
    <w:p>
      <w:pPr>
        <w:ind w:left="600" w:hanging="596"/>
        <w:spacing w:after="0"/>
        <w:tabs>
          <w:tab w:leader="none" w:pos="600" w:val="left"/>
        </w:tabs>
        <w:numPr>
          <w:ilvl w:val="0"/>
          <w:numId w:val="3"/>
        </w:numPr>
        <w:rPr>
          <w:rFonts w:ascii="MS PGothic" w:cs="MS PGothic" w:eastAsia="MS PGothic" w:hAnsi="MS PGothic"/>
          <w:sz w:val="12"/>
          <w:szCs w:val="12"/>
          <w:color w:val="auto"/>
        </w:rPr>
      </w:pPr>
      <w:r>
        <w:rPr>
          <w:rFonts w:ascii="Arial" w:cs="Arial" w:eastAsia="Arial" w:hAnsi="Arial"/>
          <w:sz w:val="11"/>
          <w:szCs w:val="11"/>
          <w:color w:val="auto"/>
        </w:rPr>
        <w:t>Soliciting material pursuant to Rule 14a-12 under the Exchange Act (17 CFR 240.14a-12)</w:t>
      </w:r>
    </w:p>
    <w:p>
      <w:pPr>
        <w:spacing w:after="0" w:line="26" w:lineRule="exact"/>
        <w:rPr>
          <w:rFonts w:ascii="MS PGothic" w:cs="MS PGothic" w:eastAsia="MS PGothic" w:hAnsi="MS PGothic"/>
          <w:sz w:val="12"/>
          <w:szCs w:val="12"/>
          <w:color w:val="auto"/>
        </w:rPr>
      </w:pPr>
    </w:p>
    <w:p>
      <w:pPr>
        <w:ind w:left="600" w:hanging="596"/>
        <w:spacing w:after="0"/>
        <w:tabs>
          <w:tab w:leader="none" w:pos="600" w:val="left"/>
        </w:tabs>
        <w:numPr>
          <w:ilvl w:val="0"/>
          <w:numId w:val="3"/>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14d-2(b) under the Exchange Act (17 CFR 240.14d-2(b))</w:t>
      </w:r>
    </w:p>
    <w:p>
      <w:pPr>
        <w:spacing w:after="0" w:line="26" w:lineRule="exact"/>
        <w:rPr>
          <w:rFonts w:ascii="MS PGothic" w:cs="MS PGothic" w:eastAsia="MS PGothic" w:hAnsi="MS PGothic"/>
          <w:sz w:val="12"/>
          <w:szCs w:val="12"/>
          <w:color w:val="auto"/>
        </w:rPr>
      </w:pPr>
    </w:p>
    <w:p>
      <w:pPr>
        <w:ind w:left="600" w:hanging="596"/>
        <w:spacing w:after="0"/>
        <w:tabs>
          <w:tab w:leader="none" w:pos="600" w:val="left"/>
        </w:tabs>
        <w:numPr>
          <w:ilvl w:val="0"/>
          <w:numId w:val="3"/>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13e-4(c) under the Exchange Act (17 CFR 240.13e-4(c))</w:t>
      </w:r>
    </w:p>
    <w:p>
      <w:pPr>
        <w:spacing w:after="0" w:line="84"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Title of each class</w:t>
            </w:r>
          </w:p>
        </w:tc>
        <w:tc>
          <w:tcPr>
            <w:tcW w:w="240" w:type="dxa"/>
            <w:vAlign w:val="bottom"/>
            <w:vMerge w:val="restart"/>
          </w:tcPr>
          <w:p>
            <w:pPr>
              <w:spacing w:after="0"/>
              <w:rPr>
                <w:sz w:val="10"/>
                <w:szCs w:val="10"/>
                <w:color w:val="auto"/>
              </w:rPr>
            </w:pPr>
          </w:p>
        </w:tc>
        <w:tc>
          <w:tcPr>
            <w:tcW w:w="35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Trading</w:t>
            </w:r>
          </w:p>
        </w:tc>
        <w:tc>
          <w:tcPr>
            <w:tcW w:w="3640" w:type="dxa"/>
            <w:vAlign w:val="bottom"/>
          </w:tcPr>
          <w:p>
            <w:pPr>
              <w:jc w:val="center"/>
              <w:spacing w:after="0"/>
              <w:rPr>
                <w:sz w:val="20"/>
                <w:szCs w:val="20"/>
                <w:color w:val="auto"/>
              </w:rPr>
            </w:pPr>
            <w:r>
              <w:rPr>
                <w:rFonts w:ascii="Arial" w:cs="Arial" w:eastAsia="Arial" w:hAnsi="Arial"/>
                <w:sz w:val="10"/>
                <w:szCs w:val="10"/>
                <w:b w:val="1"/>
                <w:bCs w:val="1"/>
                <w:color w:val="auto"/>
                <w:w w:val="94"/>
              </w:rPr>
              <w:t>Name of each exchange</w:t>
            </w:r>
          </w:p>
        </w:tc>
        <w:tc>
          <w:tcPr>
            <w:tcW w:w="0" w:type="dxa"/>
            <w:vAlign w:val="bottom"/>
          </w:tcPr>
          <w:p>
            <w:pPr>
              <w:spacing w:after="0"/>
              <w:rPr>
                <w:sz w:val="1"/>
                <w:szCs w:val="1"/>
                <w:color w:val="auto"/>
              </w:rPr>
            </w:pPr>
          </w:p>
        </w:tc>
      </w:tr>
      <w:tr>
        <w:trPr>
          <w:trHeight w:val="117"/>
        </w:trPr>
        <w:tc>
          <w:tcPr>
            <w:tcW w:w="3800" w:type="dxa"/>
            <w:vAlign w:val="bottom"/>
            <w:tcBorders>
              <w:bottom w:val="single" w:sz="8" w:color="auto"/>
            </w:tcBorders>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Symbol(s)</w:t>
            </w:r>
          </w:p>
        </w:tc>
        <w:tc>
          <w:tcPr>
            <w:tcW w:w="180" w:type="dxa"/>
            <w:vAlign w:val="bottom"/>
          </w:tcPr>
          <w:p>
            <w:pPr>
              <w:spacing w:after="0"/>
              <w:rPr>
                <w:sz w:val="10"/>
                <w:szCs w:val="10"/>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on which registered</w:t>
            </w:r>
          </w:p>
        </w:tc>
        <w:tc>
          <w:tcPr>
            <w:tcW w:w="0" w:type="dxa"/>
            <w:vAlign w:val="bottom"/>
          </w:tcPr>
          <w:p>
            <w:pPr>
              <w:spacing w:after="0"/>
              <w:rPr>
                <w:sz w:val="1"/>
                <w:szCs w:val="1"/>
                <w:color w:val="auto"/>
              </w:rPr>
            </w:pPr>
          </w:p>
        </w:tc>
      </w:tr>
      <w:tr>
        <w:trPr>
          <w:trHeight w:val="116"/>
        </w:trPr>
        <w:tc>
          <w:tcPr>
            <w:tcW w:w="40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Common Stock, $0.01 par value per share</w:t>
            </w:r>
          </w:p>
        </w:tc>
        <w:tc>
          <w:tcPr>
            <w:tcW w:w="35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AAL</w:t>
            </w:r>
          </w:p>
        </w:tc>
        <w:tc>
          <w:tcPr>
            <w:tcW w:w="3640" w:type="dxa"/>
            <w:vAlign w:val="bottom"/>
          </w:tcPr>
          <w:p>
            <w:pPr>
              <w:jc w:val="center"/>
              <w:spacing w:after="0"/>
              <w:rPr>
                <w:sz w:val="20"/>
                <w:szCs w:val="20"/>
                <w:color w:val="auto"/>
              </w:rPr>
            </w:pPr>
            <w:r>
              <w:rPr>
                <w:rFonts w:ascii="Arial" w:cs="Arial" w:eastAsia="Arial" w:hAnsi="Arial"/>
                <w:sz w:val="10"/>
                <w:szCs w:val="10"/>
                <w:b w:val="1"/>
                <w:bCs w:val="1"/>
                <w:color w:val="auto"/>
                <w:w w:val="96"/>
              </w:rPr>
              <w:t>The Nasdaq Global Select Market</w:t>
            </w:r>
          </w:p>
        </w:tc>
        <w:tc>
          <w:tcPr>
            <w:tcW w:w="0" w:type="dxa"/>
            <w:vAlign w:val="bottom"/>
          </w:tcPr>
          <w:p>
            <w:pPr>
              <w:spacing w:after="0"/>
              <w:rPr>
                <w:sz w:val="1"/>
                <w:szCs w:val="1"/>
                <w:color w:val="auto"/>
              </w:rPr>
            </w:pPr>
          </w:p>
        </w:tc>
      </w:tr>
    </w:tbl>
    <w:p>
      <w:pPr>
        <w:spacing w:after="0" w:line="70"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or Rule 12b-2 of the Securities Exchange Act of 1934.</w:t>
      </w:r>
    </w:p>
    <w:p>
      <w:pPr>
        <w:spacing w:after="0" w:line="65" w:lineRule="exact"/>
        <w:rPr>
          <w:sz w:val="24"/>
          <w:szCs w:val="24"/>
          <w:color w:val="auto"/>
        </w:rPr>
      </w:pPr>
    </w:p>
    <w:p>
      <w:pPr>
        <w:jc w:val="right"/>
        <w:ind w:right="34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70" w:lineRule="exact"/>
        <w:rPr>
          <w:sz w:val="24"/>
          <w:szCs w:val="24"/>
          <w:color w:val="auto"/>
        </w:rPr>
      </w:pPr>
    </w:p>
    <w:p>
      <w:pPr>
        <w:ind w:right="460"/>
        <w:spacing w:after="0" w:line="142"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558800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154305</wp:posOffset>
            </wp:positionV>
            <wp:extent cx="71666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131445</wp:posOffset>
            </wp:positionV>
            <wp:extent cx="71666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280"/>
          </w:cols>
          <w:pgMar w:left="300" w:top="886" w:right="319" w:bottom="1440" w:gutter="0" w:footer="0" w:header="0"/>
        </w:sectPr>
      </w:pPr>
    </w:p>
    <w:bookmarkStart w:id="1" w:name="page2"/>
    <w:bookmarkEnd w:id="1"/>
    <w:p>
      <w:pPr>
        <w:spacing w:after="0"/>
        <w:tabs>
          <w:tab w:leader="none" w:pos="156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1"/>
          <w:szCs w:val="11"/>
          <w:b w:val="1"/>
          <w:bCs w:val="1"/>
          <w:color w:val="auto"/>
        </w:rPr>
        <w:t>RESULTS OF OPERATIONS AND FINANCIAL CONDITION.</w:t>
      </w:r>
    </w:p>
    <w:p>
      <w:pPr>
        <w:spacing w:after="0" w:line="92"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color w:val="auto"/>
        </w:rPr>
        <w:t>On July 22, 2021, American Airlines Group Inc. (the Company, we, us and our) issued a press release reporting financial results for the three and six months ended June 30, 2021. The press release is furnished as Exhibit 99.1.</w:t>
      </w:r>
    </w:p>
    <w:p>
      <w:pPr>
        <w:spacing w:after="0" w:line="163"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1"/>
          <w:szCs w:val="11"/>
          <w:b w:val="1"/>
          <w:bCs w:val="1"/>
          <w:color w:val="auto"/>
        </w:rPr>
        <w:t>REGULATION FD DISCLOSURE.</w:t>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Investor Presentation</w:t>
      </w:r>
    </w:p>
    <w:p>
      <w:pPr>
        <w:spacing w:after="0" w:line="60"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color w:val="auto"/>
        </w:rPr>
        <w:t xml:space="preserve">On July 22, 2021, the Company provided a presentation to investors. This investor presentation is located on the Company’s website at </w:t>
      </w:r>
      <w:r>
        <w:rPr>
          <w:rFonts w:ascii="Arial" w:cs="Arial" w:eastAsia="Arial" w:hAnsi="Arial"/>
          <w:sz w:val="12"/>
          <w:szCs w:val="12"/>
          <w:u w:val="single" w:color="auto"/>
          <w:color w:val="0E32E1"/>
        </w:rPr>
        <w:t>www.aa.com</w:t>
      </w:r>
      <w:r>
        <w:rPr>
          <w:rFonts w:ascii="Arial" w:cs="Arial" w:eastAsia="Arial" w:hAnsi="Arial"/>
          <w:sz w:val="12"/>
          <w:szCs w:val="12"/>
          <w:color w:val="auto"/>
        </w:rPr>
        <w:t xml:space="preserve"> under “Investor Relations.” The investor presentation is furnished as Exhibit 99.2.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Investor Update</w:t>
      </w:r>
    </w:p>
    <w:p>
      <w:pPr>
        <w:spacing w:after="0" w:line="60" w:lineRule="exact"/>
        <w:rPr>
          <w:sz w:val="20"/>
          <w:szCs w:val="20"/>
          <w:color w:val="auto"/>
        </w:rPr>
      </w:pPr>
    </w:p>
    <w:p>
      <w:pPr>
        <w:jc w:val="both"/>
        <w:ind w:right="20" w:firstLine="432"/>
        <w:spacing w:after="0" w:line="261" w:lineRule="auto"/>
        <w:rPr>
          <w:sz w:val="20"/>
          <w:szCs w:val="20"/>
          <w:color w:val="auto"/>
        </w:rPr>
      </w:pPr>
      <w:r>
        <w:rPr>
          <w:rFonts w:ascii="Arial" w:cs="Arial" w:eastAsia="Arial" w:hAnsi="Arial"/>
          <w:sz w:val="12"/>
          <w:szCs w:val="12"/>
          <w:color w:val="auto"/>
        </w:rPr>
        <w:t xml:space="preserve">Also on July 22, 2021, the Company provided an update for investors presenting information relating to its financial and operational outlook for the third quarter of 2021. This investor update is located on the Company’s website at </w:t>
      </w:r>
      <w:r>
        <w:rPr>
          <w:rFonts w:ascii="Arial" w:cs="Arial" w:eastAsia="Arial" w:hAnsi="Arial"/>
          <w:sz w:val="12"/>
          <w:szCs w:val="12"/>
          <w:u w:val="single" w:color="auto"/>
          <w:color w:val="0E32E1"/>
        </w:rPr>
        <w:t>www.aa.com</w:t>
      </w:r>
      <w:r>
        <w:rPr>
          <w:rFonts w:ascii="Arial" w:cs="Arial" w:eastAsia="Arial" w:hAnsi="Arial"/>
          <w:sz w:val="12"/>
          <w:szCs w:val="12"/>
          <w:color w:val="auto"/>
        </w:rPr>
        <w:t xml:space="preserve"> under “Investor Relations.” The investor update is furnished as Exhibit 99.3.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Update Regarding Unencumbered Assets and First Lien Available Capacity</w:t>
      </w:r>
    </w:p>
    <w:p>
      <w:pPr>
        <w:spacing w:after="0" w:line="60" w:lineRule="exact"/>
        <w:rPr>
          <w:sz w:val="20"/>
          <w:szCs w:val="20"/>
          <w:color w:val="auto"/>
        </w:rPr>
      </w:pPr>
    </w:p>
    <w:p>
      <w:pPr>
        <w:jc w:val="both"/>
        <w:ind w:right="20" w:firstLine="432"/>
        <w:spacing w:after="0" w:line="261" w:lineRule="auto"/>
        <w:rPr>
          <w:sz w:val="20"/>
          <w:szCs w:val="20"/>
          <w:color w:val="auto"/>
        </w:rPr>
      </w:pPr>
      <w:r>
        <w:rPr>
          <w:rFonts w:ascii="Arial" w:cs="Arial" w:eastAsia="Arial" w:hAnsi="Arial"/>
          <w:sz w:val="12"/>
          <w:szCs w:val="12"/>
          <w:color w:val="auto"/>
        </w:rPr>
        <w:t>Except where stated otherwise, the values expressed below are based on the most recent third-party appraisals received by the Company. The first lien capacity gives effect to the repayment of the April 2016 Spare Parts term loan on July 22,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00" w:type="dxa"/>
            <w:vAlign w:val="bottom"/>
          </w:tcPr>
          <w:p>
            <w:pPr>
              <w:spacing w:after="0"/>
              <w:rPr>
                <w:sz w:val="20"/>
                <w:szCs w:val="20"/>
                <w:color w:val="auto"/>
              </w:rPr>
            </w:pPr>
            <w:r>
              <w:rPr>
                <w:rFonts w:ascii="Arial" w:cs="Arial" w:eastAsia="Arial" w:hAnsi="Arial"/>
                <w:sz w:val="11"/>
                <w:szCs w:val="11"/>
                <w:color w:val="auto"/>
                <w:w w:val="97"/>
              </w:rPr>
              <w:t>Unencumbered Assets</w:t>
            </w:r>
          </w:p>
        </w:tc>
        <w:tc>
          <w:tcPr>
            <w:tcW w:w="1860" w:type="dxa"/>
            <w:vAlign w:val="bottom"/>
            <w:gridSpan w:val="2"/>
          </w:tcPr>
          <w:p>
            <w:pPr>
              <w:spacing w:after="0"/>
              <w:rPr>
                <w:sz w:val="10"/>
                <w:szCs w:val="10"/>
                <w:color w:val="auto"/>
              </w:rPr>
            </w:pPr>
          </w:p>
        </w:tc>
        <w:tc>
          <w:tcPr>
            <w:tcW w:w="1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 xml:space="preserve">Value </w:t>
            </w:r>
            <w:r>
              <w:rPr>
                <w:rFonts w:ascii="Arial" w:cs="Arial" w:eastAsia="Arial" w:hAnsi="Arial"/>
                <w:sz w:val="11"/>
                <w:szCs w:val="11"/>
                <w:u w:val="single" w:color="auto"/>
                <w:color w:val="auto"/>
                <w:w w:val="91"/>
              </w:rPr>
              <w:t>($</w:t>
            </w:r>
            <w:r>
              <w:rPr>
                <w:rFonts w:ascii="Arial" w:cs="Arial" w:eastAsia="Arial" w:hAnsi="Arial"/>
                <w:sz w:val="11"/>
                <w:szCs w:val="11"/>
                <w:color w:val="auto"/>
                <w:w w:val="91"/>
              </w:rPr>
              <w:t>mil)</w:t>
            </w:r>
          </w:p>
        </w:tc>
        <w:tc>
          <w:tcPr>
            <w:tcW w:w="100" w:type="dxa"/>
            <w:vAlign w:val="bottom"/>
          </w:tcPr>
          <w:p>
            <w:pPr>
              <w:spacing w:after="0"/>
              <w:rPr>
                <w:sz w:val="10"/>
                <w:szCs w:val="10"/>
                <w:color w:val="auto"/>
              </w:rPr>
            </w:pPr>
          </w:p>
        </w:tc>
        <w:tc>
          <w:tcPr>
            <w:tcW w:w="3040" w:type="dxa"/>
            <w:vAlign w:val="bottom"/>
            <w:gridSpan w:val="2"/>
          </w:tcPr>
          <w:p>
            <w:pPr>
              <w:spacing w:after="0"/>
              <w:rPr>
                <w:sz w:val="20"/>
                <w:szCs w:val="20"/>
                <w:color w:val="auto"/>
              </w:rPr>
            </w:pPr>
            <w:r>
              <w:rPr>
                <w:rFonts w:ascii="Arial" w:cs="Arial" w:eastAsia="Arial" w:hAnsi="Arial"/>
                <w:sz w:val="11"/>
                <w:szCs w:val="11"/>
                <w:color w:val="auto"/>
              </w:rPr>
              <w:t>Notes</w:t>
            </w:r>
          </w:p>
        </w:tc>
      </w:tr>
      <w:tr>
        <w:trPr>
          <w:trHeight w:val="20"/>
        </w:trPr>
        <w:tc>
          <w:tcPr>
            <w:tcW w:w="11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47"/>
        </w:trPr>
        <w:tc>
          <w:tcPr>
            <w:tcW w:w="2960" w:type="dxa"/>
            <w:vAlign w:val="bottom"/>
            <w:gridSpan w:val="3"/>
          </w:tcPr>
          <w:p>
            <w:pPr>
              <w:spacing w:after="0"/>
              <w:rPr>
                <w:sz w:val="20"/>
                <w:szCs w:val="20"/>
                <w:color w:val="auto"/>
              </w:rPr>
            </w:pPr>
            <w:r>
              <w:rPr>
                <w:rFonts w:ascii="Arial" w:cs="Arial" w:eastAsia="Arial" w:hAnsi="Arial"/>
                <w:sz w:val="11"/>
                <w:szCs w:val="11"/>
                <w:color w:val="auto"/>
              </w:rPr>
              <w:t>Aircraft, Parts, and Equipment</w:t>
            </w:r>
          </w:p>
        </w:tc>
        <w:tc>
          <w:tcPr>
            <w:tcW w:w="2500" w:type="dxa"/>
            <w:vAlign w:val="bottom"/>
            <w:gridSpan w:val="3"/>
          </w:tcPr>
          <w:p>
            <w:pPr>
              <w:jc w:val="right"/>
              <w:spacing w:after="0"/>
              <w:rPr>
                <w:sz w:val="20"/>
                <w:szCs w:val="20"/>
                <w:color w:val="auto"/>
              </w:rPr>
            </w:pPr>
            <w:r>
              <w:rPr>
                <w:rFonts w:ascii="Arial" w:cs="Arial" w:eastAsia="Arial" w:hAnsi="Arial"/>
                <w:sz w:val="11"/>
                <w:szCs w:val="11"/>
                <w:color w:val="auto"/>
              </w:rPr>
              <w:t>1,592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gridSpan w:val="2"/>
          </w:tcPr>
          <w:p>
            <w:pPr>
              <w:spacing w:after="0"/>
              <w:rPr>
                <w:sz w:val="20"/>
                <w:szCs w:val="20"/>
                <w:color w:val="auto"/>
              </w:rPr>
            </w:pPr>
            <w:r>
              <w:rPr>
                <w:rFonts w:ascii="Arial" w:cs="Arial" w:eastAsia="Arial" w:hAnsi="Arial"/>
                <w:sz w:val="10"/>
                <w:szCs w:val="10"/>
                <w:color w:val="auto"/>
                <w:w w:val="95"/>
              </w:rPr>
              <w:t>Aircraft, ground service equipment, spare engines, regional spare parts</w:t>
            </w:r>
          </w:p>
        </w:tc>
      </w:tr>
      <w:tr>
        <w:trPr>
          <w:trHeight w:val="144"/>
        </w:trPr>
        <w:tc>
          <w:tcPr>
            <w:tcW w:w="2960" w:type="dxa"/>
            <w:vAlign w:val="bottom"/>
            <w:gridSpan w:val="3"/>
          </w:tcPr>
          <w:p>
            <w:pPr>
              <w:spacing w:after="0"/>
              <w:rPr>
                <w:sz w:val="20"/>
                <w:szCs w:val="20"/>
                <w:color w:val="auto"/>
              </w:rPr>
            </w:pPr>
            <w:r>
              <w:rPr>
                <w:rFonts w:ascii="Arial" w:cs="Arial" w:eastAsia="Arial" w:hAnsi="Arial"/>
                <w:sz w:val="11"/>
                <w:szCs w:val="11"/>
                <w:color w:val="auto"/>
              </w:rPr>
              <w:t>Corporate Real Estate</w:t>
            </w:r>
          </w:p>
        </w:tc>
        <w:tc>
          <w:tcPr>
            <w:tcW w:w="2500" w:type="dxa"/>
            <w:vAlign w:val="bottom"/>
            <w:gridSpan w:val="3"/>
          </w:tcPr>
          <w:p>
            <w:pPr>
              <w:jc w:val="right"/>
              <w:spacing w:after="0"/>
              <w:rPr>
                <w:sz w:val="20"/>
                <w:szCs w:val="20"/>
                <w:color w:val="auto"/>
              </w:rPr>
            </w:pPr>
            <w:r>
              <w:rPr>
                <w:rFonts w:ascii="Arial" w:cs="Arial" w:eastAsia="Arial" w:hAnsi="Arial"/>
                <w:sz w:val="11"/>
                <w:szCs w:val="11"/>
                <w:color w:val="auto"/>
              </w:rPr>
              <w:t>1,453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60" w:type="dxa"/>
            <w:vAlign w:val="bottom"/>
          </w:tcPr>
          <w:p>
            <w:pPr>
              <w:spacing w:after="0"/>
              <w:rPr>
                <w:sz w:val="12"/>
                <w:szCs w:val="12"/>
                <w:color w:val="auto"/>
              </w:rPr>
            </w:pPr>
          </w:p>
        </w:tc>
      </w:tr>
      <w:tr>
        <w:trPr>
          <w:trHeight w:val="146"/>
        </w:trPr>
        <w:tc>
          <w:tcPr>
            <w:tcW w:w="2960" w:type="dxa"/>
            <w:vAlign w:val="bottom"/>
            <w:gridSpan w:val="3"/>
          </w:tcPr>
          <w:p>
            <w:pPr>
              <w:spacing w:after="0"/>
              <w:rPr>
                <w:sz w:val="20"/>
                <w:szCs w:val="20"/>
                <w:color w:val="auto"/>
              </w:rPr>
            </w:pPr>
            <w:r>
              <w:rPr>
                <w:rFonts w:ascii="Arial" w:cs="Arial" w:eastAsia="Arial" w:hAnsi="Arial"/>
                <w:sz w:val="11"/>
                <w:szCs w:val="11"/>
                <w:color w:val="auto"/>
              </w:rPr>
              <w:t>Other</w:t>
            </w: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759</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gridSpan w:val="2"/>
          </w:tcPr>
          <w:p>
            <w:pPr>
              <w:spacing w:after="0"/>
              <w:rPr>
                <w:sz w:val="20"/>
                <w:szCs w:val="20"/>
                <w:color w:val="auto"/>
              </w:rPr>
            </w:pPr>
            <w:r>
              <w:rPr>
                <w:rFonts w:ascii="Arial" w:cs="Arial" w:eastAsia="Arial" w:hAnsi="Arial"/>
                <w:sz w:val="10"/>
                <w:szCs w:val="10"/>
                <w:color w:val="auto"/>
                <w:w w:val="95"/>
              </w:rPr>
              <w:t>Other Corporate investments and assets, based on Company estimates</w:t>
            </w:r>
          </w:p>
        </w:tc>
      </w:tr>
      <w:tr>
        <w:trPr>
          <w:trHeight w:val="131"/>
        </w:trPr>
        <w:tc>
          <w:tcPr>
            <w:tcW w:w="2960" w:type="dxa"/>
            <w:vAlign w:val="bottom"/>
            <w:gridSpan w:val="3"/>
          </w:tcPr>
          <w:p>
            <w:pPr>
              <w:spacing w:after="0"/>
              <w:rPr>
                <w:sz w:val="20"/>
                <w:szCs w:val="20"/>
                <w:color w:val="auto"/>
              </w:rPr>
            </w:pPr>
            <w:r>
              <w:rPr>
                <w:rFonts w:ascii="Arial" w:cs="Arial" w:eastAsia="Arial" w:hAnsi="Arial"/>
                <w:sz w:val="11"/>
                <w:szCs w:val="11"/>
                <w:color w:val="auto"/>
              </w:rPr>
              <w:t>Total Unencumbered</w:t>
            </w:r>
          </w:p>
        </w:tc>
        <w:tc>
          <w:tcPr>
            <w:tcW w:w="2500" w:type="dxa"/>
            <w:vAlign w:val="bottom"/>
            <w:gridSpan w:val="3"/>
          </w:tcPr>
          <w:p>
            <w:pPr>
              <w:jc w:val="right"/>
              <w:spacing w:after="0"/>
              <w:rPr>
                <w:sz w:val="20"/>
                <w:szCs w:val="20"/>
                <w:color w:val="auto"/>
              </w:rPr>
            </w:pPr>
            <w:r>
              <w:rPr>
                <w:rFonts w:ascii="Arial" w:cs="Arial" w:eastAsia="Arial" w:hAnsi="Arial"/>
                <w:sz w:val="11"/>
                <w:szCs w:val="11"/>
                <w:color w:val="auto"/>
              </w:rPr>
              <w:t>3,804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760" w:type="dxa"/>
            <w:vAlign w:val="bottom"/>
          </w:tcPr>
          <w:p>
            <w:pPr>
              <w:spacing w:after="0"/>
              <w:rPr>
                <w:sz w:val="11"/>
                <w:szCs w:val="11"/>
                <w:color w:val="auto"/>
              </w:rPr>
            </w:pPr>
          </w:p>
        </w:tc>
      </w:tr>
      <w:tr>
        <w:trPr>
          <w:trHeight w:val="301"/>
        </w:trPr>
        <w:tc>
          <w:tcPr>
            <w:tcW w:w="2960" w:type="dxa"/>
            <w:vAlign w:val="bottom"/>
            <w:gridSpan w:val="3"/>
          </w:tcPr>
          <w:p>
            <w:pPr>
              <w:spacing w:after="0"/>
              <w:rPr>
                <w:sz w:val="20"/>
                <w:szCs w:val="20"/>
                <w:color w:val="auto"/>
              </w:rPr>
            </w:pPr>
            <w:r>
              <w:rPr>
                <w:rFonts w:ascii="Arial" w:cs="Arial" w:eastAsia="Arial" w:hAnsi="Arial"/>
                <w:sz w:val="11"/>
                <w:szCs w:val="11"/>
                <w:color w:val="auto"/>
              </w:rPr>
              <w:t>First Lien Available Capacity under Current Credit Facilities</w:t>
            </w: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304"/>
        </w:trPr>
        <w:tc>
          <w:tcPr>
            <w:tcW w:w="110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1"/>
                <w:szCs w:val="11"/>
                <w:color w:val="auto"/>
                <w:w w:val="95"/>
              </w:rPr>
              <w:t xml:space="preserve">Available Capacity </w:t>
            </w:r>
            <w:r>
              <w:rPr>
                <w:rFonts w:ascii="Arial" w:cs="Arial" w:eastAsia="Arial" w:hAnsi="Arial"/>
                <w:sz w:val="11"/>
                <w:szCs w:val="11"/>
                <w:u w:val="single" w:color="auto"/>
                <w:color w:val="auto"/>
                <w:w w:val="95"/>
              </w:rPr>
              <w:t>($</w:t>
            </w:r>
            <w:r>
              <w:rPr>
                <w:rFonts w:ascii="Arial" w:cs="Arial" w:eastAsia="Arial" w:hAnsi="Arial"/>
                <w:sz w:val="11"/>
                <w:szCs w:val="11"/>
                <w:color w:val="auto"/>
                <w:w w:val="95"/>
              </w:rPr>
              <w:t>mil)</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47"/>
        </w:trPr>
        <w:tc>
          <w:tcPr>
            <w:tcW w:w="2960" w:type="dxa"/>
            <w:vAlign w:val="bottom"/>
            <w:gridSpan w:val="3"/>
          </w:tcPr>
          <w:p>
            <w:pPr>
              <w:spacing w:after="0"/>
              <w:rPr>
                <w:sz w:val="20"/>
                <w:szCs w:val="20"/>
                <w:color w:val="auto"/>
              </w:rPr>
            </w:pPr>
            <w:r>
              <w:rPr>
                <w:rFonts w:ascii="Arial" w:cs="Arial" w:eastAsia="Arial" w:hAnsi="Arial"/>
                <w:sz w:val="11"/>
                <w:szCs w:val="11"/>
                <w:color w:val="auto"/>
              </w:rPr>
              <w:t>2014 Atlantic SGR</w:t>
            </w:r>
          </w:p>
        </w:tc>
        <w:tc>
          <w:tcPr>
            <w:tcW w:w="1320" w:type="dxa"/>
            <w:vAlign w:val="bottom"/>
          </w:tcPr>
          <w:p>
            <w:pPr>
              <w:spacing w:after="0"/>
              <w:rPr>
                <w:sz w:val="12"/>
                <w:szCs w:val="12"/>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1,336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60" w:type="dxa"/>
            <w:vAlign w:val="bottom"/>
          </w:tcPr>
          <w:p>
            <w:pPr>
              <w:spacing w:after="0"/>
              <w:rPr>
                <w:sz w:val="12"/>
                <w:szCs w:val="12"/>
                <w:color w:val="auto"/>
              </w:rPr>
            </w:pPr>
          </w:p>
        </w:tc>
      </w:tr>
      <w:tr>
        <w:trPr>
          <w:trHeight w:val="144"/>
        </w:trPr>
        <w:tc>
          <w:tcPr>
            <w:tcW w:w="2960" w:type="dxa"/>
            <w:vAlign w:val="bottom"/>
            <w:gridSpan w:val="3"/>
          </w:tcPr>
          <w:p>
            <w:pPr>
              <w:spacing w:after="0"/>
              <w:rPr>
                <w:sz w:val="20"/>
                <w:szCs w:val="20"/>
                <w:color w:val="auto"/>
              </w:rPr>
            </w:pPr>
            <w:r>
              <w:rPr>
                <w:rFonts w:ascii="Arial" w:cs="Arial" w:eastAsia="Arial" w:hAnsi="Arial"/>
                <w:sz w:val="11"/>
                <w:szCs w:val="11"/>
                <w:color w:val="auto"/>
              </w:rPr>
              <w:t>2013 South America SGR</w:t>
            </w:r>
          </w:p>
        </w:tc>
        <w:tc>
          <w:tcPr>
            <w:tcW w:w="2500" w:type="dxa"/>
            <w:vAlign w:val="bottom"/>
            <w:gridSpan w:val="3"/>
          </w:tcPr>
          <w:p>
            <w:pPr>
              <w:jc w:val="right"/>
              <w:spacing w:after="0"/>
              <w:rPr>
                <w:sz w:val="20"/>
                <w:szCs w:val="20"/>
                <w:color w:val="auto"/>
              </w:rPr>
            </w:pPr>
            <w:r>
              <w:rPr>
                <w:rFonts w:ascii="Arial" w:cs="Arial" w:eastAsia="Arial" w:hAnsi="Arial"/>
                <w:sz w:val="11"/>
                <w:szCs w:val="11"/>
                <w:color w:val="auto"/>
              </w:rPr>
              <w:t>358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60" w:type="dxa"/>
            <w:vAlign w:val="bottom"/>
          </w:tcPr>
          <w:p>
            <w:pPr>
              <w:spacing w:after="0"/>
              <w:rPr>
                <w:sz w:val="12"/>
                <w:szCs w:val="12"/>
                <w:color w:val="auto"/>
              </w:rPr>
            </w:pPr>
          </w:p>
        </w:tc>
      </w:tr>
      <w:tr>
        <w:trPr>
          <w:trHeight w:val="144"/>
        </w:trPr>
        <w:tc>
          <w:tcPr>
            <w:tcW w:w="2960" w:type="dxa"/>
            <w:vAlign w:val="bottom"/>
            <w:gridSpan w:val="3"/>
          </w:tcPr>
          <w:p>
            <w:pPr>
              <w:spacing w:after="0"/>
              <w:rPr>
                <w:sz w:val="20"/>
                <w:szCs w:val="20"/>
                <w:color w:val="auto"/>
              </w:rPr>
            </w:pPr>
            <w:r>
              <w:rPr>
                <w:rFonts w:ascii="Arial" w:cs="Arial" w:eastAsia="Arial" w:hAnsi="Arial"/>
                <w:sz w:val="11"/>
                <w:szCs w:val="11"/>
                <w:color w:val="auto"/>
              </w:rPr>
              <w:t>Apr 2016 Spare Parts</w:t>
            </w:r>
          </w:p>
        </w:tc>
        <w:tc>
          <w:tcPr>
            <w:tcW w:w="2500" w:type="dxa"/>
            <w:vAlign w:val="bottom"/>
            <w:gridSpan w:val="3"/>
          </w:tcPr>
          <w:p>
            <w:pPr>
              <w:jc w:val="right"/>
              <w:spacing w:after="0"/>
              <w:rPr>
                <w:sz w:val="20"/>
                <w:szCs w:val="20"/>
                <w:color w:val="auto"/>
              </w:rPr>
            </w:pPr>
            <w:r>
              <w:rPr>
                <w:rFonts w:ascii="Arial" w:cs="Arial" w:eastAsia="Arial" w:hAnsi="Arial"/>
                <w:sz w:val="11"/>
                <w:szCs w:val="11"/>
                <w:color w:val="auto"/>
              </w:rPr>
              <w:t>1,346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60" w:type="dxa"/>
            <w:vAlign w:val="bottom"/>
          </w:tcPr>
          <w:p>
            <w:pPr>
              <w:spacing w:after="0"/>
              <w:rPr>
                <w:sz w:val="12"/>
                <w:szCs w:val="12"/>
                <w:color w:val="auto"/>
              </w:rPr>
            </w:pPr>
          </w:p>
        </w:tc>
      </w:tr>
      <w:tr>
        <w:trPr>
          <w:trHeight w:val="144"/>
        </w:trPr>
        <w:tc>
          <w:tcPr>
            <w:tcW w:w="2960" w:type="dxa"/>
            <w:vAlign w:val="bottom"/>
            <w:gridSpan w:val="3"/>
          </w:tcPr>
          <w:p>
            <w:pPr>
              <w:spacing w:after="0"/>
              <w:rPr>
                <w:sz w:val="20"/>
                <w:szCs w:val="20"/>
                <w:color w:val="auto"/>
              </w:rPr>
            </w:pPr>
            <w:r>
              <w:rPr>
                <w:rFonts w:ascii="Arial" w:cs="Arial" w:eastAsia="Arial" w:hAnsi="Arial"/>
                <w:sz w:val="11"/>
                <w:szCs w:val="11"/>
                <w:color w:val="auto"/>
              </w:rPr>
              <w:t>Dec 2016 LGA/DCA Slots</w:t>
            </w:r>
          </w:p>
        </w:tc>
        <w:tc>
          <w:tcPr>
            <w:tcW w:w="2500" w:type="dxa"/>
            <w:vAlign w:val="bottom"/>
            <w:gridSpan w:val="3"/>
          </w:tcPr>
          <w:p>
            <w:pPr>
              <w:jc w:val="right"/>
              <w:spacing w:after="0"/>
              <w:rPr>
                <w:sz w:val="20"/>
                <w:szCs w:val="20"/>
                <w:color w:val="auto"/>
              </w:rPr>
            </w:pPr>
            <w:r>
              <w:rPr>
                <w:rFonts w:ascii="Arial" w:cs="Arial" w:eastAsia="Arial" w:hAnsi="Arial"/>
                <w:sz w:val="11"/>
                <w:szCs w:val="11"/>
                <w:color w:val="auto"/>
              </w:rPr>
              <w:t>222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60" w:type="dxa"/>
            <w:vAlign w:val="bottom"/>
          </w:tcPr>
          <w:p>
            <w:pPr>
              <w:spacing w:after="0"/>
              <w:rPr>
                <w:sz w:val="12"/>
                <w:szCs w:val="12"/>
                <w:color w:val="auto"/>
              </w:rPr>
            </w:pPr>
          </w:p>
        </w:tc>
      </w:tr>
      <w:tr>
        <w:trPr>
          <w:trHeight w:val="144"/>
        </w:trPr>
        <w:tc>
          <w:tcPr>
            <w:tcW w:w="2960" w:type="dxa"/>
            <w:vAlign w:val="bottom"/>
            <w:gridSpan w:val="3"/>
          </w:tcPr>
          <w:p>
            <w:pPr>
              <w:spacing w:after="0"/>
              <w:rPr>
                <w:sz w:val="20"/>
                <w:szCs w:val="20"/>
                <w:color w:val="auto"/>
              </w:rPr>
            </w:pPr>
            <w:r>
              <w:rPr>
                <w:rFonts w:ascii="Arial" w:cs="Arial" w:eastAsia="Arial" w:hAnsi="Arial"/>
                <w:sz w:val="11"/>
                <w:szCs w:val="11"/>
                <w:color w:val="auto"/>
              </w:rPr>
              <w:t>2020 Secured Note</w:t>
            </w:r>
          </w:p>
        </w:tc>
        <w:tc>
          <w:tcPr>
            <w:tcW w:w="2500" w:type="dxa"/>
            <w:vAlign w:val="bottom"/>
            <w:gridSpan w:val="3"/>
          </w:tcPr>
          <w:p>
            <w:pPr>
              <w:jc w:val="right"/>
              <w:spacing w:after="0"/>
              <w:rPr>
                <w:sz w:val="20"/>
                <w:szCs w:val="20"/>
                <w:color w:val="auto"/>
              </w:rPr>
            </w:pPr>
            <w:r>
              <w:rPr>
                <w:rFonts w:ascii="Arial" w:cs="Arial" w:eastAsia="Arial" w:hAnsi="Arial"/>
                <w:sz w:val="11"/>
                <w:szCs w:val="11"/>
                <w:color w:val="auto"/>
              </w:rPr>
              <w:t>1,163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60" w:type="dxa"/>
            <w:vAlign w:val="bottom"/>
          </w:tcPr>
          <w:p>
            <w:pPr>
              <w:spacing w:after="0"/>
              <w:rPr>
                <w:sz w:val="12"/>
                <w:szCs w:val="12"/>
                <w:color w:val="auto"/>
              </w:rPr>
            </w:pPr>
          </w:p>
        </w:tc>
      </w:tr>
      <w:tr>
        <w:trPr>
          <w:trHeight w:val="146"/>
        </w:trPr>
        <w:tc>
          <w:tcPr>
            <w:tcW w:w="2960" w:type="dxa"/>
            <w:vAlign w:val="bottom"/>
            <w:gridSpan w:val="3"/>
          </w:tcPr>
          <w:p>
            <w:pPr>
              <w:spacing w:after="0"/>
              <w:rPr>
                <w:sz w:val="20"/>
                <w:szCs w:val="20"/>
                <w:color w:val="auto"/>
              </w:rPr>
            </w:pPr>
            <w:r>
              <w:rPr>
                <w:rFonts w:ascii="Arial" w:cs="Arial" w:eastAsia="Arial" w:hAnsi="Arial"/>
                <w:sz w:val="11"/>
                <w:szCs w:val="11"/>
                <w:color w:val="auto"/>
              </w:rPr>
              <w:t>IP Notes</w:t>
            </w: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4,000</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60" w:type="dxa"/>
            <w:vAlign w:val="bottom"/>
          </w:tcPr>
          <w:p>
            <w:pPr>
              <w:spacing w:after="0"/>
              <w:rPr>
                <w:sz w:val="12"/>
                <w:szCs w:val="12"/>
                <w:color w:val="auto"/>
              </w:rPr>
            </w:pPr>
          </w:p>
        </w:tc>
      </w:tr>
      <w:tr>
        <w:trPr>
          <w:trHeight w:val="131"/>
        </w:trPr>
        <w:tc>
          <w:tcPr>
            <w:tcW w:w="2960" w:type="dxa"/>
            <w:vAlign w:val="bottom"/>
            <w:gridSpan w:val="3"/>
          </w:tcPr>
          <w:p>
            <w:pPr>
              <w:spacing w:after="0"/>
              <w:rPr>
                <w:sz w:val="20"/>
                <w:szCs w:val="20"/>
                <w:color w:val="auto"/>
              </w:rPr>
            </w:pPr>
            <w:r>
              <w:rPr>
                <w:rFonts w:ascii="Arial" w:cs="Arial" w:eastAsia="Arial" w:hAnsi="Arial"/>
                <w:sz w:val="11"/>
                <w:szCs w:val="11"/>
                <w:color w:val="auto"/>
              </w:rPr>
              <w:t>Total</w:t>
            </w:r>
          </w:p>
        </w:tc>
        <w:tc>
          <w:tcPr>
            <w:tcW w:w="2500" w:type="dxa"/>
            <w:vAlign w:val="bottom"/>
            <w:gridSpan w:val="3"/>
          </w:tcPr>
          <w:p>
            <w:pPr>
              <w:jc w:val="right"/>
              <w:spacing w:after="0"/>
              <w:rPr>
                <w:sz w:val="20"/>
                <w:szCs w:val="20"/>
                <w:color w:val="auto"/>
              </w:rPr>
            </w:pPr>
            <w:r>
              <w:rPr>
                <w:rFonts w:ascii="Arial" w:cs="Arial" w:eastAsia="Arial" w:hAnsi="Arial"/>
                <w:sz w:val="11"/>
                <w:szCs w:val="11"/>
                <w:color w:val="auto"/>
              </w:rPr>
              <w:t>8,425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760" w:type="dxa"/>
            <w:vAlign w:val="bottom"/>
          </w:tcPr>
          <w:p>
            <w:pPr>
              <w:spacing w:after="0"/>
              <w:rPr>
                <w:sz w:val="11"/>
                <w:szCs w:val="11"/>
                <w:color w:val="auto"/>
              </w:rPr>
            </w:pPr>
          </w:p>
        </w:tc>
      </w:tr>
    </w:tbl>
    <w:p>
      <w:pPr>
        <w:spacing w:after="0" w:line="16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information in Items 2.02 and 7.01 of this Current Report on Form 8-K, including Exhibits 99.1, 99.2 and 99.3,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statement regarding forward-looking statements and information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Certain of the statements contained in this report should be considered forward-looking statements within the meaning of the Securities Act, the Exchange Act and the Private Securities Litigation Reform Act of 1995. These forward-looking statements may be identified by words such as “may,” “will,” “expect,” “intend,” “anticipate,” “believe,” “estimate,” “plan,” “project,” “could,” “should,” “would,” “continue,” “seek,” “target,” “guidance,” “outlook,”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455930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jc w:val="both"/>
        <w:spacing w:after="0" w:line="251" w:lineRule="auto"/>
        <w:rPr>
          <w:sz w:val="20"/>
          <w:szCs w:val="20"/>
          <w:color w:val="auto"/>
        </w:rPr>
      </w:pPr>
      <w:r>
        <w:rPr>
          <w:rFonts w:ascii="Arial" w:cs="Arial" w:eastAsia="Arial" w:hAnsi="Arial"/>
          <w:sz w:val="12"/>
          <w:szCs w:val="12"/>
          <w:color w:val="auto"/>
        </w:rPr>
        <w:t>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herein as well as in the Company’s Quarterly Report on Form 10-Q for the quarter ended June 30, 2021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In particular, the consequences of the coronavirus outbreak to economic conditions and the travel industry in general and the financial position and operating results of the Company in particular have been material, are changing rapidly, and cannot be predicted.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420" w:type="dxa"/>
            <w:vAlign w:val="bottom"/>
          </w:tcPr>
          <w:p>
            <w:pPr>
              <w:spacing w:after="0"/>
              <w:rPr>
                <w:sz w:val="20"/>
                <w:szCs w:val="20"/>
                <w:color w:val="auto"/>
              </w:rPr>
            </w:pPr>
            <w:r>
              <w:rPr>
                <w:rFonts w:ascii="Arial" w:cs="Arial" w:eastAsia="Arial" w:hAnsi="Arial"/>
                <w:sz w:val="12"/>
                <w:szCs w:val="12"/>
                <w:b w:val="1"/>
                <w:bCs w:val="1"/>
                <w:color w:val="auto"/>
              </w:rPr>
              <w:t>ITEM 9.01.</w:t>
            </w:r>
          </w:p>
        </w:tc>
        <w:tc>
          <w:tcPr>
            <w:tcW w:w="9880" w:type="dxa"/>
            <w:vAlign w:val="bottom"/>
            <w:gridSpan w:val="5"/>
          </w:tcPr>
          <w:p>
            <w:pPr>
              <w:ind w:left="160"/>
              <w:spacing w:after="0"/>
              <w:rPr>
                <w:sz w:val="20"/>
                <w:szCs w:val="20"/>
                <w:color w:val="auto"/>
              </w:rPr>
            </w:pPr>
            <w:r>
              <w:rPr>
                <w:rFonts w:ascii="Arial" w:cs="Arial" w:eastAsia="Arial" w:hAnsi="Arial"/>
                <w:sz w:val="12"/>
                <w:szCs w:val="12"/>
                <w:b w:val="1"/>
                <w:bCs w:val="1"/>
                <w:color w:val="auto"/>
              </w:rPr>
              <w:t>FINANCIAL STATEMENTS AND EXHIBITS.</w:t>
            </w:r>
          </w:p>
        </w:tc>
      </w:tr>
      <w:tr>
        <w:trPr>
          <w:trHeight w:val="306"/>
        </w:trPr>
        <w:tc>
          <w:tcPr>
            <w:tcW w:w="1420" w:type="dxa"/>
            <w:vAlign w:val="bottom"/>
          </w:tcPr>
          <w:p>
            <w:pPr>
              <w:ind w:left="560"/>
              <w:spacing w:after="0"/>
              <w:rPr>
                <w:sz w:val="20"/>
                <w:szCs w:val="20"/>
                <w:color w:val="auto"/>
              </w:rPr>
            </w:pPr>
            <w:r>
              <w:rPr>
                <w:rFonts w:ascii="Arial" w:cs="Arial" w:eastAsia="Arial" w:hAnsi="Arial"/>
                <w:sz w:val="12"/>
                <w:szCs w:val="12"/>
                <w:b w:val="1"/>
                <w:bCs w:val="1"/>
                <w:color w:val="auto"/>
              </w:rPr>
              <w:t>(d) Exhibits.</w:t>
            </w: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297"/>
        </w:trPr>
        <w:tc>
          <w:tcPr>
            <w:tcW w:w="1420" w:type="dxa"/>
            <w:vAlign w:val="bottom"/>
          </w:tcPr>
          <w:p>
            <w:pPr>
              <w:ind w:left="220"/>
              <w:spacing w:after="0"/>
              <w:rPr>
                <w:sz w:val="20"/>
                <w:szCs w:val="20"/>
                <w:color w:val="auto"/>
              </w:rPr>
            </w:pPr>
            <w:r>
              <w:rPr>
                <w:rFonts w:ascii="Arial" w:cs="Arial" w:eastAsia="Arial" w:hAnsi="Arial"/>
                <w:sz w:val="12"/>
                <w:szCs w:val="12"/>
                <w:b w:val="1"/>
                <w:bCs w:val="1"/>
                <w:color w:val="auto"/>
              </w:rPr>
              <w:t>Exhibit No.</w:t>
            </w:r>
          </w:p>
        </w:tc>
        <w:tc>
          <w:tcPr>
            <w:tcW w:w="940" w:type="dxa"/>
            <w:vAlign w:val="bottom"/>
          </w:tcPr>
          <w:p>
            <w:pPr>
              <w:spacing w:after="0"/>
              <w:rPr>
                <w:sz w:val="24"/>
                <w:szCs w:val="24"/>
                <w:color w:val="auto"/>
              </w:rPr>
            </w:pPr>
          </w:p>
        </w:tc>
        <w:tc>
          <w:tcPr>
            <w:tcW w:w="8940" w:type="dxa"/>
            <w:vAlign w:val="bottom"/>
            <w:gridSpan w:val="4"/>
          </w:tcPr>
          <w:p>
            <w:pPr>
              <w:spacing w:after="0"/>
              <w:rPr>
                <w:sz w:val="20"/>
                <w:szCs w:val="20"/>
                <w:color w:val="auto"/>
              </w:rPr>
            </w:pPr>
            <w:r>
              <w:rPr>
                <w:rFonts w:ascii="Arial" w:cs="Arial" w:eastAsia="Arial" w:hAnsi="Arial"/>
                <w:sz w:val="12"/>
                <w:szCs w:val="12"/>
                <w:b w:val="1"/>
                <w:bCs w:val="1"/>
                <w:color w:val="auto"/>
              </w:rPr>
              <w:t>Description</w:t>
            </w:r>
          </w:p>
        </w:tc>
      </w:tr>
      <w:tr>
        <w:trPr>
          <w:trHeight w:val="162"/>
        </w:trPr>
        <w:tc>
          <w:tcPr>
            <w:tcW w:w="1420" w:type="dxa"/>
            <w:vAlign w:val="bottom"/>
          </w:tcPr>
          <w:p>
            <w:pPr>
              <w:ind w:left="220"/>
              <w:spacing w:after="0"/>
              <w:rPr>
                <w:sz w:val="20"/>
                <w:szCs w:val="20"/>
                <w:color w:val="auto"/>
              </w:rPr>
            </w:pPr>
            <w:r>
              <w:rPr>
                <w:rFonts w:ascii="Arial" w:cs="Arial" w:eastAsia="Arial" w:hAnsi="Arial"/>
                <w:sz w:val="12"/>
                <w:szCs w:val="12"/>
                <w:color w:val="auto"/>
              </w:rPr>
              <w:t>99.1</w:t>
            </w:r>
          </w:p>
        </w:tc>
        <w:tc>
          <w:tcPr>
            <w:tcW w:w="940" w:type="dxa"/>
            <w:vAlign w:val="bottom"/>
          </w:tcPr>
          <w:p>
            <w:pPr>
              <w:spacing w:after="0"/>
              <w:rPr>
                <w:sz w:val="14"/>
                <w:szCs w:val="14"/>
                <w:color w:val="auto"/>
              </w:rPr>
            </w:pPr>
          </w:p>
        </w:tc>
        <w:tc>
          <w:tcPr>
            <w:tcW w:w="1920" w:type="dxa"/>
            <w:vAlign w:val="bottom"/>
            <w:tcBorders>
              <w:bottom w:val="single" w:sz="8" w:color="0000FF"/>
            </w:tcBorders>
          </w:tcPr>
          <w:p>
            <w:pPr>
              <w:spacing w:after="0"/>
              <w:rPr>
                <w:rFonts w:ascii="Arial" w:cs="Arial" w:eastAsia="Arial" w:hAnsi="Arial"/>
                <w:sz w:val="12"/>
                <w:szCs w:val="12"/>
                <w:color w:val="0000FF"/>
                <w:w w:val="98"/>
              </w:rPr>
            </w:pPr>
            <w:hyperlink w:anchor="page5">
              <w:r>
                <w:rPr>
                  <w:rFonts w:ascii="Arial" w:cs="Arial" w:eastAsia="Arial" w:hAnsi="Arial"/>
                  <w:sz w:val="12"/>
                  <w:szCs w:val="12"/>
                  <w:color w:val="0000FF"/>
                  <w:w w:val="98"/>
                </w:rPr>
                <w:t>Press Release, dated July 22, 2021.</w:t>
              </w:r>
            </w:hyperlink>
          </w:p>
        </w:tc>
        <w:tc>
          <w:tcPr>
            <w:tcW w:w="7020" w:type="dxa"/>
            <w:vAlign w:val="bottom"/>
            <w:gridSpan w:val="3"/>
          </w:tcPr>
          <w:p>
            <w:pPr>
              <w:spacing w:after="0"/>
              <w:rPr>
                <w:sz w:val="14"/>
                <w:szCs w:val="14"/>
                <w:color w:val="auto"/>
              </w:rPr>
            </w:pPr>
          </w:p>
        </w:tc>
      </w:tr>
      <w:tr>
        <w:trPr>
          <w:trHeight w:val="169"/>
        </w:trPr>
        <w:tc>
          <w:tcPr>
            <w:tcW w:w="1420" w:type="dxa"/>
            <w:vAlign w:val="bottom"/>
          </w:tcPr>
          <w:p>
            <w:pPr>
              <w:ind w:left="220"/>
              <w:spacing w:after="0"/>
              <w:rPr>
                <w:sz w:val="20"/>
                <w:szCs w:val="20"/>
                <w:color w:val="auto"/>
              </w:rPr>
            </w:pPr>
            <w:r>
              <w:rPr>
                <w:rFonts w:ascii="Arial" w:cs="Arial" w:eastAsia="Arial" w:hAnsi="Arial"/>
                <w:sz w:val="12"/>
                <w:szCs w:val="12"/>
                <w:color w:val="auto"/>
              </w:rPr>
              <w:t>99.2</w:t>
            </w:r>
          </w:p>
        </w:tc>
        <w:tc>
          <w:tcPr>
            <w:tcW w:w="940" w:type="dxa"/>
            <w:vAlign w:val="bottom"/>
          </w:tcPr>
          <w:p>
            <w:pPr>
              <w:spacing w:after="0"/>
              <w:rPr>
                <w:sz w:val="14"/>
                <w:szCs w:val="14"/>
                <w:color w:val="auto"/>
              </w:rPr>
            </w:pPr>
          </w:p>
        </w:tc>
        <w:tc>
          <w:tcPr>
            <w:tcW w:w="2280" w:type="dxa"/>
            <w:vAlign w:val="bottom"/>
            <w:tcBorders>
              <w:bottom w:val="single" w:sz="8" w:color="0000FF"/>
            </w:tcBorders>
            <w:gridSpan w:val="3"/>
          </w:tcPr>
          <w:p>
            <w:pPr>
              <w:spacing w:after="0"/>
              <w:rPr>
                <w:rFonts w:ascii="Arial" w:cs="Arial" w:eastAsia="Arial" w:hAnsi="Arial"/>
                <w:sz w:val="12"/>
                <w:szCs w:val="12"/>
                <w:color w:val="0000FF"/>
                <w:w w:val="99"/>
              </w:rPr>
            </w:pPr>
            <w:hyperlink w:anchor="page18">
              <w:r>
                <w:rPr>
                  <w:rFonts w:ascii="Arial" w:cs="Arial" w:eastAsia="Arial" w:hAnsi="Arial"/>
                  <w:sz w:val="12"/>
                  <w:szCs w:val="12"/>
                  <w:color w:val="0000FF"/>
                  <w:w w:val="99"/>
                </w:rPr>
                <w:t>Investor Presentation, dated July 22, 2021.</w:t>
              </w:r>
            </w:hyperlink>
          </w:p>
        </w:tc>
        <w:tc>
          <w:tcPr>
            <w:tcW w:w="6660" w:type="dxa"/>
            <w:vAlign w:val="bottom"/>
          </w:tcPr>
          <w:p>
            <w:pPr>
              <w:spacing w:after="0"/>
              <w:rPr>
                <w:sz w:val="14"/>
                <w:szCs w:val="14"/>
                <w:color w:val="auto"/>
              </w:rPr>
            </w:pPr>
          </w:p>
        </w:tc>
      </w:tr>
      <w:tr>
        <w:trPr>
          <w:trHeight w:val="169"/>
        </w:trPr>
        <w:tc>
          <w:tcPr>
            <w:tcW w:w="1420" w:type="dxa"/>
            <w:vAlign w:val="bottom"/>
          </w:tcPr>
          <w:p>
            <w:pPr>
              <w:ind w:left="220"/>
              <w:spacing w:after="0"/>
              <w:rPr>
                <w:sz w:val="20"/>
                <w:szCs w:val="20"/>
                <w:color w:val="auto"/>
              </w:rPr>
            </w:pPr>
            <w:r>
              <w:rPr>
                <w:rFonts w:ascii="Arial" w:cs="Arial" w:eastAsia="Arial" w:hAnsi="Arial"/>
                <w:sz w:val="12"/>
                <w:szCs w:val="12"/>
                <w:color w:val="auto"/>
              </w:rPr>
              <w:t>99.3</w:t>
            </w:r>
          </w:p>
        </w:tc>
        <w:tc>
          <w:tcPr>
            <w:tcW w:w="940" w:type="dxa"/>
            <w:vAlign w:val="bottom"/>
          </w:tcPr>
          <w:p>
            <w:pPr>
              <w:spacing w:after="0"/>
              <w:rPr>
                <w:sz w:val="14"/>
                <w:szCs w:val="14"/>
                <w:color w:val="auto"/>
              </w:rPr>
            </w:pPr>
          </w:p>
        </w:tc>
        <w:tc>
          <w:tcPr>
            <w:tcW w:w="8940" w:type="dxa"/>
            <w:vAlign w:val="bottom"/>
            <w:gridSpan w:val="4"/>
          </w:tcPr>
          <w:p>
            <w:pPr>
              <w:spacing w:after="0"/>
              <w:rPr>
                <w:rFonts w:ascii="Arial" w:cs="Arial" w:eastAsia="Arial" w:hAnsi="Arial"/>
                <w:sz w:val="12"/>
                <w:szCs w:val="12"/>
                <w:color w:val="0000FF"/>
              </w:rPr>
            </w:pPr>
            <w:hyperlink w:anchor="page42">
              <w:r>
                <w:rPr>
                  <w:rFonts w:ascii="Arial" w:cs="Arial" w:eastAsia="Arial" w:hAnsi="Arial"/>
                  <w:sz w:val="12"/>
                  <w:szCs w:val="12"/>
                  <w:color w:val="0000FF"/>
                </w:rPr>
                <w:t>Investor Update, dated July 22, 2021.</w:t>
              </w:r>
            </w:hyperlink>
          </w:p>
        </w:tc>
      </w:tr>
      <w:tr>
        <w:trPr>
          <w:trHeight w:val="20"/>
        </w:trPr>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r>
      <w:tr>
        <w:trPr>
          <w:trHeight w:val="196"/>
        </w:trPr>
        <w:tc>
          <w:tcPr>
            <w:tcW w:w="1420" w:type="dxa"/>
            <w:vAlign w:val="bottom"/>
          </w:tcPr>
          <w:p>
            <w:pPr>
              <w:ind w:left="220"/>
              <w:spacing w:after="0"/>
              <w:rPr>
                <w:sz w:val="20"/>
                <w:szCs w:val="20"/>
                <w:color w:val="auto"/>
              </w:rPr>
            </w:pPr>
            <w:r>
              <w:rPr>
                <w:rFonts w:ascii="Arial" w:cs="Arial" w:eastAsia="Arial" w:hAnsi="Arial"/>
                <w:sz w:val="12"/>
                <w:szCs w:val="12"/>
                <w:color w:val="auto"/>
              </w:rPr>
              <w:t>104.1</w:t>
            </w:r>
          </w:p>
        </w:tc>
        <w:tc>
          <w:tcPr>
            <w:tcW w:w="940" w:type="dxa"/>
            <w:vAlign w:val="bottom"/>
          </w:tcPr>
          <w:p>
            <w:pPr>
              <w:spacing w:after="0"/>
              <w:rPr>
                <w:sz w:val="17"/>
                <w:szCs w:val="17"/>
                <w:color w:val="auto"/>
              </w:rPr>
            </w:pPr>
          </w:p>
        </w:tc>
        <w:tc>
          <w:tcPr>
            <w:tcW w:w="8940" w:type="dxa"/>
            <w:vAlign w:val="bottom"/>
            <w:gridSpan w:val="4"/>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801"/>
        </w:trPr>
        <w:tc>
          <w:tcPr>
            <w:tcW w:w="1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3" w:name="page4"/>
    <w:bookmarkEnd w:id="3"/>
    <w:p>
      <w:pPr>
        <w:ind w:left="5260"/>
        <w:spacing w:after="0"/>
        <w:rPr>
          <w:sz w:val="20"/>
          <w:szCs w:val="20"/>
          <w:color w:val="auto"/>
        </w:rPr>
      </w:pPr>
      <w:r>
        <w:rPr>
          <w:rFonts w:ascii="Arial" w:cs="Arial" w:eastAsia="Arial" w:hAnsi="Arial"/>
          <w:sz w:val="12"/>
          <w:szCs w:val="12"/>
          <w:b w:val="1"/>
          <w:bCs w:val="1"/>
          <w:color w:val="auto"/>
        </w:rPr>
        <w:t>SIGNATURES</w:t>
      </w: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American Airlines Group Inc. has duly caused this report to be signed on its behalf by the undersigned hereunto duly authorized.</w:t>
      </w:r>
    </w:p>
    <w:p>
      <w:pPr>
        <w:spacing w:after="0" w:line="274" w:lineRule="exact"/>
        <w:rPr>
          <w:sz w:val="20"/>
          <w:szCs w:val="20"/>
          <w:color w:val="auto"/>
        </w:rPr>
      </w:pPr>
    </w:p>
    <w:p>
      <w:pPr>
        <w:ind w:left="6340"/>
        <w:spacing w:after="0"/>
        <w:rPr>
          <w:sz w:val="20"/>
          <w:szCs w:val="20"/>
          <w:color w:val="auto"/>
        </w:rPr>
      </w:pPr>
      <w:r>
        <w:rPr>
          <w:rFonts w:ascii="Arial" w:cs="Arial" w:eastAsia="Arial" w:hAnsi="Arial"/>
          <w:sz w:val="12"/>
          <w:szCs w:val="12"/>
          <w:b w:val="1"/>
          <w:bCs w:val="1"/>
          <w:color w:val="auto"/>
        </w:rPr>
        <w:t>A</w:t>
      </w:r>
      <w:r>
        <w:rPr>
          <w:rFonts w:ascii="Arial" w:cs="Arial" w:eastAsia="Arial" w:hAnsi="Arial"/>
          <w:sz w:val="9"/>
          <w:szCs w:val="9"/>
          <w:b w:val="1"/>
          <w:bCs w:val="1"/>
          <w:color w:val="auto"/>
        </w:rPr>
        <w:t>MERICAN</w:t>
      </w:r>
      <w:r>
        <w:rPr>
          <w:rFonts w:ascii="Arial" w:cs="Arial" w:eastAsia="Arial" w:hAnsi="Arial"/>
          <w:sz w:val="12"/>
          <w:szCs w:val="12"/>
          <w:b w:val="1"/>
          <w:bCs w:val="1"/>
          <w:color w:val="auto"/>
        </w:rPr>
        <w:t xml:space="preserve"> A</w:t>
      </w:r>
      <w:r>
        <w:rPr>
          <w:rFonts w:ascii="Arial" w:cs="Arial" w:eastAsia="Arial" w:hAnsi="Arial"/>
          <w:sz w:val="9"/>
          <w:szCs w:val="9"/>
          <w:b w:val="1"/>
          <w:bCs w:val="1"/>
          <w:color w:val="auto"/>
        </w:rPr>
        <w:t>IRLINES</w:t>
      </w:r>
      <w:r>
        <w:rPr>
          <w:rFonts w:ascii="Arial" w:cs="Arial" w:eastAsia="Arial" w:hAnsi="Arial"/>
          <w:sz w:val="12"/>
          <w:szCs w:val="12"/>
          <w:b w:val="1"/>
          <w:bCs w:val="1"/>
          <w:color w:val="auto"/>
        </w:rPr>
        <w:t xml:space="preserve"> G</w:t>
      </w:r>
      <w:r>
        <w:rPr>
          <w:rFonts w:ascii="Arial" w:cs="Arial" w:eastAsia="Arial" w:hAnsi="Arial"/>
          <w:sz w:val="9"/>
          <w:szCs w:val="9"/>
          <w:b w:val="1"/>
          <w:bCs w:val="1"/>
          <w:color w:val="auto"/>
        </w:rPr>
        <w:t>ROUP</w:t>
      </w:r>
      <w:r>
        <w:rPr>
          <w:rFonts w:ascii="Arial" w:cs="Arial" w:eastAsia="Arial" w:hAnsi="Arial"/>
          <w:sz w:val="12"/>
          <w:szCs w:val="12"/>
          <w:b w:val="1"/>
          <w:bCs w:val="1"/>
          <w:color w:val="auto"/>
        </w:rPr>
        <w:t xml:space="preserve"> I</w:t>
      </w:r>
      <w:r>
        <w:rPr>
          <w:rFonts w:ascii="Arial" w:cs="Arial" w:eastAsia="Arial" w:hAnsi="Arial"/>
          <w:sz w:val="9"/>
          <w:szCs w:val="9"/>
          <w:b w:val="1"/>
          <w:bCs w:val="1"/>
          <w:color w:val="auto"/>
        </w:rPr>
        <w:t>NC</w:t>
      </w:r>
      <w:r>
        <w:rPr>
          <w:rFonts w:ascii="Arial" w:cs="Arial" w:eastAsia="Arial" w:hAnsi="Arial"/>
          <w:sz w:val="12"/>
          <w:szCs w:val="12"/>
          <w:b w:val="1"/>
          <w:bCs w:val="1"/>
          <w:color w:val="auto"/>
        </w:rPr>
        <w:t>.</w:t>
      </w:r>
    </w:p>
    <w:p>
      <w:pPr>
        <w:spacing w:after="0" w:line="209" w:lineRule="exact"/>
        <w:rPr>
          <w:sz w:val="20"/>
          <w:szCs w:val="20"/>
          <w:color w:val="auto"/>
        </w:rPr>
      </w:pPr>
    </w:p>
    <w:p>
      <w:pPr>
        <w:spacing w:after="0"/>
        <w:tabs>
          <w:tab w:leader="none" w:pos="6320" w:val="left"/>
          <w:tab w:leader="none" w:pos="6860" w:val="left"/>
        </w:tabs>
        <w:rPr>
          <w:sz w:val="20"/>
          <w:szCs w:val="20"/>
          <w:color w:val="auto"/>
        </w:rPr>
      </w:pPr>
      <w:r>
        <w:rPr>
          <w:rFonts w:ascii="Arial" w:cs="Arial" w:eastAsia="Arial" w:hAnsi="Arial"/>
          <w:sz w:val="12"/>
          <w:szCs w:val="12"/>
          <w:color w:val="auto"/>
        </w:rPr>
        <w:t>Date: July 22,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4445</wp:posOffset>
            </wp:positionV>
            <wp:extent cx="280035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4"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Derek J. Kerr</w:t>
      </w:r>
    </w:p>
    <w:p>
      <w:pPr>
        <w:ind w:left="6880"/>
        <w:spacing w:after="0" w:line="229" w:lineRule="auto"/>
        <w:rPr>
          <w:sz w:val="20"/>
          <w:szCs w:val="20"/>
          <w:color w:val="auto"/>
        </w:rPr>
      </w:pPr>
      <w:r>
        <w:rPr>
          <w:rFonts w:ascii="Arial" w:cs="Arial" w:eastAsia="Arial" w:hAnsi="Arial"/>
          <w:sz w:val="12"/>
          <w:szCs w:val="12"/>
          <w:color w:val="auto"/>
        </w:rPr>
        <w:t>Executive Vice President and</w:t>
      </w:r>
    </w:p>
    <w:p>
      <w:pPr>
        <w:ind w:left="6880"/>
        <w:spacing w:after="0"/>
        <w:rPr>
          <w:sz w:val="20"/>
          <w:szCs w:val="20"/>
          <w:color w:val="auto"/>
        </w:rPr>
      </w:pPr>
      <w:r>
        <w:rPr>
          <w:rFonts w:ascii="Arial" w:cs="Arial" w:eastAsia="Arial" w:hAnsi="Arial"/>
          <w:sz w:val="12"/>
          <w:szCs w:val="12"/>
          <w:color w:val="auto"/>
        </w:rPr>
        <w:t>Chief Financial Officer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American Airlines, Inc. has duly caused this report to be signed on its behalf by the undersigned hereunto duly authorized.</w:t>
      </w:r>
    </w:p>
    <w:p>
      <w:pPr>
        <w:spacing w:after="0" w:line="253" w:lineRule="exact"/>
        <w:rPr>
          <w:sz w:val="20"/>
          <w:szCs w:val="20"/>
          <w:color w:val="auto"/>
        </w:rPr>
      </w:pPr>
    </w:p>
    <w:p>
      <w:pPr>
        <w:ind w:left="6340"/>
        <w:spacing w:after="0"/>
        <w:rPr>
          <w:sz w:val="20"/>
          <w:szCs w:val="20"/>
          <w:color w:val="auto"/>
        </w:rPr>
      </w:pPr>
      <w:r>
        <w:rPr>
          <w:rFonts w:ascii="Arial" w:cs="Arial" w:eastAsia="Arial" w:hAnsi="Arial"/>
          <w:sz w:val="12"/>
          <w:szCs w:val="12"/>
          <w:b w:val="1"/>
          <w:bCs w:val="1"/>
          <w:color w:val="auto"/>
        </w:rPr>
        <w:t>A</w:t>
      </w:r>
      <w:r>
        <w:rPr>
          <w:rFonts w:ascii="Arial" w:cs="Arial" w:eastAsia="Arial" w:hAnsi="Arial"/>
          <w:sz w:val="9"/>
          <w:szCs w:val="9"/>
          <w:b w:val="1"/>
          <w:bCs w:val="1"/>
          <w:color w:val="auto"/>
        </w:rPr>
        <w:t>MERICAN</w:t>
      </w:r>
      <w:r>
        <w:rPr>
          <w:rFonts w:ascii="Arial" w:cs="Arial" w:eastAsia="Arial" w:hAnsi="Arial"/>
          <w:sz w:val="12"/>
          <w:szCs w:val="12"/>
          <w:b w:val="1"/>
          <w:bCs w:val="1"/>
          <w:color w:val="auto"/>
        </w:rPr>
        <w:t xml:space="preserve"> A</w:t>
      </w:r>
      <w:r>
        <w:rPr>
          <w:rFonts w:ascii="Arial" w:cs="Arial" w:eastAsia="Arial" w:hAnsi="Arial"/>
          <w:sz w:val="9"/>
          <w:szCs w:val="9"/>
          <w:b w:val="1"/>
          <w:bCs w:val="1"/>
          <w:color w:val="auto"/>
        </w:rPr>
        <w:t>IRLINES</w:t>
      </w:r>
      <w:r>
        <w:rPr>
          <w:rFonts w:ascii="Arial" w:cs="Arial" w:eastAsia="Arial" w:hAnsi="Arial"/>
          <w:sz w:val="12"/>
          <w:szCs w:val="12"/>
          <w:b w:val="1"/>
          <w:bCs w:val="1"/>
          <w:color w:val="auto"/>
        </w:rPr>
        <w:t>, I</w:t>
      </w:r>
      <w:r>
        <w:rPr>
          <w:rFonts w:ascii="Arial" w:cs="Arial" w:eastAsia="Arial" w:hAnsi="Arial"/>
          <w:sz w:val="9"/>
          <w:szCs w:val="9"/>
          <w:b w:val="1"/>
          <w:bCs w:val="1"/>
          <w:color w:val="auto"/>
        </w:rPr>
        <w:t>NC</w:t>
      </w:r>
      <w:r>
        <w:rPr>
          <w:rFonts w:ascii="Arial" w:cs="Arial" w:eastAsia="Arial" w:hAnsi="Arial"/>
          <w:sz w:val="12"/>
          <w:szCs w:val="12"/>
          <w:b w:val="1"/>
          <w:bCs w:val="1"/>
          <w:color w:val="auto"/>
        </w:rPr>
        <w:t>.</w:t>
      </w:r>
    </w:p>
    <w:p>
      <w:pPr>
        <w:spacing w:after="0" w:line="209" w:lineRule="exact"/>
        <w:rPr>
          <w:sz w:val="20"/>
          <w:szCs w:val="20"/>
          <w:color w:val="auto"/>
        </w:rPr>
      </w:pPr>
    </w:p>
    <w:p>
      <w:pPr>
        <w:spacing w:after="0"/>
        <w:tabs>
          <w:tab w:leader="none" w:pos="6320" w:val="left"/>
          <w:tab w:leader="none" w:pos="6860" w:val="left"/>
        </w:tabs>
        <w:rPr>
          <w:sz w:val="20"/>
          <w:szCs w:val="20"/>
          <w:color w:val="auto"/>
        </w:rPr>
      </w:pPr>
      <w:r>
        <w:rPr>
          <w:rFonts w:ascii="Arial" w:cs="Arial" w:eastAsia="Arial" w:hAnsi="Arial"/>
          <w:sz w:val="12"/>
          <w:szCs w:val="12"/>
          <w:color w:val="auto"/>
        </w:rPr>
        <w:t>Date: July 22,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4445</wp:posOffset>
            </wp:positionV>
            <wp:extent cx="285750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00" cy="5715"/>
                    </a:xfrm>
                    <a:prstGeom prst="rect">
                      <a:avLst/>
                    </a:prstGeom>
                    <a:noFill/>
                  </pic:spPr>
                </pic:pic>
              </a:graphicData>
            </a:graphic>
          </wp:anchor>
        </w:drawing>
      </w:r>
    </w:p>
    <w:p>
      <w:pPr>
        <w:spacing w:after="0" w:line="4"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Derek J. Kerr</w:t>
      </w:r>
    </w:p>
    <w:p>
      <w:pPr>
        <w:ind w:left="6880"/>
        <w:spacing w:after="0" w:line="229" w:lineRule="auto"/>
        <w:rPr>
          <w:sz w:val="20"/>
          <w:szCs w:val="20"/>
          <w:color w:val="auto"/>
        </w:rPr>
      </w:pPr>
      <w:r>
        <w:rPr>
          <w:rFonts w:ascii="Arial" w:cs="Arial" w:eastAsia="Arial" w:hAnsi="Arial"/>
          <w:sz w:val="12"/>
          <w:szCs w:val="12"/>
          <w:color w:val="auto"/>
        </w:rPr>
        <w:t>Executive Vice President and</w:t>
      </w:r>
    </w:p>
    <w:p>
      <w:pPr>
        <w:ind w:left="688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0500"/>
          </w:cols>
          <w:pgMar w:left="300" w:top="638" w:right="1099"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5847080</wp:posOffset>
            </wp:positionH>
            <wp:positionV relativeFrom="paragraph">
              <wp:posOffset>264795</wp:posOffset>
            </wp:positionV>
            <wp:extent cx="1303020" cy="280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020"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120"/>
        <w:spacing w:after="0"/>
        <w:rPr>
          <w:sz w:val="20"/>
          <w:szCs w:val="20"/>
          <w:color w:val="auto"/>
        </w:rPr>
      </w:pPr>
      <w:r>
        <w:rPr>
          <w:rFonts w:ascii="Arial" w:cs="Arial" w:eastAsia="Arial" w:hAnsi="Arial"/>
          <w:sz w:val="11"/>
          <w:szCs w:val="11"/>
          <w:b w:val="1"/>
          <w:bCs w:val="1"/>
          <w:color w:val="auto"/>
        </w:rPr>
        <w:t>Corporate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874395" cy="91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74395" cy="91440"/>
                    </a:xfrm>
                    <a:prstGeom prst="rect">
                      <a:avLst/>
                    </a:prstGeom>
                    <a:noFill/>
                  </pic:spPr>
                </pic:pic>
              </a:graphicData>
            </a:graphic>
          </wp:anchor>
        </w:drawing>
      </w:r>
    </w:p>
    <w:p>
      <w:pPr>
        <w:spacing w:after="0" w:line="7" w:lineRule="exact"/>
        <w:rPr>
          <w:sz w:val="20"/>
          <w:szCs w:val="20"/>
          <w:color w:val="auto"/>
        </w:rPr>
      </w:pPr>
    </w:p>
    <w:p>
      <w:pPr>
        <w:ind w:left="8120"/>
        <w:spacing w:after="0"/>
        <w:rPr>
          <w:sz w:val="20"/>
          <w:szCs w:val="20"/>
          <w:color w:val="auto"/>
        </w:rPr>
      </w:pPr>
      <w:r>
        <w:rPr>
          <w:rFonts w:ascii="Arial" w:cs="Arial" w:eastAsia="Arial" w:hAnsi="Arial"/>
          <w:sz w:val="11"/>
          <w:szCs w:val="11"/>
          <w:b w:val="1"/>
          <w:bCs w:val="1"/>
          <w:u w:val="single" w:color="auto"/>
          <w:color w:val="0000FF"/>
        </w:rPr>
        <w:t>mediarelations@aa.com</w:t>
      </w:r>
    </w:p>
    <w:p>
      <w:pPr>
        <w:spacing w:after="0" w:line="126" w:lineRule="exact"/>
        <w:rPr>
          <w:sz w:val="20"/>
          <w:szCs w:val="20"/>
          <w:color w:val="auto"/>
        </w:rPr>
      </w:pPr>
    </w:p>
    <w:p>
      <w:pPr>
        <w:ind w:left="8120"/>
        <w:spacing w:after="0"/>
        <w:rPr>
          <w:sz w:val="20"/>
          <w:szCs w:val="20"/>
          <w:color w:val="auto"/>
        </w:rPr>
      </w:pPr>
      <w:r>
        <w:rPr>
          <w:rFonts w:ascii="Arial" w:cs="Arial" w:eastAsia="Arial" w:hAnsi="Arial"/>
          <w:sz w:val="11"/>
          <w:szCs w:val="11"/>
          <w:b w:val="1"/>
          <w:bCs w:val="1"/>
          <w:color w:val="auto"/>
        </w:rPr>
        <w:t>Investor Relations</w:t>
      </w:r>
    </w:p>
    <w:p>
      <w:pPr>
        <w:spacing w:after="0" w:line="25" w:lineRule="exact"/>
        <w:rPr>
          <w:sz w:val="20"/>
          <w:szCs w:val="20"/>
          <w:color w:val="auto"/>
        </w:rPr>
      </w:pPr>
    </w:p>
    <w:p>
      <w:pPr>
        <w:ind w:left="8120"/>
        <w:spacing w:after="0"/>
        <w:rPr>
          <w:sz w:val="20"/>
          <w:szCs w:val="20"/>
          <w:color w:val="auto"/>
        </w:rPr>
      </w:pPr>
      <w:r>
        <w:rPr>
          <w:rFonts w:ascii="Arial" w:cs="Arial" w:eastAsia="Arial" w:hAnsi="Arial"/>
          <w:sz w:val="11"/>
          <w:szCs w:val="11"/>
          <w:b w:val="1"/>
          <w:bCs w:val="1"/>
          <w:u w:val="single" w:color="auto"/>
          <w:color w:val="0000FF"/>
        </w:rPr>
        <w:t>investor.relations@aa.com</w:t>
      </w: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auto"/>
        </w:rPr>
        <w:t>FOR RELEASE: Thursday, July 22, 2021</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AMERICAN AIRLINES REPORTS SECOND-QUARTER 2021 FINANCIAL RESULTS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Record liquidity and confidence in recovery drive accelerated deleveraging</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FORT WORTH, Texas –– American Airlines Group Inc. (NASDAQ: AAL) today reported its second-quarter 2021 financial results, including:</w:t>
      </w:r>
    </w:p>
    <w:p>
      <w:pPr>
        <w:spacing w:after="0" w:line="51"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Second-quarter net profit of $19 million, or $0.03 per diluted share. Excluding net special items</w:t>
      </w:r>
      <w:r>
        <w:rPr>
          <w:rFonts w:ascii="Arial" w:cs="Arial" w:eastAsia="Arial" w:hAnsi="Arial"/>
          <w:sz w:val="17"/>
          <w:szCs w:val="17"/>
          <w:b w:val="1"/>
          <w:bCs w:val="1"/>
          <w:color w:val="auto"/>
          <w:vertAlign w:val="superscript"/>
        </w:rPr>
        <w:t>1</w:t>
      </w:r>
      <w:r>
        <w:rPr>
          <w:rFonts w:ascii="Arial" w:cs="Arial" w:eastAsia="Arial" w:hAnsi="Arial"/>
          <w:sz w:val="13"/>
          <w:szCs w:val="13"/>
          <w:b w:val="1"/>
          <w:bCs w:val="1"/>
          <w:color w:val="auto"/>
        </w:rPr>
        <w:t>, second-quarter net loss of $1.1 billion, or ($1.69) per share.</w:t>
      </w:r>
    </w:p>
    <w:p>
      <w:pPr>
        <w:ind w:left="420" w:hanging="212"/>
        <w:spacing w:after="0" w:line="228" w:lineRule="auto"/>
        <w:tabs>
          <w:tab w:leader="none" w:pos="420" w:val="left"/>
        </w:tabs>
        <w:numPr>
          <w:ilvl w:val="0"/>
          <w:numId w:val="4"/>
        </w:numPr>
        <w:rPr>
          <w:rFonts w:ascii="Arial" w:cs="Arial" w:eastAsia="Arial" w:hAnsi="Arial"/>
          <w:sz w:val="14"/>
          <w:szCs w:val="14"/>
          <w:color w:val="auto"/>
        </w:rPr>
      </w:pPr>
      <w:r>
        <w:rPr>
          <w:rFonts w:ascii="Arial" w:cs="Arial" w:eastAsia="Arial" w:hAnsi="Arial"/>
          <w:sz w:val="13"/>
          <w:szCs w:val="13"/>
          <w:b w:val="1"/>
          <w:bCs w:val="1"/>
          <w:color w:val="auto"/>
        </w:rPr>
        <w:t>Second-quarter revenue of $7.5 billion, up 87% sequentially from the first quarter of 2021.</w:t>
      </w:r>
    </w:p>
    <w:p>
      <w:pPr>
        <w:ind w:left="420" w:hanging="212"/>
        <w:spacing w:after="0"/>
        <w:tabs>
          <w:tab w:leader="none" w:pos="42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Ended the second quarter with approximately $21.3 billion of total available liquidity, a record for the Company.</w:t>
      </w:r>
    </w:p>
    <w:p>
      <w:pPr>
        <w:spacing w:after="0" w:line="7" w:lineRule="exact"/>
        <w:rPr>
          <w:rFonts w:ascii="Arial" w:cs="Arial" w:eastAsia="Arial" w:hAnsi="Arial"/>
          <w:sz w:val="13"/>
          <w:szCs w:val="13"/>
          <w:b w:val="1"/>
          <w:bCs w:val="1"/>
          <w:color w:val="auto"/>
        </w:rPr>
      </w:pPr>
    </w:p>
    <w:p>
      <w:pPr>
        <w:ind w:left="420" w:hanging="2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3"/>
          <w:szCs w:val="13"/>
          <w:b w:val="1"/>
          <w:bCs w:val="1"/>
          <w:color w:val="auto"/>
        </w:rPr>
        <w:t>Accelerated the deleveraging process with prepayment of $950 million spare parts term loan.</w:t>
      </w:r>
    </w:p>
    <w:p>
      <w:pPr>
        <w:spacing w:after="0" w:line="14" w:lineRule="exact"/>
        <w:rPr>
          <w:rFonts w:ascii="Arial" w:cs="Arial" w:eastAsia="Arial" w:hAnsi="Arial"/>
          <w:sz w:val="14"/>
          <w:szCs w:val="14"/>
          <w:color w:val="auto"/>
        </w:rPr>
      </w:pPr>
    </w:p>
    <w:p>
      <w:pPr>
        <w:ind w:left="420" w:hanging="2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3"/>
          <w:szCs w:val="13"/>
          <w:b w:val="1"/>
          <w:bCs w:val="1"/>
          <w:color w:val="auto"/>
        </w:rPr>
        <w:t>Company plans to pay down approximately $15 billion of debt by the end of 2025.</w:t>
      </w:r>
    </w:p>
    <w:p>
      <w:pPr>
        <w:spacing w:after="0" w:line="137" w:lineRule="exact"/>
        <w:rPr>
          <w:sz w:val="20"/>
          <w:szCs w:val="20"/>
          <w:color w:val="auto"/>
        </w:rPr>
      </w:pPr>
    </w:p>
    <w:p>
      <w:pPr>
        <w:ind w:right="100"/>
        <w:spacing w:after="0" w:line="251" w:lineRule="auto"/>
        <w:rPr>
          <w:sz w:val="20"/>
          <w:szCs w:val="20"/>
          <w:color w:val="auto"/>
        </w:rPr>
      </w:pPr>
      <w:r>
        <w:rPr>
          <w:rFonts w:ascii="Arial" w:cs="Arial" w:eastAsia="Arial" w:hAnsi="Arial"/>
          <w:sz w:val="13"/>
          <w:szCs w:val="13"/>
          <w:color w:val="auto"/>
        </w:rPr>
        <w:t>“We have taken a number of steps to solidify our business through our Green Flag Plan and it shows in our second-quarter results,” said American’s Chairman and CEO Doug Parker. “We have reshaped our network, simplified our fleet and made our cost structure more efficient, all to create an airline that will outperform competitors and deliver for customers. The green flag has dropped and we are ready thanks to the tremendous efforts and dedication of the American Airlines team.”</w:t>
      </w:r>
    </w:p>
    <w:p>
      <w:pPr>
        <w:spacing w:after="0" w:line="116" w:lineRule="exact"/>
        <w:rPr>
          <w:sz w:val="20"/>
          <w:szCs w:val="20"/>
          <w:color w:val="auto"/>
        </w:rPr>
      </w:pPr>
    </w:p>
    <w:p>
      <w:pPr>
        <w:ind w:right="620"/>
        <w:spacing w:after="0" w:line="258" w:lineRule="auto"/>
        <w:rPr>
          <w:sz w:val="20"/>
          <w:szCs w:val="20"/>
          <w:color w:val="auto"/>
        </w:rPr>
      </w:pPr>
      <w:r>
        <w:rPr>
          <w:rFonts w:ascii="Arial" w:cs="Arial" w:eastAsia="Arial" w:hAnsi="Arial"/>
          <w:sz w:val="13"/>
          <w:szCs w:val="13"/>
          <w:color w:val="auto"/>
        </w:rPr>
        <w:t>American is committed to strengthening its business and returning to profitability by focusing on its three strategic objectives: Create a world-class customer experience, make culture a competitive advantage and build American to thrive forever.</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 create a world-class customer experience, American:</w:t>
      </w:r>
    </w:p>
    <w:p>
      <w:pPr>
        <w:spacing w:after="0" w:line="20" w:lineRule="exact"/>
        <w:rPr>
          <w:sz w:val="20"/>
          <w:szCs w:val="20"/>
          <w:color w:val="auto"/>
        </w:rPr>
      </w:pPr>
    </w:p>
    <w:p>
      <w:pPr>
        <w:ind w:left="420" w:right="240" w:hanging="212"/>
        <w:spacing w:after="0" w:line="245" w:lineRule="auto"/>
        <w:tabs>
          <w:tab w:leader="none" w:pos="412" w:val="left"/>
        </w:tabs>
        <w:numPr>
          <w:ilvl w:val="0"/>
          <w:numId w:val="5"/>
        </w:numPr>
        <w:rPr>
          <w:rFonts w:ascii="Arial" w:cs="Arial" w:eastAsia="Arial" w:hAnsi="Arial"/>
          <w:sz w:val="13"/>
          <w:szCs w:val="13"/>
          <w:color w:val="auto"/>
        </w:rPr>
      </w:pPr>
      <w:r>
        <w:rPr>
          <w:rFonts w:ascii="Arial" w:cs="Arial" w:eastAsia="Arial" w:hAnsi="Arial"/>
          <w:sz w:val="13"/>
          <w:szCs w:val="13"/>
          <w:color w:val="auto"/>
        </w:rPr>
        <w:t>Plans to operate more than 150 new routes this summer, including several new destinations and greater connectivity in Miami, Austin, Texas, and Orlando, Florida. During the summer season, American expects to fly more than 90% of its domestic seat capacity and 80% of its international seat capacity, in each case as compared to 2019.</w:t>
      </w:r>
    </w:p>
    <w:p>
      <w:pPr>
        <w:ind w:left="420" w:right="460" w:hanging="212"/>
        <w:spacing w:after="0" w:line="258" w:lineRule="auto"/>
        <w:tabs>
          <w:tab w:leader="none" w:pos="412" w:val="left"/>
        </w:tabs>
        <w:numPr>
          <w:ilvl w:val="0"/>
          <w:numId w:val="5"/>
        </w:numPr>
        <w:rPr>
          <w:rFonts w:ascii="Arial" w:cs="Arial" w:eastAsia="Arial" w:hAnsi="Arial"/>
          <w:sz w:val="13"/>
          <w:szCs w:val="13"/>
          <w:color w:val="auto"/>
        </w:rPr>
      </w:pPr>
      <w:r>
        <w:rPr>
          <w:rFonts w:ascii="Arial" w:cs="Arial" w:eastAsia="Arial" w:hAnsi="Arial"/>
          <w:sz w:val="13"/>
          <w:szCs w:val="13"/>
          <w:color w:val="auto"/>
        </w:rPr>
        <w:t>Scheduled 10 new domestic and four new international destinations from Austin for this fall as a result of increased customer demand. American and its partners will offer the most options in Austin this fall, with nearly 100 peak day departures.</w:t>
      </w:r>
    </w:p>
    <w:p>
      <w:pPr>
        <w:sectPr>
          <w:pgSz w:w="11900" w:h="16838" w:orient="portrait"/>
          <w:cols w:equalWidth="0" w:num="1">
            <w:col w:w="11300"/>
          </w:cols>
          <w:pgMar w:left="300" w:top="449"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color w:val="auto"/>
        </w:rPr>
        <w:t>American Airlines Reports Second-Quarter 2021 Financial Results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July 22, 2021</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Page 2</w:t>
      </w:r>
    </w:p>
    <w:p>
      <w:pPr>
        <w:spacing w:after="0" w:line="200" w:lineRule="exact"/>
        <w:rPr>
          <w:sz w:val="20"/>
          <w:szCs w:val="20"/>
          <w:color w:val="auto"/>
        </w:rPr>
      </w:pPr>
    </w:p>
    <w:p>
      <w:pPr>
        <w:spacing w:after="0" w:line="236" w:lineRule="exact"/>
        <w:rPr>
          <w:sz w:val="20"/>
          <w:szCs w:val="20"/>
          <w:color w:val="auto"/>
        </w:rPr>
      </w:pPr>
    </w:p>
    <w:p>
      <w:pPr>
        <w:ind w:left="420" w:right="200" w:hanging="212"/>
        <w:spacing w:after="0" w:line="245" w:lineRule="auto"/>
        <w:tabs>
          <w:tab w:leader="none" w:pos="412" w:val="left"/>
        </w:tabs>
        <w:numPr>
          <w:ilvl w:val="0"/>
          <w:numId w:val="6"/>
        </w:numPr>
        <w:rPr>
          <w:rFonts w:ascii="Arial" w:cs="Arial" w:eastAsia="Arial" w:hAnsi="Arial"/>
          <w:sz w:val="13"/>
          <w:szCs w:val="13"/>
          <w:color w:val="auto"/>
        </w:rPr>
      </w:pPr>
      <w:r>
        <w:rPr>
          <w:rFonts w:ascii="Arial" w:cs="Arial" w:eastAsia="Arial" w:hAnsi="Arial"/>
          <w:sz w:val="13"/>
          <w:szCs w:val="13"/>
          <w:color w:val="auto"/>
        </w:rPr>
        <w:t>Transitioned regional flight operations at Reagan National Airport from Gate 35X to a new 14-gate concourse, providing customers with a range of new amenities, including an all dual-class operation.</w:t>
      </w: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Continued to launch COVID-19 testing tools to make flying safer and easier, including self-administered and packable home tests.</w:t>
      </w:r>
    </w:p>
    <w:p>
      <w:pPr>
        <w:spacing w:after="0" w:line="3" w:lineRule="exact"/>
        <w:rPr>
          <w:rFonts w:ascii="Arial" w:cs="Arial" w:eastAsia="Arial" w:hAnsi="Arial"/>
          <w:sz w:val="13"/>
          <w:szCs w:val="13"/>
          <w:color w:val="auto"/>
        </w:rPr>
      </w:pPr>
    </w:p>
    <w:p>
      <w:pPr>
        <w:ind w:left="420" w:hanging="212"/>
        <w:spacing w:after="0" w:line="245" w:lineRule="auto"/>
        <w:tabs>
          <w:tab w:leader="none" w:pos="412" w:val="left"/>
        </w:tabs>
        <w:numPr>
          <w:ilvl w:val="0"/>
          <w:numId w:val="6"/>
        </w:numPr>
        <w:rPr>
          <w:rFonts w:ascii="Arial" w:cs="Arial" w:eastAsia="Arial" w:hAnsi="Arial"/>
          <w:sz w:val="13"/>
          <w:szCs w:val="13"/>
          <w:color w:val="auto"/>
        </w:rPr>
      </w:pPr>
      <w:r>
        <w:rPr>
          <w:rFonts w:ascii="Arial" w:cs="Arial" w:eastAsia="Arial" w:hAnsi="Arial"/>
          <w:sz w:val="13"/>
          <w:szCs w:val="13"/>
          <w:color w:val="auto"/>
        </w:rPr>
        <w:t>Worked with VeriFLY to expand the app's capabilities to include COVID-19 vaccination verification, which is now available in 11 countries, with more planned in the third quarter. Customer usage of VeriFLY has quadrupled since the first quarter and the app can be used at expedited check-in lanes at most U.S. hub airports.</w:t>
      </w:r>
    </w:p>
    <w:p>
      <w:pPr>
        <w:ind w:left="420" w:right="340" w:hanging="212"/>
        <w:spacing w:after="0" w:line="245" w:lineRule="auto"/>
        <w:tabs>
          <w:tab w:leader="none" w:pos="412" w:val="left"/>
        </w:tabs>
        <w:numPr>
          <w:ilvl w:val="0"/>
          <w:numId w:val="6"/>
        </w:numPr>
        <w:rPr>
          <w:rFonts w:ascii="Arial" w:cs="Arial" w:eastAsia="Arial" w:hAnsi="Arial"/>
          <w:sz w:val="13"/>
          <w:szCs w:val="13"/>
          <w:color w:val="auto"/>
        </w:rPr>
      </w:pPr>
      <w:r>
        <w:rPr>
          <w:rFonts w:ascii="Arial" w:cs="Arial" w:eastAsia="Arial" w:hAnsi="Arial"/>
          <w:sz w:val="13"/>
          <w:szCs w:val="13"/>
          <w:color w:val="auto"/>
        </w:rPr>
        <w:t>Introduced Five Star Essentials at Charlotte Douglas International Airport, Dallas Fort Worth International Airport and Miami International Airport. The service provides an extra set of hands during the customer journey from check-in to the gate.</w:t>
      </w:r>
    </w:p>
    <w:p>
      <w:pPr>
        <w:ind w:left="420" w:right="40" w:hanging="212"/>
        <w:spacing w:after="0" w:line="245" w:lineRule="auto"/>
        <w:tabs>
          <w:tab w:leader="none" w:pos="412" w:val="left"/>
        </w:tabs>
        <w:numPr>
          <w:ilvl w:val="0"/>
          <w:numId w:val="6"/>
        </w:numPr>
        <w:rPr>
          <w:rFonts w:ascii="Arial" w:cs="Arial" w:eastAsia="Arial" w:hAnsi="Arial"/>
          <w:sz w:val="13"/>
          <w:szCs w:val="13"/>
          <w:color w:val="auto"/>
        </w:rPr>
      </w:pPr>
      <w:r>
        <w:rPr>
          <w:rFonts w:ascii="Arial" w:cs="Arial" w:eastAsia="Arial" w:hAnsi="Arial"/>
          <w:sz w:val="13"/>
          <w:szCs w:val="13"/>
          <w:color w:val="auto"/>
        </w:rPr>
        <w:t>Continued to welcome back customers to Admirals Club lounges across the system with new signature menu offerings and the expansion of innovative touchless technology. All Admirals Club lounges will reopen by the end of August and American’s Flagship Lounge locations will start reopening this fall.</w:t>
      </w: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Reintroduced full beverage service in all domestic premium cabins and resumed offering canned drinks, juice and water in the main cabin.</w:t>
      </w:r>
    </w:p>
    <w:p>
      <w:pPr>
        <w:spacing w:after="0" w:line="3" w:lineRule="exact"/>
        <w:rPr>
          <w:rFonts w:ascii="Arial" w:cs="Arial" w:eastAsia="Arial" w:hAnsi="Arial"/>
          <w:sz w:val="13"/>
          <w:szCs w:val="13"/>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Revamped its premium cabin onboard amenity kits in partnership with Shinola and D.S. &amp; Durga, brands celebrated for thoughtful design and creativity.</w:t>
      </w:r>
    </w:p>
    <w:p>
      <w:pPr>
        <w:spacing w:after="0" w:line="3" w:lineRule="exact"/>
        <w:rPr>
          <w:rFonts w:ascii="Arial" w:cs="Arial" w:eastAsia="Arial" w:hAnsi="Arial"/>
          <w:sz w:val="13"/>
          <w:szCs w:val="13"/>
          <w:color w:val="auto"/>
        </w:rPr>
      </w:pPr>
    </w:p>
    <w:p>
      <w:pPr>
        <w:ind w:left="420" w:right="360" w:hanging="212"/>
        <w:spacing w:after="0" w:line="258" w:lineRule="auto"/>
        <w:tabs>
          <w:tab w:leader="none" w:pos="412" w:val="left"/>
        </w:tabs>
        <w:numPr>
          <w:ilvl w:val="0"/>
          <w:numId w:val="6"/>
        </w:numPr>
        <w:rPr>
          <w:rFonts w:ascii="Arial" w:cs="Arial" w:eastAsia="Arial" w:hAnsi="Arial"/>
          <w:sz w:val="13"/>
          <w:szCs w:val="13"/>
          <w:color w:val="auto"/>
        </w:rPr>
      </w:pPr>
      <w:r>
        <w:rPr>
          <w:rFonts w:ascii="Arial" w:cs="Arial" w:eastAsia="Arial" w:hAnsi="Arial"/>
          <w:sz w:val="13"/>
          <w:szCs w:val="13"/>
          <w:color w:val="auto"/>
        </w:rPr>
        <w:t>Refreshed its inflight entertainment offerings by adding new lifestyle entertainment choices with free access to Rosetta Stone and Skillshare, making it the first U.S. airline to tap into online/remote learning from 35,000 feet.</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 make culture a competitive advantage, American:</w:t>
      </w:r>
    </w:p>
    <w:p>
      <w:pPr>
        <w:spacing w:after="0" w:line="20" w:lineRule="exact"/>
        <w:rPr>
          <w:sz w:val="20"/>
          <w:szCs w:val="20"/>
          <w:color w:val="auto"/>
        </w:rPr>
      </w:pPr>
    </w:p>
    <w:p>
      <w:pPr>
        <w:ind w:left="420" w:right="160" w:hanging="212"/>
        <w:spacing w:after="0" w:line="245" w:lineRule="auto"/>
        <w:tabs>
          <w:tab w:leader="none" w:pos="412" w:val="left"/>
        </w:tabs>
        <w:numPr>
          <w:ilvl w:val="0"/>
          <w:numId w:val="7"/>
        </w:numPr>
        <w:rPr>
          <w:rFonts w:ascii="Arial" w:cs="Arial" w:eastAsia="Arial" w:hAnsi="Arial"/>
          <w:sz w:val="13"/>
          <w:szCs w:val="13"/>
          <w:color w:val="auto"/>
        </w:rPr>
      </w:pPr>
      <w:r>
        <w:rPr>
          <w:rFonts w:ascii="Arial" w:cs="Arial" w:eastAsia="Arial" w:hAnsi="Arial"/>
          <w:sz w:val="13"/>
          <w:szCs w:val="13"/>
          <w:color w:val="auto"/>
        </w:rPr>
        <w:t>Fortified its staffing by completing all required recall pilot training and bringing back more than 3,000 team members from leaves — with thousands more flight attendants returning from leaves this fall. American has hired nearly 3,500 new team members so far in 2021 and plans to hire 350 pilots this year and more than 1,000 pilots and 800 flight attendants in 2022.</w:t>
      </w:r>
    </w:p>
    <w:p>
      <w:pPr>
        <w:ind w:left="420" w:right="640" w:hanging="212"/>
        <w:spacing w:after="0" w:line="187" w:lineRule="auto"/>
        <w:tabs>
          <w:tab w:leader="none" w:pos="412" w:val="left"/>
        </w:tabs>
        <w:numPr>
          <w:ilvl w:val="0"/>
          <w:numId w:val="7"/>
        </w:numPr>
        <w:rPr>
          <w:rFonts w:ascii="Arial" w:cs="Arial" w:eastAsia="Arial" w:hAnsi="Arial"/>
          <w:sz w:val="13"/>
          <w:szCs w:val="13"/>
          <w:color w:val="auto"/>
        </w:rPr>
      </w:pPr>
      <w:r>
        <w:rPr>
          <w:rFonts w:ascii="Arial" w:cs="Arial" w:eastAsia="Arial" w:hAnsi="Arial"/>
          <w:sz w:val="13"/>
          <w:szCs w:val="13"/>
          <w:color w:val="auto"/>
        </w:rPr>
        <w:t>Donated 10 million AAdvantage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miles to Make-A-Wish, the organization that creates life-changing wishes for children with critical illnesses, to help grant 95 wishes, in honor of American’s 95</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birthday.</w:t>
      </w:r>
    </w:p>
    <w:p>
      <w:pPr>
        <w:spacing w:after="0" w:line="1" w:lineRule="exact"/>
        <w:rPr>
          <w:rFonts w:ascii="Arial" w:cs="Arial" w:eastAsia="Arial" w:hAnsi="Arial"/>
          <w:sz w:val="13"/>
          <w:szCs w:val="13"/>
          <w:color w:val="auto"/>
        </w:rPr>
      </w:pPr>
    </w:p>
    <w:p>
      <w:pPr>
        <w:ind w:left="420" w:right="120" w:hanging="212"/>
        <w:spacing w:after="0" w:line="245" w:lineRule="auto"/>
        <w:tabs>
          <w:tab w:leader="none" w:pos="412" w:val="left"/>
        </w:tabs>
        <w:numPr>
          <w:ilvl w:val="0"/>
          <w:numId w:val="7"/>
        </w:numPr>
        <w:rPr>
          <w:rFonts w:ascii="Arial" w:cs="Arial" w:eastAsia="Arial" w:hAnsi="Arial"/>
          <w:sz w:val="13"/>
          <w:szCs w:val="13"/>
          <w:color w:val="auto"/>
        </w:rPr>
      </w:pPr>
      <w:r>
        <w:rPr>
          <w:rFonts w:ascii="Arial" w:cs="Arial" w:eastAsia="Arial" w:hAnsi="Arial"/>
          <w:sz w:val="13"/>
          <w:szCs w:val="13"/>
          <w:color w:val="auto"/>
        </w:rPr>
        <w:t>Initiated a new partnership with the National Park Foundation to encourage exploration of some of the country’s most iconic natural wonders, historic sites, and cultural treasures, and to connect customers with opportunities to support the future of America’s national parks. Customers donated more than 37 million AAdvantage miles to the National Park Foundation through the airline’s new Miles for Our Planet initiative.</w:t>
      </w:r>
    </w:p>
    <w:p>
      <w:pPr>
        <w:spacing w:after="0" w:line="1" w:lineRule="exact"/>
        <w:rPr>
          <w:rFonts w:ascii="Arial" w:cs="Arial" w:eastAsia="Arial" w:hAnsi="Arial"/>
          <w:sz w:val="13"/>
          <w:szCs w:val="13"/>
          <w:color w:val="auto"/>
        </w:rPr>
      </w:pPr>
    </w:p>
    <w:p>
      <w:pPr>
        <w:ind w:left="420" w:right="40" w:hanging="212"/>
        <w:spacing w:after="0" w:line="245" w:lineRule="auto"/>
        <w:tabs>
          <w:tab w:leader="none" w:pos="412" w:val="left"/>
        </w:tabs>
        <w:numPr>
          <w:ilvl w:val="0"/>
          <w:numId w:val="7"/>
        </w:numPr>
        <w:rPr>
          <w:rFonts w:ascii="Arial" w:cs="Arial" w:eastAsia="Arial" w:hAnsi="Arial"/>
          <w:sz w:val="13"/>
          <w:szCs w:val="13"/>
          <w:color w:val="auto"/>
        </w:rPr>
      </w:pPr>
      <w:r>
        <w:rPr>
          <w:rFonts w:ascii="Arial" w:cs="Arial" w:eastAsia="Arial" w:hAnsi="Arial"/>
          <w:sz w:val="13"/>
          <w:szCs w:val="13"/>
          <w:color w:val="auto"/>
        </w:rPr>
        <w:t>Raised nearly $1.5 million in support of the American Red Cross and Red Crescent Societies’ efforts to fight the COVID-19 pandemic around the world, including in Brazil, India and other countries in need of assistance to battle the devastating virus. The airline and more than 11,000 AAdvantage members raised the full amount in less than one month.</w:t>
      </w:r>
    </w:p>
    <w:p>
      <w:pPr>
        <w:ind w:left="420" w:hanging="212"/>
        <w:spacing w:after="0"/>
        <w:tabs>
          <w:tab w:leader="none" w:pos="420" w:val="left"/>
        </w:tabs>
        <w:numPr>
          <w:ilvl w:val="0"/>
          <w:numId w:val="7"/>
        </w:numPr>
        <w:rPr>
          <w:rFonts w:ascii="Arial" w:cs="Arial" w:eastAsia="Arial" w:hAnsi="Arial"/>
          <w:sz w:val="13"/>
          <w:szCs w:val="13"/>
          <w:color w:val="auto"/>
        </w:rPr>
      </w:pPr>
      <w:r>
        <w:rPr>
          <w:rFonts w:ascii="Arial" w:cs="Arial" w:eastAsia="Arial" w:hAnsi="Arial"/>
          <w:sz w:val="13"/>
          <w:szCs w:val="13"/>
          <w:color w:val="auto"/>
        </w:rPr>
        <w:t>Partnered with United Way of Miami-Dade to provide travel assistance and help reunite families that were impacted by the tragic building collapse in Surfside, Florida.</w:t>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auto"/>
        </w:rPr>
        <w:t>American Airlines Reports Second-Quarter 2021 Financial Results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July 22, 2021</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Page 3</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 build American to thrive forever, American:</w:t>
      </w:r>
    </w:p>
    <w:p>
      <w:pPr>
        <w:spacing w:after="0" w:line="20" w:lineRule="exact"/>
        <w:rPr>
          <w:sz w:val="20"/>
          <w:szCs w:val="20"/>
          <w:color w:val="auto"/>
        </w:rPr>
      </w:pPr>
    </w:p>
    <w:p>
      <w:pPr>
        <w:ind w:left="420" w:right="40" w:hanging="212"/>
        <w:spacing w:after="0" w:line="245" w:lineRule="auto"/>
        <w:tabs>
          <w:tab w:leader="none" w:pos="412" w:val="left"/>
        </w:tabs>
        <w:numPr>
          <w:ilvl w:val="0"/>
          <w:numId w:val="8"/>
        </w:numPr>
        <w:rPr>
          <w:rFonts w:ascii="Arial" w:cs="Arial" w:eastAsia="Arial" w:hAnsi="Arial"/>
          <w:sz w:val="13"/>
          <w:szCs w:val="13"/>
          <w:color w:val="auto"/>
        </w:rPr>
      </w:pPr>
      <w:r>
        <w:rPr>
          <w:rFonts w:ascii="Arial" w:cs="Arial" w:eastAsia="Arial" w:hAnsi="Arial"/>
          <w:sz w:val="13"/>
          <w:szCs w:val="13"/>
          <w:color w:val="auto"/>
        </w:rPr>
        <w:t>Committed to develop a science-based target for reducing its greenhouse gas emissions by 2035, supporting the airline’s existing commitment to reach net-zero emissions by 2050. American also agreed to terms to purchase up to 10 million gallons of carbon-neutral sustainable aviation fuel (SAF) produced by Prometheus Fuels, which uses a novel process to make net zero carbon transportation fuels, including SAF.</w:t>
      </w:r>
    </w:p>
    <w:p>
      <w:pPr>
        <w:spacing w:after="0" w:line="1" w:lineRule="exact"/>
        <w:rPr>
          <w:rFonts w:ascii="Arial" w:cs="Arial" w:eastAsia="Arial" w:hAnsi="Arial"/>
          <w:sz w:val="13"/>
          <w:szCs w:val="13"/>
          <w:color w:val="auto"/>
        </w:rPr>
      </w:pPr>
    </w:p>
    <w:p>
      <w:pPr>
        <w:ind w:left="420" w:right="200" w:hanging="212"/>
        <w:spacing w:after="0" w:line="245" w:lineRule="auto"/>
        <w:tabs>
          <w:tab w:leader="none" w:pos="412" w:val="left"/>
        </w:tabs>
        <w:numPr>
          <w:ilvl w:val="0"/>
          <w:numId w:val="8"/>
        </w:numPr>
        <w:rPr>
          <w:rFonts w:ascii="Arial" w:cs="Arial" w:eastAsia="Arial" w:hAnsi="Arial"/>
          <w:sz w:val="13"/>
          <w:szCs w:val="13"/>
          <w:color w:val="auto"/>
        </w:rPr>
      </w:pPr>
      <w:r>
        <w:rPr>
          <w:rFonts w:ascii="Arial" w:cs="Arial" w:eastAsia="Arial" w:hAnsi="Arial"/>
          <w:sz w:val="13"/>
          <w:szCs w:val="13"/>
          <w:color w:val="auto"/>
        </w:rPr>
        <w:t>Announced investment in Vertical Aerospace, a leading U.K.-based engineering and aeronautical business developing electric vertical takeoff and landing aircraft. With the investment, American is demonstrating its focus on emerging technologies to reduce carbon emissions and investing in innovative ways that could improve the customer journey.</w:t>
      </w:r>
    </w:p>
    <w:p>
      <w:pPr>
        <w:ind w:left="420" w:hanging="212"/>
        <w:spacing w:after="0"/>
        <w:tabs>
          <w:tab w:leader="none" w:pos="420" w:val="left"/>
        </w:tabs>
        <w:numPr>
          <w:ilvl w:val="0"/>
          <w:numId w:val="8"/>
        </w:numPr>
        <w:rPr>
          <w:rFonts w:ascii="Arial" w:cs="Arial" w:eastAsia="Arial" w:hAnsi="Arial"/>
          <w:sz w:val="13"/>
          <w:szCs w:val="13"/>
          <w:color w:val="auto"/>
        </w:rPr>
      </w:pPr>
      <w:r>
        <w:rPr>
          <w:rFonts w:ascii="Arial" w:cs="Arial" w:eastAsia="Arial" w:hAnsi="Arial"/>
          <w:sz w:val="13"/>
          <w:szCs w:val="13"/>
          <w:color w:val="auto"/>
        </w:rPr>
        <w:t>During the second quarter, American had debt amortization and prepayments of approximately $985 million.</w:t>
      </w: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balance sheet</w:t>
      </w:r>
    </w:p>
    <w:p>
      <w:pPr>
        <w:spacing w:after="0" w:line="16" w:lineRule="exact"/>
        <w:rPr>
          <w:sz w:val="20"/>
          <w:szCs w:val="20"/>
          <w:color w:val="auto"/>
        </w:rPr>
      </w:pPr>
    </w:p>
    <w:p>
      <w:pPr>
        <w:ind w:right="120"/>
        <w:spacing w:after="0" w:line="226" w:lineRule="auto"/>
        <w:rPr>
          <w:sz w:val="20"/>
          <w:szCs w:val="20"/>
          <w:color w:val="auto"/>
        </w:rPr>
      </w:pPr>
      <w:r>
        <w:rPr>
          <w:rFonts w:ascii="Arial" w:cs="Arial" w:eastAsia="Arial" w:hAnsi="Arial"/>
          <w:sz w:val="13"/>
          <w:szCs w:val="13"/>
          <w:color w:val="auto"/>
        </w:rPr>
        <w:t>The Company’s daily cash burn rate turned positive for the second quarter to a cash build rate of approximately $1 million per day</w:t>
      </w:r>
      <w:r>
        <w:rPr>
          <w:rFonts w:ascii="Arial" w:cs="Arial" w:eastAsia="Arial" w:hAnsi="Arial"/>
          <w:sz w:val="17"/>
          <w:szCs w:val="17"/>
          <w:color w:val="auto"/>
          <w:vertAlign w:val="superscript"/>
        </w:rPr>
        <w:t>2</w:t>
      </w:r>
      <w:r>
        <w:rPr>
          <w:rFonts w:ascii="Arial" w:cs="Arial" w:eastAsia="Arial" w:hAnsi="Arial"/>
          <w:sz w:val="13"/>
          <w:szCs w:val="13"/>
          <w:color w:val="auto"/>
        </w:rPr>
        <w:t>. American ended the second quarter with a record of approximately $21.3 billion of total available liquidity. The Company expects to keep near-term liquidity at elevated levels but expects to step down its target liquidity to approximately $10 billion to $12 billion in 2022.</w:t>
      </w:r>
    </w:p>
    <w:p>
      <w:pPr>
        <w:spacing w:after="0" w:line="132" w:lineRule="exact"/>
        <w:rPr>
          <w:sz w:val="20"/>
          <w:szCs w:val="20"/>
          <w:color w:val="auto"/>
        </w:rPr>
      </w:pPr>
    </w:p>
    <w:p>
      <w:pPr>
        <w:jc w:val="both"/>
        <w:ind w:right="40"/>
        <w:spacing w:after="0" w:line="251" w:lineRule="auto"/>
        <w:rPr>
          <w:sz w:val="20"/>
          <w:szCs w:val="20"/>
          <w:color w:val="auto"/>
        </w:rPr>
      </w:pPr>
      <w:r>
        <w:rPr>
          <w:rFonts w:ascii="Arial" w:cs="Arial" w:eastAsia="Arial" w:hAnsi="Arial"/>
          <w:sz w:val="13"/>
          <w:szCs w:val="13"/>
          <w:color w:val="auto"/>
        </w:rPr>
        <w:t>American is committed to improving its balance sheet. The Company now expects to reduce its debt by more than $15 billion by the end of 2025 versus its previous guidance of $8 billion to $10 billion. American plans to accomplish this objective through naturally occurring amortization, by using excess cash and free cash flow to pay down prepayable debt, and by potentially using cash instead of debt for certain future aircraft deliveries.</w:t>
      </w:r>
    </w:p>
    <w:p>
      <w:pPr>
        <w:spacing w:after="0" w:line="116" w:lineRule="exact"/>
        <w:rPr>
          <w:sz w:val="20"/>
          <w:szCs w:val="20"/>
          <w:color w:val="auto"/>
        </w:rPr>
      </w:pPr>
    </w:p>
    <w:p>
      <w:pPr>
        <w:ind w:right="220"/>
        <w:spacing w:after="0" w:line="258" w:lineRule="auto"/>
        <w:rPr>
          <w:sz w:val="20"/>
          <w:szCs w:val="20"/>
          <w:color w:val="auto"/>
        </w:rPr>
      </w:pPr>
      <w:r>
        <w:rPr>
          <w:rFonts w:ascii="Arial" w:cs="Arial" w:eastAsia="Arial" w:hAnsi="Arial"/>
          <w:sz w:val="13"/>
          <w:szCs w:val="13"/>
          <w:color w:val="auto"/>
        </w:rPr>
        <w:t>As evidence of the Company’s commitment to delever and its confidence in the future, today American is prepaying the entirety of its $950 million spare parts term loan that was scheduled to mature in April 2023.</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Network and partnerships</w:t>
      </w:r>
    </w:p>
    <w:p>
      <w:pPr>
        <w:spacing w:after="0" w:line="20"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American and JetBlue continue to roll out benefits for customers to create a seamless customer experience. Starting this fall, AAdvantage elite and TrueBlue Mosaic members will also begin to enjoy benefits across both carriers. This next phase of benefits will include priority check-in, security and boarding, plus up to two complimentary checked bags. American’s AAdvantage members and JetBlue’s TrueBlue members already earn miles or points traveling on either carrier. AAdvantage is now the only loyalty program that allows elite status-earning opportunities when flying across three U.S. carriers — American, JetBlue and Alaska Airlines.</w:t>
      </w:r>
    </w:p>
    <w:p>
      <w:pPr>
        <w:spacing w:after="0" w:line="127"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As a result of American’s Northeast Alliance with JetBlue, New York and Boston travelers are seeing significantly expanded travel opportunities with new nonstop service and additional codeshare routes. As part of the alliance, American and JetBlue will operate more than 700 daily flights from New York and Boston this winter, giving customers more choice than any other airline can offer. Additionally, customers traveling on a joint American-JetBlue itinerary will now experience the fastest secure side connecter at New York — JFK and an industry-leading network. Expansion of the airline’s network will provide better global connectivity for growing markets like Austin, Texas, and Nashville, Tennessee.</w:t>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color w:val="auto"/>
        </w:rPr>
        <w:t>American Airlines Reports Second-Quarter 2021 Financial Results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July 22, 2021</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Page 4</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With American’s extensive network, partnerships and membership in </w:t>
      </w:r>
      <w:r>
        <w:rPr>
          <w:rFonts w:ascii="Arial" w:cs="Arial" w:eastAsia="Arial" w:hAnsi="Arial"/>
          <w:sz w:val="13"/>
          <w:szCs w:val="13"/>
          <w:b w:val="1"/>
          <w:bCs w:val="1"/>
          <w:color w:val="auto"/>
        </w:rPr>
        <w:t>one</w:t>
      </w:r>
      <w:r>
        <w:rPr>
          <w:rFonts w:ascii="Arial" w:cs="Arial" w:eastAsia="Arial" w:hAnsi="Arial"/>
          <w:sz w:val="13"/>
          <w:szCs w:val="13"/>
          <w:color w:val="auto"/>
        </w:rPr>
        <w:t>world, customers returning to travel have access to an unmatched global network.</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Guidance and investor update</w:t>
      </w:r>
    </w:p>
    <w:p>
      <w:pPr>
        <w:spacing w:after="0" w:line="20" w:lineRule="exact"/>
        <w:rPr>
          <w:sz w:val="20"/>
          <w:szCs w:val="20"/>
          <w:color w:val="auto"/>
        </w:rPr>
      </w:pPr>
    </w:p>
    <w:p>
      <w:pPr>
        <w:jc w:val="both"/>
        <w:ind w:right="20"/>
        <w:spacing w:after="0" w:line="258" w:lineRule="auto"/>
        <w:rPr>
          <w:sz w:val="20"/>
          <w:szCs w:val="20"/>
          <w:color w:val="auto"/>
        </w:rPr>
      </w:pPr>
      <w:r>
        <w:rPr>
          <w:rFonts w:ascii="Arial" w:cs="Arial" w:eastAsia="Arial" w:hAnsi="Arial"/>
          <w:sz w:val="13"/>
          <w:szCs w:val="13"/>
          <w:color w:val="auto"/>
        </w:rPr>
        <w:t>American will continue to match its forward capacity with observed bookings trends. Based on current trends, the Company expects its third-quarter capacity to be down approximately 15% to 20% compared to the third quarter of 2019. American expects its third-quarter total revenue to be down approximately 20% versus the third quarter of 2019. The Company also expects its third quarter pre-tax margin excluding net special items will be between negative 3% and negative 7%</w:t>
      </w:r>
      <w:r>
        <w:rPr>
          <w:rFonts w:ascii="Arial" w:cs="Arial" w:eastAsia="Arial" w:hAnsi="Arial"/>
          <w:sz w:val="17"/>
          <w:szCs w:val="17"/>
          <w:color w:val="auto"/>
          <w:vertAlign w:val="superscript"/>
        </w:rPr>
        <w:t>3</w:t>
      </w:r>
      <w:r>
        <w:rPr>
          <w:rFonts w:ascii="Arial" w:cs="Arial" w:eastAsia="Arial" w:hAnsi="Arial"/>
          <w:sz w:val="13"/>
          <w:szCs w:val="13"/>
          <w:color w:val="auto"/>
        </w:rPr>
        <w:t>.</w:t>
      </w:r>
    </w:p>
    <w:p>
      <w:pPr>
        <w:spacing w:after="0" w:line="89" w:lineRule="exact"/>
        <w:rPr>
          <w:sz w:val="20"/>
          <w:szCs w:val="20"/>
          <w:color w:val="auto"/>
        </w:rPr>
      </w:pPr>
    </w:p>
    <w:p>
      <w:pPr>
        <w:ind w:right="1100"/>
        <w:spacing w:after="0" w:line="258" w:lineRule="auto"/>
        <w:rPr>
          <w:sz w:val="20"/>
          <w:szCs w:val="20"/>
          <w:color w:val="auto"/>
        </w:rPr>
      </w:pPr>
      <w:r>
        <w:rPr>
          <w:rFonts w:ascii="Arial" w:cs="Arial" w:eastAsia="Arial" w:hAnsi="Arial"/>
          <w:sz w:val="13"/>
          <w:szCs w:val="13"/>
          <w:color w:val="auto"/>
        </w:rPr>
        <w:t xml:space="preserve">For additional financial forecasting detail, please refer to the Company’s investor update, filed with this press release with the SEC on Form 8-K. This filing will be available at </w:t>
      </w:r>
      <w:r>
        <w:rPr>
          <w:rFonts w:ascii="Arial" w:cs="Arial" w:eastAsia="Arial" w:hAnsi="Arial"/>
          <w:sz w:val="13"/>
          <w:szCs w:val="13"/>
          <w:u w:val="single" w:color="auto"/>
          <w:color w:val="0000FF"/>
        </w:rPr>
        <w:t>aa.com/investorrelations</w:t>
      </w:r>
      <w:r>
        <w:rPr>
          <w:rFonts w:ascii="Arial" w:cs="Arial" w:eastAsia="Arial" w:hAnsi="Arial"/>
          <w:sz w:val="13"/>
          <w:szCs w:val="13"/>
          <w:color w:val="000000"/>
        </w:rPr>
        <w:t>.</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Conference call and webcast details</w:t>
      </w:r>
    </w:p>
    <w:p>
      <w:pPr>
        <w:spacing w:after="0" w:line="20" w:lineRule="exact"/>
        <w:rPr>
          <w:sz w:val="20"/>
          <w:szCs w:val="20"/>
          <w:color w:val="auto"/>
        </w:rPr>
      </w:pPr>
    </w:p>
    <w:p>
      <w:pPr>
        <w:ind w:right="1180"/>
        <w:spacing w:after="0" w:line="258" w:lineRule="auto"/>
        <w:rPr>
          <w:sz w:val="20"/>
          <w:szCs w:val="20"/>
          <w:color w:val="auto"/>
        </w:rPr>
      </w:pPr>
      <w:r>
        <w:rPr>
          <w:rFonts w:ascii="Arial" w:cs="Arial" w:eastAsia="Arial" w:hAnsi="Arial"/>
          <w:sz w:val="13"/>
          <w:szCs w:val="13"/>
          <w:color w:val="auto"/>
        </w:rPr>
        <w:t xml:space="preserve">The Company will conduct a live audio webcast of its financial results conference call at 7:30 a.m. CDT today. The call will be available to the public on a listen-only basis at </w:t>
      </w:r>
      <w:r>
        <w:rPr>
          <w:rFonts w:ascii="Arial" w:cs="Arial" w:eastAsia="Arial" w:hAnsi="Arial"/>
          <w:sz w:val="13"/>
          <w:szCs w:val="13"/>
          <w:u w:val="single" w:color="auto"/>
          <w:color w:val="0000FF"/>
        </w:rPr>
        <w:t>aa.com/investorrelations.</w:t>
      </w:r>
      <w:r>
        <w:rPr>
          <w:rFonts w:ascii="Arial" w:cs="Arial" w:eastAsia="Arial" w:hAnsi="Arial"/>
          <w:sz w:val="13"/>
          <w:szCs w:val="13"/>
          <w:color w:val="0000FF"/>
        </w:rPr>
        <w:t xml:space="preserve"> </w:t>
      </w:r>
      <w:r>
        <w:rPr>
          <w:rFonts w:ascii="Arial" w:cs="Arial" w:eastAsia="Arial" w:hAnsi="Arial"/>
          <w:sz w:val="13"/>
          <w:szCs w:val="13"/>
          <w:color w:val="000000"/>
        </w:rPr>
        <w:t>An archive of the webcast will be available on the website through at least Aug. 22.</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See the accompanying notes in the Financial Tables section of this press release for further explanation, including a reconciliation of all GAAP to non-GAAP financial information.</w:t>
      </w:r>
    </w:p>
    <w:p>
      <w:pPr>
        <w:spacing w:after="0" w:line="112" w:lineRule="exact"/>
        <w:rPr>
          <w:sz w:val="20"/>
          <w:szCs w:val="20"/>
          <w:color w:val="auto"/>
        </w:rPr>
      </w:pPr>
    </w:p>
    <w:p>
      <w:pPr>
        <w:ind w:left="420" w:right="260" w:hanging="212"/>
        <w:spacing w:after="0" w:line="251" w:lineRule="auto"/>
        <w:tabs>
          <w:tab w:leader="none" w:pos="413"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Company recognized $1.4 billion of net special credits before the effect of taxes in the second quarter of 2021 principally related to the financial assistance received pursuant to Payroll Support Program Agreements.</w:t>
      </w:r>
    </w:p>
    <w:p>
      <w:pPr>
        <w:spacing w:after="0" w:line="3" w:lineRule="exact"/>
        <w:rPr>
          <w:rFonts w:ascii="Arial" w:cs="Arial" w:eastAsia="Arial" w:hAnsi="Arial"/>
          <w:sz w:val="13"/>
          <w:szCs w:val="13"/>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3"/>
          <w:szCs w:val="13"/>
          <w:color w:val="auto"/>
        </w:rPr>
        <w:t>A reconciliation of this calculation can be found in the tables that follow.</w:t>
      </w:r>
    </w:p>
    <w:p>
      <w:pPr>
        <w:ind w:left="420" w:hanging="212"/>
        <w:spacing w:after="0"/>
        <w:tabs>
          <w:tab w:leader="none" w:pos="420" w:val="left"/>
        </w:tabs>
        <w:numPr>
          <w:ilvl w:val="0"/>
          <w:numId w:val="9"/>
        </w:numPr>
        <w:rPr>
          <w:rFonts w:ascii="Arial" w:cs="Arial" w:eastAsia="Arial" w:hAnsi="Arial"/>
          <w:sz w:val="13"/>
          <w:szCs w:val="13"/>
          <w:color w:val="auto"/>
        </w:rPr>
      </w:pPr>
      <w:r>
        <w:rPr>
          <w:rFonts w:ascii="Arial" w:cs="Arial" w:eastAsia="Arial" w:hAnsi="Arial"/>
          <w:sz w:val="13"/>
          <w:szCs w:val="13"/>
          <w:color w:val="auto"/>
        </w:rPr>
        <w:t>American is unable to reconcile certain forward-looking projections to GAAP, as the nature or amount of net special items cannot be determined at this time.</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American Airlines Group</w:t>
      </w:r>
    </w:p>
    <w:p>
      <w:pPr>
        <w:spacing w:after="0" w:line="20"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 xml:space="preserve">American's purpose is to care for people on life’s journey. Shares of American Airlines Group Inc. trade on Nasdaq under the ticker symbol AAL and the Company’s stock is included in the S&amp;P 500. Learn more about what’s happening at American by visiting </w:t>
      </w:r>
      <w:r>
        <w:rPr>
          <w:rFonts w:ascii="Arial" w:cs="Arial" w:eastAsia="Arial" w:hAnsi="Arial"/>
          <w:sz w:val="13"/>
          <w:szCs w:val="13"/>
          <w:u w:val="single" w:color="auto"/>
          <w:color w:val="0000FF"/>
        </w:rPr>
        <w:t>news.aa.com</w:t>
      </w:r>
      <w:r>
        <w:rPr>
          <w:rFonts w:ascii="Arial" w:cs="Arial" w:eastAsia="Arial" w:hAnsi="Arial"/>
          <w:sz w:val="13"/>
          <w:szCs w:val="13"/>
          <w:color w:val="auto"/>
        </w:rPr>
        <w:t xml:space="preserve"> and connect with American on Twitter </w:t>
      </w:r>
      <w:r>
        <w:rPr>
          <w:rFonts w:ascii="Arial" w:cs="Arial" w:eastAsia="Arial" w:hAnsi="Arial"/>
          <w:sz w:val="13"/>
          <w:szCs w:val="13"/>
          <w:u w:val="single" w:color="auto"/>
          <w:color w:val="0000FF"/>
        </w:rPr>
        <w:t>@AmericanAir</w:t>
      </w:r>
      <w:r>
        <w:rPr>
          <w:rFonts w:ascii="Arial" w:cs="Arial" w:eastAsia="Arial" w:hAnsi="Arial"/>
          <w:sz w:val="13"/>
          <w:szCs w:val="13"/>
          <w:color w:val="auto"/>
        </w:rPr>
        <w:t xml:space="preserve"> and at </w:t>
      </w:r>
      <w:r>
        <w:rPr>
          <w:rFonts w:ascii="Arial" w:cs="Arial" w:eastAsia="Arial" w:hAnsi="Arial"/>
          <w:sz w:val="13"/>
          <w:szCs w:val="13"/>
          <w:u w:val="single" w:color="auto"/>
          <w:color w:val="0000FF"/>
        </w:rPr>
        <w:t>Facebook.com/AmericanAirlines</w:t>
      </w:r>
      <w:r>
        <w:rPr>
          <w:rFonts w:ascii="Arial" w:cs="Arial" w:eastAsia="Arial" w:hAnsi="Arial"/>
          <w:sz w:val="13"/>
          <w:szCs w:val="13"/>
          <w:color w:val="627A88"/>
        </w:rPr>
        <w:t>.</w:t>
      </w:r>
    </w:p>
    <w:p>
      <w:pPr>
        <w:sectPr>
          <w:pgSz w:w="11900" w:h="16838" w:orient="portrait"/>
          <w:cols w:equalWidth="0" w:num="1">
            <w:col w:w="11180"/>
          </w:cols>
          <w:pgMar w:left="300" w:top="125" w:right="41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color w:val="auto"/>
        </w:rPr>
        <w:t>American Airlines Reports Second-Quarter 2021 Financial Results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July 22, 2021</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Page 5</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statement regarding forward-looking statements and information</w:t>
      </w:r>
    </w:p>
    <w:p>
      <w:pPr>
        <w:spacing w:after="0" w:line="74" w:lineRule="exact"/>
        <w:rPr>
          <w:sz w:val="20"/>
          <w:szCs w:val="20"/>
          <w:color w:val="auto"/>
        </w:rPr>
      </w:pPr>
    </w:p>
    <w:p>
      <w:pPr>
        <w:spacing w:after="0" w:line="246" w:lineRule="auto"/>
        <w:rPr>
          <w:sz w:val="20"/>
          <w:szCs w:val="20"/>
          <w:color w:val="auto"/>
        </w:rPr>
      </w:pPr>
      <w:r>
        <w:rPr>
          <w:rFonts w:ascii="Arial" w:cs="Arial" w:eastAsia="Arial" w:hAnsi="Arial"/>
          <w:sz w:val="13"/>
          <w:szCs w:val="13"/>
          <w:color w:val="auto"/>
        </w:rPr>
        <w:t>Certain of the statements contained in this report should be considered forward-looking statements within the meaning of the Securities Act,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herein as well as in the Company’s Quarterly Report on Form 10 -Q for the quarter ended June 30, 2021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In particular, the consequences of the coronavirus outbreak to economic conditions and the travel industry in general and the financial position and operating results of the Company in particular have been material, are changing rapidly, and cannot be predicted.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ectPr>
          <w:pgSz w:w="11900" w:h="16838" w:orient="portrait"/>
          <w:cols w:equalWidth="0" w:num="1">
            <w:col w:w="11220"/>
          </w:cols>
          <w:pgMar w:left="300" w:top="125" w:right="379" w:bottom="1440" w:gutter="0" w:footer="0" w:header="0"/>
        </w:sectPr>
      </w:pPr>
    </w:p>
    <w:bookmarkStart w:id="9" w:name="page10"/>
    <w:bookmarkEnd w:id="9"/>
    <w:p>
      <w:pPr>
        <w:ind w:left="8"/>
        <w:spacing w:after="0"/>
        <w:rPr>
          <w:sz w:val="20"/>
          <w:szCs w:val="20"/>
          <w:color w:val="auto"/>
        </w:rPr>
      </w:pPr>
      <w:r>
        <w:rPr>
          <w:rFonts w:ascii="Arial" w:cs="Arial" w:eastAsia="Arial" w:hAnsi="Arial"/>
          <w:sz w:val="12"/>
          <w:szCs w:val="12"/>
          <w:b w:val="1"/>
          <w:bCs w:val="1"/>
          <w:color w:val="auto"/>
        </w:rPr>
        <w:t>American Airlines Reports Second-Quarter 2021 Financial Results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July 22, 2021</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6</w:t>
      </w:r>
    </w:p>
    <w:p>
      <w:pPr>
        <w:spacing w:after="0" w:line="212" w:lineRule="exact"/>
        <w:rPr>
          <w:sz w:val="20"/>
          <w:szCs w:val="20"/>
          <w:color w:val="auto"/>
        </w:rPr>
      </w:pPr>
    </w:p>
    <w:p>
      <w:pPr>
        <w:jc w:val="center"/>
        <w:ind w:left="3568"/>
        <w:spacing w:after="0"/>
        <w:rPr>
          <w:sz w:val="20"/>
          <w:szCs w:val="20"/>
          <w:color w:val="auto"/>
        </w:rPr>
      </w:pPr>
      <w:r>
        <w:rPr>
          <w:rFonts w:ascii="Arial" w:cs="Arial" w:eastAsia="Arial" w:hAnsi="Arial"/>
          <w:sz w:val="11"/>
          <w:szCs w:val="11"/>
          <w:b w:val="1"/>
          <w:bCs w:val="1"/>
          <w:color w:val="auto"/>
        </w:rPr>
        <w:t>American Airlines Group Inc.</w:t>
      </w:r>
    </w:p>
    <w:p>
      <w:pPr>
        <w:spacing w:after="0" w:line="11" w:lineRule="exact"/>
        <w:rPr>
          <w:sz w:val="20"/>
          <w:szCs w:val="20"/>
          <w:color w:val="auto"/>
        </w:rPr>
      </w:pPr>
    </w:p>
    <w:p>
      <w:pPr>
        <w:jc w:val="center"/>
        <w:ind w:left="3568"/>
        <w:spacing w:after="0"/>
        <w:rPr>
          <w:sz w:val="20"/>
          <w:szCs w:val="20"/>
          <w:color w:val="auto"/>
        </w:rPr>
      </w:pPr>
      <w:r>
        <w:rPr>
          <w:rFonts w:ascii="Arial" w:cs="Arial" w:eastAsia="Arial" w:hAnsi="Arial"/>
          <w:sz w:val="11"/>
          <w:szCs w:val="11"/>
          <w:b w:val="1"/>
          <w:bCs w:val="1"/>
          <w:color w:val="auto"/>
        </w:rPr>
        <w:t>Condensed Consolidated Statements of Operations</w:t>
      </w:r>
    </w:p>
    <w:p>
      <w:pPr>
        <w:jc w:val="center"/>
        <w:ind w:left="3568"/>
        <w:spacing w:after="0"/>
        <w:rPr>
          <w:sz w:val="20"/>
          <w:szCs w:val="20"/>
          <w:color w:val="auto"/>
        </w:rPr>
      </w:pPr>
      <w:r>
        <w:rPr>
          <w:rFonts w:ascii="Arial" w:cs="Arial" w:eastAsia="Arial" w:hAnsi="Arial"/>
          <w:sz w:val="11"/>
          <w:szCs w:val="11"/>
          <w:b w:val="1"/>
          <w:bCs w:val="1"/>
          <w:color w:val="auto"/>
        </w:rPr>
        <w:t>(In millions, except share and per share amounts)</w:t>
      </w:r>
    </w:p>
    <w:p>
      <w:pPr>
        <w:jc w:val="center"/>
        <w:ind w:left="3548"/>
        <w:spacing w:after="0"/>
        <w:rPr>
          <w:sz w:val="20"/>
          <w:szCs w:val="20"/>
          <w:color w:val="auto"/>
        </w:rPr>
      </w:pPr>
      <w:r>
        <w:rPr>
          <w:rFonts w:ascii="Arial" w:cs="Arial" w:eastAsia="Arial" w:hAnsi="Arial"/>
          <w:sz w:val="11"/>
          <w:szCs w:val="11"/>
          <w:b w:val="1"/>
          <w:bCs w:val="1"/>
          <w:color w:val="auto"/>
        </w:rPr>
        <w:t>(Unaudited)</w:t>
      </w:r>
    </w:p>
    <w:p>
      <w:pPr>
        <w:spacing w:after="0" w:line="108" w:lineRule="exact"/>
        <w:rPr>
          <w:sz w:val="20"/>
          <w:szCs w:val="20"/>
          <w:color w:val="auto"/>
        </w:rPr>
      </w:pPr>
    </w:p>
    <w:tbl>
      <w:tblPr>
        <w:tblLayout w:type="fixed"/>
        <w:tblInd w:w="4848" w:type="dxa"/>
        <w:tblCellMar>
          <w:top w:w="0" w:type="dxa"/>
          <w:left w:w="0" w:type="dxa"/>
          <w:bottom w:w="0" w:type="dxa"/>
          <w:right w:w="0" w:type="dxa"/>
        </w:tblCellMar>
      </w:tblPr>
      <w:tr>
        <w:trPr>
          <w:trHeight w:val="115"/>
        </w:trPr>
        <w:tc>
          <w:tcPr>
            <w:tcW w:w="1060" w:type="dxa"/>
            <w:vAlign w:val="bottom"/>
          </w:tcPr>
          <w:p>
            <w:pPr>
              <w:jc w:val="center"/>
              <w:ind w:left="232"/>
              <w:spacing w:after="0"/>
              <w:rPr>
                <w:sz w:val="20"/>
                <w:szCs w:val="20"/>
                <w:color w:val="auto"/>
              </w:rPr>
            </w:pPr>
            <w:r>
              <w:rPr>
                <w:rFonts w:ascii="Arial" w:cs="Arial" w:eastAsia="Arial" w:hAnsi="Arial"/>
                <w:sz w:val="10"/>
                <w:szCs w:val="10"/>
                <w:color w:val="auto"/>
                <w:w w:val="96"/>
              </w:rPr>
              <w:t>3 Months Ended</w:t>
            </w:r>
          </w:p>
        </w:tc>
        <w:tc>
          <w:tcPr>
            <w:tcW w:w="700" w:type="dxa"/>
            <w:vAlign w:val="bottom"/>
          </w:tcPr>
          <w:p>
            <w:pPr>
              <w:spacing w:after="0"/>
              <w:rPr>
                <w:sz w:val="10"/>
                <w:szCs w:val="10"/>
                <w:color w:val="auto"/>
              </w:rPr>
            </w:pPr>
          </w:p>
        </w:tc>
        <w:tc>
          <w:tcPr>
            <w:tcW w:w="840" w:type="dxa"/>
            <w:vAlign w:val="bottom"/>
          </w:tcPr>
          <w:p>
            <w:pPr>
              <w:jc w:val="center"/>
              <w:ind w:left="312"/>
              <w:spacing w:after="0"/>
              <w:rPr>
                <w:sz w:val="20"/>
                <w:szCs w:val="20"/>
                <w:color w:val="auto"/>
              </w:rPr>
            </w:pPr>
            <w:r>
              <w:rPr>
                <w:rFonts w:ascii="Arial" w:cs="Arial" w:eastAsia="Arial" w:hAnsi="Arial"/>
                <w:sz w:val="10"/>
                <w:szCs w:val="10"/>
                <w:color w:val="auto"/>
                <w:w w:val="92"/>
              </w:rPr>
              <w:t>Percent</w:t>
            </w:r>
          </w:p>
        </w:tc>
      </w:tr>
      <w:tr>
        <w:trPr>
          <w:trHeight w:val="129"/>
        </w:trPr>
        <w:tc>
          <w:tcPr>
            <w:tcW w:w="1060" w:type="dxa"/>
            <w:vAlign w:val="bottom"/>
          </w:tcPr>
          <w:p>
            <w:pPr>
              <w:jc w:val="center"/>
              <w:ind w:left="252"/>
              <w:spacing w:after="0"/>
              <w:rPr>
                <w:sz w:val="20"/>
                <w:szCs w:val="20"/>
                <w:color w:val="auto"/>
              </w:rPr>
            </w:pPr>
            <w:r>
              <w:rPr>
                <w:rFonts w:ascii="Arial" w:cs="Arial" w:eastAsia="Arial" w:hAnsi="Arial"/>
                <w:sz w:val="10"/>
                <w:szCs w:val="10"/>
                <w:color w:val="auto"/>
                <w:w w:val="93"/>
              </w:rPr>
              <w:t>June 30,</w:t>
            </w:r>
          </w:p>
        </w:tc>
        <w:tc>
          <w:tcPr>
            <w:tcW w:w="700" w:type="dxa"/>
            <w:vAlign w:val="bottom"/>
          </w:tcPr>
          <w:p>
            <w:pPr>
              <w:spacing w:after="0"/>
              <w:rPr>
                <w:sz w:val="11"/>
                <w:szCs w:val="11"/>
                <w:color w:val="auto"/>
              </w:rPr>
            </w:pPr>
          </w:p>
        </w:tc>
        <w:tc>
          <w:tcPr>
            <w:tcW w:w="840" w:type="dxa"/>
            <w:vAlign w:val="bottom"/>
          </w:tcPr>
          <w:p>
            <w:pPr>
              <w:jc w:val="center"/>
              <w:ind w:left="312"/>
              <w:spacing w:after="0"/>
              <w:rPr>
                <w:sz w:val="20"/>
                <w:szCs w:val="20"/>
                <w:color w:val="auto"/>
              </w:rPr>
            </w:pPr>
            <w:r>
              <w:rPr>
                <w:rFonts w:ascii="Arial" w:cs="Arial" w:eastAsia="Arial" w:hAnsi="Arial"/>
                <w:sz w:val="10"/>
                <w:szCs w:val="10"/>
                <w:color w:val="auto"/>
                <w:w w:val="93"/>
              </w:rPr>
              <w:t>Increase</w:t>
            </w:r>
          </w:p>
        </w:tc>
      </w:tr>
      <w:tr>
        <w:trPr>
          <w:trHeight w:val="123"/>
        </w:trPr>
        <w:tc>
          <w:tcPr>
            <w:tcW w:w="1060" w:type="dxa"/>
            <w:vAlign w:val="bottom"/>
          </w:tcPr>
          <w:p>
            <w:pPr>
              <w:jc w:val="right"/>
              <w:ind w:right="792"/>
              <w:spacing w:after="0"/>
              <w:rPr>
                <w:sz w:val="20"/>
                <w:szCs w:val="20"/>
                <w:color w:val="auto"/>
              </w:rPr>
            </w:pPr>
            <w:r>
              <w:rPr>
                <w:rFonts w:ascii="Arial" w:cs="Arial" w:eastAsia="Arial" w:hAnsi="Arial"/>
                <w:sz w:val="10"/>
                <w:szCs w:val="10"/>
                <w:color w:val="auto"/>
                <w:w w:val="89"/>
              </w:rPr>
              <w:t>2021</w:t>
            </w:r>
          </w:p>
        </w:tc>
        <w:tc>
          <w:tcPr>
            <w:tcW w:w="700" w:type="dxa"/>
            <w:vAlign w:val="bottom"/>
          </w:tcPr>
          <w:p>
            <w:pPr>
              <w:jc w:val="right"/>
              <w:ind w:right="312"/>
              <w:spacing w:after="0" w:line="123" w:lineRule="exact"/>
              <w:rPr>
                <w:sz w:val="20"/>
                <w:szCs w:val="20"/>
                <w:color w:val="auto"/>
              </w:rPr>
            </w:pPr>
            <w:r>
              <w:rPr>
                <w:rFonts w:ascii="Arial" w:cs="Arial" w:eastAsia="Arial" w:hAnsi="Arial"/>
                <w:sz w:val="10"/>
                <w:szCs w:val="10"/>
                <w:color w:val="auto"/>
                <w:w w:val="91"/>
              </w:rPr>
              <w:t xml:space="preserve">2020 </w:t>
            </w:r>
            <w:r>
              <w:rPr>
                <w:rFonts w:ascii="Arial" w:cs="Arial" w:eastAsia="Arial" w:hAnsi="Arial"/>
                <w:sz w:val="12"/>
                <w:szCs w:val="12"/>
                <w:color w:val="auto"/>
                <w:w w:val="91"/>
                <w:vertAlign w:val="superscript"/>
              </w:rPr>
              <w:t>(1)</w:t>
            </w:r>
          </w:p>
        </w:tc>
        <w:tc>
          <w:tcPr>
            <w:tcW w:w="840" w:type="dxa"/>
            <w:vAlign w:val="bottom"/>
          </w:tcPr>
          <w:p>
            <w:pPr>
              <w:jc w:val="center"/>
              <w:ind w:left="312"/>
              <w:spacing w:after="0"/>
              <w:rPr>
                <w:sz w:val="20"/>
                <w:szCs w:val="20"/>
                <w:color w:val="auto"/>
              </w:rPr>
            </w:pPr>
            <w:r>
              <w:rPr>
                <w:rFonts w:ascii="Arial" w:cs="Arial" w:eastAsia="Arial" w:hAnsi="Arial"/>
                <w:sz w:val="10"/>
                <w:szCs w:val="10"/>
                <w:color w:val="auto"/>
                <w:w w:val="96"/>
              </w:rPr>
              <w:t>(Decrease)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060" w:type="dxa"/>
            <w:vAlign w:val="bottom"/>
          </w:tcPr>
          <w:p>
            <w:pPr>
              <w:jc w:val="center"/>
              <w:ind w:left="232"/>
              <w:spacing w:after="0"/>
              <w:rPr>
                <w:sz w:val="20"/>
                <w:szCs w:val="20"/>
                <w:color w:val="auto"/>
              </w:rPr>
            </w:pPr>
            <w:r>
              <w:rPr>
                <w:rFonts w:ascii="Arial" w:cs="Arial" w:eastAsia="Arial" w:hAnsi="Arial"/>
                <w:sz w:val="10"/>
                <w:szCs w:val="10"/>
                <w:color w:val="auto"/>
                <w:w w:val="96"/>
              </w:rPr>
              <w:t>6 Months Ended</w:t>
            </w:r>
          </w:p>
        </w:tc>
        <w:tc>
          <w:tcPr>
            <w:tcW w:w="700" w:type="dxa"/>
            <w:vAlign w:val="bottom"/>
          </w:tcPr>
          <w:p>
            <w:pPr>
              <w:spacing w:after="0"/>
              <w:rPr>
                <w:sz w:val="10"/>
                <w:szCs w:val="10"/>
                <w:color w:val="auto"/>
              </w:rPr>
            </w:pPr>
          </w:p>
        </w:tc>
        <w:tc>
          <w:tcPr>
            <w:tcW w:w="840" w:type="dxa"/>
            <w:vAlign w:val="bottom"/>
          </w:tcPr>
          <w:p>
            <w:pPr>
              <w:jc w:val="center"/>
              <w:ind w:left="312"/>
              <w:spacing w:after="0"/>
              <w:rPr>
                <w:sz w:val="20"/>
                <w:szCs w:val="20"/>
                <w:color w:val="auto"/>
              </w:rPr>
            </w:pPr>
            <w:r>
              <w:rPr>
                <w:rFonts w:ascii="Arial" w:cs="Arial" w:eastAsia="Arial" w:hAnsi="Arial"/>
                <w:sz w:val="10"/>
                <w:szCs w:val="10"/>
                <w:color w:val="auto"/>
                <w:w w:val="92"/>
              </w:rPr>
              <w:t>Percent</w:t>
            </w:r>
          </w:p>
        </w:tc>
      </w:tr>
      <w:tr>
        <w:trPr>
          <w:trHeight w:val="129"/>
        </w:trPr>
        <w:tc>
          <w:tcPr>
            <w:tcW w:w="1060" w:type="dxa"/>
            <w:vAlign w:val="bottom"/>
          </w:tcPr>
          <w:p>
            <w:pPr>
              <w:jc w:val="center"/>
              <w:ind w:left="252"/>
              <w:spacing w:after="0"/>
              <w:rPr>
                <w:sz w:val="20"/>
                <w:szCs w:val="20"/>
                <w:color w:val="auto"/>
              </w:rPr>
            </w:pPr>
            <w:r>
              <w:rPr>
                <w:rFonts w:ascii="Arial" w:cs="Arial" w:eastAsia="Arial" w:hAnsi="Arial"/>
                <w:sz w:val="10"/>
                <w:szCs w:val="10"/>
                <w:color w:val="auto"/>
                <w:w w:val="93"/>
              </w:rPr>
              <w:t>June 30,</w:t>
            </w:r>
          </w:p>
        </w:tc>
        <w:tc>
          <w:tcPr>
            <w:tcW w:w="700" w:type="dxa"/>
            <w:vAlign w:val="bottom"/>
          </w:tcPr>
          <w:p>
            <w:pPr>
              <w:spacing w:after="0"/>
              <w:rPr>
                <w:sz w:val="11"/>
                <w:szCs w:val="11"/>
                <w:color w:val="auto"/>
              </w:rPr>
            </w:pPr>
          </w:p>
        </w:tc>
        <w:tc>
          <w:tcPr>
            <w:tcW w:w="840" w:type="dxa"/>
            <w:vAlign w:val="bottom"/>
          </w:tcPr>
          <w:p>
            <w:pPr>
              <w:jc w:val="center"/>
              <w:ind w:left="312"/>
              <w:spacing w:after="0"/>
              <w:rPr>
                <w:sz w:val="20"/>
                <w:szCs w:val="20"/>
                <w:color w:val="auto"/>
              </w:rPr>
            </w:pPr>
            <w:r>
              <w:rPr>
                <w:rFonts w:ascii="Arial" w:cs="Arial" w:eastAsia="Arial" w:hAnsi="Arial"/>
                <w:sz w:val="10"/>
                <w:szCs w:val="10"/>
                <w:color w:val="auto"/>
                <w:w w:val="93"/>
              </w:rPr>
              <w:t>Increase</w:t>
            </w:r>
          </w:p>
        </w:tc>
      </w:tr>
      <w:tr>
        <w:trPr>
          <w:trHeight w:val="123"/>
        </w:trPr>
        <w:tc>
          <w:tcPr>
            <w:tcW w:w="1060" w:type="dxa"/>
            <w:vAlign w:val="bottom"/>
          </w:tcPr>
          <w:p>
            <w:pPr>
              <w:jc w:val="right"/>
              <w:ind w:right="792"/>
              <w:spacing w:after="0"/>
              <w:rPr>
                <w:sz w:val="20"/>
                <w:szCs w:val="20"/>
                <w:color w:val="auto"/>
              </w:rPr>
            </w:pPr>
            <w:r>
              <w:rPr>
                <w:rFonts w:ascii="Arial" w:cs="Arial" w:eastAsia="Arial" w:hAnsi="Arial"/>
                <w:sz w:val="10"/>
                <w:szCs w:val="10"/>
                <w:color w:val="auto"/>
                <w:w w:val="89"/>
              </w:rPr>
              <w:t>2021</w:t>
            </w:r>
          </w:p>
        </w:tc>
        <w:tc>
          <w:tcPr>
            <w:tcW w:w="700" w:type="dxa"/>
            <w:vAlign w:val="bottom"/>
          </w:tcPr>
          <w:p>
            <w:pPr>
              <w:jc w:val="right"/>
              <w:ind w:right="312"/>
              <w:spacing w:after="0" w:line="123" w:lineRule="exact"/>
              <w:rPr>
                <w:sz w:val="20"/>
                <w:szCs w:val="20"/>
                <w:color w:val="auto"/>
              </w:rPr>
            </w:pPr>
            <w:r>
              <w:rPr>
                <w:rFonts w:ascii="Arial" w:cs="Arial" w:eastAsia="Arial" w:hAnsi="Arial"/>
                <w:sz w:val="10"/>
                <w:szCs w:val="10"/>
                <w:color w:val="auto"/>
                <w:w w:val="91"/>
              </w:rPr>
              <w:t xml:space="preserve">2020 </w:t>
            </w:r>
            <w:r>
              <w:rPr>
                <w:rFonts w:ascii="Arial" w:cs="Arial" w:eastAsia="Arial" w:hAnsi="Arial"/>
                <w:sz w:val="12"/>
                <w:szCs w:val="12"/>
                <w:color w:val="auto"/>
                <w:w w:val="91"/>
                <w:vertAlign w:val="superscript"/>
              </w:rPr>
              <w:t>(1)</w:t>
            </w:r>
          </w:p>
        </w:tc>
        <w:tc>
          <w:tcPr>
            <w:tcW w:w="840" w:type="dxa"/>
            <w:vAlign w:val="bottom"/>
          </w:tcPr>
          <w:p>
            <w:pPr>
              <w:jc w:val="center"/>
              <w:ind w:left="312"/>
              <w:spacing w:after="0"/>
              <w:rPr>
                <w:sz w:val="20"/>
                <w:szCs w:val="20"/>
                <w:color w:val="auto"/>
              </w:rPr>
            </w:pPr>
            <w:r>
              <w:rPr>
                <w:rFonts w:ascii="Arial" w:cs="Arial" w:eastAsia="Arial" w:hAnsi="Arial"/>
                <w:sz w:val="10"/>
                <w:szCs w:val="10"/>
                <w:color w:val="auto"/>
                <w:w w:val="96"/>
              </w:rPr>
              <w:t>(Decrease)</w:t>
            </w:r>
          </w:p>
        </w:tc>
      </w:tr>
    </w:tbl>
    <w:p>
      <w:pPr>
        <w:spacing w:after="0" w:line="1" w:lineRule="exact"/>
        <w:rPr>
          <w:sz w:val="20"/>
          <w:szCs w:val="20"/>
          <w:color w:val="auto"/>
        </w:rPr>
      </w:pPr>
    </w:p>
    <w:p>
      <w:pPr>
        <w:sectPr>
          <w:pgSz w:w="11900" w:h="16838" w:orient="portrait"/>
          <w:cols w:equalWidth="0" w:num="2">
            <w:col w:w="7728" w:space="720"/>
            <w:col w:w="2860"/>
          </w:cols>
          <w:pgMar w:left="292" w:top="125" w:right="299" w:bottom="1440" w:gutter="0" w:footer="0" w:header="0"/>
        </w:sectPr>
      </w:pPr>
    </w:p>
    <w:tbl>
      <w:tblPr>
        <w:tblLayout w:type="fixed"/>
        <w:tblInd w:w="8" w:type="dxa"/>
        <w:tblCellMar>
          <w:top w:w="0" w:type="dxa"/>
          <w:left w:w="0" w:type="dxa"/>
          <w:bottom w:w="0" w:type="dxa"/>
          <w:right w:w="0" w:type="dxa"/>
        </w:tblCellMar>
      </w:tblPr>
      <w:tr>
        <w:trPr>
          <w:trHeight w:val="124"/>
        </w:trPr>
        <w:tc>
          <w:tcPr>
            <w:tcW w:w="442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1"/>
                <w:szCs w:val="11"/>
                <w:b w:val="1"/>
                <w:bCs w:val="1"/>
                <w:color w:val="auto"/>
              </w:rPr>
              <w:t>Operating revenues:</w:t>
            </w:r>
          </w:p>
        </w:tc>
        <w:tc>
          <w:tcPr>
            <w:tcW w:w="3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r>
      <w:tr>
        <w:trPr>
          <w:trHeight w:val="144"/>
        </w:trPr>
        <w:tc>
          <w:tcPr>
            <w:tcW w:w="4420" w:type="dxa"/>
            <w:vAlign w:val="bottom"/>
          </w:tcPr>
          <w:p>
            <w:pPr>
              <w:ind w:left="220"/>
              <w:spacing w:after="0"/>
              <w:rPr>
                <w:sz w:val="20"/>
                <w:szCs w:val="20"/>
                <w:color w:val="auto"/>
              </w:rPr>
            </w:pPr>
            <w:r>
              <w:rPr>
                <w:rFonts w:ascii="Arial" w:cs="Arial" w:eastAsia="Arial" w:hAnsi="Arial"/>
                <w:sz w:val="11"/>
                <w:szCs w:val="11"/>
                <w:color w:val="auto"/>
              </w:rPr>
              <w:t>Passenger</w:t>
            </w: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6,545</w:t>
            </w:r>
          </w:p>
        </w:tc>
        <w:tc>
          <w:tcPr>
            <w:tcW w:w="8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1,108</w:t>
            </w:r>
          </w:p>
        </w:tc>
        <w:tc>
          <w:tcPr>
            <w:tcW w:w="80" w:type="dxa"/>
            <w:vAlign w:val="bottom"/>
          </w:tcPr>
          <w:p>
            <w:pPr>
              <w:spacing w:after="0"/>
              <w:rPr>
                <w:sz w:val="12"/>
                <w:szCs w:val="12"/>
                <w:color w:val="auto"/>
              </w:rPr>
            </w:pPr>
          </w:p>
        </w:tc>
        <w:tc>
          <w:tcPr>
            <w:tcW w:w="1320" w:type="dxa"/>
            <w:vAlign w:val="bottom"/>
            <w:gridSpan w:val="2"/>
          </w:tcPr>
          <w:p>
            <w:pPr>
              <w:ind w:left="840"/>
              <w:spacing w:after="0" w:line="144" w:lineRule="exact"/>
              <w:rPr>
                <w:sz w:val="20"/>
                <w:szCs w:val="20"/>
                <w:color w:val="auto"/>
              </w:rPr>
            </w:pPr>
            <w:r>
              <w:rPr>
                <w:rFonts w:ascii="Arial" w:cs="Arial" w:eastAsia="Arial" w:hAnsi="Arial"/>
                <w:sz w:val="16"/>
                <w:szCs w:val="16"/>
                <w:color w:val="auto"/>
                <w:vertAlign w:val="subscript"/>
              </w:rPr>
              <w:t>nm</w:t>
            </w:r>
            <w:r>
              <w:rPr>
                <w:rFonts w:ascii="Arial" w:cs="Arial" w:eastAsia="Arial" w:hAnsi="Arial"/>
                <w:sz w:val="6"/>
                <w:szCs w:val="6"/>
                <w:color w:val="auto"/>
              </w:rPr>
              <w:t xml:space="preserve"> (2)</w:t>
            </w: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9,724</w:t>
            </w:r>
          </w:p>
        </w:tc>
        <w:tc>
          <w:tcPr>
            <w:tcW w:w="8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8,788</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10.7</w:t>
            </w:r>
          </w:p>
        </w:tc>
      </w:tr>
      <w:tr>
        <w:trPr>
          <w:trHeight w:val="144"/>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Cargo</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326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130</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840"/>
              <w:spacing w:after="0"/>
              <w:rPr>
                <w:sz w:val="20"/>
                <w:szCs w:val="20"/>
                <w:color w:val="auto"/>
              </w:rPr>
            </w:pPr>
            <w:r>
              <w:rPr>
                <w:rFonts w:ascii="Arial" w:cs="Arial" w:eastAsia="Arial" w:hAnsi="Arial"/>
                <w:sz w:val="11"/>
                <w:szCs w:val="11"/>
                <w:color w:val="auto"/>
              </w:rPr>
              <w:t>nm</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641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277</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r>
      <w:tr>
        <w:trPr>
          <w:trHeight w:val="142"/>
        </w:trPr>
        <w:tc>
          <w:tcPr>
            <w:tcW w:w="442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Other</w:t>
            </w: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607</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384</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57.9</w:t>
            </w:r>
          </w:p>
        </w:tc>
        <w:tc>
          <w:tcPr>
            <w:tcW w:w="3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1,121</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1,072</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4.5</w:t>
            </w:r>
          </w:p>
        </w:tc>
      </w:tr>
      <w:tr>
        <w:trPr>
          <w:trHeight w:val="135"/>
        </w:trPr>
        <w:tc>
          <w:tcPr>
            <w:tcW w:w="442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Total operating revenues</w:t>
            </w: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7,478</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1,622</w:t>
            </w:r>
          </w:p>
        </w:tc>
        <w:tc>
          <w:tcPr>
            <w:tcW w:w="8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ind w:left="840"/>
              <w:spacing w:after="0" w:line="122" w:lineRule="exact"/>
              <w:rPr>
                <w:sz w:val="20"/>
                <w:szCs w:val="20"/>
                <w:color w:val="auto"/>
              </w:rPr>
            </w:pPr>
            <w:r>
              <w:rPr>
                <w:rFonts w:ascii="Arial" w:cs="Arial" w:eastAsia="Arial" w:hAnsi="Arial"/>
                <w:sz w:val="11"/>
                <w:szCs w:val="11"/>
                <w:color w:val="auto"/>
              </w:rPr>
              <w:t>nm</w:t>
            </w: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11,486</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10,137</w:t>
            </w:r>
          </w:p>
        </w:tc>
        <w:tc>
          <w:tcPr>
            <w:tcW w:w="10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13.3</w:t>
            </w:r>
          </w:p>
        </w:tc>
      </w:tr>
      <w:tr>
        <w:trPr>
          <w:trHeight w:val="143"/>
        </w:trPr>
        <w:tc>
          <w:tcPr>
            <w:tcW w:w="4420" w:type="dxa"/>
            <w:vAlign w:val="bottom"/>
          </w:tcPr>
          <w:p>
            <w:pPr>
              <w:spacing w:after="0"/>
              <w:rPr>
                <w:sz w:val="20"/>
                <w:szCs w:val="20"/>
                <w:color w:val="auto"/>
              </w:rPr>
            </w:pPr>
            <w:r>
              <w:rPr>
                <w:rFonts w:ascii="Arial" w:cs="Arial" w:eastAsia="Arial" w:hAnsi="Arial"/>
                <w:sz w:val="11"/>
                <w:szCs w:val="11"/>
                <w:b w:val="1"/>
                <w:bCs w:val="1"/>
                <w:color w:val="auto"/>
              </w:rPr>
              <w:t>Operating expenses:</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5"/>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Aircraft fuel and related taxes</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1,611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309</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840"/>
              <w:spacing w:after="0"/>
              <w:rPr>
                <w:sz w:val="20"/>
                <w:szCs w:val="20"/>
                <w:color w:val="auto"/>
              </w:rPr>
            </w:pPr>
            <w:r>
              <w:rPr>
                <w:rFonts w:ascii="Arial" w:cs="Arial" w:eastAsia="Arial" w:hAnsi="Arial"/>
                <w:sz w:val="11"/>
                <w:szCs w:val="11"/>
                <w:color w:val="auto"/>
              </w:rPr>
              <w:t>nm</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2,644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2,092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26.4</w:t>
            </w:r>
          </w:p>
        </w:tc>
      </w:tr>
      <w:tr>
        <w:trPr>
          <w:trHeight w:val="142"/>
        </w:trPr>
        <w:tc>
          <w:tcPr>
            <w:tcW w:w="4420" w:type="dxa"/>
            <w:vAlign w:val="bottom"/>
          </w:tcPr>
          <w:p>
            <w:pPr>
              <w:ind w:left="220"/>
              <w:spacing w:after="0"/>
              <w:rPr>
                <w:sz w:val="20"/>
                <w:szCs w:val="20"/>
                <w:color w:val="auto"/>
              </w:rPr>
            </w:pPr>
            <w:r>
              <w:rPr>
                <w:rFonts w:ascii="Arial" w:cs="Arial" w:eastAsia="Arial" w:hAnsi="Arial"/>
                <w:sz w:val="11"/>
                <w:szCs w:val="11"/>
                <w:color w:val="auto"/>
              </w:rPr>
              <w:t>Salaries, wages and benefits</w:t>
            </w: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2,862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2,610</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9.6</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5,593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5,830</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(4.1)</w:t>
            </w:r>
          </w:p>
        </w:tc>
      </w:tr>
      <w:tr>
        <w:trPr>
          <w:trHeight w:val="146"/>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Regional expenses:</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4420" w:type="dxa"/>
            <w:vAlign w:val="bottom"/>
          </w:tcPr>
          <w:p>
            <w:pPr>
              <w:ind w:left="300"/>
              <w:spacing w:after="0"/>
              <w:rPr>
                <w:sz w:val="20"/>
                <w:szCs w:val="20"/>
                <w:color w:val="auto"/>
              </w:rPr>
            </w:pPr>
            <w:r>
              <w:rPr>
                <w:rFonts w:ascii="Arial" w:cs="Arial" w:eastAsia="Arial" w:hAnsi="Arial"/>
                <w:sz w:val="11"/>
                <w:szCs w:val="11"/>
                <w:color w:val="auto"/>
              </w:rPr>
              <w:t>Regional operating expenses</w:t>
            </w: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558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408</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37.1</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1,102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1,464</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(24.7)</w:t>
            </w:r>
          </w:p>
        </w:tc>
      </w:tr>
      <w:tr>
        <w:trPr>
          <w:trHeight w:val="146"/>
        </w:trPr>
        <w:tc>
          <w:tcPr>
            <w:tcW w:w="44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Regional depreciation and amortization</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(5.5)</w:t>
            </w:r>
          </w:p>
        </w:tc>
      </w:tr>
      <w:tr>
        <w:trPr>
          <w:trHeight w:val="142"/>
        </w:trPr>
        <w:tc>
          <w:tcPr>
            <w:tcW w:w="4420" w:type="dxa"/>
            <w:vAlign w:val="bottom"/>
          </w:tcPr>
          <w:p>
            <w:pPr>
              <w:ind w:left="220"/>
              <w:spacing w:after="0"/>
              <w:rPr>
                <w:sz w:val="20"/>
                <w:szCs w:val="20"/>
                <w:color w:val="auto"/>
              </w:rPr>
            </w:pPr>
            <w:r>
              <w:rPr>
                <w:rFonts w:ascii="Arial" w:cs="Arial" w:eastAsia="Arial" w:hAnsi="Arial"/>
                <w:sz w:val="11"/>
                <w:szCs w:val="11"/>
                <w:color w:val="auto"/>
              </w:rPr>
              <w:t>Maintenance, materials and repairs</w:t>
            </w: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459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287</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59.9</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835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915</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(8.8)</w:t>
            </w:r>
          </w:p>
        </w:tc>
      </w:tr>
      <w:tr>
        <w:trPr>
          <w:trHeight w:val="146"/>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Other rent and landing fees</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686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413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66.2</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1,256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1,024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22.7</w:t>
            </w:r>
          </w:p>
        </w:tc>
      </w:tr>
      <w:tr>
        <w:trPr>
          <w:trHeight w:val="142"/>
        </w:trPr>
        <w:tc>
          <w:tcPr>
            <w:tcW w:w="4420" w:type="dxa"/>
            <w:vAlign w:val="bottom"/>
          </w:tcPr>
          <w:p>
            <w:pPr>
              <w:ind w:left="220"/>
              <w:spacing w:after="0"/>
              <w:rPr>
                <w:sz w:val="20"/>
                <w:szCs w:val="20"/>
                <w:color w:val="auto"/>
              </w:rPr>
            </w:pPr>
            <w:r>
              <w:rPr>
                <w:rFonts w:ascii="Arial" w:cs="Arial" w:eastAsia="Arial" w:hAnsi="Arial"/>
                <w:sz w:val="11"/>
                <w:szCs w:val="11"/>
                <w:color w:val="auto"/>
              </w:rPr>
              <w:t>Aircraft rent</w:t>
            </w: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356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334</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6.4</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706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669</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5.6</w:t>
            </w:r>
          </w:p>
        </w:tc>
      </w:tr>
      <w:tr>
        <w:trPr>
          <w:trHeight w:val="146"/>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Selling expenses</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277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57</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840"/>
              <w:spacing w:after="0"/>
              <w:rPr>
                <w:sz w:val="20"/>
                <w:szCs w:val="20"/>
                <w:color w:val="auto"/>
              </w:rPr>
            </w:pPr>
            <w:r>
              <w:rPr>
                <w:rFonts w:ascii="Arial" w:cs="Arial" w:eastAsia="Arial" w:hAnsi="Arial"/>
                <w:sz w:val="11"/>
                <w:szCs w:val="11"/>
                <w:color w:val="auto"/>
              </w:rPr>
              <w:t>nm</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427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(3.4)</w:t>
            </w:r>
          </w:p>
        </w:tc>
      </w:tr>
      <w:tr>
        <w:trPr>
          <w:trHeight w:val="142"/>
        </w:trPr>
        <w:tc>
          <w:tcPr>
            <w:tcW w:w="4420" w:type="dxa"/>
            <w:vAlign w:val="bottom"/>
          </w:tcPr>
          <w:p>
            <w:pPr>
              <w:ind w:left="220"/>
              <w:spacing w:after="0"/>
              <w:rPr>
                <w:sz w:val="20"/>
                <w:szCs w:val="20"/>
                <w:color w:val="auto"/>
              </w:rPr>
            </w:pPr>
            <w:r>
              <w:rPr>
                <w:rFonts w:ascii="Arial" w:cs="Arial" w:eastAsia="Arial" w:hAnsi="Arial"/>
                <w:sz w:val="11"/>
                <w:szCs w:val="11"/>
                <w:color w:val="auto"/>
              </w:rPr>
              <w:t>Depreciation and amortization</w:t>
            </w: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481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499</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(3.6)</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959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1,059</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(9.4)</w:t>
            </w:r>
          </w:p>
        </w:tc>
      </w:tr>
      <w:tr>
        <w:trPr>
          <w:trHeight w:val="146"/>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Special items, net</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(13.8)</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(2,996)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r>
      <w:tr>
        <w:trPr>
          <w:trHeight w:val="142"/>
        </w:trPr>
        <w:tc>
          <w:tcPr>
            <w:tcW w:w="442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Other</w:t>
            </w: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958</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601</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59.6</w:t>
            </w:r>
          </w:p>
        </w:tc>
        <w:tc>
          <w:tcPr>
            <w:tcW w:w="3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1,675</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1,870</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(10.5)</w:t>
            </w:r>
          </w:p>
        </w:tc>
      </w:tr>
      <w:tr>
        <w:trPr>
          <w:trHeight w:val="135"/>
        </w:trPr>
        <w:tc>
          <w:tcPr>
            <w:tcW w:w="442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Total operating expenses</w:t>
            </w:r>
          </w:p>
        </w:tc>
        <w:tc>
          <w:tcPr>
            <w:tcW w:w="34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7,037</w:t>
            </w:r>
          </w:p>
        </w:tc>
        <w:tc>
          <w:tcPr>
            <w:tcW w:w="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4,108</w:t>
            </w:r>
          </w:p>
        </w:tc>
        <w:tc>
          <w:tcPr>
            <w:tcW w:w="10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71.3</w:t>
            </w:r>
          </w:p>
        </w:tc>
        <w:tc>
          <w:tcPr>
            <w:tcW w:w="32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12,360</w:t>
            </w:r>
          </w:p>
        </w:tc>
        <w:tc>
          <w:tcPr>
            <w:tcW w:w="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15,171</w:t>
            </w:r>
          </w:p>
        </w:tc>
        <w:tc>
          <w:tcPr>
            <w:tcW w:w="10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(18.5)</w:t>
            </w:r>
          </w:p>
        </w:tc>
      </w:tr>
      <w:tr>
        <w:trPr>
          <w:trHeight w:val="131"/>
        </w:trPr>
        <w:tc>
          <w:tcPr>
            <w:tcW w:w="4420" w:type="dxa"/>
            <w:vAlign w:val="bottom"/>
          </w:tcPr>
          <w:p>
            <w:pPr>
              <w:ind w:left="220"/>
              <w:spacing w:after="0" w:line="122" w:lineRule="exact"/>
              <w:rPr>
                <w:sz w:val="20"/>
                <w:szCs w:val="20"/>
                <w:color w:val="auto"/>
              </w:rPr>
            </w:pPr>
            <w:r>
              <w:rPr>
                <w:rFonts w:ascii="Arial" w:cs="Arial" w:eastAsia="Arial" w:hAnsi="Arial"/>
                <w:sz w:val="11"/>
                <w:szCs w:val="11"/>
                <w:b w:val="1"/>
                <w:bCs w:val="1"/>
                <w:color w:val="auto"/>
              </w:rPr>
              <w:t>Operating income (loss)</w:t>
            </w:r>
          </w:p>
        </w:tc>
        <w:tc>
          <w:tcPr>
            <w:tcW w:w="3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441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(2,486)</w:t>
            </w:r>
          </w:p>
        </w:tc>
        <w:tc>
          <w:tcPr>
            <w:tcW w:w="80" w:type="dxa"/>
            <w:vAlign w:val="bottom"/>
          </w:tcPr>
          <w:p>
            <w:pPr>
              <w:spacing w:after="0"/>
              <w:rPr>
                <w:sz w:val="11"/>
                <w:szCs w:val="11"/>
                <w:color w:val="auto"/>
              </w:rPr>
            </w:pPr>
          </w:p>
        </w:tc>
        <w:tc>
          <w:tcPr>
            <w:tcW w:w="1320" w:type="dxa"/>
            <w:vAlign w:val="bottom"/>
            <w:gridSpan w:val="2"/>
          </w:tcPr>
          <w:p>
            <w:pPr>
              <w:ind w:left="840"/>
              <w:spacing w:after="0" w:line="120" w:lineRule="exact"/>
              <w:rPr>
                <w:sz w:val="20"/>
                <w:szCs w:val="20"/>
                <w:color w:val="auto"/>
              </w:rPr>
            </w:pPr>
            <w:r>
              <w:rPr>
                <w:rFonts w:ascii="Arial" w:cs="Arial" w:eastAsia="Arial" w:hAnsi="Arial"/>
                <w:sz w:val="11"/>
                <w:szCs w:val="11"/>
                <w:color w:val="auto"/>
              </w:rPr>
              <w:t>nm</w:t>
            </w:r>
          </w:p>
        </w:tc>
        <w:tc>
          <w:tcPr>
            <w:tcW w:w="3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(874)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(5,034)</w:t>
            </w:r>
          </w:p>
        </w:tc>
        <w:tc>
          <w:tcPr>
            <w:tcW w:w="108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(82.6)</w:t>
            </w:r>
          </w:p>
        </w:tc>
      </w:tr>
      <w:tr>
        <w:trPr>
          <w:trHeight w:val="146"/>
        </w:trPr>
        <w:tc>
          <w:tcPr>
            <w:tcW w:w="44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Nonoperating income (expense):</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4420" w:type="dxa"/>
            <w:vAlign w:val="bottom"/>
          </w:tcPr>
          <w:p>
            <w:pPr>
              <w:ind w:left="220"/>
              <w:spacing w:after="0"/>
              <w:rPr>
                <w:sz w:val="20"/>
                <w:szCs w:val="20"/>
                <w:color w:val="auto"/>
              </w:rPr>
            </w:pPr>
            <w:r>
              <w:rPr>
                <w:rFonts w:ascii="Arial" w:cs="Arial" w:eastAsia="Arial" w:hAnsi="Arial"/>
                <w:sz w:val="11"/>
                <w:szCs w:val="11"/>
                <w:color w:val="auto"/>
              </w:rPr>
              <w:t>Interest income</w:t>
            </w: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(50.7)</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31</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(73.2)</w:t>
            </w:r>
          </w:p>
        </w:tc>
      </w:tr>
      <w:tr>
        <w:trPr>
          <w:trHeight w:val="146"/>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Interest expense, net</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91.0</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67.3</w:t>
            </w:r>
          </w:p>
        </w:tc>
      </w:tr>
      <w:tr>
        <w:trPr>
          <w:trHeight w:val="142"/>
        </w:trPr>
        <w:tc>
          <w:tcPr>
            <w:tcW w:w="442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Other income (expense), net</w:t>
            </w: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49</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(31.1)</w:t>
            </w:r>
          </w:p>
        </w:tc>
        <w:tc>
          <w:tcPr>
            <w:tcW w:w="3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158</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w:t>
            </w:r>
          </w:p>
        </w:tc>
        <w:tc>
          <w:tcPr>
            <w:tcW w:w="8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nm</w:t>
            </w:r>
          </w:p>
        </w:tc>
      </w:tr>
      <w:tr>
        <w:trPr>
          <w:trHeight w:val="135"/>
        </w:trPr>
        <w:tc>
          <w:tcPr>
            <w:tcW w:w="442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Total nonoperating expense, net</w:t>
            </w:r>
          </w:p>
        </w:tc>
        <w:tc>
          <w:tcPr>
            <w:tcW w:w="34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(432)</w:t>
            </w:r>
          </w:p>
        </w:tc>
        <w:tc>
          <w:tcPr>
            <w:tcW w:w="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(173)</w:t>
            </w:r>
          </w:p>
        </w:tc>
        <w:tc>
          <w:tcPr>
            <w:tcW w:w="8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ind w:left="840"/>
              <w:spacing w:after="0"/>
              <w:rPr>
                <w:sz w:val="20"/>
                <w:szCs w:val="20"/>
                <w:color w:val="auto"/>
              </w:rPr>
            </w:pPr>
            <w:r>
              <w:rPr>
                <w:rFonts w:ascii="Arial" w:cs="Arial" w:eastAsia="Arial" w:hAnsi="Arial"/>
                <w:sz w:val="11"/>
                <w:szCs w:val="11"/>
                <w:color w:val="auto"/>
              </w:rPr>
              <w:t>nm</w:t>
            </w:r>
          </w:p>
        </w:tc>
        <w:tc>
          <w:tcPr>
            <w:tcW w:w="34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(690)</w:t>
            </w:r>
          </w:p>
        </w:tc>
        <w:tc>
          <w:tcPr>
            <w:tcW w:w="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34.2</w:t>
            </w:r>
          </w:p>
        </w:tc>
      </w:tr>
      <w:tr>
        <w:trPr>
          <w:trHeight w:val="131"/>
        </w:trPr>
        <w:tc>
          <w:tcPr>
            <w:tcW w:w="4420" w:type="dxa"/>
            <w:vAlign w:val="bottom"/>
          </w:tcPr>
          <w:p>
            <w:pPr>
              <w:spacing w:after="0" w:line="122" w:lineRule="exact"/>
              <w:rPr>
                <w:sz w:val="20"/>
                <w:szCs w:val="20"/>
                <w:color w:val="auto"/>
              </w:rPr>
            </w:pPr>
            <w:r>
              <w:rPr>
                <w:rFonts w:ascii="Arial" w:cs="Arial" w:eastAsia="Arial" w:hAnsi="Arial"/>
                <w:sz w:val="11"/>
                <w:szCs w:val="11"/>
                <w:b w:val="1"/>
                <w:bCs w:val="1"/>
                <w:color w:val="auto"/>
              </w:rPr>
              <w:t>Income (loss) before income taxes</w:t>
            </w:r>
          </w:p>
        </w:tc>
        <w:tc>
          <w:tcPr>
            <w:tcW w:w="3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(2,659)</w:t>
            </w:r>
          </w:p>
        </w:tc>
        <w:tc>
          <w:tcPr>
            <w:tcW w:w="80" w:type="dxa"/>
            <w:vAlign w:val="bottom"/>
          </w:tcPr>
          <w:p>
            <w:pPr>
              <w:spacing w:after="0"/>
              <w:rPr>
                <w:sz w:val="11"/>
                <w:szCs w:val="11"/>
                <w:color w:val="auto"/>
              </w:rPr>
            </w:pPr>
          </w:p>
        </w:tc>
        <w:tc>
          <w:tcPr>
            <w:tcW w:w="1320" w:type="dxa"/>
            <w:vAlign w:val="bottom"/>
            <w:gridSpan w:val="2"/>
          </w:tcPr>
          <w:p>
            <w:pPr>
              <w:ind w:left="840"/>
              <w:spacing w:after="0" w:line="120" w:lineRule="exact"/>
              <w:rPr>
                <w:sz w:val="20"/>
                <w:szCs w:val="20"/>
                <w:color w:val="auto"/>
              </w:rPr>
            </w:pPr>
            <w:r>
              <w:rPr>
                <w:rFonts w:ascii="Arial" w:cs="Arial" w:eastAsia="Arial" w:hAnsi="Arial"/>
                <w:sz w:val="11"/>
                <w:szCs w:val="11"/>
                <w:color w:val="auto"/>
              </w:rPr>
              <w:t>nm</w:t>
            </w:r>
          </w:p>
        </w:tc>
        <w:tc>
          <w:tcPr>
            <w:tcW w:w="3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(1,564)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(5,549)</w:t>
            </w:r>
          </w:p>
        </w:tc>
        <w:tc>
          <w:tcPr>
            <w:tcW w:w="108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(71.8)</w:t>
            </w:r>
          </w:p>
        </w:tc>
      </w:tr>
      <w:tr>
        <w:trPr>
          <w:trHeight w:val="146"/>
        </w:trPr>
        <w:tc>
          <w:tcPr>
            <w:tcW w:w="4420" w:type="dxa"/>
            <w:vAlign w:val="bottom"/>
            <w:shd w:val="clear" w:color="auto" w:fill="CCEEFF"/>
          </w:tcPr>
          <w:p>
            <w:pPr>
              <w:spacing w:after="0"/>
              <w:rPr>
                <w:sz w:val="20"/>
                <w:szCs w:val="20"/>
                <w:color w:val="auto"/>
              </w:rPr>
            </w:pPr>
            <w:r>
              <w:rPr>
                <w:rFonts w:ascii="Arial" w:cs="Arial" w:eastAsia="Arial" w:hAnsi="Arial"/>
                <w:sz w:val="11"/>
                <w:szCs w:val="11"/>
                <w:color w:val="auto"/>
              </w:rPr>
              <w:t>Income tax benefit</w:t>
            </w:r>
          </w:p>
        </w:tc>
        <w:tc>
          <w:tcPr>
            <w:tcW w:w="3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(98.4)</w:t>
            </w:r>
          </w:p>
        </w:tc>
        <w:tc>
          <w:tcPr>
            <w:tcW w:w="3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(333)</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(73.1)</w:t>
            </w:r>
          </w:p>
        </w:tc>
      </w:tr>
      <w:tr>
        <w:trPr>
          <w:trHeight w:val="149"/>
        </w:trPr>
        <w:tc>
          <w:tcPr>
            <w:tcW w:w="4420" w:type="dxa"/>
            <w:vAlign w:val="bottom"/>
            <w:tcBorders>
              <w:bottom w:val="single" w:sz="8" w:color="CCEEFF"/>
            </w:tcBorders>
          </w:tcPr>
          <w:p>
            <w:pPr>
              <w:ind w:left="220"/>
              <w:spacing w:after="0" w:line="122" w:lineRule="exact"/>
              <w:rPr>
                <w:sz w:val="20"/>
                <w:szCs w:val="20"/>
                <w:color w:val="auto"/>
              </w:rPr>
            </w:pPr>
            <w:r>
              <w:rPr>
                <w:rFonts w:ascii="Arial" w:cs="Arial" w:eastAsia="Arial" w:hAnsi="Arial"/>
                <w:sz w:val="11"/>
                <w:szCs w:val="11"/>
                <w:b w:val="1"/>
                <w:bCs w:val="1"/>
                <w:color w:val="auto"/>
              </w:rPr>
              <w:t>Net income (loss)</w:t>
            </w: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(2,067)</w:t>
            </w: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gridSpan w:val="2"/>
          </w:tcPr>
          <w:p>
            <w:pPr>
              <w:ind w:left="840"/>
              <w:spacing w:after="0"/>
              <w:rPr>
                <w:sz w:val="20"/>
                <w:szCs w:val="20"/>
                <w:color w:val="auto"/>
              </w:rPr>
            </w:pPr>
            <w:r>
              <w:rPr>
                <w:rFonts w:ascii="Arial" w:cs="Arial" w:eastAsia="Arial" w:hAnsi="Arial"/>
                <w:sz w:val="11"/>
                <w:szCs w:val="11"/>
                <w:color w:val="auto"/>
              </w:rPr>
              <w:t>nm</w:t>
            </w: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(1,231)</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(4,308)</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(71.4)</w:t>
            </w:r>
          </w:p>
        </w:tc>
      </w:tr>
      <w:tr>
        <w:trPr>
          <w:trHeight w:val="126"/>
        </w:trPr>
        <w:tc>
          <w:tcPr>
            <w:tcW w:w="44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43"/>
        </w:trPr>
        <w:tc>
          <w:tcPr>
            <w:tcW w:w="4420" w:type="dxa"/>
            <w:vAlign w:val="bottom"/>
          </w:tcPr>
          <w:p>
            <w:pPr>
              <w:spacing w:after="0"/>
              <w:rPr>
                <w:sz w:val="20"/>
                <w:szCs w:val="20"/>
                <w:color w:val="auto"/>
              </w:rPr>
            </w:pPr>
            <w:r>
              <w:rPr>
                <w:rFonts w:ascii="Arial" w:cs="Arial" w:eastAsia="Arial" w:hAnsi="Arial"/>
                <w:sz w:val="11"/>
                <w:szCs w:val="11"/>
                <w:b w:val="1"/>
                <w:bCs w:val="1"/>
                <w:color w:val="auto"/>
              </w:rPr>
              <w:t>Earnings (loss) per common share:</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3"/>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Basic</w:t>
            </w:r>
          </w:p>
        </w:tc>
        <w:tc>
          <w:tcPr>
            <w:tcW w:w="34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0.03</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(4.82)</w:t>
            </w: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(1.92)</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(10.08)</w:t>
            </w: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r>
      <w:tr>
        <w:trPr>
          <w:trHeight w:val="160"/>
        </w:trPr>
        <w:tc>
          <w:tcPr>
            <w:tcW w:w="4420" w:type="dxa"/>
            <w:vAlign w:val="bottom"/>
            <w:tcBorders>
              <w:bottom w:val="single" w:sz="8" w:color="CCEEFF"/>
            </w:tcBorders>
          </w:tcPr>
          <w:p>
            <w:pPr>
              <w:ind w:left="220"/>
              <w:spacing w:after="0" w:line="120" w:lineRule="exact"/>
              <w:rPr>
                <w:sz w:val="20"/>
                <w:szCs w:val="20"/>
                <w:color w:val="auto"/>
              </w:rPr>
            </w:pPr>
            <w:r>
              <w:rPr>
                <w:rFonts w:ascii="Arial" w:cs="Arial" w:eastAsia="Arial" w:hAnsi="Arial"/>
                <w:sz w:val="11"/>
                <w:szCs w:val="11"/>
                <w:color w:val="auto"/>
              </w:rPr>
              <w:t>Diluted</w:t>
            </w: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0.03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(4.82)</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(10.08)</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r>
      <w:tr>
        <w:trPr>
          <w:trHeight w:val="124"/>
        </w:trPr>
        <w:tc>
          <w:tcPr>
            <w:tcW w:w="442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Weighted average shares outstanding (in thousands):</w:t>
            </w: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60"/>
        </w:trPr>
        <w:tc>
          <w:tcPr>
            <w:tcW w:w="442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Basic</w:t>
            </w: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644,123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428,807</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639,366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427,260</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r>
      <w:tr>
        <w:trPr>
          <w:trHeight w:val="160"/>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Diluted</w:t>
            </w:r>
          </w:p>
        </w:tc>
        <w:tc>
          <w:tcPr>
            <w:tcW w:w="3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656,372</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428,807</w:t>
            </w:r>
          </w:p>
        </w:tc>
        <w:tc>
          <w:tcPr>
            <w:tcW w:w="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639,366</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427,260</w:t>
            </w:r>
          </w:p>
        </w:tc>
        <w:tc>
          <w:tcPr>
            <w:tcW w:w="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r>
    </w:tbl>
    <w:p>
      <w:pPr>
        <w:spacing w:after="0" w:line="9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 Percent change may not recalculate due to rounding.</w:t>
      </w:r>
    </w:p>
    <w:p>
      <w:pPr>
        <w:spacing w:after="0" w:line="84" w:lineRule="exact"/>
        <w:rPr>
          <w:sz w:val="20"/>
          <w:szCs w:val="20"/>
          <w:color w:val="auto"/>
        </w:rPr>
      </w:pPr>
    </w:p>
    <w:p>
      <w:pPr>
        <w:jc w:val="both"/>
        <w:ind w:left="208" w:hanging="208"/>
        <w:spacing w:after="0" w:line="221" w:lineRule="auto"/>
        <w:tabs>
          <w:tab w:leader="none" w:pos="204"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Beginning in the first quarter of 2021, aircraft fuel and related taxes as well as certain salaries, wages and benefits, other rent and landing fees, selling and other expenses are no longer allocated to regional expenses on the Company's condensed consolidated statements of operations. The three and six months ended June 30, 2020 condensed consolidated statements of operations have been recast to conform to the 2021 presentation. This statement of operations presentation change has no impact on total operating expenses or net loss.</w:t>
      </w:r>
    </w:p>
    <w:p>
      <w:pPr>
        <w:spacing w:after="0" w:line="1" w:lineRule="exact"/>
        <w:rPr>
          <w:rFonts w:ascii="Arial" w:cs="Arial" w:eastAsia="Arial" w:hAnsi="Arial"/>
          <w:sz w:val="14"/>
          <w:szCs w:val="14"/>
          <w:color w:val="auto"/>
          <w:vertAlign w:val="superscript"/>
        </w:rPr>
      </w:pPr>
    </w:p>
    <w:p>
      <w:pPr>
        <w:ind w:left="208" w:hanging="208"/>
        <w:spacing w:after="0"/>
        <w:tabs>
          <w:tab w:leader="none" w:pos="208"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Not meaningful or greater than 100% change.</w:t>
      </w:r>
    </w:p>
    <w:p>
      <w:pPr>
        <w:sectPr>
          <w:pgSz w:w="11900" w:h="16838" w:orient="portrait"/>
          <w:cols w:equalWidth="0" w:num="1">
            <w:col w:w="11308"/>
          </w:cols>
          <w:pgMar w:left="292" w:top="125" w:right="299" w:bottom="1440" w:gutter="0" w:footer="0" w:header="0"/>
          <w:type w:val="continuous"/>
        </w:sectPr>
      </w:pPr>
    </w:p>
    <w:bookmarkStart w:id="10" w:name="page11"/>
    <w:bookmarkEnd w:id="10"/>
    <w:p>
      <w:pPr>
        <w:ind w:left="8"/>
        <w:spacing w:after="0"/>
        <w:rPr>
          <w:sz w:val="20"/>
          <w:szCs w:val="20"/>
          <w:color w:val="auto"/>
        </w:rPr>
      </w:pPr>
      <w:r>
        <w:rPr>
          <w:rFonts w:ascii="Arial" w:cs="Arial" w:eastAsia="Arial" w:hAnsi="Arial"/>
          <w:sz w:val="12"/>
          <w:szCs w:val="12"/>
          <w:b w:val="1"/>
          <w:bCs w:val="1"/>
          <w:color w:val="auto"/>
        </w:rPr>
        <w:t>American Airlines Reports Second-Quarter 2021 Financial Results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July 22, 2021</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7</w:t>
      </w:r>
    </w:p>
    <w:p>
      <w:pPr>
        <w:spacing w:after="0" w:line="212"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American Airlines Group Inc.</w:t>
      </w:r>
    </w:p>
    <w:p>
      <w:pPr>
        <w:jc w:val="center"/>
        <w:ind w:right="-7"/>
        <w:spacing w:after="0" w:line="205" w:lineRule="auto"/>
        <w:rPr>
          <w:sz w:val="20"/>
          <w:szCs w:val="20"/>
          <w:color w:val="auto"/>
        </w:rPr>
      </w:pPr>
      <w:r>
        <w:rPr>
          <w:rFonts w:ascii="Arial" w:cs="Arial" w:eastAsia="Arial" w:hAnsi="Arial"/>
          <w:sz w:val="11"/>
          <w:szCs w:val="11"/>
          <w:b w:val="1"/>
          <w:bCs w:val="1"/>
          <w:color w:val="auto"/>
        </w:rPr>
        <w:t xml:space="preserve">Consolidated Operating Statistics </w:t>
      </w:r>
      <w:r>
        <w:rPr>
          <w:rFonts w:ascii="Arial" w:cs="Arial" w:eastAsia="Arial" w:hAnsi="Arial"/>
          <w:sz w:val="14"/>
          <w:szCs w:val="14"/>
          <w:b w:val="1"/>
          <w:bCs w:val="1"/>
          <w:color w:val="auto"/>
          <w:vertAlign w:val="superscript"/>
        </w:rPr>
        <w:t>(1)</w:t>
      </w:r>
    </w:p>
    <w:p>
      <w:pPr>
        <w:jc w:val="center"/>
        <w:ind w:right="-7"/>
        <w:spacing w:after="0"/>
        <w:rPr>
          <w:sz w:val="20"/>
          <w:szCs w:val="20"/>
          <w:color w:val="auto"/>
        </w:rPr>
      </w:pPr>
      <w:r>
        <w:rPr>
          <w:rFonts w:ascii="Arial" w:cs="Arial" w:eastAsia="Arial" w:hAnsi="Arial"/>
          <w:sz w:val="11"/>
          <w:szCs w:val="11"/>
          <w:b w:val="1"/>
          <w:bCs w:val="1"/>
          <w:color w:val="auto"/>
        </w:rPr>
        <w:t>(Unaudited)</w:t>
      </w:r>
    </w:p>
    <w:p>
      <w:pPr>
        <w:spacing w:after="0" w:line="9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480" w:type="dxa"/>
            <w:vAlign w:val="bottom"/>
          </w:tcPr>
          <w:p>
            <w:pPr>
              <w:spacing w:after="0"/>
              <w:rPr>
                <w:sz w:val="10"/>
                <w:szCs w:val="10"/>
                <w:color w:val="auto"/>
              </w:rPr>
            </w:pPr>
          </w:p>
        </w:tc>
        <w:tc>
          <w:tcPr>
            <w:tcW w:w="1260" w:type="dxa"/>
            <w:vAlign w:val="bottom"/>
            <w:gridSpan w:val="3"/>
          </w:tcPr>
          <w:p>
            <w:pPr>
              <w:jc w:val="center"/>
              <w:ind w:left="512"/>
              <w:spacing w:after="0"/>
              <w:rPr>
                <w:sz w:val="20"/>
                <w:szCs w:val="20"/>
                <w:color w:val="auto"/>
              </w:rPr>
            </w:pPr>
            <w:r>
              <w:rPr>
                <w:rFonts w:ascii="Arial" w:cs="Arial" w:eastAsia="Arial" w:hAnsi="Arial"/>
                <w:sz w:val="10"/>
                <w:szCs w:val="10"/>
                <w:color w:val="auto"/>
                <w:w w:val="96"/>
              </w:rPr>
              <w:t>3 Months Ended</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center"/>
              <w:ind w:left="472"/>
              <w:spacing w:after="0"/>
              <w:rPr>
                <w:sz w:val="20"/>
                <w:szCs w:val="20"/>
                <w:color w:val="auto"/>
              </w:rPr>
            </w:pPr>
            <w:r>
              <w:rPr>
                <w:rFonts w:ascii="Arial" w:cs="Arial" w:eastAsia="Arial" w:hAnsi="Arial"/>
                <w:sz w:val="10"/>
                <w:szCs w:val="10"/>
                <w:color w:val="auto"/>
                <w:w w:val="96"/>
              </w:rPr>
              <w:t>6 Months Ended</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480" w:type="dxa"/>
            <w:vAlign w:val="bottom"/>
          </w:tcPr>
          <w:p>
            <w:pPr>
              <w:spacing w:after="0"/>
              <w:rPr>
                <w:sz w:val="9"/>
                <w:szCs w:val="9"/>
                <w:color w:val="auto"/>
              </w:rPr>
            </w:pPr>
          </w:p>
        </w:tc>
        <w:tc>
          <w:tcPr>
            <w:tcW w:w="1260" w:type="dxa"/>
            <w:vAlign w:val="bottom"/>
            <w:gridSpan w:val="3"/>
          </w:tcPr>
          <w:p>
            <w:pPr>
              <w:jc w:val="center"/>
              <w:ind w:left="492"/>
              <w:spacing w:after="0"/>
              <w:rPr>
                <w:sz w:val="20"/>
                <w:szCs w:val="20"/>
                <w:color w:val="auto"/>
              </w:rPr>
            </w:pPr>
            <w:r>
              <w:rPr>
                <w:rFonts w:ascii="Arial" w:cs="Arial" w:eastAsia="Arial" w:hAnsi="Arial"/>
                <w:sz w:val="10"/>
                <w:szCs w:val="10"/>
                <w:color w:val="auto"/>
                <w:w w:val="93"/>
              </w:rPr>
              <w:t>June 30,</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0"/>
                <w:szCs w:val="10"/>
                <w:color w:val="auto"/>
                <w:w w:val="93"/>
              </w:rPr>
              <w:t>Increase</w:t>
            </w:r>
          </w:p>
        </w:tc>
        <w:tc>
          <w:tcPr>
            <w:tcW w:w="1260" w:type="dxa"/>
            <w:vAlign w:val="bottom"/>
            <w:gridSpan w:val="3"/>
          </w:tcPr>
          <w:p>
            <w:pPr>
              <w:jc w:val="center"/>
              <w:ind w:left="492"/>
              <w:spacing w:after="0"/>
              <w:rPr>
                <w:sz w:val="20"/>
                <w:szCs w:val="20"/>
                <w:color w:val="auto"/>
              </w:rPr>
            </w:pPr>
            <w:r>
              <w:rPr>
                <w:rFonts w:ascii="Arial" w:cs="Arial" w:eastAsia="Arial" w:hAnsi="Arial"/>
                <w:sz w:val="10"/>
                <w:szCs w:val="10"/>
                <w:color w:val="auto"/>
                <w:w w:val="93"/>
              </w:rPr>
              <w:t>June 30,</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right"/>
              <w:ind w:right="252"/>
              <w:spacing w:after="0"/>
              <w:rPr>
                <w:sz w:val="20"/>
                <w:szCs w:val="20"/>
                <w:color w:val="auto"/>
              </w:rPr>
            </w:pPr>
            <w:r>
              <w:rPr>
                <w:rFonts w:ascii="Arial" w:cs="Arial" w:eastAsia="Arial" w:hAnsi="Arial"/>
                <w:sz w:val="10"/>
                <w:szCs w:val="10"/>
                <w:color w:val="auto"/>
              </w:rPr>
              <w:t>Increase</w:t>
            </w:r>
          </w:p>
        </w:tc>
        <w:tc>
          <w:tcPr>
            <w:tcW w:w="0" w:type="dxa"/>
            <w:vAlign w:val="bottom"/>
          </w:tcPr>
          <w:p>
            <w:pPr>
              <w:spacing w:after="0"/>
              <w:rPr>
                <w:sz w:val="1"/>
                <w:szCs w:val="1"/>
                <w:color w:val="auto"/>
              </w:rPr>
            </w:pPr>
          </w:p>
        </w:tc>
      </w:tr>
      <w:tr>
        <w:trPr>
          <w:trHeight w:val="47"/>
        </w:trPr>
        <w:tc>
          <w:tcPr>
            <w:tcW w:w="5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5480" w:type="dxa"/>
            <w:vAlign w:val="bottom"/>
          </w:tcPr>
          <w:p>
            <w:pPr>
              <w:spacing w:after="0"/>
              <w:rPr>
                <w:sz w:val="10"/>
                <w:szCs w:val="10"/>
                <w:color w:val="auto"/>
              </w:rPr>
            </w:pPr>
          </w:p>
        </w:tc>
        <w:tc>
          <w:tcPr>
            <w:tcW w:w="860" w:type="dxa"/>
            <w:vAlign w:val="bottom"/>
          </w:tcPr>
          <w:p>
            <w:pPr>
              <w:jc w:val="right"/>
              <w:ind w:right="272"/>
              <w:spacing w:after="0"/>
              <w:rPr>
                <w:sz w:val="20"/>
                <w:szCs w:val="20"/>
                <w:color w:val="auto"/>
              </w:rPr>
            </w:pPr>
            <w:r>
              <w:rPr>
                <w:rFonts w:ascii="Arial" w:cs="Arial" w:eastAsia="Arial" w:hAnsi="Arial"/>
                <w:sz w:val="10"/>
                <w:szCs w:val="10"/>
                <w:color w:val="auto"/>
              </w:rPr>
              <w:t>2021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ind w:right="272"/>
              <w:spacing w:after="0"/>
              <w:rPr>
                <w:sz w:val="20"/>
                <w:szCs w:val="20"/>
                <w:color w:val="auto"/>
              </w:rPr>
            </w:pPr>
            <w:r>
              <w:rPr>
                <w:rFonts w:ascii="Arial" w:cs="Arial" w:eastAsia="Arial" w:hAnsi="Arial"/>
                <w:sz w:val="10"/>
                <w:szCs w:val="10"/>
                <w:color w:val="auto"/>
                <w:w w:val="89"/>
              </w:rPr>
              <w:t>2020</w:t>
            </w:r>
          </w:p>
        </w:tc>
        <w:tc>
          <w:tcPr>
            <w:tcW w:w="100" w:type="dxa"/>
            <w:vAlign w:val="bottom"/>
          </w:tcPr>
          <w:p>
            <w:pPr>
              <w:spacing w:after="0"/>
              <w:rPr>
                <w:sz w:val="10"/>
                <w:szCs w:val="10"/>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color w:val="auto"/>
                <w:w w:val="96"/>
              </w:rPr>
              <w:t>(Decrease)</w:t>
            </w:r>
          </w:p>
        </w:tc>
        <w:tc>
          <w:tcPr>
            <w:tcW w:w="840" w:type="dxa"/>
            <w:vAlign w:val="bottom"/>
          </w:tcPr>
          <w:p>
            <w:pPr>
              <w:jc w:val="right"/>
              <w:ind w:right="272"/>
              <w:spacing w:after="0"/>
              <w:rPr>
                <w:sz w:val="20"/>
                <w:szCs w:val="20"/>
                <w:color w:val="auto"/>
              </w:rPr>
            </w:pPr>
            <w:r>
              <w:rPr>
                <w:rFonts w:ascii="Arial" w:cs="Arial" w:eastAsia="Arial" w:hAnsi="Arial"/>
                <w:sz w:val="10"/>
                <w:szCs w:val="10"/>
                <w:color w:val="auto"/>
              </w:rPr>
              <w:t>2021</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ind w:right="272"/>
              <w:spacing w:after="0"/>
              <w:rPr>
                <w:sz w:val="20"/>
                <w:szCs w:val="20"/>
                <w:color w:val="auto"/>
              </w:rPr>
            </w:pPr>
            <w:r>
              <w:rPr>
                <w:rFonts w:ascii="Arial" w:cs="Arial" w:eastAsia="Arial" w:hAnsi="Arial"/>
                <w:sz w:val="10"/>
                <w:szCs w:val="10"/>
                <w:color w:val="auto"/>
                <w:w w:val="89"/>
              </w:rPr>
              <w:t>2020</w:t>
            </w:r>
          </w:p>
        </w:tc>
        <w:tc>
          <w:tcPr>
            <w:tcW w:w="80" w:type="dxa"/>
            <w:vAlign w:val="bottom"/>
          </w:tcPr>
          <w:p>
            <w:pPr>
              <w:spacing w:after="0"/>
              <w:rPr>
                <w:sz w:val="10"/>
                <w:szCs w:val="10"/>
                <w:color w:val="auto"/>
              </w:rPr>
            </w:pPr>
          </w:p>
        </w:tc>
        <w:tc>
          <w:tcPr>
            <w:tcW w:w="980" w:type="dxa"/>
            <w:vAlign w:val="bottom"/>
          </w:tcPr>
          <w:p>
            <w:pPr>
              <w:jc w:val="right"/>
              <w:ind w:right="212"/>
              <w:spacing w:after="0"/>
              <w:rPr>
                <w:sz w:val="20"/>
                <w:szCs w:val="20"/>
                <w:color w:val="auto"/>
              </w:rPr>
            </w:pPr>
            <w:r>
              <w:rPr>
                <w:rFonts w:ascii="Arial" w:cs="Arial" w:eastAsia="Arial" w:hAnsi="Arial"/>
                <w:sz w:val="10"/>
                <w:szCs w:val="10"/>
                <w:color w:val="auto"/>
              </w:rPr>
              <w:t>(Decrease)</w:t>
            </w:r>
          </w:p>
        </w:tc>
        <w:tc>
          <w:tcPr>
            <w:tcW w:w="0" w:type="dxa"/>
            <w:vAlign w:val="bottom"/>
          </w:tcPr>
          <w:p>
            <w:pPr>
              <w:spacing w:after="0"/>
              <w:rPr>
                <w:sz w:val="1"/>
                <w:szCs w:val="1"/>
                <w:color w:val="auto"/>
              </w:rPr>
            </w:pPr>
          </w:p>
        </w:tc>
      </w:tr>
      <w:tr>
        <w:trPr>
          <w:trHeight w:val="128"/>
        </w:trPr>
        <w:tc>
          <w:tcPr>
            <w:tcW w:w="54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480" w:type="dxa"/>
            <w:vAlign w:val="bottom"/>
          </w:tcPr>
          <w:p>
            <w:pPr>
              <w:spacing w:after="0"/>
              <w:rPr>
                <w:sz w:val="20"/>
                <w:szCs w:val="20"/>
                <w:color w:val="auto"/>
              </w:rPr>
            </w:pPr>
            <w:r>
              <w:rPr>
                <w:rFonts w:ascii="Arial" w:cs="Arial" w:eastAsia="Arial" w:hAnsi="Arial"/>
                <w:sz w:val="10"/>
                <w:szCs w:val="10"/>
                <w:color w:val="auto"/>
              </w:rPr>
              <w:t>Revenue passenger miles (millions)</w:t>
            </w:r>
          </w:p>
        </w:tc>
        <w:tc>
          <w:tcPr>
            <w:tcW w:w="860" w:type="dxa"/>
            <w:vAlign w:val="bottom"/>
          </w:tcPr>
          <w:p>
            <w:pPr>
              <w:jc w:val="right"/>
              <w:spacing w:after="0"/>
              <w:rPr>
                <w:sz w:val="20"/>
                <w:szCs w:val="20"/>
                <w:color w:val="auto"/>
              </w:rPr>
            </w:pPr>
            <w:r>
              <w:rPr>
                <w:rFonts w:ascii="Arial" w:cs="Arial" w:eastAsia="Arial" w:hAnsi="Arial"/>
                <w:sz w:val="10"/>
                <w:szCs w:val="10"/>
                <w:color w:val="auto"/>
              </w:rPr>
              <w:t>42,022</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7,231</w:t>
            </w:r>
          </w:p>
        </w:tc>
        <w:tc>
          <w:tcPr>
            <w:tcW w:w="100" w:type="dxa"/>
            <w:vAlign w:val="bottom"/>
          </w:tcPr>
          <w:p>
            <w:pPr>
              <w:spacing w:after="0"/>
              <w:rPr>
                <w:sz w:val="10"/>
                <w:szCs w:val="1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0"/>
                <w:szCs w:val="10"/>
                <w:color w:val="auto"/>
              </w:rPr>
              <w:t>nm %</w:t>
            </w:r>
          </w:p>
        </w:tc>
        <w:tc>
          <w:tcPr>
            <w:tcW w:w="840" w:type="dxa"/>
            <w:vAlign w:val="bottom"/>
          </w:tcPr>
          <w:p>
            <w:pPr>
              <w:jc w:val="right"/>
              <w:spacing w:after="0"/>
              <w:rPr>
                <w:sz w:val="20"/>
                <w:szCs w:val="20"/>
                <w:color w:val="auto"/>
              </w:rPr>
            </w:pPr>
            <w:r>
              <w:rPr>
                <w:rFonts w:ascii="Arial" w:cs="Arial" w:eastAsia="Arial" w:hAnsi="Arial"/>
                <w:sz w:val="10"/>
                <w:szCs w:val="10"/>
                <w:color w:val="auto"/>
              </w:rPr>
              <w:t>64,486</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52,402</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23.1 %</w:t>
            </w:r>
          </w:p>
        </w:tc>
        <w:tc>
          <w:tcPr>
            <w:tcW w:w="0" w:type="dxa"/>
            <w:vAlign w:val="bottom"/>
          </w:tcPr>
          <w:p>
            <w:pPr>
              <w:spacing w:after="0"/>
              <w:rPr>
                <w:sz w:val="1"/>
                <w:szCs w:val="1"/>
                <w:color w:val="auto"/>
              </w:rPr>
            </w:pPr>
          </w:p>
        </w:tc>
      </w:tr>
      <w:tr>
        <w:trPr>
          <w:trHeight w:val="126"/>
        </w:trPr>
        <w:tc>
          <w:tcPr>
            <w:tcW w:w="5480" w:type="dxa"/>
            <w:vAlign w:val="bottom"/>
            <w:shd w:val="clear" w:color="auto" w:fill="CCEEFF"/>
          </w:tcPr>
          <w:p>
            <w:pPr>
              <w:spacing w:after="0"/>
              <w:rPr>
                <w:sz w:val="20"/>
                <w:szCs w:val="20"/>
                <w:color w:val="auto"/>
              </w:rPr>
            </w:pPr>
            <w:r>
              <w:rPr>
                <w:rFonts w:ascii="Arial" w:cs="Arial" w:eastAsia="Arial" w:hAnsi="Arial"/>
                <w:sz w:val="10"/>
                <w:szCs w:val="10"/>
                <w:color w:val="auto"/>
              </w:rPr>
              <w:t>Available seat miles (ASM) (millions)</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54,555</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17,081</w:t>
            </w:r>
          </w:p>
        </w:tc>
        <w:tc>
          <w:tcPr>
            <w:tcW w:w="10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nm %</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92,319</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79,180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16.6 %</w:t>
            </w:r>
          </w:p>
        </w:tc>
        <w:tc>
          <w:tcPr>
            <w:tcW w:w="0" w:type="dxa"/>
            <w:vAlign w:val="bottom"/>
          </w:tcPr>
          <w:p>
            <w:pPr>
              <w:spacing w:after="0"/>
              <w:rPr>
                <w:sz w:val="1"/>
                <w:szCs w:val="1"/>
                <w:color w:val="auto"/>
              </w:rPr>
            </w:pPr>
          </w:p>
        </w:tc>
      </w:tr>
      <w:tr>
        <w:trPr>
          <w:trHeight w:val="126"/>
        </w:trPr>
        <w:tc>
          <w:tcPr>
            <w:tcW w:w="5480" w:type="dxa"/>
            <w:vAlign w:val="bottom"/>
          </w:tcPr>
          <w:p>
            <w:pPr>
              <w:spacing w:after="0"/>
              <w:rPr>
                <w:sz w:val="20"/>
                <w:szCs w:val="20"/>
                <w:color w:val="auto"/>
              </w:rPr>
            </w:pPr>
            <w:r>
              <w:rPr>
                <w:rFonts w:ascii="Arial" w:cs="Arial" w:eastAsia="Arial" w:hAnsi="Arial"/>
                <w:sz w:val="10"/>
                <w:szCs w:val="10"/>
                <w:color w:val="auto"/>
              </w:rPr>
              <w:t>Passenger load factor (percent)</w:t>
            </w:r>
          </w:p>
        </w:tc>
        <w:tc>
          <w:tcPr>
            <w:tcW w:w="860" w:type="dxa"/>
            <w:vAlign w:val="bottom"/>
          </w:tcPr>
          <w:p>
            <w:pPr>
              <w:jc w:val="right"/>
              <w:spacing w:after="0"/>
              <w:rPr>
                <w:sz w:val="20"/>
                <w:szCs w:val="20"/>
                <w:color w:val="auto"/>
              </w:rPr>
            </w:pPr>
            <w:r>
              <w:rPr>
                <w:rFonts w:ascii="Arial" w:cs="Arial" w:eastAsia="Arial" w:hAnsi="Arial"/>
                <w:sz w:val="10"/>
                <w:szCs w:val="10"/>
                <w:color w:val="auto"/>
              </w:rPr>
              <w:t>77.0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42.3</w:t>
            </w:r>
          </w:p>
        </w:tc>
        <w:tc>
          <w:tcPr>
            <w:tcW w:w="100" w:type="dxa"/>
            <w:vAlign w:val="bottom"/>
          </w:tcPr>
          <w:p>
            <w:pPr>
              <w:spacing w:after="0"/>
              <w:rPr>
                <w:sz w:val="10"/>
                <w:szCs w:val="1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0"/>
                <w:szCs w:val="10"/>
                <w:color w:val="auto"/>
              </w:rPr>
              <w:t>34.7 pts</w:t>
            </w:r>
          </w:p>
        </w:tc>
        <w:tc>
          <w:tcPr>
            <w:tcW w:w="840" w:type="dxa"/>
            <w:vAlign w:val="bottom"/>
          </w:tcPr>
          <w:p>
            <w:pPr>
              <w:jc w:val="right"/>
              <w:spacing w:after="0"/>
              <w:rPr>
                <w:sz w:val="20"/>
                <w:szCs w:val="20"/>
                <w:color w:val="auto"/>
              </w:rPr>
            </w:pPr>
            <w:r>
              <w:rPr>
                <w:rFonts w:ascii="Arial" w:cs="Arial" w:eastAsia="Arial" w:hAnsi="Arial"/>
                <w:sz w:val="10"/>
                <w:szCs w:val="10"/>
                <w:color w:val="auto"/>
              </w:rPr>
              <w:t>69.9</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66.2</w:t>
            </w:r>
          </w:p>
        </w:tc>
        <w:tc>
          <w:tcPr>
            <w:tcW w:w="8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3.7 pts</w:t>
            </w:r>
          </w:p>
        </w:tc>
        <w:tc>
          <w:tcPr>
            <w:tcW w:w="0" w:type="dxa"/>
            <w:vAlign w:val="bottom"/>
          </w:tcPr>
          <w:p>
            <w:pPr>
              <w:spacing w:after="0"/>
              <w:rPr>
                <w:sz w:val="1"/>
                <w:szCs w:val="1"/>
                <w:color w:val="auto"/>
              </w:rPr>
            </w:pPr>
          </w:p>
        </w:tc>
      </w:tr>
      <w:tr>
        <w:trPr>
          <w:trHeight w:val="126"/>
        </w:trPr>
        <w:tc>
          <w:tcPr>
            <w:tcW w:w="5480" w:type="dxa"/>
            <w:vAlign w:val="bottom"/>
            <w:shd w:val="clear" w:color="auto" w:fill="CCEEFF"/>
          </w:tcPr>
          <w:p>
            <w:pPr>
              <w:spacing w:after="0"/>
              <w:rPr>
                <w:sz w:val="20"/>
                <w:szCs w:val="20"/>
                <w:color w:val="auto"/>
              </w:rPr>
            </w:pPr>
            <w:r>
              <w:rPr>
                <w:rFonts w:ascii="Arial" w:cs="Arial" w:eastAsia="Arial" w:hAnsi="Arial"/>
                <w:sz w:val="10"/>
                <w:szCs w:val="10"/>
                <w:color w:val="auto"/>
              </w:rPr>
              <w:t>Yield (cents)</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15.57</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1.7 %</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15.08</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16.77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(10.1) %</w:t>
            </w:r>
          </w:p>
        </w:tc>
        <w:tc>
          <w:tcPr>
            <w:tcW w:w="0" w:type="dxa"/>
            <w:vAlign w:val="bottom"/>
          </w:tcPr>
          <w:p>
            <w:pPr>
              <w:spacing w:after="0"/>
              <w:rPr>
                <w:sz w:val="1"/>
                <w:szCs w:val="1"/>
                <w:color w:val="auto"/>
              </w:rPr>
            </w:pPr>
          </w:p>
        </w:tc>
      </w:tr>
      <w:tr>
        <w:trPr>
          <w:trHeight w:val="126"/>
        </w:trPr>
        <w:tc>
          <w:tcPr>
            <w:tcW w:w="5480" w:type="dxa"/>
            <w:vAlign w:val="bottom"/>
          </w:tcPr>
          <w:p>
            <w:pPr>
              <w:spacing w:after="0"/>
              <w:rPr>
                <w:sz w:val="20"/>
                <w:szCs w:val="20"/>
                <w:color w:val="auto"/>
              </w:rPr>
            </w:pPr>
            <w:r>
              <w:rPr>
                <w:rFonts w:ascii="Arial" w:cs="Arial" w:eastAsia="Arial" w:hAnsi="Arial"/>
                <w:sz w:val="10"/>
                <w:szCs w:val="10"/>
                <w:color w:val="auto"/>
              </w:rPr>
              <w:t>Passenger revenue per ASM (cents)</w:t>
            </w:r>
          </w:p>
        </w:tc>
        <w:tc>
          <w:tcPr>
            <w:tcW w:w="860" w:type="dxa"/>
            <w:vAlign w:val="bottom"/>
          </w:tcPr>
          <w:p>
            <w:pPr>
              <w:jc w:val="right"/>
              <w:spacing w:after="0"/>
              <w:rPr>
                <w:sz w:val="20"/>
                <w:szCs w:val="20"/>
                <w:color w:val="auto"/>
              </w:rPr>
            </w:pPr>
            <w:r>
              <w:rPr>
                <w:rFonts w:ascii="Arial" w:cs="Arial" w:eastAsia="Arial" w:hAnsi="Arial"/>
                <w:sz w:val="10"/>
                <w:szCs w:val="10"/>
                <w:color w:val="auto"/>
              </w:rPr>
              <w:t>12.00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6.48</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85.0 %</w:t>
            </w: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10.53</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11.10</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(5.1) %</w:t>
            </w:r>
          </w:p>
        </w:tc>
        <w:tc>
          <w:tcPr>
            <w:tcW w:w="0" w:type="dxa"/>
            <w:vAlign w:val="bottom"/>
          </w:tcPr>
          <w:p>
            <w:pPr>
              <w:spacing w:after="0"/>
              <w:rPr>
                <w:sz w:val="1"/>
                <w:szCs w:val="1"/>
                <w:color w:val="auto"/>
              </w:rPr>
            </w:pPr>
          </w:p>
        </w:tc>
      </w:tr>
      <w:tr>
        <w:trPr>
          <w:trHeight w:val="126"/>
        </w:trPr>
        <w:tc>
          <w:tcPr>
            <w:tcW w:w="5480" w:type="dxa"/>
            <w:vAlign w:val="bottom"/>
            <w:shd w:val="clear" w:color="auto" w:fill="CCEEFF"/>
          </w:tcPr>
          <w:p>
            <w:pPr>
              <w:spacing w:after="0"/>
              <w:rPr>
                <w:sz w:val="20"/>
                <w:szCs w:val="20"/>
                <w:color w:val="auto"/>
              </w:rPr>
            </w:pPr>
            <w:r>
              <w:rPr>
                <w:rFonts w:ascii="Arial" w:cs="Arial" w:eastAsia="Arial" w:hAnsi="Arial"/>
                <w:sz w:val="10"/>
                <w:szCs w:val="10"/>
                <w:color w:val="auto"/>
              </w:rPr>
              <w:t>Total revenue per ASM (cents)</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13.71</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44.3 %</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12.44</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(2.8) %</w:t>
            </w:r>
          </w:p>
        </w:tc>
        <w:tc>
          <w:tcPr>
            <w:tcW w:w="0" w:type="dxa"/>
            <w:vAlign w:val="bottom"/>
          </w:tcPr>
          <w:p>
            <w:pPr>
              <w:spacing w:after="0"/>
              <w:rPr>
                <w:sz w:val="1"/>
                <w:szCs w:val="1"/>
                <w:color w:val="auto"/>
              </w:rPr>
            </w:pPr>
          </w:p>
        </w:tc>
      </w:tr>
      <w:tr>
        <w:trPr>
          <w:trHeight w:val="126"/>
        </w:trPr>
        <w:tc>
          <w:tcPr>
            <w:tcW w:w="5480" w:type="dxa"/>
            <w:vAlign w:val="bottom"/>
          </w:tcPr>
          <w:p>
            <w:pPr>
              <w:spacing w:after="0"/>
              <w:rPr>
                <w:sz w:val="20"/>
                <w:szCs w:val="20"/>
                <w:color w:val="auto"/>
              </w:rPr>
            </w:pPr>
            <w:r>
              <w:rPr>
                <w:rFonts w:ascii="Arial" w:cs="Arial" w:eastAsia="Arial" w:hAnsi="Arial"/>
                <w:sz w:val="10"/>
                <w:szCs w:val="10"/>
                <w:color w:val="auto"/>
              </w:rPr>
              <w:t>Cargo ton miles (millions)</w:t>
            </w:r>
          </w:p>
        </w:tc>
        <w:tc>
          <w:tcPr>
            <w:tcW w:w="860" w:type="dxa"/>
            <w:vAlign w:val="bottom"/>
          </w:tcPr>
          <w:p>
            <w:pPr>
              <w:jc w:val="right"/>
              <w:spacing w:after="0"/>
              <w:rPr>
                <w:sz w:val="20"/>
                <w:szCs w:val="20"/>
                <w:color w:val="auto"/>
              </w:rPr>
            </w:pPr>
            <w:r>
              <w:rPr>
                <w:rFonts w:ascii="Arial" w:cs="Arial" w:eastAsia="Arial" w:hAnsi="Arial"/>
                <w:sz w:val="10"/>
                <w:szCs w:val="10"/>
                <w:color w:val="auto"/>
              </w:rPr>
              <w:t>555</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176</w:t>
            </w:r>
          </w:p>
        </w:tc>
        <w:tc>
          <w:tcPr>
            <w:tcW w:w="100" w:type="dxa"/>
            <w:vAlign w:val="bottom"/>
          </w:tcPr>
          <w:p>
            <w:pPr>
              <w:spacing w:after="0"/>
              <w:rPr>
                <w:sz w:val="10"/>
                <w:szCs w:val="1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0"/>
                <w:szCs w:val="10"/>
                <w:color w:val="auto"/>
              </w:rPr>
              <w:t>nm %</w:t>
            </w:r>
          </w:p>
        </w:tc>
        <w:tc>
          <w:tcPr>
            <w:tcW w:w="840" w:type="dxa"/>
            <w:vAlign w:val="bottom"/>
          </w:tcPr>
          <w:p>
            <w:pPr>
              <w:jc w:val="right"/>
              <w:spacing w:after="0"/>
              <w:rPr>
                <w:sz w:val="20"/>
                <w:szCs w:val="20"/>
                <w:color w:val="auto"/>
              </w:rPr>
            </w:pPr>
            <w:r>
              <w:rPr>
                <w:rFonts w:ascii="Arial" w:cs="Arial" w:eastAsia="Arial" w:hAnsi="Arial"/>
                <w:sz w:val="10"/>
                <w:szCs w:val="10"/>
                <w:color w:val="auto"/>
              </w:rPr>
              <w:t>1,087</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612</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77.5 %</w:t>
            </w:r>
          </w:p>
        </w:tc>
        <w:tc>
          <w:tcPr>
            <w:tcW w:w="0" w:type="dxa"/>
            <w:vAlign w:val="bottom"/>
          </w:tcPr>
          <w:p>
            <w:pPr>
              <w:spacing w:after="0"/>
              <w:rPr>
                <w:sz w:val="1"/>
                <w:szCs w:val="1"/>
                <w:color w:val="auto"/>
              </w:rPr>
            </w:pPr>
          </w:p>
        </w:tc>
      </w:tr>
      <w:tr>
        <w:trPr>
          <w:trHeight w:val="126"/>
        </w:trPr>
        <w:tc>
          <w:tcPr>
            <w:tcW w:w="5480" w:type="dxa"/>
            <w:vAlign w:val="bottom"/>
            <w:shd w:val="clear" w:color="auto" w:fill="CCEEFF"/>
          </w:tcPr>
          <w:p>
            <w:pPr>
              <w:spacing w:after="0"/>
              <w:rPr>
                <w:sz w:val="20"/>
                <w:szCs w:val="20"/>
                <w:color w:val="auto"/>
              </w:rPr>
            </w:pPr>
            <w:r>
              <w:rPr>
                <w:rFonts w:ascii="Arial" w:cs="Arial" w:eastAsia="Arial" w:hAnsi="Arial"/>
                <w:sz w:val="10"/>
                <w:szCs w:val="10"/>
                <w:color w:val="auto"/>
              </w:rPr>
              <w:t>Cargo yield per ton mile (cents)</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58.86</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73.98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(20.4) %</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59.02</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45.24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30.4 %</w:t>
            </w:r>
          </w:p>
        </w:tc>
        <w:tc>
          <w:tcPr>
            <w:tcW w:w="0" w:type="dxa"/>
            <w:vAlign w:val="bottom"/>
          </w:tcPr>
          <w:p>
            <w:pPr>
              <w:spacing w:after="0"/>
              <w:rPr>
                <w:sz w:val="1"/>
                <w:szCs w:val="1"/>
                <w:color w:val="auto"/>
              </w:rPr>
            </w:pPr>
          </w:p>
        </w:tc>
      </w:tr>
      <w:tr>
        <w:trPr>
          <w:trHeight w:val="99"/>
        </w:trPr>
        <w:tc>
          <w:tcPr>
            <w:tcW w:w="5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5480" w:type="dxa"/>
            <w:vAlign w:val="bottom"/>
            <w:shd w:val="clear" w:color="auto" w:fill="CCEEFF"/>
          </w:tcPr>
          <w:p>
            <w:pPr>
              <w:spacing w:after="0"/>
              <w:rPr>
                <w:sz w:val="20"/>
                <w:szCs w:val="20"/>
                <w:color w:val="auto"/>
              </w:rPr>
            </w:pPr>
            <w:r>
              <w:rPr>
                <w:rFonts w:ascii="Arial" w:cs="Arial" w:eastAsia="Arial" w:hAnsi="Arial"/>
                <w:sz w:val="10"/>
                <w:szCs w:val="10"/>
                <w:color w:val="auto"/>
              </w:rPr>
              <w:t>Fuel consumption (gallons in millions)</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844</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275</w:t>
            </w:r>
          </w:p>
        </w:tc>
        <w:tc>
          <w:tcPr>
            <w:tcW w:w="10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nm %</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1,452</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16.5 %</w:t>
            </w:r>
          </w:p>
        </w:tc>
        <w:tc>
          <w:tcPr>
            <w:tcW w:w="0" w:type="dxa"/>
            <w:vAlign w:val="bottom"/>
          </w:tcPr>
          <w:p>
            <w:pPr>
              <w:spacing w:after="0"/>
              <w:rPr>
                <w:sz w:val="1"/>
                <w:szCs w:val="1"/>
                <w:color w:val="auto"/>
              </w:rPr>
            </w:pPr>
          </w:p>
        </w:tc>
      </w:tr>
      <w:tr>
        <w:trPr>
          <w:trHeight w:val="126"/>
        </w:trPr>
        <w:tc>
          <w:tcPr>
            <w:tcW w:w="5480" w:type="dxa"/>
            <w:vAlign w:val="bottom"/>
          </w:tcPr>
          <w:p>
            <w:pPr>
              <w:spacing w:after="0"/>
              <w:rPr>
                <w:sz w:val="20"/>
                <w:szCs w:val="20"/>
                <w:color w:val="auto"/>
              </w:rPr>
            </w:pPr>
            <w:r>
              <w:rPr>
                <w:rFonts w:ascii="Arial" w:cs="Arial" w:eastAsia="Arial" w:hAnsi="Arial"/>
                <w:sz w:val="10"/>
                <w:szCs w:val="10"/>
                <w:color w:val="auto"/>
              </w:rPr>
              <w:t>Average aircraft fuel price including related taxes (dollars per gallon)</w:t>
            </w:r>
          </w:p>
        </w:tc>
        <w:tc>
          <w:tcPr>
            <w:tcW w:w="860" w:type="dxa"/>
            <w:vAlign w:val="bottom"/>
          </w:tcPr>
          <w:p>
            <w:pPr>
              <w:jc w:val="right"/>
              <w:spacing w:after="0"/>
              <w:rPr>
                <w:sz w:val="20"/>
                <w:szCs w:val="20"/>
                <w:color w:val="auto"/>
              </w:rPr>
            </w:pPr>
            <w:r>
              <w:rPr>
                <w:rFonts w:ascii="Arial" w:cs="Arial" w:eastAsia="Arial" w:hAnsi="Arial"/>
                <w:sz w:val="10"/>
                <w:szCs w:val="10"/>
                <w:color w:val="auto"/>
              </w:rPr>
              <w:t>1.91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1.13</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69.5 %</w:t>
            </w: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1.82</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1.68</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8.4 %</w:t>
            </w:r>
          </w:p>
        </w:tc>
        <w:tc>
          <w:tcPr>
            <w:tcW w:w="0" w:type="dxa"/>
            <w:vAlign w:val="bottom"/>
          </w:tcPr>
          <w:p>
            <w:pPr>
              <w:spacing w:after="0"/>
              <w:rPr>
                <w:sz w:val="1"/>
                <w:szCs w:val="1"/>
                <w:color w:val="auto"/>
              </w:rPr>
            </w:pPr>
          </w:p>
        </w:tc>
      </w:tr>
      <w:tr>
        <w:trPr>
          <w:trHeight w:val="99"/>
        </w:trPr>
        <w:tc>
          <w:tcPr>
            <w:tcW w:w="54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5480" w:type="dxa"/>
            <w:vAlign w:val="bottom"/>
          </w:tcPr>
          <w:p>
            <w:pPr>
              <w:spacing w:after="0"/>
              <w:rPr>
                <w:sz w:val="20"/>
                <w:szCs w:val="20"/>
                <w:color w:val="auto"/>
              </w:rPr>
            </w:pPr>
            <w:r>
              <w:rPr>
                <w:rFonts w:ascii="Arial" w:cs="Arial" w:eastAsia="Arial" w:hAnsi="Arial"/>
                <w:sz w:val="10"/>
                <w:szCs w:val="10"/>
                <w:color w:val="auto"/>
              </w:rPr>
              <w:t>Operating cost per ASM (cents)</w:t>
            </w:r>
          </w:p>
        </w:tc>
        <w:tc>
          <w:tcPr>
            <w:tcW w:w="860" w:type="dxa"/>
            <w:vAlign w:val="bottom"/>
          </w:tcPr>
          <w:p>
            <w:pPr>
              <w:jc w:val="right"/>
              <w:spacing w:after="0"/>
              <w:rPr>
                <w:sz w:val="20"/>
                <w:szCs w:val="20"/>
                <w:color w:val="auto"/>
              </w:rPr>
            </w:pPr>
            <w:r>
              <w:rPr>
                <w:rFonts w:ascii="Arial" w:cs="Arial" w:eastAsia="Arial" w:hAnsi="Arial"/>
                <w:sz w:val="10"/>
                <w:szCs w:val="10"/>
                <w:color w:val="auto"/>
              </w:rPr>
              <w:t>12.90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24.05</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(46.4) %</w:t>
            </w: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13.39</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19.16</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(30.1) %</w:t>
            </w:r>
          </w:p>
        </w:tc>
        <w:tc>
          <w:tcPr>
            <w:tcW w:w="0" w:type="dxa"/>
            <w:vAlign w:val="bottom"/>
          </w:tcPr>
          <w:p>
            <w:pPr>
              <w:spacing w:after="0"/>
              <w:rPr>
                <w:sz w:val="1"/>
                <w:szCs w:val="1"/>
                <w:color w:val="auto"/>
              </w:rPr>
            </w:pPr>
          </w:p>
        </w:tc>
      </w:tr>
      <w:tr>
        <w:trPr>
          <w:trHeight w:val="126"/>
        </w:trPr>
        <w:tc>
          <w:tcPr>
            <w:tcW w:w="5480" w:type="dxa"/>
            <w:vAlign w:val="bottom"/>
            <w:shd w:val="clear" w:color="auto" w:fill="CCEEFF"/>
          </w:tcPr>
          <w:p>
            <w:pPr>
              <w:spacing w:after="0"/>
              <w:rPr>
                <w:sz w:val="20"/>
                <w:szCs w:val="20"/>
                <w:color w:val="auto"/>
              </w:rPr>
            </w:pPr>
            <w:r>
              <w:rPr>
                <w:rFonts w:ascii="Arial" w:cs="Arial" w:eastAsia="Arial" w:hAnsi="Arial"/>
                <w:sz w:val="10"/>
                <w:szCs w:val="10"/>
                <w:color w:val="auto"/>
              </w:rPr>
              <w:t>Operating cost per ASM excluding net special items (cents)</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15.57</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33.84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(54.0) %</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17.05</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19.73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(13.6) %</w:t>
            </w:r>
          </w:p>
        </w:tc>
        <w:tc>
          <w:tcPr>
            <w:tcW w:w="0" w:type="dxa"/>
            <w:vAlign w:val="bottom"/>
          </w:tcPr>
          <w:p>
            <w:pPr>
              <w:spacing w:after="0"/>
              <w:rPr>
                <w:sz w:val="1"/>
                <w:szCs w:val="1"/>
                <w:color w:val="auto"/>
              </w:rPr>
            </w:pPr>
          </w:p>
        </w:tc>
      </w:tr>
      <w:tr>
        <w:trPr>
          <w:trHeight w:val="126"/>
        </w:trPr>
        <w:tc>
          <w:tcPr>
            <w:tcW w:w="5480" w:type="dxa"/>
            <w:vAlign w:val="bottom"/>
          </w:tcPr>
          <w:p>
            <w:pPr>
              <w:spacing w:after="0"/>
              <w:rPr>
                <w:sz w:val="20"/>
                <w:szCs w:val="20"/>
                <w:color w:val="auto"/>
              </w:rPr>
            </w:pPr>
            <w:r>
              <w:rPr>
                <w:rFonts w:ascii="Arial" w:cs="Arial" w:eastAsia="Arial" w:hAnsi="Arial"/>
                <w:sz w:val="10"/>
                <w:szCs w:val="10"/>
                <w:color w:val="auto"/>
              </w:rPr>
              <w:t>Operating cost per ASM excluding net special items and fuel (cents)</w:t>
            </w:r>
          </w:p>
        </w:tc>
        <w:tc>
          <w:tcPr>
            <w:tcW w:w="860" w:type="dxa"/>
            <w:vAlign w:val="bottom"/>
          </w:tcPr>
          <w:p>
            <w:pPr>
              <w:jc w:val="right"/>
              <w:spacing w:after="0"/>
              <w:rPr>
                <w:sz w:val="20"/>
                <w:szCs w:val="20"/>
                <w:color w:val="auto"/>
              </w:rPr>
            </w:pPr>
            <w:r>
              <w:rPr>
                <w:rFonts w:ascii="Arial" w:cs="Arial" w:eastAsia="Arial" w:hAnsi="Arial"/>
                <w:sz w:val="10"/>
                <w:szCs w:val="10"/>
                <w:color w:val="auto"/>
              </w:rPr>
              <w:t>12.61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32.04</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(60.6) %</w:t>
            </w: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14.18</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17.08</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(17.0) %</w:t>
            </w:r>
          </w:p>
        </w:tc>
        <w:tc>
          <w:tcPr>
            <w:tcW w:w="0" w:type="dxa"/>
            <w:vAlign w:val="bottom"/>
          </w:tcPr>
          <w:p>
            <w:pPr>
              <w:spacing w:after="0"/>
              <w:rPr>
                <w:sz w:val="1"/>
                <w:szCs w:val="1"/>
                <w:color w:val="auto"/>
              </w:rPr>
            </w:pPr>
          </w:p>
        </w:tc>
      </w:tr>
      <w:tr>
        <w:trPr>
          <w:trHeight w:val="99"/>
        </w:trPr>
        <w:tc>
          <w:tcPr>
            <w:tcW w:w="54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5480" w:type="dxa"/>
            <w:vAlign w:val="bottom"/>
          </w:tcPr>
          <w:p>
            <w:pPr>
              <w:spacing w:after="0"/>
              <w:rPr>
                <w:sz w:val="20"/>
                <w:szCs w:val="20"/>
                <w:color w:val="auto"/>
              </w:rPr>
            </w:pPr>
            <w:r>
              <w:rPr>
                <w:rFonts w:ascii="Arial" w:cs="Arial" w:eastAsia="Arial" w:hAnsi="Arial"/>
                <w:sz w:val="10"/>
                <w:szCs w:val="10"/>
                <w:color w:val="auto"/>
              </w:rPr>
              <w:t>Passenger enplanements (thousands)</w:t>
            </w:r>
          </w:p>
        </w:tc>
        <w:tc>
          <w:tcPr>
            <w:tcW w:w="860" w:type="dxa"/>
            <w:vAlign w:val="bottom"/>
          </w:tcPr>
          <w:p>
            <w:pPr>
              <w:jc w:val="right"/>
              <w:spacing w:after="0"/>
              <w:rPr>
                <w:sz w:val="20"/>
                <w:szCs w:val="20"/>
                <w:color w:val="auto"/>
              </w:rPr>
            </w:pPr>
            <w:r>
              <w:rPr>
                <w:rFonts w:ascii="Arial" w:cs="Arial" w:eastAsia="Arial" w:hAnsi="Arial"/>
                <w:sz w:val="10"/>
                <w:szCs w:val="10"/>
                <w:color w:val="auto"/>
              </w:rPr>
              <w:t>44,019</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8,371</w:t>
            </w:r>
          </w:p>
        </w:tc>
        <w:tc>
          <w:tcPr>
            <w:tcW w:w="100" w:type="dxa"/>
            <w:vAlign w:val="bottom"/>
          </w:tcPr>
          <w:p>
            <w:pPr>
              <w:spacing w:after="0"/>
              <w:rPr>
                <w:sz w:val="10"/>
                <w:szCs w:val="1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0"/>
                <w:szCs w:val="10"/>
                <w:color w:val="auto"/>
              </w:rPr>
              <w:t>nm %</w:t>
            </w:r>
          </w:p>
        </w:tc>
        <w:tc>
          <w:tcPr>
            <w:tcW w:w="840" w:type="dxa"/>
            <w:vAlign w:val="bottom"/>
          </w:tcPr>
          <w:p>
            <w:pPr>
              <w:jc w:val="right"/>
              <w:spacing w:after="0"/>
              <w:rPr>
                <w:sz w:val="20"/>
                <w:szCs w:val="20"/>
                <w:color w:val="auto"/>
              </w:rPr>
            </w:pPr>
            <w:r>
              <w:rPr>
                <w:rFonts w:ascii="Arial" w:cs="Arial" w:eastAsia="Arial" w:hAnsi="Arial"/>
                <w:sz w:val="10"/>
                <w:szCs w:val="10"/>
                <w:color w:val="auto"/>
              </w:rPr>
              <w:t>68,256</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50,573</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35.0 %</w:t>
            </w:r>
          </w:p>
        </w:tc>
        <w:tc>
          <w:tcPr>
            <w:tcW w:w="0" w:type="dxa"/>
            <w:vAlign w:val="bottom"/>
          </w:tcPr>
          <w:p>
            <w:pPr>
              <w:spacing w:after="0"/>
              <w:rPr>
                <w:sz w:val="1"/>
                <w:szCs w:val="1"/>
                <w:color w:val="auto"/>
              </w:rPr>
            </w:pPr>
          </w:p>
        </w:tc>
      </w:tr>
      <w:tr>
        <w:trPr>
          <w:trHeight w:val="126"/>
        </w:trPr>
        <w:tc>
          <w:tcPr>
            <w:tcW w:w="5480" w:type="dxa"/>
            <w:vAlign w:val="bottom"/>
            <w:shd w:val="clear" w:color="auto" w:fill="CCEEFF"/>
          </w:tcPr>
          <w:p>
            <w:pPr>
              <w:spacing w:after="0"/>
              <w:rPr>
                <w:sz w:val="20"/>
                <w:szCs w:val="20"/>
                <w:color w:val="auto"/>
              </w:rPr>
            </w:pPr>
            <w:r>
              <w:rPr>
                <w:rFonts w:ascii="Arial" w:cs="Arial" w:eastAsia="Arial" w:hAnsi="Arial"/>
                <w:sz w:val="10"/>
                <w:szCs w:val="10"/>
                <w:color w:val="auto"/>
              </w:rPr>
              <w:t>Departures (thousands):</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80" w:type="dxa"/>
            <w:vAlign w:val="bottom"/>
          </w:tcPr>
          <w:p>
            <w:pPr>
              <w:ind w:left="140"/>
              <w:spacing w:after="0"/>
              <w:rPr>
                <w:sz w:val="20"/>
                <w:szCs w:val="20"/>
                <w:color w:val="auto"/>
              </w:rPr>
            </w:pPr>
            <w:r>
              <w:rPr>
                <w:rFonts w:ascii="Arial" w:cs="Arial" w:eastAsia="Arial" w:hAnsi="Arial"/>
                <w:sz w:val="10"/>
                <w:szCs w:val="10"/>
                <w:color w:val="auto"/>
              </w:rPr>
              <w:t>Mainline</w:t>
            </w:r>
          </w:p>
        </w:tc>
        <w:tc>
          <w:tcPr>
            <w:tcW w:w="860" w:type="dxa"/>
            <w:vAlign w:val="bottom"/>
          </w:tcPr>
          <w:p>
            <w:pPr>
              <w:jc w:val="right"/>
              <w:spacing w:after="0"/>
              <w:rPr>
                <w:sz w:val="20"/>
                <w:szCs w:val="20"/>
                <w:color w:val="auto"/>
              </w:rPr>
            </w:pPr>
            <w:r>
              <w:rPr>
                <w:rFonts w:ascii="Arial" w:cs="Arial" w:eastAsia="Arial" w:hAnsi="Arial"/>
                <w:sz w:val="10"/>
                <w:szCs w:val="10"/>
                <w:color w:val="auto"/>
              </w:rPr>
              <w:t>220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81</w:t>
            </w:r>
          </w:p>
        </w:tc>
        <w:tc>
          <w:tcPr>
            <w:tcW w:w="100" w:type="dxa"/>
            <w:vAlign w:val="bottom"/>
          </w:tcPr>
          <w:p>
            <w:pPr>
              <w:spacing w:after="0"/>
              <w:rPr>
                <w:sz w:val="10"/>
                <w:szCs w:val="1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0"/>
                <w:szCs w:val="10"/>
                <w:color w:val="auto"/>
              </w:rPr>
              <w:t>nm %</w:t>
            </w:r>
          </w:p>
        </w:tc>
        <w:tc>
          <w:tcPr>
            <w:tcW w:w="840" w:type="dxa"/>
            <w:vAlign w:val="bottom"/>
          </w:tcPr>
          <w:p>
            <w:pPr>
              <w:jc w:val="right"/>
              <w:spacing w:after="0"/>
              <w:rPr>
                <w:sz w:val="20"/>
                <w:szCs w:val="20"/>
                <w:color w:val="auto"/>
              </w:rPr>
            </w:pPr>
            <w:r>
              <w:rPr>
                <w:rFonts w:ascii="Arial" w:cs="Arial" w:eastAsia="Arial" w:hAnsi="Arial"/>
                <w:sz w:val="10"/>
                <w:szCs w:val="10"/>
                <w:color w:val="auto"/>
              </w:rPr>
              <w:t>372</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333</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11.8 %</w:t>
            </w:r>
          </w:p>
        </w:tc>
        <w:tc>
          <w:tcPr>
            <w:tcW w:w="0" w:type="dxa"/>
            <w:vAlign w:val="bottom"/>
          </w:tcPr>
          <w:p>
            <w:pPr>
              <w:spacing w:after="0"/>
              <w:rPr>
                <w:sz w:val="1"/>
                <w:szCs w:val="1"/>
                <w:color w:val="auto"/>
              </w:rPr>
            </w:pPr>
          </w:p>
        </w:tc>
      </w:tr>
      <w:tr>
        <w:trPr>
          <w:trHeight w:val="126"/>
        </w:trPr>
        <w:tc>
          <w:tcPr>
            <w:tcW w:w="54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Regional</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247</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w:t>
            </w:r>
          </w:p>
        </w:tc>
        <w:tc>
          <w:tcPr>
            <w:tcW w:w="10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nm %</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433</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13.0 %</w:t>
            </w:r>
          </w:p>
        </w:tc>
        <w:tc>
          <w:tcPr>
            <w:tcW w:w="0" w:type="dxa"/>
            <w:vAlign w:val="bottom"/>
          </w:tcPr>
          <w:p>
            <w:pPr>
              <w:spacing w:after="0"/>
              <w:rPr>
                <w:sz w:val="1"/>
                <w:szCs w:val="1"/>
                <w:color w:val="auto"/>
              </w:rPr>
            </w:pPr>
          </w:p>
        </w:tc>
      </w:tr>
      <w:tr>
        <w:trPr>
          <w:trHeight w:val="126"/>
        </w:trPr>
        <w:tc>
          <w:tcPr>
            <w:tcW w:w="5480" w:type="dxa"/>
            <w:vAlign w:val="bottom"/>
          </w:tcPr>
          <w:p>
            <w:pPr>
              <w:ind w:left="300"/>
              <w:spacing w:after="0"/>
              <w:rPr>
                <w:sz w:val="20"/>
                <w:szCs w:val="20"/>
                <w:color w:val="auto"/>
              </w:rPr>
            </w:pPr>
            <w:r>
              <w:rPr>
                <w:rFonts w:ascii="Arial" w:cs="Arial" w:eastAsia="Arial" w:hAnsi="Arial"/>
                <w:sz w:val="10"/>
                <w:szCs w:val="10"/>
                <w:color w:val="auto"/>
              </w:rPr>
              <w:t>Total</w:t>
            </w:r>
          </w:p>
        </w:tc>
        <w:tc>
          <w:tcPr>
            <w:tcW w:w="860" w:type="dxa"/>
            <w:vAlign w:val="bottom"/>
          </w:tcPr>
          <w:p>
            <w:pPr>
              <w:jc w:val="right"/>
              <w:spacing w:after="0"/>
              <w:rPr>
                <w:sz w:val="20"/>
                <w:szCs w:val="20"/>
                <w:color w:val="auto"/>
              </w:rPr>
            </w:pPr>
            <w:r>
              <w:rPr>
                <w:rFonts w:ascii="Arial" w:cs="Arial" w:eastAsia="Arial" w:hAnsi="Arial"/>
                <w:sz w:val="10"/>
                <w:szCs w:val="10"/>
                <w:color w:val="auto"/>
              </w:rPr>
              <w:t>467</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184</w:t>
            </w:r>
          </w:p>
        </w:tc>
        <w:tc>
          <w:tcPr>
            <w:tcW w:w="100" w:type="dxa"/>
            <w:vAlign w:val="bottom"/>
          </w:tcPr>
          <w:p>
            <w:pPr>
              <w:spacing w:after="0"/>
              <w:rPr>
                <w:sz w:val="10"/>
                <w:szCs w:val="1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0"/>
                <w:szCs w:val="10"/>
                <w:color w:val="auto"/>
              </w:rPr>
              <w:t>nm %</w:t>
            </w:r>
          </w:p>
        </w:tc>
        <w:tc>
          <w:tcPr>
            <w:tcW w:w="840" w:type="dxa"/>
            <w:vAlign w:val="bottom"/>
          </w:tcPr>
          <w:p>
            <w:pPr>
              <w:jc w:val="right"/>
              <w:spacing w:after="0"/>
              <w:rPr>
                <w:sz w:val="20"/>
                <w:szCs w:val="20"/>
                <w:color w:val="auto"/>
              </w:rPr>
            </w:pPr>
            <w:r>
              <w:rPr>
                <w:rFonts w:ascii="Arial" w:cs="Arial" w:eastAsia="Arial" w:hAnsi="Arial"/>
                <w:sz w:val="10"/>
                <w:szCs w:val="10"/>
                <w:color w:val="auto"/>
              </w:rPr>
              <w:t>805</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716</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12.4 %</w:t>
            </w:r>
          </w:p>
        </w:tc>
        <w:tc>
          <w:tcPr>
            <w:tcW w:w="0" w:type="dxa"/>
            <w:vAlign w:val="bottom"/>
          </w:tcPr>
          <w:p>
            <w:pPr>
              <w:spacing w:after="0"/>
              <w:rPr>
                <w:sz w:val="1"/>
                <w:szCs w:val="1"/>
                <w:color w:val="auto"/>
              </w:rPr>
            </w:pPr>
          </w:p>
        </w:tc>
      </w:tr>
      <w:tr>
        <w:trPr>
          <w:trHeight w:val="126"/>
        </w:trPr>
        <w:tc>
          <w:tcPr>
            <w:tcW w:w="5480" w:type="dxa"/>
            <w:vAlign w:val="bottom"/>
            <w:shd w:val="clear" w:color="auto" w:fill="CCEEFF"/>
          </w:tcPr>
          <w:p>
            <w:pPr>
              <w:spacing w:after="0"/>
              <w:rPr>
                <w:sz w:val="20"/>
                <w:szCs w:val="20"/>
                <w:color w:val="auto"/>
              </w:rPr>
            </w:pPr>
            <w:r>
              <w:rPr>
                <w:rFonts w:ascii="Arial" w:cs="Arial" w:eastAsia="Arial" w:hAnsi="Arial"/>
                <w:sz w:val="10"/>
                <w:szCs w:val="10"/>
                <w:color w:val="auto"/>
              </w:rPr>
              <w:t>Average stage length (miles):</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80" w:type="dxa"/>
            <w:vAlign w:val="bottom"/>
          </w:tcPr>
          <w:p>
            <w:pPr>
              <w:ind w:left="140"/>
              <w:spacing w:after="0"/>
              <w:rPr>
                <w:sz w:val="20"/>
                <w:szCs w:val="20"/>
                <w:color w:val="auto"/>
              </w:rPr>
            </w:pPr>
            <w:r>
              <w:rPr>
                <w:rFonts w:ascii="Arial" w:cs="Arial" w:eastAsia="Arial" w:hAnsi="Arial"/>
                <w:sz w:val="10"/>
                <w:szCs w:val="10"/>
                <w:color w:val="auto"/>
              </w:rPr>
              <w:t>Mainline</w:t>
            </w:r>
          </w:p>
        </w:tc>
        <w:tc>
          <w:tcPr>
            <w:tcW w:w="860" w:type="dxa"/>
            <w:vAlign w:val="bottom"/>
          </w:tcPr>
          <w:p>
            <w:pPr>
              <w:jc w:val="right"/>
              <w:spacing w:after="0"/>
              <w:rPr>
                <w:sz w:val="20"/>
                <w:szCs w:val="20"/>
                <w:color w:val="auto"/>
              </w:rPr>
            </w:pPr>
            <w:r>
              <w:rPr>
                <w:rFonts w:ascii="Arial" w:cs="Arial" w:eastAsia="Arial" w:hAnsi="Arial"/>
                <w:sz w:val="10"/>
                <w:szCs w:val="10"/>
                <w:color w:val="auto"/>
              </w:rPr>
              <w:t>1,172</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1,068</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9.8 %</w:t>
            </w: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1,186</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1,132</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4.7 %</w:t>
            </w:r>
          </w:p>
        </w:tc>
        <w:tc>
          <w:tcPr>
            <w:tcW w:w="0" w:type="dxa"/>
            <w:vAlign w:val="bottom"/>
          </w:tcPr>
          <w:p>
            <w:pPr>
              <w:spacing w:after="0"/>
              <w:rPr>
                <w:sz w:val="1"/>
                <w:szCs w:val="1"/>
                <w:color w:val="auto"/>
              </w:rPr>
            </w:pPr>
          </w:p>
        </w:tc>
      </w:tr>
      <w:tr>
        <w:trPr>
          <w:trHeight w:val="126"/>
        </w:trPr>
        <w:tc>
          <w:tcPr>
            <w:tcW w:w="54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Regional</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483</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0.1 %</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492</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4.2 %</w:t>
            </w:r>
          </w:p>
        </w:tc>
        <w:tc>
          <w:tcPr>
            <w:tcW w:w="0" w:type="dxa"/>
            <w:vAlign w:val="bottom"/>
          </w:tcPr>
          <w:p>
            <w:pPr>
              <w:spacing w:after="0"/>
              <w:rPr>
                <w:sz w:val="1"/>
                <w:szCs w:val="1"/>
                <w:color w:val="auto"/>
              </w:rPr>
            </w:pPr>
          </w:p>
        </w:tc>
      </w:tr>
      <w:tr>
        <w:trPr>
          <w:trHeight w:val="126"/>
        </w:trPr>
        <w:tc>
          <w:tcPr>
            <w:tcW w:w="5480" w:type="dxa"/>
            <w:vAlign w:val="bottom"/>
          </w:tcPr>
          <w:p>
            <w:pPr>
              <w:ind w:left="300"/>
              <w:spacing w:after="0"/>
              <w:rPr>
                <w:sz w:val="20"/>
                <w:szCs w:val="20"/>
                <w:color w:val="auto"/>
              </w:rPr>
            </w:pPr>
            <w:r>
              <w:rPr>
                <w:rFonts w:ascii="Arial" w:cs="Arial" w:eastAsia="Arial" w:hAnsi="Arial"/>
                <w:sz w:val="10"/>
                <w:szCs w:val="10"/>
                <w:color w:val="auto"/>
              </w:rPr>
              <w:t>Total</w:t>
            </w:r>
          </w:p>
        </w:tc>
        <w:tc>
          <w:tcPr>
            <w:tcW w:w="860" w:type="dxa"/>
            <w:vAlign w:val="bottom"/>
          </w:tcPr>
          <w:p>
            <w:pPr>
              <w:jc w:val="right"/>
              <w:spacing w:after="0"/>
              <w:rPr>
                <w:sz w:val="20"/>
                <w:szCs w:val="20"/>
                <w:color w:val="auto"/>
              </w:rPr>
            </w:pPr>
            <w:r>
              <w:rPr>
                <w:rFonts w:ascii="Arial" w:cs="Arial" w:eastAsia="Arial" w:hAnsi="Arial"/>
                <w:sz w:val="10"/>
                <w:szCs w:val="10"/>
                <w:color w:val="auto"/>
              </w:rPr>
              <w:t>808</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738</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9.3 %</w:t>
            </w: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813</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779</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4.3 %</w:t>
            </w:r>
          </w:p>
        </w:tc>
        <w:tc>
          <w:tcPr>
            <w:tcW w:w="0" w:type="dxa"/>
            <w:vAlign w:val="bottom"/>
          </w:tcPr>
          <w:p>
            <w:pPr>
              <w:spacing w:after="0"/>
              <w:rPr>
                <w:sz w:val="1"/>
                <w:szCs w:val="1"/>
                <w:color w:val="auto"/>
              </w:rPr>
            </w:pPr>
          </w:p>
        </w:tc>
      </w:tr>
      <w:tr>
        <w:trPr>
          <w:trHeight w:val="126"/>
        </w:trPr>
        <w:tc>
          <w:tcPr>
            <w:tcW w:w="5480" w:type="dxa"/>
            <w:vAlign w:val="bottom"/>
            <w:shd w:val="clear" w:color="auto" w:fill="CCEEFF"/>
          </w:tcPr>
          <w:p>
            <w:pPr>
              <w:spacing w:after="0"/>
              <w:rPr>
                <w:sz w:val="20"/>
                <w:szCs w:val="20"/>
                <w:color w:val="auto"/>
              </w:rPr>
            </w:pPr>
            <w:r>
              <w:rPr>
                <w:rFonts w:ascii="Arial" w:cs="Arial" w:eastAsia="Arial" w:hAnsi="Arial"/>
                <w:sz w:val="10"/>
                <w:szCs w:val="10"/>
                <w:color w:val="auto"/>
              </w:rPr>
              <w:t>Aircraft at end of period:</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80" w:type="dxa"/>
            <w:vAlign w:val="bottom"/>
          </w:tcPr>
          <w:p>
            <w:pPr>
              <w:ind w:left="140"/>
              <w:spacing w:after="0" w:line="126" w:lineRule="exact"/>
              <w:rPr>
                <w:sz w:val="20"/>
                <w:szCs w:val="20"/>
                <w:color w:val="auto"/>
              </w:rPr>
            </w:pPr>
            <w:r>
              <w:rPr>
                <w:rFonts w:ascii="Arial" w:cs="Arial" w:eastAsia="Arial" w:hAnsi="Arial"/>
                <w:sz w:val="10"/>
                <w:szCs w:val="10"/>
                <w:color w:val="auto"/>
              </w:rPr>
              <w:t xml:space="preserve">Mainline </w:t>
            </w:r>
            <w:r>
              <w:rPr>
                <w:rFonts w:ascii="Arial" w:cs="Arial" w:eastAsia="Arial" w:hAnsi="Arial"/>
                <w:sz w:val="12"/>
                <w:szCs w:val="12"/>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0"/>
                <w:szCs w:val="10"/>
                <w:color w:val="auto"/>
              </w:rPr>
              <w:t>854</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849</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0.6 %</w:t>
            </w: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854</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849</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0.6 %</w:t>
            </w:r>
          </w:p>
        </w:tc>
        <w:tc>
          <w:tcPr>
            <w:tcW w:w="0" w:type="dxa"/>
            <w:vAlign w:val="bottom"/>
          </w:tcPr>
          <w:p>
            <w:pPr>
              <w:spacing w:after="0"/>
              <w:rPr>
                <w:sz w:val="1"/>
                <w:szCs w:val="1"/>
                <w:color w:val="auto"/>
              </w:rPr>
            </w:pPr>
          </w:p>
        </w:tc>
      </w:tr>
      <w:tr>
        <w:trPr>
          <w:trHeight w:val="126"/>
        </w:trPr>
        <w:tc>
          <w:tcPr>
            <w:tcW w:w="5480" w:type="dxa"/>
            <w:vAlign w:val="bottom"/>
            <w:shd w:val="clear" w:color="auto" w:fill="CCEEFF"/>
          </w:tcPr>
          <w:p>
            <w:pPr>
              <w:ind w:left="140"/>
              <w:spacing w:after="0" w:line="126" w:lineRule="exact"/>
              <w:rPr>
                <w:sz w:val="20"/>
                <w:szCs w:val="20"/>
                <w:color w:val="auto"/>
              </w:rPr>
            </w:pPr>
            <w:r>
              <w:rPr>
                <w:rFonts w:ascii="Arial" w:cs="Arial" w:eastAsia="Arial" w:hAnsi="Arial"/>
                <w:sz w:val="10"/>
                <w:szCs w:val="10"/>
                <w:color w:val="auto"/>
              </w:rPr>
              <w:t xml:space="preserve">Regional </w:t>
            </w:r>
            <w:r>
              <w:rPr>
                <w:rFonts w:ascii="Arial" w:cs="Arial" w:eastAsia="Arial" w:hAnsi="Arial"/>
                <w:sz w:val="12"/>
                <w:szCs w:val="12"/>
                <w:color w:val="auto"/>
                <w:vertAlign w:val="superscript"/>
              </w:rPr>
              <w:t>(3)</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559</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2.6 %</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559</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2.6 %</w:t>
            </w:r>
          </w:p>
        </w:tc>
        <w:tc>
          <w:tcPr>
            <w:tcW w:w="0" w:type="dxa"/>
            <w:vAlign w:val="bottom"/>
          </w:tcPr>
          <w:p>
            <w:pPr>
              <w:spacing w:after="0"/>
              <w:rPr>
                <w:sz w:val="1"/>
                <w:szCs w:val="1"/>
                <w:color w:val="auto"/>
              </w:rPr>
            </w:pPr>
          </w:p>
        </w:tc>
      </w:tr>
      <w:tr>
        <w:trPr>
          <w:trHeight w:val="126"/>
        </w:trPr>
        <w:tc>
          <w:tcPr>
            <w:tcW w:w="5480" w:type="dxa"/>
            <w:vAlign w:val="bottom"/>
          </w:tcPr>
          <w:p>
            <w:pPr>
              <w:ind w:left="300"/>
              <w:spacing w:after="0"/>
              <w:rPr>
                <w:sz w:val="20"/>
                <w:szCs w:val="20"/>
                <w:color w:val="auto"/>
              </w:rPr>
            </w:pPr>
            <w:r>
              <w:rPr>
                <w:rFonts w:ascii="Arial" w:cs="Arial" w:eastAsia="Arial" w:hAnsi="Arial"/>
                <w:sz w:val="10"/>
                <w:szCs w:val="10"/>
                <w:color w:val="auto"/>
              </w:rPr>
              <w:t>Total</w:t>
            </w:r>
          </w:p>
        </w:tc>
        <w:tc>
          <w:tcPr>
            <w:tcW w:w="860" w:type="dxa"/>
            <w:vAlign w:val="bottom"/>
          </w:tcPr>
          <w:p>
            <w:pPr>
              <w:jc w:val="right"/>
              <w:spacing w:after="0"/>
              <w:rPr>
                <w:sz w:val="20"/>
                <w:szCs w:val="20"/>
                <w:color w:val="auto"/>
              </w:rPr>
            </w:pPr>
            <w:r>
              <w:rPr>
                <w:rFonts w:ascii="Arial" w:cs="Arial" w:eastAsia="Arial" w:hAnsi="Arial"/>
                <w:sz w:val="10"/>
                <w:szCs w:val="10"/>
                <w:color w:val="auto"/>
              </w:rPr>
              <w:t>1,413</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1,394</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1.4 %</w:t>
            </w: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1,413</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1,394</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1.4 %</w:t>
            </w:r>
          </w:p>
        </w:tc>
        <w:tc>
          <w:tcPr>
            <w:tcW w:w="0" w:type="dxa"/>
            <w:vAlign w:val="bottom"/>
          </w:tcPr>
          <w:p>
            <w:pPr>
              <w:spacing w:after="0"/>
              <w:rPr>
                <w:sz w:val="1"/>
                <w:szCs w:val="1"/>
                <w:color w:val="auto"/>
              </w:rPr>
            </w:pPr>
          </w:p>
        </w:tc>
      </w:tr>
      <w:tr>
        <w:trPr>
          <w:trHeight w:val="126"/>
        </w:trPr>
        <w:tc>
          <w:tcPr>
            <w:tcW w:w="5480" w:type="dxa"/>
            <w:vAlign w:val="bottom"/>
            <w:shd w:val="clear" w:color="auto" w:fill="CCEEFF"/>
          </w:tcPr>
          <w:p>
            <w:pPr>
              <w:spacing w:after="0"/>
              <w:rPr>
                <w:sz w:val="20"/>
                <w:szCs w:val="20"/>
                <w:color w:val="auto"/>
              </w:rPr>
            </w:pPr>
            <w:r>
              <w:rPr>
                <w:rFonts w:ascii="Arial" w:cs="Arial" w:eastAsia="Arial" w:hAnsi="Arial"/>
                <w:sz w:val="10"/>
                <w:szCs w:val="10"/>
                <w:color w:val="auto"/>
              </w:rPr>
              <w:t>Full-time equivalent employees at end of period:</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80" w:type="dxa"/>
            <w:vAlign w:val="bottom"/>
          </w:tcPr>
          <w:p>
            <w:pPr>
              <w:ind w:left="140"/>
              <w:spacing w:after="0"/>
              <w:rPr>
                <w:sz w:val="20"/>
                <w:szCs w:val="20"/>
                <w:color w:val="auto"/>
              </w:rPr>
            </w:pPr>
            <w:r>
              <w:rPr>
                <w:rFonts w:ascii="Arial" w:cs="Arial" w:eastAsia="Arial" w:hAnsi="Arial"/>
                <w:sz w:val="10"/>
                <w:szCs w:val="10"/>
                <w:color w:val="auto"/>
              </w:rPr>
              <w:t>Mainline</w:t>
            </w:r>
          </w:p>
        </w:tc>
        <w:tc>
          <w:tcPr>
            <w:tcW w:w="860" w:type="dxa"/>
            <w:vAlign w:val="bottom"/>
          </w:tcPr>
          <w:p>
            <w:pPr>
              <w:jc w:val="right"/>
              <w:spacing w:after="0"/>
              <w:rPr>
                <w:sz w:val="20"/>
                <w:szCs w:val="20"/>
                <w:color w:val="auto"/>
              </w:rPr>
            </w:pPr>
            <w:r>
              <w:rPr>
                <w:rFonts w:ascii="Arial" w:cs="Arial" w:eastAsia="Arial" w:hAnsi="Arial"/>
                <w:sz w:val="10"/>
                <w:szCs w:val="10"/>
                <w:color w:val="auto"/>
              </w:rPr>
              <w:t>91,100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86,000</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5.9 %</w:t>
            </w: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91,100</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86,000</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5.9 %</w:t>
            </w:r>
          </w:p>
        </w:tc>
        <w:tc>
          <w:tcPr>
            <w:tcW w:w="0" w:type="dxa"/>
            <w:vAlign w:val="bottom"/>
          </w:tcPr>
          <w:p>
            <w:pPr>
              <w:spacing w:after="0"/>
              <w:rPr>
                <w:sz w:val="1"/>
                <w:szCs w:val="1"/>
                <w:color w:val="auto"/>
              </w:rPr>
            </w:pPr>
          </w:p>
        </w:tc>
      </w:tr>
      <w:tr>
        <w:trPr>
          <w:trHeight w:val="126"/>
        </w:trPr>
        <w:tc>
          <w:tcPr>
            <w:tcW w:w="5480" w:type="dxa"/>
            <w:vAlign w:val="bottom"/>
            <w:shd w:val="clear" w:color="auto" w:fill="CCEEFF"/>
          </w:tcPr>
          <w:p>
            <w:pPr>
              <w:ind w:left="140"/>
              <w:spacing w:after="0" w:line="126" w:lineRule="exact"/>
              <w:rPr>
                <w:sz w:val="20"/>
                <w:szCs w:val="20"/>
                <w:color w:val="auto"/>
              </w:rPr>
            </w:pPr>
            <w:r>
              <w:rPr>
                <w:rFonts w:ascii="Arial" w:cs="Arial" w:eastAsia="Arial" w:hAnsi="Arial"/>
                <w:sz w:val="10"/>
                <w:szCs w:val="10"/>
                <w:color w:val="auto"/>
              </w:rPr>
              <w:t xml:space="preserve">Regional </w:t>
            </w:r>
            <w:r>
              <w:rPr>
                <w:rFonts w:ascii="Arial" w:cs="Arial" w:eastAsia="Arial" w:hAnsi="Arial"/>
                <w:sz w:val="12"/>
                <w:szCs w:val="12"/>
                <w:color w:val="auto"/>
                <w:vertAlign w:val="superscript"/>
              </w:rPr>
              <w:t>(4)</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26,300</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21,400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22.9 %</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26,300</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21,400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22.9 %</w:t>
            </w:r>
          </w:p>
        </w:tc>
        <w:tc>
          <w:tcPr>
            <w:tcW w:w="0" w:type="dxa"/>
            <w:vAlign w:val="bottom"/>
          </w:tcPr>
          <w:p>
            <w:pPr>
              <w:spacing w:after="0"/>
              <w:rPr>
                <w:sz w:val="1"/>
                <w:szCs w:val="1"/>
                <w:color w:val="auto"/>
              </w:rPr>
            </w:pPr>
          </w:p>
        </w:tc>
      </w:tr>
      <w:tr>
        <w:trPr>
          <w:trHeight w:val="127"/>
        </w:trPr>
        <w:tc>
          <w:tcPr>
            <w:tcW w:w="5480" w:type="dxa"/>
            <w:vAlign w:val="bottom"/>
          </w:tcPr>
          <w:p>
            <w:pPr>
              <w:ind w:left="300"/>
              <w:spacing w:after="0"/>
              <w:rPr>
                <w:sz w:val="20"/>
                <w:szCs w:val="20"/>
                <w:color w:val="auto"/>
              </w:rPr>
            </w:pPr>
            <w:r>
              <w:rPr>
                <w:rFonts w:ascii="Arial" w:cs="Arial" w:eastAsia="Arial" w:hAnsi="Arial"/>
                <w:sz w:val="10"/>
                <w:szCs w:val="10"/>
                <w:color w:val="auto"/>
              </w:rPr>
              <w:t>Total</w:t>
            </w:r>
          </w:p>
        </w:tc>
        <w:tc>
          <w:tcPr>
            <w:tcW w:w="860" w:type="dxa"/>
            <w:vAlign w:val="bottom"/>
          </w:tcPr>
          <w:p>
            <w:pPr>
              <w:jc w:val="right"/>
              <w:spacing w:after="0"/>
              <w:rPr>
                <w:sz w:val="20"/>
                <w:szCs w:val="20"/>
                <w:color w:val="auto"/>
              </w:rPr>
            </w:pPr>
            <w:r>
              <w:rPr>
                <w:rFonts w:ascii="Arial" w:cs="Arial" w:eastAsia="Arial" w:hAnsi="Arial"/>
                <w:sz w:val="10"/>
                <w:szCs w:val="10"/>
                <w:color w:val="auto"/>
              </w:rPr>
              <w:t>117,400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107,400</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9.3 %</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117,400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107,400</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9.3 %</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 Amounts may not recalculate due to rounding.</w:t>
      </w:r>
    </w:p>
    <w:p>
      <w:pPr>
        <w:spacing w:after="0" w:line="52" w:lineRule="exact"/>
        <w:rPr>
          <w:sz w:val="20"/>
          <w:szCs w:val="20"/>
          <w:color w:val="auto"/>
        </w:rPr>
      </w:pPr>
    </w:p>
    <w:p>
      <w:pPr>
        <w:ind w:left="208" w:hanging="208"/>
        <w:spacing w:after="0"/>
        <w:tabs>
          <w:tab w:leader="none" w:pos="208" w:val="left"/>
        </w:tabs>
        <w:numPr>
          <w:ilvl w:val="0"/>
          <w:numId w:val="11"/>
        </w:numPr>
        <w:rPr>
          <w:rFonts w:ascii="Arial" w:cs="Arial" w:eastAsia="Arial" w:hAnsi="Arial"/>
          <w:sz w:val="14"/>
          <w:szCs w:val="14"/>
          <w:color w:val="auto"/>
          <w:vertAlign w:val="superscript"/>
        </w:rPr>
      </w:pPr>
      <w:r>
        <w:rPr>
          <w:rFonts w:ascii="Arial" w:cs="Arial" w:eastAsia="Arial" w:hAnsi="Arial"/>
          <w:sz w:val="11"/>
          <w:szCs w:val="11"/>
          <w:color w:val="auto"/>
        </w:rPr>
        <w:t>Unless otherwise noted, operating statistics include mainline and regional operations. Regional includes wholly-owned regional airline subsidiaries and operating results from capacity purchase carriers.</w:t>
      </w:r>
    </w:p>
    <w:p>
      <w:pPr>
        <w:spacing w:after="0" w:line="32" w:lineRule="exact"/>
        <w:rPr>
          <w:rFonts w:ascii="Arial" w:cs="Arial" w:eastAsia="Arial" w:hAnsi="Arial"/>
          <w:sz w:val="14"/>
          <w:szCs w:val="14"/>
          <w:color w:val="auto"/>
          <w:vertAlign w:val="superscript"/>
        </w:rPr>
      </w:pPr>
    </w:p>
    <w:p>
      <w:pPr>
        <w:ind w:left="208" w:hanging="208"/>
        <w:spacing w:after="0" w:line="193" w:lineRule="auto"/>
        <w:tabs>
          <w:tab w:leader="none" w:pos="208" w:val="left"/>
        </w:tabs>
        <w:numPr>
          <w:ilvl w:val="0"/>
          <w:numId w:val="11"/>
        </w:numPr>
        <w:rPr>
          <w:rFonts w:ascii="Arial" w:cs="Arial" w:eastAsia="Arial" w:hAnsi="Arial"/>
          <w:sz w:val="14"/>
          <w:szCs w:val="14"/>
          <w:color w:val="auto"/>
          <w:vertAlign w:val="superscript"/>
        </w:rPr>
      </w:pPr>
      <w:r>
        <w:rPr>
          <w:rFonts w:ascii="Arial" w:cs="Arial" w:eastAsia="Arial" w:hAnsi="Arial"/>
          <w:sz w:val="11"/>
          <w:szCs w:val="11"/>
          <w:color w:val="auto"/>
        </w:rPr>
        <w:t>Excludes 37 Boeing 737-800 mainline aircraft that are in temporary storage at June 30, 2021.</w:t>
      </w:r>
    </w:p>
    <w:p>
      <w:pPr>
        <w:spacing w:after="0" w:line="32" w:lineRule="exact"/>
        <w:rPr>
          <w:rFonts w:ascii="Arial" w:cs="Arial" w:eastAsia="Arial" w:hAnsi="Arial"/>
          <w:sz w:val="14"/>
          <w:szCs w:val="14"/>
          <w:color w:val="auto"/>
          <w:vertAlign w:val="superscript"/>
        </w:rPr>
      </w:pPr>
    </w:p>
    <w:p>
      <w:pPr>
        <w:ind w:left="208" w:right="20" w:hanging="208"/>
        <w:spacing w:after="0" w:line="213" w:lineRule="auto"/>
        <w:tabs>
          <w:tab w:leader="none" w:pos="204" w:val="left"/>
        </w:tabs>
        <w:numPr>
          <w:ilvl w:val="0"/>
          <w:numId w:val="11"/>
        </w:numPr>
        <w:rPr>
          <w:rFonts w:ascii="Arial" w:cs="Arial" w:eastAsia="Arial" w:hAnsi="Arial"/>
          <w:sz w:val="14"/>
          <w:szCs w:val="14"/>
          <w:color w:val="auto"/>
          <w:vertAlign w:val="superscript"/>
        </w:rPr>
      </w:pPr>
      <w:r>
        <w:rPr>
          <w:rFonts w:ascii="Arial" w:cs="Arial" w:eastAsia="Arial" w:hAnsi="Arial"/>
          <w:sz w:val="11"/>
          <w:szCs w:val="11"/>
          <w:color w:val="auto"/>
        </w:rPr>
        <w:t>Includes aircraft owned and leased by American as well as aircraft operated by third-party regional carriers under capacity purchase agreements. Excludes three Embraer 145 regional aircraft that are in temporary storage at June 30, 2021.</w:t>
      </w:r>
    </w:p>
    <w:p>
      <w:pPr>
        <w:spacing w:after="0" w:line="1" w:lineRule="exact"/>
        <w:rPr>
          <w:rFonts w:ascii="Arial" w:cs="Arial" w:eastAsia="Arial" w:hAnsi="Arial"/>
          <w:sz w:val="14"/>
          <w:szCs w:val="14"/>
          <w:color w:val="auto"/>
          <w:vertAlign w:val="superscript"/>
        </w:rPr>
      </w:pPr>
    </w:p>
    <w:p>
      <w:pPr>
        <w:ind w:left="208" w:hanging="208"/>
        <w:spacing w:after="0"/>
        <w:tabs>
          <w:tab w:leader="none" w:pos="208" w:val="left"/>
        </w:tabs>
        <w:numPr>
          <w:ilvl w:val="0"/>
          <w:numId w:val="11"/>
        </w:numPr>
        <w:rPr>
          <w:rFonts w:ascii="Arial" w:cs="Arial" w:eastAsia="Arial" w:hAnsi="Arial"/>
          <w:sz w:val="14"/>
          <w:szCs w:val="14"/>
          <w:color w:val="auto"/>
          <w:vertAlign w:val="superscript"/>
        </w:rPr>
      </w:pPr>
      <w:r>
        <w:rPr>
          <w:rFonts w:ascii="Arial" w:cs="Arial" w:eastAsia="Arial" w:hAnsi="Arial"/>
          <w:sz w:val="11"/>
          <w:szCs w:val="11"/>
          <w:color w:val="auto"/>
        </w:rPr>
        <w:t>Regional full-time equivalent employees only include our wholly-owned regional airline subsidiaries.</w:t>
      </w:r>
    </w:p>
    <w:p>
      <w:pPr>
        <w:sectPr>
          <w:pgSz w:w="11900" w:h="16838" w:orient="portrait"/>
          <w:cols w:equalWidth="0" w:num="1">
            <w:col w:w="11308"/>
          </w:cols>
          <w:pgMar w:left="292" w:top="126" w:right="299" w:bottom="1440" w:gutter="0" w:footer="0" w:header="0"/>
        </w:sectPr>
      </w:pPr>
    </w:p>
    <w:bookmarkStart w:id="11" w:name="page12"/>
    <w:bookmarkEnd w:id="11"/>
    <w:p>
      <w:pPr>
        <w:ind w:left="8"/>
        <w:spacing w:after="0"/>
        <w:rPr>
          <w:sz w:val="20"/>
          <w:szCs w:val="20"/>
          <w:color w:val="auto"/>
        </w:rPr>
      </w:pPr>
      <w:r>
        <w:rPr>
          <w:rFonts w:ascii="Arial" w:cs="Arial" w:eastAsia="Arial" w:hAnsi="Arial"/>
          <w:sz w:val="12"/>
          <w:szCs w:val="12"/>
          <w:b w:val="1"/>
          <w:bCs w:val="1"/>
          <w:color w:val="auto"/>
        </w:rPr>
        <w:t>American Airlines Reports Second-Quarter 2021 Financial Results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July 22, 2021</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8</w:t>
      </w:r>
    </w:p>
    <w:p>
      <w:pPr>
        <w:spacing w:after="0" w:line="212"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American Airlines Group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Consolidated Revenue Statistics by Region</w:t>
      </w:r>
    </w:p>
    <w:p>
      <w:pPr>
        <w:jc w:val="center"/>
        <w:ind w:right="-7"/>
        <w:spacing w:after="0"/>
        <w:rPr>
          <w:sz w:val="20"/>
          <w:szCs w:val="20"/>
          <w:color w:val="auto"/>
        </w:rPr>
      </w:pPr>
      <w:r>
        <w:rPr>
          <w:rFonts w:ascii="Arial" w:cs="Arial" w:eastAsia="Arial" w:hAnsi="Arial"/>
          <w:sz w:val="11"/>
          <w:szCs w:val="11"/>
          <w:b w:val="1"/>
          <w:bCs w:val="1"/>
          <w:color w:val="auto"/>
        </w:rPr>
        <w:t>(Unaudited)</w:t>
      </w:r>
    </w:p>
    <w:p>
      <w:pPr>
        <w:spacing w:after="0" w:line="71"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440" w:type="dxa"/>
            <w:vAlign w:val="bottom"/>
            <w:gridSpan w:val="3"/>
          </w:tcPr>
          <w:p>
            <w:pPr>
              <w:jc w:val="center"/>
              <w:ind w:left="566"/>
              <w:spacing w:after="0"/>
              <w:rPr>
                <w:sz w:val="20"/>
                <w:szCs w:val="20"/>
                <w:color w:val="auto"/>
              </w:rPr>
            </w:pPr>
            <w:r>
              <w:rPr>
                <w:rFonts w:ascii="Arial" w:cs="Arial" w:eastAsia="Arial" w:hAnsi="Arial"/>
                <w:sz w:val="11"/>
                <w:szCs w:val="11"/>
                <w:color w:val="auto"/>
                <w:w w:val="97"/>
              </w:rPr>
              <w:t>3 Months Ended</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3"/>
          </w:tcPr>
          <w:p>
            <w:pPr>
              <w:jc w:val="center"/>
              <w:ind w:left="586"/>
              <w:spacing w:after="0"/>
              <w:rPr>
                <w:sz w:val="20"/>
                <w:szCs w:val="20"/>
                <w:color w:val="auto"/>
              </w:rPr>
            </w:pPr>
            <w:r>
              <w:rPr>
                <w:rFonts w:ascii="Arial" w:cs="Arial" w:eastAsia="Arial" w:hAnsi="Arial"/>
                <w:sz w:val="11"/>
                <w:szCs w:val="11"/>
                <w:color w:val="auto"/>
                <w:w w:val="97"/>
              </w:rPr>
              <w:t>6 Months Ended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35"/>
        </w:trPr>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440" w:type="dxa"/>
            <w:vAlign w:val="bottom"/>
            <w:gridSpan w:val="3"/>
          </w:tcPr>
          <w:p>
            <w:pPr>
              <w:jc w:val="center"/>
              <w:ind w:left="566"/>
              <w:spacing w:after="0"/>
              <w:rPr>
                <w:sz w:val="20"/>
                <w:szCs w:val="20"/>
                <w:color w:val="auto"/>
              </w:rPr>
            </w:pPr>
            <w:r>
              <w:rPr>
                <w:rFonts w:ascii="Arial" w:cs="Arial" w:eastAsia="Arial" w:hAnsi="Arial"/>
                <w:sz w:val="11"/>
                <w:szCs w:val="11"/>
                <w:color w:val="auto"/>
                <w:w w:val="99"/>
              </w:rPr>
              <w:t>June 30,</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color w:val="auto"/>
                <w:w w:val="99"/>
              </w:rPr>
              <w:t>Increase</w:t>
            </w:r>
          </w:p>
        </w:tc>
        <w:tc>
          <w:tcPr>
            <w:tcW w:w="1460" w:type="dxa"/>
            <w:vAlign w:val="bottom"/>
            <w:gridSpan w:val="3"/>
          </w:tcPr>
          <w:p>
            <w:pPr>
              <w:jc w:val="center"/>
              <w:ind w:left="586"/>
              <w:spacing w:after="0"/>
              <w:rPr>
                <w:sz w:val="20"/>
                <w:szCs w:val="20"/>
                <w:color w:val="auto"/>
              </w:rPr>
            </w:pPr>
            <w:r>
              <w:rPr>
                <w:rFonts w:ascii="Arial" w:cs="Arial" w:eastAsia="Arial" w:hAnsi="Arial"/>
                <w:sz w:val="11"/>
                <w:szCs w:val="11"/>
                <w:color w:val="auto"/>
                <w:w w:val="99"/>
              </w:rPr>
              <w:t>June 30,</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ind w:right="306"/>
              <w:spacing w:after="0"/>
              <w:rPr>
                <w:sz w:val="20"/>
                <w:szCs w:val="20"/>
                <w:color w:val="auto"/>
              </w:rPr>
            </w:pPr>
            <w:r>
              <w:rPr>
                <w:rFonts w:ascii="Arial" w:cs="Arial" w:eastAsia="Arial" w:hAnsi="Arial"/>
                <w:sz w:val="11"/>
                <w:szCs w:val="11"/>
                <w:color w:val="auto"/>
              </w:rPr>
              <w:t>Increase</w:t>
            </w:r>
          </w:p>
        </w:tc>
      </w:tr>
      <w:tr>
        <w:trPr>
          <w:trHeight w:val="141"/>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980" w:type="dxa"/>
            <w:vAlign w:val="bottom"/>
          </w:tcPr>
          <w:p>
            <w:pPr>
              <w:jc w:val="right"/>
              <w:ind w:right="326"/>
              <w:spacing w:after="0"/>
              <w:rPr>
                <w:sz w:val="20"/>
                <w:szCs w:val="20"/>
                <w:color w:val="auto"/>
              </w:rPr>
            </w:pPr>
            <w:r>
              <w:rPr>
                <w:rFonts w:ascii="Arial" w:cs="Arial" w:eastAsia="Arial" w:hAnsi="Arial"/>
                <w:sz w:val="11"/>
                <w:szCs w:val="11"/>
                <w:color w:val="auto"/>
              </w:rPr>
              <w:t>2021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ind w:right="326"/>
              <w:spacing w:after="0"/>
              <w:rPr>
                <w:sz w:val="20"/>
                <w:szCs w:val="20"/>
                <w:color w:val="auto"/>
              </w:rPr>
            </w:pPr>
            <w:r>
              <w:rPr>
                <w:rFonts w:ascii="Arial" w:cs="Arial" w:eastAsia="Arial" w:hAnsi="Arial"/>
                <w:sz w:val="11"/>
                <w:szCs w:val="11"/>
                <w:color w:val="auto"/>
                <w:w w:val="89"/>
              </w:rPr>
              <w:t>2020</w:t>
            </w: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color w:val="auto"/>
                <w:w w:val="99"/>
              </w:rPr>
              <w:t>(Decrease)</w:t>
            </w:r>
          </w:p>
        </w:tc>
        <w:tc>
          <w:tcPr>
            <w:tcW w:w="1000" w:type="dxa"/>
            <w:vAlign w:val="bottom"/>
          </w:tcPr>
          <w:p>
            <w:pPr>
              <w:jc w:val="right"/>
              <w:ind w:right="326"/>
              <w:spacing w:after="0"/>
              <w:rPr>
                <w:sz w:val="20"/>
                <w:szCs w:val="20"/>
                <w:color w:val="auto"/>
              </w:rPr>
            </w:pPr>
            <w:r>
              <w:rPr>
                <w:rFonts w:ascii="Arial" w:cs="Arial" w:eastAsia="Arial" w:hAnsi="Arial"/>
                <w:sz w:val="11"/>
                <w:szCs w:val="11"/>
                <w:color w:val="auto"/>
              </w:rPr>
              <w:t>2021</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ind w:right="326"/>
              <w:spacing w:after="0"/>
              <w:rPr>
                <w:sz w:val="20"/>
                <w:szCs w:val="20"/>
                <w:color w:val="auto"/>
              </w:rPr>
            </w:pPr>
            <w:r>
              <w:rPr>
                <w:rFonts w:ascii="Arial" w:cs="Arial" w:eastAsia="Arial" w:hAnsi="Arial"/>
                <w:sz w:val="11"/>
                <w:szCs w:val="11"/>
                <w:color w:val="auto"/>
                <w:w w:val="89"/>
              </w:rPr>
              <w:t>2020</w:t>
            </w:r>
          </w:p>
        </w:tc>
        <w:tc>
          <w:tcPr>
            <w:tcW w:w="80" w:type="dxa"/>
            <w:vAlign w:val="bottom"/>
          </w:tcPr>
          <w:p>
            <w:pPr>
              <w:spacing w:after="0"/>
              <w:rPr>
                <w:sz w:val="12"/>
                <w:szCs w:val="12"/>
                <w:color w:val="auto"/>
              </w:rPr>
            </w:pPr>
          </w:p>
        </w:tc>
        <w:tc>
          <w:tcPr>
            <w:tcW w:w="1120" w:type="dxa"/>
            <w:vAlign w:val="bottom"/>
          </w:tcPr>
          <w:p>
            <w:pPr>
              <w:jc w:val="right"/>
              <w:ind w:right="246"/>
              <w:spacing w:after="0"/>
              <w:rPr>
                <w:sz w:val="20"/>
                <w:szCs w:val="20"/>
                <w:color w:val="auto"/>
              </w:rPr>
            </w:pPr>
            <w:r>
              <w:rPr>
                <w:rFonts w:ascii="Arial" w:cs="Arial" w:eastAsia="Arial" w:hAnsi="Arial"/>
                <w:sz w:val="11"/>
                <w:szCs w:val="11"/>
                <w:color w:val="auto"/>
              </w:rPr>
              <w:t>(Decrease)</w:t>
            </w:r>
          </w:p>
        </w:tc>
      </w:tr>
      <w:tr>
        <w:trPr>
          <w:trHeight w:val="99"/>
        </w:trPr>
        <w:tc>
          <w:tcPr>
            <w:tcW w:w="4680" w:type="dxa"/>
            <w:vAlign w:val="bottom"/>
            <w:tcBorders>
              <w:top w:val="single" w:sz="8" w:color="CCEEFF"/>
            </w:tcBorders>
            <w:gridSpan w:val="6"/>
            <w:shd w:val="clear" w:color="auto" w:fill="CCEEFF"/>
          </w:tcPr>
          <w:p>
            <w:pPr>
              <w:spacing w:after="0" w:line="99" w:lineRule="exact"/>
              <w:rPr>
                <w:sz w:val="20"/>
                <w:szCs w:val="20"/>
                <w:color w:val="auto"/>
              </w:rPr>
            </w:pPr>
            <w:r>
              <w:rPr>
                <w:rFonts w:ascii="Arial" w:cs="Arial" w:eastAsia="Arial" w:hAnsi="Arial"/>
                <w:sz w:val="9"/>
                <w:szCs w:val="9"/>
                <w:b w:val="1"/>
                <w:bCs w:val="1"/>
                <w:color w:val="auto"/>
              </w:rPr>
              <w:t xml:space="preserve">Domestic </w:t>
            </w:r>
            <w:r>
              <w:rPr>
                <w:rFonts w:ascii="Arial" w:cs="Arial" w:eastAsia="Arial" w:hAnsi="Arial"/>
                <w:sz w:val="11"/>
                <w:szCs w:val="11"/>
                <w:b w:val="1"/>
                <w:bCs w:val="1"/>
                <w:color w:val="auto"/>
                <w:vertAlign w:val="superscript"/>
              </w:rPr>
              <w:t>(1)</w:t>
            </w:r>
          </w:p>
        </w:tc>
        <w:tc>
          <w:tcPr>
            <w:tcW w:w="9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120" w:type="dxa"/>
            <w:vAlign w:val="bottom"/>
            <w:tcBorders>
              <w:top w:val="single" w:sz="8" w:color="auto"/>
            </w:tcBorders>
            <w:shd w:val="clear" w:color="auto" w:fill="CCEEFF"/>
          </w:tcPr>
          <w:p>
            <w:pPr>
              <w:spacing w:after="0"/>
              <w:rPr>
                <w:sz w:val="8"/>
                <w:szCs w:val="8"/>
                <w:color w:val="auto"/>
              </w:rPr>
            </w:pPr>
          </w:p>
        </w:tc>
      </w:tr>
      <w:tr>
        <w:trPr>
          <w:trHeight w:val="27"/>
        </w:trPr>
        <w:tc>
          <w:tcPr>
            <w:tcW w:w="3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r>
        <w:trPr>
          <w:trHeight w:val="142"/>
        </w:trPr>
        <w:tc>
          <w:tcPr>
            <w:tcW w:w="4680" w:type="dxa"/>
            <w:vAlign w:val="bottom"/>
            <w:gridSpan w:val="6"/>
          </w:tcPr>
          <w:p>
            <w:pPr>
              <w:spacing w:after="0"/>
              <w:rPr>
                <w:sz w:val="20"/>
                <w:szCs w:val="20"/>
                <w:color w:val="auto"/>
              </w:rPr>
            </w:pPr>
            <w:r>
              <w:rPr>
                <w:rFonts w:ascii="Arial" w:cs="Arial" w:eastAsia="Arial" w:hAnsi="Arial"/>
                <w:sz w:val="11"/>
                <w:szCs w:val="11"/>
                <w:color w:val="auto"/>
              </w:rPr>
              <w:t>Revenue passenger miles (millions)</w:t>
            </w:r>
          </w:p>
        </w:tc>
        <w:tc>
          <w:tcPr>
            <w:tcW w:w="980" w:type="dxa"/>
            <w:vAlign w:val="bottom"/>
          </w:tcPr>
          <w:p>
            <w:pPr>
              <w:jc w:val="right"/>
              <w:spacing w:after="0"/>
              <w:rPr>
                <w:sz w:val="20"/>
                <w:szCs w:val="20"/>
                <w:color w:val="auto"/>
              </w:rPr>
            </w:pPr>
            <w:r>
              <w:rPr>
                <w:rFonts w:ascii="Arial" w:cs="Arial" w:eastAsia="Arial" w:hAnsi="Arial"/>
                <w:sz w:val="11"/>
                <w:szCs w:val="11"/>
                <w:color w:val="auto"/>
              </w:rPr>
              <w:t>34,871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6,804</w:t>
            </w:r>
          </w:p>
        </w:tc>
        <w:tc>
          <w:tcPr>
            <w:tcW w:w="10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1"/>
                <w:szCs w:val="11"/>
                <w:color w:val="auto"/>
              </w:rPr>
              <w:t>nm %</w:t>
            </w:r>
          </w:p>
        </w:tc>
        <w:tc>
          <w:tcPr>
            <w:tcW w:w="1000" w:type="dxa"/>
            <w:vAlign w:val="bottom"/>
          </w:tcPr>
          <w:p>
            <w:pPr>
              <w:jc w:val="right"/>
              <w:spacing w:after="0"/>
              <w:rPr>
                <w:sz w:val="20"/>
                <w:szCs w:val="20"/>
                <w:color w:val="auto"/>
              </w:rPr>
            </w:pPr>
            <w:r>
              <w:rPr>
                <w:rFonts w:ascii="Arial" w:cs="Arial" w:eastAsia="Arial" w:hAnsi="Arial"/>
                <w:sz w:val="11"/>
                <w:szCs w:val="11"/>
                <w:color w:val="auto"/>
              </w:rPr>
              <w:t>53,408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38,661</w:t>
            </w:r>
          </w:p>
        </w:tc>
        <w:tc>
          <w:tcPr>
            <w:tcW w:w="1200" w:type="dxa"/>
            <w:vAlign w:val="bottom"/>
            <w:gridSpan w:val="2"/>
          </w:tcPr>
          <w:p>
            <w:pPr>
              <w:jc w:val="right"/>
              <w:spacing w:after="0"/>
              <w:rPr>
                <w:sz w:val="20"/>
                <w:szCs w:val="20"/>
                <w:color w:val="auto"/>
              </w:rPr>
            </w:pPr>
            <w:r>
              <w:rPr>
                <w:rFonts w:ascii="Arial" w:cs="Arial" w:eastAsia="Arial" w:hAnsi="Arial"/>
                <w:sz w:val="11"/>
                <w:szCs w:val="11"/>
                <w:color w:val="auto"/>
              </w:rPr>
              <w:t>38.1 %</w:t>
            </w:r>
          </w:p>
        </w:tc>
      </w:tr>
      <w:tr>
        <w:trPr>
          <w:trHeight w:val="146"/>
        </w:trPr>
        <w:tc>
          <w:tcPr>
            <w:tcW w:w="4680" w:type="dxa"/>
            <w:vAlign w:val="bottom"/>
            <w:gridSpan w:val="6"/>
            <w:shd w:val="clear" w:color="auto" w:fill="CCEEFF"/>
          </w:tcPr>
          <w:p>
            <w:pPr>
              <w:spacing w:after="0"/>
              <w:rPr>
                <w:sz w:val="20"/>
                <w:szCs w:val="20"/>
                <w:color w:val="auto"/>
              </w:rPr>
            </w:pPr>
            <w:r>
              <w:rPr>
                <w:rFonts w:ascii="Arial" w:cs="Arial" w:eastAsia="Arial" w:hAnsi="Arial"/>
                <w:sz w:val="11"/>
                <w:szCs w:val="11"/>
                <w:color w:val="auto"/>
              </w:rPr>
              <w:t>Available seat miles (ASM) (millions)</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41,037</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15,434</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nm %</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68,989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59,672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15.6 %</w:t>
            </w:r>
          </w:p>
        </w:tc>
      </w:tr>
      <w:tr>
        <w:trPr>
          <w:trHeight w:val="142"/>
        </w:trPr>
        <w:tc>
          <w:tcPr>
            <w:tcW w:w="4680" w:type="dxa"/>
            <w:vAlign w:val="bottom"/>
            <w:gridSpan w:val="6"/>
          </w:tcPr>
          <w:p>
            <w:pPr>
              <w:spacing w:after="0"/>
              <w:rPr>
                <w:sz w:val="20"/>
                <w:szCs w:val="20"/>
                <w:color w:val="auto"/>
              </w:rPr>
            </w:pPr>
            <w:r>
              <w:rPr>
                <w:rFonts w:ascii="Arial" w:cs="Arial" w:eastAsia="Arial" w:hAnsi="Arial"/>
                <w:sz w:val="11"/>
                <w:szCs w:val="11"/>
                <w:color w:val="auto"/>
              </w:rPr>
              <w:t>Passenger load factor (percent)</w:t>
            </w:r>
          </w:p>
        </w:tc>
        <w:tc>
          <w:tcPr>
            <w:tcW w:w="980" w:type="dxa"/>
            <w:vAlign w:val="bottom"/>
          </w:tcPr>
          <w:p>
            <w:pPr>
              <w:jc w:val="right"/>
              <w:spacing w:after="0"/>
              <w:rPr>
                <w:sz w:val="20"/>
                <w:szCs w:val="20"/>
                <w:color w:val="auto"/>
              </w:rPr>
            </w:pPr>
            <w:r>
              <w:rPr>
                <w:rFonts w:ascii="Arial" w:cs="Arial" w:eastAsia="Arial" w:hAnsi="Arial"/>
                <w:sz w:val="11"/>
                <w:szCs w:val="11"/>
                <w:color w:val="auto"/>
              </w:rPr>
              <w:t>85.0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44.1</w:t>
            </w:r>
          </w:p>
        </w:tc>
        <w:tc>
          <w:tcPr>
            <w:tcW w:w="10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1"/>
                <w:szCs w:val="11"/>
                <w:color w:val="auto"/>
              </w:rPr>
              <w:t>40.9 pts</w:t>
            </w:r>
          </w:p>
        </w:tc>
        <w:tc>
          <w:tcPr>
            <w:tcW w:w="1000" w:type="dxa"/>
            <w:vAlign w:val="bottom"/>
          </w:tcPr>
          <w:p>
            <w:pPr>
              <w:jc w:val="right"/>
              <w:spacing w:after="0"/>
              <w:rPr>
                <w:sz w:val="20"/>
                <w:szCs w:val="20"/>
                <w:color w:val="auto"/>
              </w:rPr>
            </w:pPr>
            <w:r>
              <w:rPr>
                <w:rFonts w:ascii="Arial" w:cs="Arial" w:eastAsia="Arial" w:hAnsi="Arial"/>
                <w:sz w:val="11"/>
                <w:szCs w:val="11"/>
                <w:color w:val="auto"/>
              </w:rPr>
              <w:t>77.4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64.8</w:t>
            </w:r>
          </w:p>
        </w:tc>
        <w:tc>
          <w:tcPr>
            <w:tcW w:w="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12.6 pts</w:t>
            </w:r>
          </w:p>
        </w:tc>
      </w:tr>
      <w:tr>
        <w:trPr>
          <w:trHeight w:val="146"/>
        </w:trPr>
        <w:tc>
          <w:tcPr>
            <w:tcW w:w="4680" w:type="dxa"/>
            <w:vAlign w:val="bottom"/>
            <w:gridSpan w:val="6"/>
            <w:shd w:val="clear" w:color="auto" w:fill="CCEEFF"/>
          </w:tcPr>
          <w:p>
            <w:pPr>
              <w:spacing w:after="0"/>
              <w:rPr>
                <w:sz w:val="20"/>
                <w:szCs w:val="20"/>
                <w:color w:val="auto"/>
              </w:rPr>
            </w:pPr>
            <w:r>
              <w:rPr>
                <w:rFonts w:ascii="Arial" w:cs="Arial" w:eastAsia="Arial" w:hAnsi="Arial"/>
                <w:sz w:val="11"/>
                <w:szCs w:val="11"/>
                <w:color w:val="auto"/>
              </w:rPr>
              <w:t>Passenger revenue (dollars in millions)</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5,444</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1,027</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nm %</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8,099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6,806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19.0 %</w:t>
            </w:r>
          </w:p>
        </w:tc>
      </w:tr>
      <w:tr>
        <w:trPr>
          <w:trHeight w:val="142"/>
        </w:trPr>
        <w:tc>
          <w:tcPr>
            <w:tcW w:w="4680" w:type="dxa"/>
            <w:vAlign w:val="bottom"/>
            <w:gridSpan w:val="6"/>
          </w:tcPr>
          <w:p>
            <w:pPr>
              <w:spacing w:after="0"/>
              <w:rPr>
                <w:sz w:val="20"/>
                <w:szCs w:val="20"/>
                <w:color w:val="auto"/>
              </w:rPr>
            </w:pPr>
            <w:r>
              <w:rPr>
                <w:rFonts w:ascii="Arial" w:cs="Arial" w:eastAsia="Arial" w:hAnsi="Arial"/>
                <w:sz w:val="11"/>
                <w:szCs w:val="11"/>
                <w:color w:val="auto"/>
              </w:rPr>
              <w:t>Yield (cents)</w:t>
            </w:r>
          </w:p>
        </w:tc>
        <w:tc>
          <w:tcPr>
            <w:tcW w:w="980" w:type="dxa"/>
            <w:vAlign w:val="bottom"/>
          </w:tcPr>
          <w:p>
            <w:pPr>
              <w:jc w:val="right"/>
              <w:spacing w:after="0"/>
              <w:rPr>
                <w:sz w:val="20"/>
                <w:szCs w:val="20"/>
                <w:color w:val="auto"/>
              </w:rPr>
            </w:pPr>
            <w:r>
              <w:rPr>
                <w:rFonts w:ascii="Arial" w:cs="Arial" w:eastAsia="Arial" w:hAnsi="Arial"/>
                <w:sz w:val="11"/>
                <w:szCs w:val="11"/>
                <w:color w:val="auto"/>
              </w:rPr>
              <w:t>15.61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15.09</w:t>
            </w:r>
          </w:p>
        </w:tc>
        <w:tc>
          <w:tcPr>
            <w:tcW w:w="1200" w:type="dxa"/>
            <w:vAlign w:val="bottom"/>
            <w:gridSpan w:val="2"/>
          </w:tcPr>
          <w:p>
            <w:pPr>
              <w:jc w:val="right"/>
              <w:spacing w:after="0"/>
              <w:rPr>
                <w:sz w:val="20"/>
                <w:szCs w:val="20"/>
                <w:color w:val="auto"/>
              </w:rPr>
            </w:pPr>
            <w:r>
              <w:rPr>
                <w:rFonts w:ascii="Arial" w:cs="Arial" w:eastAsia="Arial" w:hAnsi="Arial"/>
                <w:sz w:val="11"/>
                <w:szCs w:val="11"/>
                <w:color w:val="auto"/>
              </w:rPr>
              <w:t>3.5 %</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15.16</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17.60</w:t>
            </w:r>
          </w:p>
        </w:tc>
        <w:tc>
          <w:tcPr>
            <w:tcW w:w="1200" w:type="dxa"/>
            <w:vAlign w:val="bottom"/>
            <w:gridSpan w:val="2"/>
          </w:tcPr>
          <w:p>
            <w:pPr>
              <w:jc w:val="right"/>
              <w:spacing w:after="0"/>
              <w:rPr>
                <w:sz w:val="20"/>
                <w:szCs w:val="20"/>
                <w:color w:val="auto"/>
              </w:rPr>
            </w:pPr>
            <w:r>
              <w:rPr>
                <w:rFonts w:ascii="Arial" w:cs="Arial" w:eastAsia="Arial" w:hAnsi="Arial"/>
                <w:sz w:val="11"/>
                <w:szCs w:val="11"/>
                <w:color w:val="auto"/>
              </w:rPr>
              <w:t>(13.9) %</w:t>
            </w:r>
          </w:p>
        </w:tc>
      </w:tr>
      <w:tr>
        <w:trPr>
          <w:trHeight w:val="146"/>
        </w:trPr>
        <w:tc>
          <w:tcPr>
            <w:tcW w:w="4680" w:type="dxa"/>
            <w:vAlign w:val="bottom"/>
            <w:gridSpan w:val="6"/>
            <w:shd w:val="clear" w:color="auto" w:fill="CCEEFF"/>
          </w:tcPr>
          <w:p>
            <w:pPr>
              <w:spacing w:after="0"/>
              <w:rPr>
                <w:sz w:val="20"/>
                <w:szCs w:val="20"/>
                <w:color w:val="auto"/>
              </w:rPr>
            </w:pPr>
            <w:r>
              <w:rPr>
                <w:rFonts w:ascii="Arial" w:cs="Arial" w:eastAsia="Arial" w:hAnsi="Arial"/>
                <w:sz w:val="11"/>
                <w:szCs w:val="11"/>
                <w:color w:val="auto"/>
              </w:rPr>
              <w:t>Passenger revenue per ASM (cents)</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13.27</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99.5 %</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11.74</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2.9 %</w:t>
            </w:r>
          </w:p>
        </w:tc>
      </w:tr>
      <w:tr>
        <w:trPr>
          <w:trHeight w:val="144"/>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17"/>
        </w:trPr>
        <w:tc>
          <w:tcPr>
            <w:tcW w:w="4680" w:type="dxa"/>
            <w:vAlign w:val="bottom"/>
            <w:gridSpan w:val="6"/>
            <w:shd w:val="clear" w:color="auto" w:fill="CCEEFF"/>
          </w:tcPr>
          <w:p>
            <w:pPr>
              <w:spacing w:after="0" w:line="117" w:lineRule="exact"/>
              <w:rPr>
                <w:sz w:val="20"/>
                <w:szCs w:val="20"/>
                <w:color w:val="auto"/>
              </w:rPr>
            </w:pPr>
            <w:r>
              <w:rPr>
                <w:rFonts w:ascii="Arial" w:cs="Arial" w:eastAsia="Arial" w:hAnsi="Arial"/>
                <w:sz w:val="10"/>
                <w:szCs w:val="10"/>
                <w:b w:val="1"/>
                <w:bCs w:val="1"/>
                <w:color w:val="auto"/>
              </w:rPr>
              <w:t xml:space="preserve">Latin America </w:t>
            </w:r>
            <w:r>
              <w:rPr>
                <w:rFonts w:ascii="Arial" w:cs="Arial" w:eastAsia="Arial" w:hAnsi="Arial"/>
                <w:sz w:val="13"/>
                <w:szCs w:val="13"/>
                <w:b w:val="1"/>
                <w:bCs w:val="1"/>
                <w:color w:val="auto"/>
                <w:vertAlign w:val="superscript"/>
              </w:rPr>
              <w:t>(2)</w:t>
            </w: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27"/>
        </w:trPr>
        <w:tc>
          <w:tcPr>
            <w:tcW w:w="3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r>
        <w:trPr>
          <w:trHeight w:val="142"/>
        </w:trPr>
        <w:tc>
          <w:tcPr>
            <w:tcW w:w="4680" w:type="dxa"/>
            <w:vAlign w:val="bottom"/>
            <w:gridSpan w:val="6"/>
          </w:tcPr>
          <w:p>
            <w:pPr>
              <w:spacing w:after="0"/>
              <w:rPr>
                <w:sz w:val="20"/>
                <w:szCs w:val="20"/>
                <w:color w:val="auto"/>
              </w:rPr>
            </w:pPr>
            <w:r>
              <w:rPr>
                <w:rFonts w:ascii="Arial" w:cs="Arial" w:eastAsia="Arial" w:hAnsi="Arial"/>
                <w:sz w:val="11"/>
                <w:szCs w:val="11"/>
                <w:color w:val="auto"/>
              </w:rPr>
              <w:t>Revenue passenger miles (millions)</w:t>
            </w:r>
          </w:p>
        </w:tc>
        <w:tc>
          <w:tcPr>
            <w:tcW w:w="980" w:type="dxa"/>
            <w:vAlign w:val="bottom"/>
          </w:tcPr>
          <w:p>
            <w:pPr>
              <w:jc w:val="right"/>
              <w:spacing w:after="0"/>
              <w:rPr>
                <w:sz w:val="20"/>
                <w:szCs w:val="20"/>
                <w:color w:val="auto"/>
              </w:rPr>
            </w:pPr>
            <w:r>
              <w:rPr>
                <w:rFonts w:ascii="Arial" w:cs="Arial" w:eastAsia="Arial" w:hAnsi="Arial"/>
                <w:sz w:val="11"/>
                <w:szCs w:val="11"/>
                <w:color w:val="auto"/>
              </w:rPr>
              <w:t>5,970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200</w:t>
            </w:r>
          </w:p>
        </w:tc>
        <w:tc>
          <w:tcPr>
            <w:tcW w:w="10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1"/>
                <w:szCs w:val="11"/>
                <w:color w:val="auto"/>
              </w:rPr>
              <w:t>nm %</w:t>
            </w:r>
          </w:p>
        </w:tc>
        <w:tc>
          <w:tcPr>
            <w:tcW w:w="1000" w:type="dxa"/>
            <w:vAlign w:val="bottom"/>
          </w:tcPr>
          <w:p>
            <w:pPr>
              <w:jc w:val="right"/>
              <w:spacing w:after="0"/>
              <w:rPr>
                <w:sz w:val="20"/>
                <w:szCs w:val="20"/>
                <w:color w:val="auto"/>
              </w:rPr>
            </w:pPr>
            <w:r>
              <w:rPr>
                <w:rFonts w:ascii="Arial" w:cs="Arial" w:eastAsia="Arial" w:hAnsi="Arial"/>
                <w:sz w:val="11"/>
                <w:szCs w:val="11"/>
                <w:color w:val="auto"/>
              </w:rPr>
              <w:t>9,546</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7,316</w:t>
            </w:r>
          </w:p>
        </w:tc>
        <w:tc>
          <w:tcPr>
            <w:tcW w:w="1200" w:type="dxa"/>
            <w:vAlign w:val="bottom"/>
            <w:gridSpan w:val="2"/>
          </w:tcPr>
          <w:p>
            <w:pPr>
              <w:jc w:val="right"/>
              <w:spacing w:after="0"/>
              <w:rPr>
                <w:sz w:val="20"/>
                <w:szCs w:val="20"/>
                <w:color w:val="auto"/>
              </w:rPr>
            </w:pPr>
            <w:r>
              <w:rPr>
                <w:rFonts w:ascii="Arial" w:cs="Arial" w:eastAsia="Arial" w:hAnsi="Arial"/>
                <w:sz w:val="11"/>
                <w:szCs w:val="11"/>
                <w:color w:val="auto"/>
              </w:rPr>
              <w:t>30.5 %</w:t>
            </w:r>
          </w:p>
        </w:tc>
      </w:tr>
      <w:tr>
        <w:trPr>
          <w:trHeight w:val="146"/>
        </w:trPr>
        <w:tc>
          <w:tcPr>
            <w:tcW w:w="4680" w:type="dxa"/>
            <w:vAlign w:val="bottom"/>
            <w:gridSpan w:val="6"/>
            <w:shd w:val="clear" w:color="auto" w:fill="CCEEFF"/>
          </w:tcPr>
          <w:p>
            <w:pPr>
              <w:spacing w:after="0"/>
              <w:rPr>
                <w:sz w:val="20"/>
                <w:szCs w:val="20"/>
                <w:color w:val="auto"/>
              </w:rPr>
            </w:pPr>
            <w:r>
              <w:rPr>
                <w:rFonts w:ascii="Arial" w:cs="Arial" w:eastAsia="Arial" w:hAnsi="Arial"/>
                <w:sz w:val="11"/>
                <w:szCs w:val="11"/>
                <w:color w:val="auto"/>
              </w:rPr>
              <w:t>Available seat miles (millions)</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8,461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700</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nm %</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16,326</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9,768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67.1 %</w:t>
            </w:r>
          </w:p>
        </w:tc>
      </w:tr>
      <w:tr>
        <w:trPr>
          <w:trHeight w:val="142"/>
        </w:trPr>
        <w:tc>
          <w:tcPr>
            <w:tcW w:w="4680" w:type="dxa"/>
            <w:vAlign w:val="bottom"/>
            <w:gridSpan w:val="6"/>
          </w:tcPr>
          <w:p>
            <w:pPr>
              <w:spacing w:after="0"/>
              <w:rPr>
                <w:sz w:val="20"/>
                <w:szCs w:val="20"/>
                <w:color w:val="auto"/>
              </w:rPr>
            </w:pPr>
            <w:r>
              <w:rPr>
                <w:rFonts w:ascii="Arial" w:cs="Arial" w:eastAsia="Arial" w:hAnsi="Arial"/>
                <w:sz w:val="11"/>
                <w:szCs w:val="11"/>
                <w:color w:val="auto"/>
              </w:rPr>
              <w:t>Passenger load factor (percent)</w:t>
            </w:r>
          </w:p>
        </w:tc>
        <w:tc>
          <w:tcPr>
            <w:tcW w:w="980" w:type="dxa"/>
            <w:vAlign w:val="bottom"/>
          </w:tcPr>
          <w:p>
            <w:pPr>
              <w:jc w:val="right"/>
              <w:spacing w:after="0"/>
              <w:rPr>
                <w:sz w:val="20"/>
                <w:szCs w:val="20"/>
                <w:color w:val="auto"/>
              </w:rPr>
            </w:pPr>
            <w:r>
              <w:rPr>
                <w:rFonts w:ascii="Arial" w:cs="Arial" w:eastAsia="Arial" w:hAnsi="Arial"/>
                <w:sz w:val="11"/>
                <w:szCs w:val="11"/>
                <w:color w:val="auto"/>
              </w:rPr>
              <w:t>70.6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28.6</w:t>
            </w:r>
          </w:p>
        </w:tc>
        <w:tc>
          <w:tcPr>
            <w:tcW w:w="10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1"/>
                <w:szCs w:val="11"/>
                <w:color w:val="auto"/>
              </w:rPr>
              <w:t>42.0 pts</w:t>
            </w:r>
          </w:p>
        </w:tc>
        <w:tc>
          <w:tcPr>
            <w:tcW w:w="1000" w:type="dxa"/>
            <w:vAlign w:val="bottom"/>
          </w:tcPr>
          <w:p>
            <w:pPr>
              <w:jc w:val="right"/>
              <w:spacing w:after="0"/>
              <w:rPr>
                <w:sz w:val="20"/>
                <w:szCs w:val="20"/>
                <w:color w:val="auto"/>
              </w:rPr>
            </w:pPr>
            <w:r>
              <w:rPr>
                <w:rFonts w:ascii="Arial" w:cs="Arial" w:eastAsia="Arial" w:hAnsi="Arial"/>
                <w:sz w:val="11"/>
                <w:szCs w:val="11"/>
                <w:color w:val="auto"/>
              </w:rPr>
              <w:t>58.5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74.9</w:t>
            </w:r>
          </w:p>
        </w:tc>
        <w:tc>
          <w:tcPr>
            <w:tcW w:w="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(16.4) pts</w:t>
            </w:r>
          </w:p>
        </w:tc>
      </w:tr>
      <w:tr>
        <w:trPr>
          <w:trHeight w:val="146"/>
        </w:trPr>
        <w:tc>
          <w:tcPr>
            <w:tcW w:w="4680" w:type="dxa"/>
            <w:vAlign w:val="bottom"/>
            <w:gridSpan w:val="6"/>
            <w:shd w:val="clear" w:color="auto" w:fill="CCEEFF"/>
          </w:tcPr>
          <w:p>
            <w:pPr>
              <w:spacing w:after="0"/>
              <w:rPr>
                <w:sz w:val="20"/>
                <w:szCs w:val="20"/>
                <w:color w:val="auto"/>
              </w:rPr>
            </w:pPr>
            <w:r>
              <w:rPr>
                <w:rFonts w:ascii="Arial" w:cs="Arial" w:eastAsia="Arial" w:hAnsi="Arial"/>
                <w:sz w:val="11"/>
                <w:szCs w:val="11"/>
                <w:color w:val="auto"/>
              </w:rPr>
              <w:t>Passenger revenue (dollars in millions)</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936</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nm %</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1,417</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16.8 %</w:t>
            </w:r>
          </w:p>
        </w:tc>
      </w:tr>
      <w:tr>
        <w:trPr>
          <w:trHeight w:val="142"/>
        </w:trPr>
        <w:tc>
          <w:tcPr>
            <w:tcW w:w="4680" w:type="dxa"/>
            <w:vAlign w:val="bottom"/>
            <w:gridSpan w:val="6"/>
          </w:tcPr>
          <w:p>
            <w:pPr>
              <w:spacing w:after="0"/>
              <w:rPr>
                <w:sz w:val="20"/>
                <w:szCs w:val="20"/>
                <w:color w:val="auto"/>
              </w:rPr>
            </w:pPr>
            <w:r>
              <w:rPr>
                <w:rFonts w:ascii="Arial" w:cs="Arial" w:eastAsia="Arial" w:hAnsi="Arial"/>
                <w:sz w:val="11"/>
                <w:szCs w:val="11"/>
                <w:color w:val="auto"/>
              </w:rPr>
              <w:t>Yield (cents)</w:t>
            </w:r>
          </w:p>
        </w:tc>
        <w:tc>
          <w:tcPr>
            <w:tcW w:w="980" w:type="dxa"/>
            <w:vAlign w:val="bottom"/>
          </w:tcPr>
          <w:p>
            <w:pPr>
              <w:jc w:val="right"/>
              <w:spacing w:after="0"/>
              <w:rPr>
                <w:sz w:val="20"/>
                <w:szCs w:val="20"/>
                <w:color w:val="auto"/>
              </w:rPr>
            </w:pPr>
            <w:r>
              <w:rPr>
                <w:rFonts w:ascii="Arial" w:cs="Arial" w:eastAsia="Arial" w:hAnsi="Arial"/>
                <w:sz w:val="11"/>
                <w:szCs w:val="11"/>
                <w:color w:val="auto"/>
              </w:rPr>
              <w:t>15.68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17.07</w:t>
            </w:r>
          </w:p>
        </w:tc>
        <w:tc>
          <w:tcPr>
            <w:tcW w:w="1200" w:type="dxa"/>
            <w:vAlign w:val="bottom"/>
            <w:gridSpan w:val="2"/>
          </w:tcPr>
          <w:p>
            <w:pPr>
              <w:jc w:val="right"/>
              <w:spacing w:after="0"/>
              <w:rPr>
                <w:sz w:val="20"/>
                <w:szCs w:val="20"/>
                <w:color w:val="auto"/>
              </w:rPr>
            </w:pPr>
            <w:r>
              <w:rPr>
                <w:rFonts w:ascii="Arial" w:cs="Arial" w:eastAsia="Arial" w:hAnsi="Arial"/>
                <w:sz w:val="11"/>
                <w:szCs w:val="11"/>
                <w:color w:val="auto"/>
              </w:rPr>
              <w:t>(8.2) %</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14.85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16.59</w:t>
            </w:r>
          </w:p>
        </w:tc>
        <w:tc>
          <w:tcPr>
            <w:tcW w:w="1200" w:type="dxa"/>
            <w:vAlign w:val="bottom"/>
            <w:gridSpan w:val="2"/>
          </w:tcPr>
          <w:p>
            <w:pPr>
              <w:jc w:val="right"/>
              <w:spacing w:after="0"/>
              <w:rPr>
                <w:sz w:val="20"/>
                <w:szCs w:val="20"/>
                <w:color w:val="auto"/>
              </w:rPr>
            </w:pPr>
            <w:r>
              <w:rPr>
                <w:rFonts w:ascii="Arial" w:cs="Arial" w:eastAsia="Arial" w:hAnsi="Arial"/>
                <w:sz w:val="11"/>
                <w:szCs w:val="11"/>
                <w:color w:val="auto"/>
              </w:rPr>
              <w:t>(10.5) %</w:t>
            </w:r>
          </w:p>
        </w:tc>
      </w:tr>
      <w:tr>
        <w:trPr>
          <w:trHeight w:val="146"/>
        </w:trPr>
        <w:tc>
          <w:tcPr>
            <w:tcW w:w="4680" w:type="dxa"/>
            <w:vAlign w:val="bottom"/>
            <w:gridSpan w:val="6"/>
            <w:shd w:val="clear" w:color="auto" w:fill="CCEEFF"/>
          </w:tcPr>
          <w:p>
            <w:pPr>
              <w:spacing w:after="0"/>
              <w:rPr>
                <w:sz w:val="20"/>
                <w:szCs w:val="20"/>
                <w:color w:val="auto"/>
              </w:rPr>
            </w:pPr>
            <w:r>
              <w:rPr>
                <w:rFonts w:ascii="Arial" w:cs="Arial" w:eastAsia="Arial" w:hAnsi="Arial"/>
                <w:sz w:val="11"/>
                <w:szCs w:val="11"/>
                <w:color w:val="auto"/>
              </w:rPr>
              <w:t>Passenger revenue per ASM (cents)</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11.06</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4.88</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nm %</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8.68</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(30.1) %</w:t>
            </w:r>
          </w:p>
        </w:tc>
      </w:tr>
      <w:tr>
        <w:trPr>
          <w:trHeight w:val="144"/>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24"/>
        </w:trPr>
        <w:tc>
          <w:tcPr>
            <w:tcW w:w="400" w:type="dxa"/>
            <w:vAlign w:val="bottom"/>
            <w:tcBorders>
              <w:bottom w:val="single" w:sz="8" w:color="auto"/>
            </w:tcBorders>
            <w:gridSpan w:val="2"/>
            <w:shd w:val="clear" w:color="auto" w:fill="CCEEFF"/>
          </w:tcPr>
          <w:p>
            <w:pPr>
              <w:spacing w:after="0" w:line="117" w:lineRule="exact"/>
              <w:rPr>
                <w:sz w:val="20"/>
                <w:szCs w:val="20"/>
                <w:color w:val="auto"/>
              </w:rPr>
            </w:pPr>
            <w:r>
              <w:rPr>
                <w:rFonts w:ascii="Arial" w:cs="Arial" w:eastAsia="Arial" w:hAnsi="Arial"/>
                <w:sz w:val="11"/>
                <w:szCs w:val="11"/>
                <w:b w:val="1"/>
                <w:bCs w:val="1"/>
                <w:color w:val="auto"/>
                <w:w w:val="94"/>
              </w:rPr>
              <w:t>Atlantic</w:t>
            </w:r>
          </w:p>
        </w:tc>
        <w:tc>
          <w:tcPr>
            <w:tcW w:w="4280" w:type="dxa"/>
            <w:vAlign w:val="bottom"/>
            <w:tcBorders>
              <w:bottom w:val="single" w:sz="8" w:color="CCEEFF"/>
            </w:tcBorders>
            <w:gridSpan w:val="4"/>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r>
      <w:tr>
        <w:trPr>
          <w:trHeight w:val="142"/>
        </w:trPr>
        <w:tc>
          <w:tcPr>
            <w:tcW w:w="4680" w:type="dxa"/>
            <w:vAlign w:val="bottom"/>
            <w:gridSpan w:val="6"/>
          </w:tcPr>
          <w:p>
            <w:pPr>
              <w:spacing w:after="0"/>
              <w:rPr>
                <w:sz w:val="20"/>
                <w:szCs w:val="20"/>
                <w:color w:val="auto"/>
              </w:rPr>
            </w:pPr>
            <w:r>
              <w:rPr>
                <w:rFonts w:ascii="Arial" w:cs="Arial" w:eastAsia="Arial" w:hAnsi="Arial"/>
                <w:sz w:val="11"/>
                <w:szCs w:val="11"/>
                <w:color w:val="auto"/>
              </w:rPr>
              <w:t>Revenue passenger miles (millions)</w:t>
            </w:r>
          </w:p>
        </w:tc>
        <w:tc>
          <w:tcPr>
            <w:tcW w:w="980" w:type="dxa"/>
            <w:vAlign w:val="bottom"/>
          </w:tcPr>
          <w:p>
            <w:pPr>
              <w:jc w:val="right"/>
              <w:spacing w:after="0"/>
              <w:rPr>
                <w:sz w:val="20"/>
                <w:szCs w:val="20"/>
                <w:color w:val="auto"/>
              </w:rPr>
            </w:pPr>
            <w:r>
              <w:rPr>
                <w:rFonts w:ascii="Arial" w:cs="Arial" w:eastAsia="Arial" w:hAnsi="Arial"/>
                <w:sz w:val="11"/>
                <w:szCs w:val="11"/>
                <w:color w:val="auto"/>
              </w:rPr>
              <w:t>939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189</w:t>
            </w:r>
          </w:p>
        </w:tc>
        <w:tc>
          <w:tcPr>
            <w:tcW w:w="10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1"/>
                <w:szCs w:val="11"/>
                <w:color w:val="auto"/>
              </w:rPr>
              <w:t>nm %</w:t>
            </w:r>
          </w:p>
        </w:tc>
        <w:tc>
          <w:tcPr>
            <w:tcW w:w="1000" w:type="dxa"/>
            <w:vAlign w:val="bottom"/>
          </w:tcPr>
          <w:p>
            <w:pPr>
              <w:jc w:val="right"/>
              <w:spacing w:after="0"/>
              <w:rPr>
                <w:sz w:val="20"/>
                <w:szCs w:val="20"/>
                <w:color w:val="auto"/>
              </w:rPr>
            </w:pPr>
            <w:r>
              <w:rPr>
                <w:rFonts w:ascii="Arial" w:cs="Arial" w:eastAsia="Arial" w:hAnsi="Arial"/>
                <w:sz w:val="11"/>
                <w:szCs w:val="11"/>
                <w:color w:val="auto"/>
              </w:rPr>
              <w:t>1,139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4,374</w:t>
            </w:r>
          </w:p>
        </w:tc>
        <w:tc>
          <w:tcPr>
            <w:tcW w:w="1200" w:type="dxa"/>
            <w:vAlign w:val="bottom"/>
            <w:gridSpan w:val="2"/>
          </w:tcPr>
          <w:p>
            <w:pPr>
              <w:jc w:val="right"/>
              <w:spacing w:after="0"/>
              <w:rPr>
                <w:sz w:val="20"/>
                <w:szCs w:val="20"/>
                <w:color w:val="auto"/>
              </w:rPr>
            </w:pPr>
            <w:r>
              <w:rPr>
                <w:rFonts w:ascii="Arial" w:cs="Arial" w:eastAsia="Arial" w:hAnsi="Arial"/>
                <w:sz w:val="11"/>
                <w:szCs w:val="11"/>
                <w:color w:val="auto"/>
              </w:rPr>
              <w:t>(74.0) %</w:t>
            </w:r>
          </w:p>
        </w:tc>
      </w:tr>
      <w:tr>
        <w:trPr>
          <w:trHeight w:val="146"/>
        </w:trPr>
        <w:tc>
          <w:tcPr>
            <w:tcW w:w="4680" w:type="dxa"/>
            <w:vAlign w:val="bottom"/>
            <w:gridSpan w:val="6"/>
            <w:shd w:val="clear" w:color="auto" w:fill="CCEEFF"/>
          </w:tcPr>
          <w:p>
            <w:pPr>
              <w:spacing w:after="0"/>
              <w:rPr>
                <w:sz w:val="20"/>
                <w:szCs w:val="20"/>
                <w:color w:val="auto"/>
              </w:rPr>
            </w:pPr>
            <w:r>
              <w:rPr>
                <w:rFonts w:ascii="Arial" w:cs="Arial" w:eastAsia="Arial" w:hAnsi="Arial"/>
                <w:sz w:val="11"/>
                <w:szCs w:val="11"/>
                <w:color w:val="auto"/>
              </w:rPr>
              <w:t>Available seat miles (millions)</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4,035</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817</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nm %</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5,186</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7,056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(26.5) %</w:t>
            </w:r>
          </w:p>
        </w:tc>
      </w:tr>
      <w:tr>
        <w:trPr>
          <w:trHeight w:val="142"/>
        </w:trPr>
        <w:tc>
          <w:tcPr>
            <w:tcW w:w="4680" w:type="dxa"/>
            <w:vAlign w:val="bottom"/>
            <w:gridSpan w:val="6"/>
          </w:tcPr>
          <w:p>
            <w:pPr>
              <w:spacing w:after="0"/>
              <w:rPr>
                <w:sz w:val="20"/>
                <w:szCs w:val="20"/>
                <w:color w:val="auto"/>
              </w:rPr>
            </w:pPr>
            <w:r>
              <w:rPr>
                <w:rFonts w:ascii="Arial" w:cs="Arial" w:eastAsia="Arial" w:hAnsi="Arial"/>
                <w:sz w:val="11"/>
                <w:szCs w:val="11"/>
                <w:color w:val="auto"/>
              </w:rPr>
              <w:t>Passenger load factor (percent)</w:t>
            </w:r>
          </w:p>
        </w:tc>
        <w:tc>
          <w:tcPr>
            <w:tcW w:w="980" w:type="dxa"/>
            <w:vAlign w:val="bottom"/>
          </w:tcPr>
          <w:p>
            <w:pPr>
              <w:jc w:val="right"/>
              <w:spacing w:after="0"/>
              <w:rPr>
                <w:sz w:val="20"/>
                <w:szCs w:val="20"/>
                <w:color w:val="auto"/>
              </w:rPr>
            </w:pPr>
            <w:r>
              <w:rPr>
                <w:rFonts w:ascii="Arial" w:cs="Arial" w:eastAsia="Arial" w:hAnsi="Arial"/>
                <w:sz w:val="11"/>
                <w:szCs w:val="11"/>
                <w:color w:val="auto"/>
              </w:rPr>
              <w:t>23.3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23.1</w:t>
            </w:r>
          </w:p>
        </w:tc>
        <w:tc>
          <w:tcPr>
            <w:tcW w:w="10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1"/>
                <w:szCs w:val="11"/>
                <w:color w:val="auto"/>
              </w:rPr>
              <w:t>0.2 pts</w:t>
            </w:r>
          </w:p>
        </w:tc>
        <w:tc>
          <w:tcPr>
            <w:tcW w:w="1000" w:type="dxa"/>
            <w:vAlign w:val="bottom"/>
          </w:tcPr>
          <w:p>
            <w:pPr>
              <w:jc w:val="right"/>
              <w:spacing w:after="0"/>
              <w:rPr>
                <w:sz w:val="20"/>
                <w:szCs w:val="20"/>
                <w:color w:val="auto"/>
              </w:rPr>
            </w:pPr>
            <w:r>
              <w:rPr>
                <w:rFonts w:ascii="Arial" w:cs="Arial" w:eastAsia="Arial" w:hAnsi="Arial"/>
                <w:sz w:val="11"/>
                <w:szCs w:val="11"/>
                <w:color w:val="auto"/>
              </w:rPr>
              <w:t>22.0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62.0</w:t>
            </w:r>
          </w:p>
        </w:tc>
        <w:tc>
          <w:tcPr>
            <w:tcW w:w="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(40.0) pts</w:t>
            </w:r>
          </w:p>
        </w:tc>
      </w:tr>
      <w:tr>
        <w:trPr>
          <w:trHeight w:val="146"/>
        </w:trPr>
        <w:tc>
          <w:tcPr>
            <w:tcW w:w="4680" w:type="dxa"/>
            <w:vAlign w:val="bottom"/>
            <w:gridSpan w:val="6"/>
            <w:shd w:val="clear" w:color="auto" w:fill="CCEEFF"/>
          </w:tcPr>
          <w:p>
            <w:pPr>
              <w:spacing w:after="0"/>
              <w:rPr>
                <w:sz w:val="20"/>
                <w:szCs w:val="20"/>
                <w:color w:val="auto"/>
              </w:rPr>
            </w:pPr>
            <w:r>
              <w:rPr>
                <w:rFonts w:ascii="Arial" w:cs="Arial" w:eastAsia="Arial" w:hAnsi="Arial"/>
                <w:sz w:val="11"/>
                <w:szCs w:val="11"/>
                <w:color w:val="auto"/>
              </w:rPr>
              <w:t>Passenger revenue (dollars in millions)</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nm %</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(74.0) %</w:t>
            </w:r>
          </w:p>
        </w:tc>
      </w:tr>
      <w:tr>
        <w:trPr>
          <w:trHeight w:val="142"/>
        </w:trPr>
        <w:tc>
          <w:tcPr>
            <w:tcW w:w="4680" w:type="dxa"/>
            <w:vAlign w:val="bottom"/>
            <w:gridSpan w:val="6"/>
          </w:tcPr>
          <w:p>
            <w:pPr>
              <w:spacing w:after="0"/>
              <w:rPr>
                <w:sz w:val="20"/>
                <w:szCs w:val="20"/>
                <w:color w:val="auto"/>
              </w:rPr>
            </w:pPr>
            <w:r>
              <w:rPr>
                <w:rFonts w:ascii="Arial" w:cs="Arial" w:eastAsia="Arial" w:hAnsi="Arial"/>
                <w:sz w:val="11"/>
                <w:szCs w:val="11"/>
                <w:color w:val="auto"/>
              </w:rPr>
              <w:t>Yield (cents)</w:t>
            </w:r>
          </w:p>
        </w:tc>
        <w:tc>
          <w:tcPr>
            <w:tcW w:w="980" w:type="dxa"/>
            <w:vAlign w:val="bottom"/>
          </w:tcPr>
          <w:p>
            <w:pPr>
              <w:jc w:val="right"/>
              <w:spacing w:after="0"/>
              <w:rPr>
                <w:sz w:val="20"/>
                <w:szCs w:val="20"/>
                <w:color w:val="auto"/>
              </w:rPr>
            </w:pPr>
            <w:r>
              <w:rPr>
                <w:rFonts w:ascii="Arial" w:cs="Arial" w:eastAsia="Arial" w:hAnsi="Arial"/>
                <w:sz w:val="11"/>
                <w:szCs w:val="11"/>
                <w:color w:val="auto"/>
              </w:rPr>
              <w:t>13.26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22.28</w:t>
            </w:r>
          </w:p>
        </w:tc>
        <w:tc>
          <w:tcPr>
            <w:tcW w:w="1200" w:type="dxa"/>
            <w:vAlign w:val="bottom"/>
            <w:gridSpan w:val="2"/>
          </w:tcPr>
          <w:p>
            <w:pPr>
              <w:jc w:val="right"/>
              <w:spacing w:after="0"/>
              <w:rPr>
                <w:sz w:val="20"/>
                <w:szCs w:val="20"/>
                <w:color w:val="auto"/>
              </w:rPr>
            </w:pPr>
            <w:r>
              <w:rPr>
                <w:rFonts w:ascii="Arial" w:cs="Arial" w:eastAsia="Arial" w:hAnsi="Arial"/>
                <w:sz w:val="11"/>
                <w:szCs w:val="11"/>
                <w:color w:val="auto"/>
              </w:rPr>
              <w:t>(40.5) %</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12.88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12.92</w:t>
            </w:r>
          </w:p>
        </w:tc>
        <w:tc>
          <w:tcPr>
            <w:tcW w:w="1200" w:type="dxa"/>
            <w:vAlign w:val="bottom"/>
            <w:gridSpan w:val="2"/>
          </w:tcPr>
          <w:p>
            <w:pPr>
              <w:jc w:val="right"/>
              <w:spacing w:after="0"/>
              <w:rPr>
                <w:sz w:val="20"/>
                <w:szCs w:val="20"/>
                <w:color w:val="auto"/>
              </w:rPr>
            </w:pPr>
            <w:r>
              <w:rPr>
                <w:rFonts w:ascii="Arial" w:cs="Arial" w:eastAsia="Arial" w:hAnsi="Arial"/>
                <w:sz w:val="11"/>
                <w:szCs w:val="11"/>
                <w:color w:val="auto"/>
              </w:rPr>
              <w:t>(0.3) %</w:t>
            </w:r>
          </w:p>
        </w:tc>
      </w:tr>
      <w:tr>
        <w:trPr>
          <w:trHeight w:val="146"/>
        </w:trPr>
        <w:tc>
          <w:tcPr>
            <w:tcW w:w="4680" w:type="dxa"/>
            <w:vAlign w:val="bottom"/>
            <w:gridSpan w:val="6"/>
            <w:shd w:val="clear" w:color="auto" w:fill="CCEEFF"/>
          </w:tcPr>
          <w:p>
            <w:pPr>
              <w:spacing w:after="0"/>
              <w:rPr>
                <w:sz w:val="20"/>
                <w:szCs w:val="20"/>
                <w:color w:val="auto"/>
              </w:rPr>
            </w:pPr>
            <w:r>
              <w:rPr>
                <w:rFonts w:ascii="Arial" w:cs="Arial" w:eastAsia="Arial" w:hAnsi="Arial"/>
                <w:sz w:val="11"/>
                <w:szCs w:val="11"/>
                <w:color w:val="auto"/>
              </w:rPr>
              <w:t>Passenger revenue per ASM (cents)</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3.09</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(40.1) %</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(64.7) %</w:t>
            </w:r>
          </w:p>
        </w:tc>
      </w:tr>
      <w:tr>
        <w:trPr>
          <w:trHeight w:val="144"/>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24"/>
        </w:trPr>
        <w:tc>
          <w:tcPr>
            <w:tcW w:w="360" w:type="dxa"/>
            <w:vAlign w:val="bottom"/>
            <w:tcBorders>
              <w:bottom w:val="single" w:sz="8" w:color="auto"/>
            </w:tcBorders>
            <w:shd w:val="clear" w:color="auto" w:fill="CCEEFF"/>
          </w:tcPr>
          <w:p>
            <w:pPr>
              <w:spacing w:after="0" w:line="117" w:lineRule="exact"/>
              <w:rPr>
                <w:sz w:val="20"/>
                <w:szCs w:val="20"/>
                <w:color w:val="auto"/>
              </w:rPr>
            </w:pPr>
            <w:r>
              <w:rPr>
                <w:rFonts w:ascii="Arial" w:cs="Arial" w:eastAsia="Arial" w:hAnsi="Arial"/>
                <w:sz w:val="11"/>
                <w:szCs w:val="11"/>
                <w:b w:val="1"/>
                <w:bCs w:val="1"/>
                <w:color w:val="auto"/>
                <w:w w:val="95"/>
              </w:rPr>
              <w:t>Pacific</w:t>
            </w:r>
          </w:p>
        </w:tc>
        <w:tc>
          <w:tcPr>
            <w:tcW w:w="4320" w:type="dxa"/>
            <w:vAlign w:val="bottom"/>
            <w:tcBorders>
              <w:bottom w:val="single" w:sz="8" w:color="CCEEFF"/>
            </w:tcBorders>
            <w:gridSpan w:val="5"/>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r>
      <w:tr>
        <w:trPr>
          <w:trHeight w:val="142"/>
        </w:trPr>
        <w:tc>
          <w:tcPr>
            <w:tcW w:w="4680" w:type="dxa"/>
            <w:vAlign w:val="bottom"/>
            <w:gridSpan w:val="6"/>
          </w:tcPr>
          <w:p>
            <w:pPr>
              <w:spacing w:after="0"/>
              <w:rPr>
                <w:sz w:val="20"/>
                <w:szCs w:val="20"/>
                <w:color w:val="auto"/>
              </w:rPr>
            </w:pPr>
            <w:r>
              <w:rPr>
                <w:rFonts w:ascii="Arial" w:cs="Arial" w:eastAsia="Arial" w:hAnsi="Arial"/>
                <w:sz w:val="11"/>
                <w:szCs w:val="11"/>
                <w:color w:val="auto"/>
              </w:rPr>
              <w:t>Revenue passenger miles (millions)</w:t>
            </w:r>
          </w:p>
        </w:tc>
        <w:tc>
          <w:tcPr>
            <w:tcW w:w="980" w:type="dxa"/>
            <w:vAlign w:val="bottom"/>
          </w:tcPr>
          <w:p>
            <w:pPr>
              <w:jc w:val="right"/>
              <w:spacing w:after="0"/>
              <w:rPr>
                <w:sz w:val="20"/>
                <w:szCs w:val="20"/>
                <w:color w:val="auto"/>
              </w:rPr>
            </w:pPr>
            <w:r>
              <w:rPr>
                <w:rFonts w:ascii="Arial" w:cs="Arial" w:eastAsia="Arial" w:hAnsi="Arial"/>
                <w:sz w:val="11"/>
                <w:szCs w:val="11"/>
                <w:color w:val="auto"/>
              </w:rPr>
              <w:t>242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1"/>
                <w:szCs w:val="11"/>
                <w:color w:val="auto"/>
              </w:rPr>
              <w:t>nm %</w:t>
            </w:r>
          </w:p>
        </w:tc>
        <w:tc>
          <w:tcPr>
            <w:tcW w:w="1000" w:type="dxa"/>
            <w:vAlign w:val="bottom"/>
          </w:tcPr>
          <w:p>
            <w:pPr>
              <w:jc w:val="right"/>
              <w:spacing w:after="0"/>
              <w:rPr>
                <w:sz w:val="20"/>
                <w:szCs w:val="20"/>
                <w:color w:val="auto"/>
              </w:rPr>
            </w:pPr>
            <w:r>
              <w:rPr>
                <w:rFonts w:ascii="Arial" w:cs="Arial" w:eastAsia="Arial" w:hAnsi="Arial"/>
                <w:sz w:val="11"/>
                <w:szCs w:val="11"/>
                <w:color w:val="auto"/>
              </w:rPr>
              <w:t>393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2,051</w:t>
            </w:r>
          </w:p>
        </w:tc>
        <w:tc>
          <w:tcPr>
            <w:tcW w:w="1200" w:type="dxa"/>
            <w:vAlign w:val="bottom"/>
            <w:gridSpan w:val="2"/>
          </w:tcPr>
          <w:p>
            <w:pPr>
              <w:jc w:val="right"/>
              <w:spacing w:after="0"/>
              <w:rPr>
                <w:sz w:val="20"/>
                <w:szCs w:val="20"/>
                <w:color w:val="auto"/>
              </w:rPr>
            </w:pPr>
            <w:r>
              <w:rPr>
                <w:rFonts w:ascii="Arial" w:cs="Arial" w:eastAsia="Arial" w:hAnsi="Arial"/>
                <w:sz w:val="11"/>
                <w:szCs w:val="11"/>
                <w:color w:val="auto"/>
              </w:rPr>
              <w:t>(80.9) %</w:t>
            </w:r>
          </w:p>
        </w:tc>
      </w:tr>
      <w:tr>
        <w:trPr>
          <w:trHeight w:val="146"/>
        </w:trPr>
        <w:tc>
          <w:tcPr>
            <w:tcW w:w="4680" w:type="dxa"/>
            <w:vAlign w:val="bottom"/>
            <w:gridSpan w:val="6"/>
            <w:shd w:val="clear" w:color="auto" w:fill="CCEEFF"/>
          </w:tcPr>
          <w:p>
            <w:pPr>
              <w:spacing w:after="0"/>
              <w:rPr>
                <w:sz w:val="20"/>
                <w:szCs w:val="20"/>
                <w:color w:val="auto"/>
              </w:rPr>
            </w:pPr>
            <w:r>
              <w:rPr>
                <w:rFonts w:ascii="Arial" w:cs="Arial" w:eastAsia="Arial" w:hAnsi="Arial"/>
                <w:sz w:val="11"/>
                <w:szCs w:val="11"/>
                <w:color w:val="auto"/>
              </w:rPr>
              <w:t>Available seat miles (millions)</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1,022</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nm %</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1,818</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2,684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(32.3) %</w:t>
            </w:r>
          </w:p>
        </w:tc>
      </w:tr>
      <w:tr>
        <w:trPr>
          <w:trHeight w:val="142"/>
        </w:trPr>
        <w:tc>
          <w:tcPr>
            <w:tcW w:w="4680" w:type="dxa"/>
            <w:vAlign w:val="bottom"/>
            <w:gridSpan w:val="6"/>
          </w:tcPr>
          <w:p>
            <w:pPr>
              <w:spacing w:after="0"/>
              <w:rPr>
                <w:sz w:val="20"/>
                <w:szCs w:val="20"/>
                <w:color w:val="auto"/>
              </w:rPr>
            </w:pPr>
            <w:r>
              <w:rPr>
                <w:rFonts w:ascii="Arial" w:cs="Arial" w:eastAsia="Arial" w:hAnsi="Arial"/>
                <w:sz w:val="11"/>
                <w:szCs w:val="11"/>
                <w:color w:val="auto"/>
              </w:rPr>
              <w:t>Passenger load factor (percent)</w:t>
            </w:r>
          </w:p>
        </w:tc>
        <w:tc>
          <w:tcPr>
            <w:tcW w:w="980" w:type="dxa"/>
            <w:vAlign w:val="bottom"/>
          </w:tcPr>
          <w:p>
            <w:pPr>
              <w:jc w:val="right"/>
              <w:spacing w:after="0"/>
              <w:rPr>
                <w:sz w:val="20"/>
                <w:szCs w:val="20"/>
                <w:color w:val="auto"/>
              </w:rPr>
            </w:pPr>
            <w:r>
              <w:rPr>
                <w:rFonts w:ascii="Arial" w:cs="Arial" w:eastAsia="Arial" w:hAnsi="Arial"/>
                <w:sz w:val="11"/>
                <w:szCs w:val="11"/>
                <w:color w:val="auto"/>
              </w:rPr>
              <w:t>23.7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29.0</w:t>
            </w:r>
          </w:p>
        </w:tc>
        <w:tc>
          <w:tcPr>
            <w:tcW w:w="10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1"/>
                <w:szCs w:val="11"/>
                <w:color w:val="auto"/>
              </w:rPr>
              <w:t>(5.3) pts</w:t>
            </w:r>
          </w:p>
        </w:tc>
        <w:tc>
          <w:tcPr>
            <w:tcW w:w="1000" w:type="dxa"/>
            <w:vAlign w:val="bottom"/>
          </w:tcPr>
          <w:p>
            <w:pPr>
              <w:jc w:val="right"/>
              <w:spacing w:after="0"/>
              <w:rPr>
                <w:sz w:val="20"/>
                <w:szCs w:val="20"/>
                <w:color w:val="auto"/>
              </w:rPr>
            </w:pPr>
            <w:r>
              <w:rPr>
                <w:rFonts w:ascii="Arial" w:cs="Arial" w:eastAsia="Arial" w:hAnsi="Arial"/>
                <w:sz w:val="11"/>
                <w:szCs w:val="11"/>
                <w:color w:val="auto"/>
              </w:rPr>
              <w:t>21.6</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76.4</w:t>
            </w:r>
          </w:p>
        </w:tc>
        <w:tc>
          <w:tcPr>
            <w:tcW w:w="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(54.8) pts</w:t>
            </w:r>
          </w:p>
        </w:tc>
      </w:tr>
      <w:tr>
        <w:trPr>
          <w:trHeight w:val="146"/>
        </w:trPr>
        <w:tc>
          <w:tcPr>
            <w:tcW w:w="4680" w:type="dxa"/>
            <w:vAlign w:val="bottom"/>
            <w:gridSpan w:val="6"/>
            <w:shd w:val="clear" w:color="auto" w:fill="CCEEFF"/>
          </w:tcPr>
          <w:p>
            <w:pPr>
              <w:spacing w:after="0"/>
              <w:rPr>
                <w:sz w:val="20"/>
                <w:szCs w:val="20"/>
                <w:color w:val="auto"/>
              </w:rPr>
            </w:pPr>
            <w:r>
              <w:rPr>
                <w:rFonts w:ascii="Arial" w:cs="Arial" w:eastAsia="Arial" w:hAnsi="Arial"/>
                <w:sz w:val="11"/>
                <w:szCs w:val="11"/>
                <w:color w:val="auto"/>
              </w:rPr>
              <w:t>Passenger revenue (dollars in millions)</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nm %</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(70.0) %</w:t>
            </w:r>
          </w:p>
        </w:tc>
      </w:tr>
      <w:tr>
        <w:trPr>
          <w:trHeight w:val="142"/>
        </w:trPr>
        <w:tc>
          <w:tcPr>
            <w:tcW w:w="4680" w:type="dxa"/>
            <w:vAlign w:val="bottom"/>
            <w:gridSpan w:val="6"/>
          </w:tcPr>
          <w:p>
            <w:pPr>
              <w:spacing w:after="0"/>
              <w:rPr>
                <w:sz w:val="20"/>
                <w:szCs w:val="20"/>
                <w:color w:val="auto"/>
              </w:rPr>
            </w:pPr>
            <w:r>
              <w:rPr>
                <w:rFonts w:ascii="Arial" w:cs="Arial" w:eastAsia="Arial" w:hAnsi="Arial"/>
                <w:sz w:val="11"/>
                <w:szCs w:val="11"/>
                <w:color w:val="auto"/>
              </w:rPr>
              <w:t>Yield (cents)</w:t>
            </w:r>
          </w:p>
        </w:tc>
        <w:tc>
          <w:tcPr>
            <w:tcW w:w="980" w:type="dxa"/>
            <w:vAlign w:val="bottom"/>
          </w:tcPr>
          <w:p>
            <w:pPr>
              <w:jc w:val="right"/>
              <w:spacing w:after="0"/>
              <w:rPr>
                <w:sz w:val="20"/>
                <w:szCs w:val="20"/>
                <w:color w:val="auto"/>
              </w:rPr>
            </w:pPr>
            <w:r>
              <w:rPr>
                <w:rFonts w:ascii="Arial" w:cs="Arial" w:eastAsia="Arial" w:hAnsi="Arial"/>
                <w:sz w:val="11"/>
                <w:szCs w:val="11"/>
                <w:color w:val="auto"/>
              </w:rPr>
              <w:t>16.71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12.61</w:t>
            </w:r>
          </w:p>
        </w:tc>
        <w:tc>
          <w:tcPr>
            <w:tcW w:w="1200" w:type="dxa"/>
            <w:vAlign w:val="bottom"/>
            <w:gridSpan w:val="2"/>
          </w:tcPr>
          <w:p>
            <w:pPr>
              <w:jc w:val="right"/>
              <w:spacing w:after="0"/>
              <w:rPr>
                <w:sz w:val="20"/>
                <w:szCs w:val="20"/>
                <w:color w:val="auto"/>
              </w:rPr>
            </w:pPr>
            <w:r>
              <w:rPr>
                <w:rFonts w:ascii="Arial" w:cs="Arial" w:eastAsia="Arial" w:hAnsi="Arial"/>
                <w:sz w:val="11"/>
                <w:szCs w:val="11"/>
                <w:color w:val="auto"/>
              </w:rPr>
              <w:t>32.6 %</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15.49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9.89</w:t>
            </w:r>
          </w:p>
        </w:tc>
        <w:tc>
          <w:tcPr>
            <w:tcW w:w="1200" w:type="dxa"/>
            <w:vAlign w:val="bottom"/>
            <w:gridSpan w:val="2"/>
          </w:tcPr>
          <w:p>
            <w:pPr>
              <w:jc w:val="right"/>
              <w:spacing w:after="0"/>
              <w:rPr>
                <w:sz w:val="20"/>
                <w:szCs w:val="20"/>
                <w:color w:val="auto"/>
              </w:rPr>
            </w:pPr>
            <w:r>
              <w:rPr>
                <w:rFonts w:ascii="Arial" w:cs="Arial" w:eastAsia="Arial" w:hAnsi="Arial"/>
                <w:sz w:val="11"/>
                <w:szCs w:val="11"/>
                <w:color w:val="auto"/>
              </w:rPr>
              <w:t>56.6 %</w:t>
            </w:r>
          </w:p>
        </w:tc>
      </w:tr>
      <w:tr>
        <w:trPr>
          <w:trHeight w:val="146"/>
        </w:trPr>
        <w:tc>
          <w:tcPr>
            <w:tcW w:w="4680" w:type="dxa"/>
            <w:vAlign w:val="bottom"/>
            <w:gridSpan w:val="6"/>
            <w:shd w:val="clear" w:color="auto" w:fill="CCEEFF"/>
          </w:tcPr>
          <w:p>
            <w:pPr>
              <w:spacing w:after="0"/>
              <w:rPr>
                <w:sz w:val="20"/>
                <w:szCs w:val="20"/>
                <w:color w:val="auto"/>
              </w:rPr>
            </w:pPr>
            <w:r>
              <w:rPr>
                <w:rFonts w:ascii="Arial" w:cs="Arial" w:eastAsia="Arial" w:hAnsi="Arial"/>
                <w:sz w:val="11"/>
                <w:szCs w:val="11"/>
                <w:color w:val="auto"/>
              </w:rPr>
              <w:t>Passenger revenue per ASM (cents)</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3.96</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8.4 %</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3.35</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(55.7) %</w:t>
            </w:r>
          </w:p>
        </w:tc>
      </w:tr>
      <w:tr>
        <w:trPr>
          <w:trHeight w:val="144"/>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24"/>
        </w:trPr>
        <w:tc>
          <w:tcPr>
            <w:tcW w:w="940" w:type="dxa"/>
            <w:vAlign w:val="bottom"/>
            <w:tcBorders>
              <w:bottom w:val="single" w:sz="8" w:color="auto"/>
            </w:tcBorders>
            <w:gridSpan w:val="5"/>
            <w:shd w:val="clear" w:color="auto" w:fill="CCEEFF"/>
          </w:tcPr>
          <w:p>
            <w:pPr>
              <w:spacing w:after="0" w:line="117" w:lineRule="exact"/>
              <w:rPr>
                <w:sz w:val="20"/>
                <w:szCs w:val="20"/>
                <w:color w:val="auto"/>
              </w:rPr>
            </w:pPr>
            <w:r>
              <w:rPr>
                <w:rFonts w:ascii="Arial" w:cs="Arial" w:eastAsia="Arial" w:hAnsi="Arial"/>
                <w:sz w:val="11"/>
                <w:szCs w:val="11"/>
                <w:b w:val="1"/>
                <w:bCs w:val="1"/>
                <w:color w:val="auto"/>
                <w:w w:val="96"/>
              </w:rPr>
              <w:t>Total International</w:t>
            </w:r>
          </w:p>
        </w:tc>
        <w:tc>
          <w:tcPr>
            <w:tcW w:w="374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r>
      <w:tr>
        <w:trPr>
          <w:trHeight w:val="142"/>
        </w:trPr>
        <w:tc>
          <w:tcPr>
            <w:tcW w:w="4680" w:type="dxa"/>
            <w:vAlign w:val="bottom"/>
            <w:gridSpan w:val="6"/>
          </w:tcPr>
          <w:p>
            <w:pPr>
              <w:spacing w:after="0"/>
              <w:rPr>
                <w:sz w:val="20"/>
                <w:szCs w:val="20"/>
                <w:color w:val="auto"/>
              </w:rPr>
            </w:pPr>
            <w:r>
              <w:rPr>
                <w:rFonts w:ascii="Arial" w:cs="Arial" w:eastAsia="Arial" w:hAnsi="Arial"/>
                <w:sz w:val="11"/>
                <w:szCs w:val="11"/>
                <w:color w:val="auto"/>
              </w:rPr>
              <w:t>Revenue passenger miles (millions)</w:t>
            </w:r>
          </w:p>
        </w:tc>
        <w:tc>
          <w:tcPr>
            <w:tcW w:w="980" w:type="dxa"/>
            <w:vAlign w:val="bottom"/>
          </w:tcPr>
          <w:p>
            <w:pPr>
              <w:jc w:val="right"/>
              <w:spacing w:after="0"/>
              <w:rPr>
                <w:sz w:val="20"/>
                <w:szCs w:val="20"/>
                <w:color w:val="auto"/>
              </w:rPr>
            </w:pPr>
            <w:r>
              <w:rPr>
                <w:rFonts w:ascii="Arial" w:cs="Arial" w:eastAsia="Arial" w:hAnsi="Arial"/>
                <w:sz w:val="11"/>
                <w:szCs w:val="11"/>
                <w:color w:val="auto"/>
              </w:rPr>
              <w:t>7,151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427</w:t>
            </w:r>
          </w:p>
        </w:tc>
        <w:tc>
          <w:tcPr>
            <w:tcW w:w="10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1"/>
                <w:szCs w:val="11"/>
                <w:color w:val="auto"/>
              </w:rPr>
              <w:t>nm %</w:t>
            </w:r>
          </w:p>
        </w:tc>
        <w:tc>
          <w:tcPr>
            <w:tcW w:w="1000" w:type="dxa"/>
            <w:vAlign w:val="bottom"/>
          </w:tcPr>
          <w:p>
            <w:pPr>
              <w:jc w:val="right"/>
              <w:spacing w:after="0"/>
              <w:rPr>
                <w:sz w:val="20"/>
                <w:szCs w:val="20"/>
                <w:color w:val="auto"/>
              </w:rPr>
            </w:pPr>
            <w:r>
              <w:rPr>
                <w:rFonts w:ascii="Arial" w:cs="Arial" w:eastAsia="Arial" w:hAnsi="Arial"/>
                <w:sz w:val="11"/>
                <w:szCs w:val="11"/>
                <w:color w:val="auto"/>
              </w:rPr>
              <w:t>11,078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13,741</w:t>
            </w:r>
          </w:p>
        </w:tc>
        <w:tc>
          <w:tcPr>
            <w:tcW w:w="1200" w:type="dxa"/>
            <w:vAlign w:val="bottom"/>
            <w:gridSpan w:val="2"/>
          </w:tcPr>
          <w:p>
            <w:pPr>
              <w:jc w:val="right"/>
              <w:spacing w:after="0"/>
              <w:rPr>
                <w:sz w:val="20"/>
                <w:szCs w:val="20"/>
                <w:color w:val="auto"/>
              </w:rPr>
            </w:pPr>
            <w:r>
              <w:rPr>
                <w:rFonts w:ascii="Arial" w:cs="Arial" w:eastAsia="Arial" w:hAnsi="Arial"/>
                <w:sz w:val="11"/>
                <w:szCs w:val="11"/>
                <w:color w:val="auto"/>
              </w:rPr>
              <w:t>(19.4) %</w:t>
            </w:r>
          </w:p>
        </w:tc>
      </w:tr>
      <w:tr>
        <w:trPr>
          <w:trHeight w:val="146"/>
        </w:trPr>
        <w:tc>
          <w:tcPr>
            <w:tcW w:w="4680" w:type="dxa"/>
            <w:vAlign w:val="bottom"/>
            <w:gridSpan w:val="6"/>
            <w:shd w:val="clear" w:color="auto" w:fill="CCEEFF"/>
          </w:tcPr>
          <w:p>
            <w:pPr>
              <w:spacing w:after="0"/>
              <w:rPr>
                <w:sz w:val="20"/>
                <w:szCs w:val="20"/>
                <w:color w:val="auto"/>
              </w:rPr>
            </w:pPr>
            <w:r>
              <w:rPr>
                <w:rFonts w:ascii="Arial" w:cs="Arial" w:eastAsia="Arial" w:hAnsi="Arial"/>
                <w:sz w:val="11"/>
                <w:szCs w:val="11"/>
                <w:color w:val="auto"/>
              </w:rPr>
              <w:t>Available seat miles (millions)</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13,518</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1,647</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nm %</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23,330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19,508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19.6 %</w:t>
            </w:r>
          </w:p>
        </w:tc>
      </w:tr>
      <w:tr>
        <w:trPr>
          <w:trHeight w:val="142"/>
        </w:trPr>
        <w:tc>
          <w:tcPr>
            <w:tcW w:w="4680" w:type="dxa"/>
            <w:vAlign w:val="bottom"/>
            <w:gridSpan w:val="6"/>
          </w:tcPr>
          <w:p>
            <w:pPr>
              <w:spacing w:after="0"/>
              <w:rPr>
                <w:sz w:val="20"/>
                <w:szCs w:val="20"/>
                <w:color w:val="auto"/>
              </w:rPr>
            </w:pPr>
            <w:r>
              <w:rPr>
                <w:rFonts w:ascii="Arial" w:cs="Arial" w:eastAsia="Arial" w:hAnsi="Arial"/>
                <w:sz w:val="11"/>
                <w:szCs w:val="11"/>
                <w:color w:val="auto"/>
              </w:rPr>
              <w:t>Passenger load factor (percent)</w:t>
            </w:r>
          </w:p>
        </w:tc>
        <w:tc>
          <w:tcPr>
            <w:tcW w:w="980" w:type="dxa"/>
            <w:vAlign w:val="bottom"/>
          </w:tcPr>
          <w:p>
            <w:pPr>
              <w:jc w:val="right"/>
              <w:spacing w:after="0"/>
              <w:rPr>
                <w:sz w:val="20"/>
                <w:szCs w:val="20"/>
                <w:color w:val="auto"/>
              </w:rPr>
            </w:pPr>
            <w:r>
              <w:rPr>
                <w:rFonts w:ascii="Arial" w:cs="Arial" w:eastAsia="Arial" w:hAnsi="Arial"/>
                <w:sz w:val="11"/>
                <w:szCs w:val="11"/>
                <w:color w:val="auto"/>
              </w:rPr>
              <w:t>52.9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25.9</w:t>
            </w:r>
          </w:p>
        </w:tc>
        <w:tc>
          <w:tcPr>
            <w:tcW w:w="10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1"/>
                <w:szCs w:val="11"/>
                <w:color w:val="auto"/>
              </w:rPr>
              <w:t>27.0 pts</w:t>
            </w:r>
          </w:p>
        </w:tc>
        <w:tc>
          <w:tcPr>
            <w:tcW w:w="1000" w:type="dxa"/>
            <w:vAlign w:val="bottom"/>
          </w:tcPr>
          <w:p>
            <w:pPr>
              <w:jc w:val="right"/>
              <w:spacing w:after="0"/>
              <w:rPr>
                <w:sz w:val="20"/>
                <w:szCs w:val="20"/>
                <w:color w:val="auto"/>
              </w:rPr>
            </w:pPr>
            <w:r>
              <w:rPr>
                <w:rFonts w:ascii="Arial" w:cs="Arial" w:eastAsia="Arial" w:hAnsi="Arial"/>
                <w:sz w:val="11"/>
                <w:szCs w:val="11"/>
                <w:color w:val="auto"/>
              </w:rPr>
              <w:t>47.5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70.4</w:t>
            </w:r>
          </w:p>
        </w:tc>
        <w:tc>
          <w:tcPr>
            <w:tcW w:w="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(22.9) pts</w:t>
            </w:r>
          </w:p>
        </w:tc>
      </w:tr>
      <w:tr>
        <w:trPr>
          <w:trHeight w:val="146"/>
        </w:trPr>
        <w:tc>
          <w:tcPr>
            <w:tcW w:w="4680" w:type="dxa"/>
            <w:vAlign w:val="bottom"/>
            <w:gridSpan w:val="6"/>
            <w:shd w:val="clear" w:color="auto" w:fill="CCEEFF"/>
          </w:tcPr>
          <w:p>
            <w:pPr>
              <w:spacing w:after="0"/>
              <w:rPr>
                <w:sz w:val="20"/>
                <w:szCs w:val="20"/>
                <w:color w:val="auto"/>
              </w:rPr>
            </w:pPr>
            <w:r>
              <w:rPr>
                <w:rFonts w:ascii="Arial" w:cs="Arial" w:eastAsia="Arial" w:hAnsi="Arial"/>
                <w:sz w:val="11"/>
                <w:szCs w:val="11"/>
                <w:color w:val="auto"/>
              </w:rPr>
              <w:t>Passenger revenue (dollars in millions)</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nm %</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1,625</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(18.0) %</w:t>
            </w:r>
          </w:p>
        </w:tc>
      </w:tr>
      <w:tr>
        <w:trPr>
          <w:trHeight w:val="142"/>
        </w:trPr>
        <w:tc>
          <w:tcPr>
            <w:tcW w:w="4680" w:type="dxa"/>
            <w:vAlign w:val="bottom"/>
            <w:gridSpan w:val="6"/>
          </w:tcPr>
          <w:p>
            <w:pPr>
              <w:spacing w:after="0"/>
              <w:rPr>
                <w:sz w:val="20"/>
                <w:szCs w:val="20"/>
                <w:color w:val="auto"/>
              </w:rPr>
            </w:pPr>
            <w:r>
              <w:rPr>
                <w:rFonts w:ascii="Arial" w:cs="Arial" w:eastAsia="Arial" w:hAnsi="Arial"/>
                <w:sz w:val="11"/>
                <w:szCs w:val="11"/>
                <w:color w:val="auto"/>
              </w:rPr>
              <w:t>Yield (cents)</w:t>
            </w:r>
          </w:p>
        </w:tc>
        <w:tc>
          <w:tcPr>
            <w:tcW w:w="980" w:type="dxa"/>
            <w:vAlign w:val="bottom"/>
          </w:tcPr>
          <w:p>
            <w:pPr>
              <w:jc w:val="right"/>
              <w:spacing w:after="0"/>
              <w:rPr>
                <w:sz w:val="20"/>
                <w:szCs w:val="20"/>
                <w:color w:val="auto"/>
              </w:rPr>
            </w:pPr>
            <w:r>
              <w:rPr>
                <w:rFonts w:ascii="Arial" w:cs="Arial" w:eastAsia="Arial" w:hAnsi="Arial"/>
                <w:sz w:val="11"/>
                <w:szCs w:val="11"/>
                <w:color w:val="auto"/>
              </w:rPr>
              <w:t>15.39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18.98</w:t>
            </w:r>
          </w:p>
        </w:tc>
        <w:tc>
          <w:tcPr>
            <w:tcW w:w="1200" w:type="dxa"/>
            <w:vAlign w:val="bottom"/>
            <w:gridSpan w:val="2"/>
          </w:tcPr>
          <w:p>
            <w:pPr>
              <w:jc w:val="right"/>
              <w:spacing w:after="0"/>
              <w:rPr>
                <w:sz w:val="20"/>
                <w:szCs w:val="20"/>
                <w:color w:val="auto"/>
              </w:rPr>
            </w:pPr>
            <w:r>
              <w:rPr>
                <w:rFonts w:ascii="Arial" w:cs="Arial" w:eastAsia="Arial" w:hAnsi="Arial"/>
                <w:sz w:val="11"/>
                <w:szCs w:val="11"/>
                <w:color w:val="auto"/>
              </w:rPr>
              <w:t>(18.9) %</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14.67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14.42</w:t>
            </w:r>
          </w:p>
        </w:tc>
        <w:tc>
          <w:tcPr>
            <w:tcW w:w="1200" w:type="dxa"/>
            <w:vAlign w:val="bottom"/>
            <w:gridSpan w:val="2"/>
          </w:tcPr>
          <w:p>
            <w:pPr>
              <w:jc w:val="right"/>
              <w:spacing w:after="0"/>
              <w:rPr>
                <w:sz w:val="20"/>
                <w:szCs w:val="20"/>
                <w:color w:val="auto"/>
              </w:rPr>
            </w:pPr>
            <w:r>
              <w:rPr>
                <w:rFonts w:ascii="Arial" w:cs="Arial" w:eastAsia="Arial" w:hAnsi="Arial"/>
                <w:sz w:val="11"/>
                <w:szCs w:val="11"/>
                <w:color w:val="auto"/>
              </w:rPr>
              <w:t>1.7 %</w:t>
            </w:r>
          </w:p>
        </w:tc>
      </w:tr>
      <w:tr>
        <w:trPr>
          <w:trHeight w:val="146"/>
        </w:trPr>
        <w:tc>
          <w:tcPr>
            <w:tcW w:w="4680" w:type="dxa"/>
            <w:vAlign w:val="bottom"/>
            <w:gridSpan w:val="6"/>
            <w:shd w:val="clear" w:color="auto" w:fill="CCEEFF"/>
          </w:tcPr>
          <w:p>
            <w:pPr>
              <w:spacing w:after="0"/>
              <w:rPr>
                <w:sz w:val="20"/>
                <w:szCs w:val="20"/>
                <w:color w:val="auto"/>
              </w:rPr>
            </w:pPr>
            <w:r>
              <w:rPr>
                <w:rFonts w:ascii="Arial" w:cs="Arial" w:eastAsia="Arial" w:hAnsi="Arial"/>
                <w:sz w:val="11"/>
                <w:szCs w:val="11"/>
                <w:color w:val="auto"/>
              </w:rPr>
              <w:t>Passenger revenue per ASM (cents)</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8.14</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65.5 %</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6.97</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(31.4) %</w:t>
            </w:r>
          </w:p>
        </w:tc>
      </w:tr>
    </w:tbl>
    <w:p>
      <w:pPr>
        <w:spacing w:after="0" w:line="9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 Amounts may not recalculate due to rounding.</w:t>
      </w:r>
    </w:p>
    <w:p>
      <w:pPr>
        <w:spacing w:after="0" w:line="52" w:lineRule="exact"/>
        <w:rPr>
          <w:sz w:val="20"/>
          <w:szCs w:val="20"/>
          <w:color w:val="auto"/>
        </w:rPr>
      </w:pPr>
    </w:p>
    <w:p>
      <w:pPr>
        <w:ind w:left="208" w:hanging="208"/>
        <w:spacing w:after="0"/>
        <w:tabs>
          <w:tab w:leader="none" w:pos="208"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Domestic results include Canada, Puerto Rico and U.S. Virgin Islands.</w:t>
      </w:r>
    </w:p>
    <w:p>
      <w:pPr>
        <w:spacing w:after="0" w:line="32" w:lineRule="exact"/>
        <w:rPr>
          <w:rFonts w:ascii="Arial" w:cs="Arial" w:eastAsia="Arial" w:hAnsi="Arial"/>
          <w:sz w:val="14"/>
          <w:szCs w:val="14"/>
          <w:color w:val="auto"/>
          <w:vertAlign w:val="superscript"/>
        </w:rPr>
      </w:pPr>
    </w:p>
    <w:p>
      <w:pPr>
        <w:ind w:left="208" w:hanging="208"/>
        <w:spacing w:after="0" w:line="193" w:lineRule="auto"/>
        <w:tabs>
          <w:tab w:leader="none" w:pos="208"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Latin America results include the Caribbean.</w:t>
      </w:r>
    </w:p>
    <w:p>
      <w:pPr>
        <w:sectPr>
          <w:pgSz w:w="11900" w:h="16838" w:orient="portrait"/>
          <w:cols w:equalWidth="0" w:num="1">
            <w:col w:w="11308"/>
          </w:cols>
          <w:pgMar w:left="292" w:top="126"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color w:val="auto"/>
        </w:rPr>
        <w:t>American Airlines Reports Second-Quarter 2021 Financial Results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July 22, 2021</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Page 9</w:t>
      </w:r>
    </w:p>
    <w:p>
      <w:pPr>
        <w:spacing w:after="0" w:line="21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Reconciliation of GAAP Financial Information to Non-GAAP Financial Information</w:t>
      </w:r>
    </w:p>
    <w:p>
      <w:pPr>
        <w:spacing w:after="0" w:line="5" w:lineRule="exact"/>
        <w:rPr>
          <w:sz w:val="20"/>
          <w:szCs w:val="20"/>
          <w:color w:val="auto"/>
        </w:rPr>
      </w:pPr>
    </w:p>
    <w:p>
      <w:pPr>
        <w:jc w:val="both"/>
        <w:spacing w:after="0" w:line="228" w:lineRule="auto"/>
        <w:rPr>
          <w:sz w:val="20"/>
          <w:szCs w:val="20"/>
          <w:color w:val="auto"/>
        </w:rPr>
      </w:pPr>
      <w:r>
        <w:rPr>
          <w:rFonts w:ascii="Arial" w:cs="Arial" w:eastAsia="Arial" w:hAnsi="Arial"/>
          <w:sz w:val="10"/>
          <w:szCs w:val="10"/>
          <w:color w:val="auto"/>
        </w:rPr>
        <w:t>American Airlines Group Inc. (the Company) sometimes uses financial measures that are derived from the condensed consolidated financial statements but that are not presented in accordance with GAAP to understand and evaluate its current operating performance and to allow for period-to-period comparisons. The Company believes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The Company is providing a reconciliation of reported non-GAAP financial measures to their comparable financial measures on a GAAP basis.</w:t>
      </w:r>
    </w:p>
    <w:p>
      <w:pPr>
        <w:spacing w:after="0" w:line="42" w:lineRule="exact"/>
        <w:rPr>
          <w:sz w:val="20"/>
          <w:szCs w:val="20"/>
          <w:color w:val="auto"/>
        </w:rPr>
      </w:pPr>
    </w:p>
    <w:p>
      <w:pPr>
        <w:spacing w:after="0"/>
        <w:rPr>
          <w:sz w:val="20"/>
          <w:szCs w:val="20"/>
          <w:color w:val="auto"/>
        </w:rPr>
      </w:pPr>
      <w:r>
        <w:rPr>
          <w:rFonts w:ascii="Arial" w:cs="Arial" w:eastAsia="Arial" w:hAnsi="Arial"/>
          <w:sz w:val="10"/>
          <w:szCs w:val="10"/>
          <w:color w:val="auto"/>
        </w:rPr>
        <w:t>The tables below present the reconciliations of the following GAAP measures to their non-GAAP measures:</w:t>
      </w:r>
    </w:p>
    <w:p>
      <w:pPr>
        <w:spacing w:after="0" w:line="225" w:lineRule="auto"/>
        <w:rPr>
          <w:sz w:val="20"/>
          <w:szCs w:val="20"/>
          <w:color w:val="auto"/>
        </w:rPr>
      </w:pPr>
      <w:r>
        <w:rPr>
          <w:rFonts w:ascii="Arial" w:cs="Arial" w:eastAsia="Arial" w:hAnsi="Arial"/>
          <w:sz w:val="10"/>
          <w:szCs w:val="10"/>
          <w:color w:val="auto"/>
        </w:rPr>
        <w:t>–  Pre-Tax Income (Loss) (GAAP measure) to Pre-Tax Loss Excluding Net Special Items (non-GAAP measure)</w:t>
      </w:r>
    </w:p>
    <w:p>
      <w:pPr>
        <w:spacing w:after="0" w:line="225" w:lineRule="auto"/>
        <w:rPr>
          <w:sz w:val="20"/>
          <w:szCs w:val="20"/>
          <w:color w:val="auto"/>
        </w:rPr>
      </w:pPr>
      <w:r>
        <w:rPr>
          <w:rFonts w:ascii="Arial" w:cs="Arial" w:eastAsia="Arial" w:hAnsi="Arial"/>
          <w:sz w:val="10"/>
          <w:szCs w:val="10"/>
          <w:color w:val="auto"/>
        </w:rPr>
        <w:t>–  Pre-Tax Margin (GAAP measure) to Pre-Tax Margin Excluding Net Special Items (non-GAAP measure)</w:t>
      </w:r>
    </w:p>
    <w:p>
      <w:pPr>
        <w:spacing w:after="0" w:line="225" w:lineRule="auto"/>
        <w:rPr>
          <w:sz w:val="20"/>
          <w:szCs w:val="20"/>
          <w:color w:val="auto"/>
        </w:rPr>
      </w:pPr>
      <w:r>
        <w:rPr>
          <w:rFonts w:ascii="Arial" w:cs="Arial" w:eastAsia="Arial" w:hAnsi="Arial"/>
          <w:sz w:val="10"/>
          <w:szCs w:val="10"/>
          <w:color w:val="auto"/>
        </w:rPr>
        <w:t>–  Net Income (Loss) (GAAP measure) to Net Loss Excluding Net Special Items (non-GAAP measure)</w:t>
      </w:r>
    </w:p>
    <w:p>
      <w:pPr>
        <w:spacing w:after="0" w:line="225" w:lineRule="auto"/>
        <w:rPr>
          <w:sz w:val="20"/>
          <w:szCs w:val="20"/>
          <w:color w:val="auto"/>
        </w:rPr>
      </w:pPr>
      <w:r>
        <w:rPr>
          <w:rFonts w:ascii="Arial" w:cs="Arial" w:eastAsia="Arial" w:hAnsi="Arial"/>
          <w:sz w:val="10"/>
          <w:szCs w:val="10"/>
          <w:color w:val="auto"/>
        </w:rPr>
        <w:t>–  Basic and Diluted Earnings (Loss) Per Share (GAAP measure) to Basic and Diluted Loss Per Share Excluding Net Special Items (non-GAAP measure)</w:t>
      </w:r>
    </w:p>
    <w:p>
      <w:pPr>
        <w:spacing w:after="0"/>
        <w:rPr>
          <w:sz w:val="20"/>
          <w:szCs w:val="20"/>
          <w:color w:val="auto"/>
        </w:rPr>
      </w:pPr>
      <w:r>
        <w:rPr>
          <w:rFonts w:ascii="Arial" w:cs="Arial" w:eastAsia="Arial" w:hAnsi="Arial"/>
          <w:sz w:val="10"/>
          <w:szCs w:val="10"/>
          <w:color w:val="auto"/>
        </w:rPr>
        <w:t>–  Operating Income (Loss) (GAAP measure) to Operating Loss Excluding Net Special Items (non-GAAP measure)</w:t>
      </w:r>
    </w:p>
    <w:p>
      <w:pPr>
        <w:spacing w:after="0" w:line="47" w:lineRule="exact"/>
        <w:rPr>
          <w:sz w:val="20"/>
          <w:szCs w:val="20"/>
          <w:color w:val="auto"/>
        </w:rPr>
      </w:pPr>
    </w:p>
    <w:p>
      <w:pPr>
        <w:jc w:val="both"/>
        <w:spacing w:after="0" w:line="232" w:lineRule="auto"/>
        <w:rPr>
          <w:sz w:val="20"/>
          <w:szCs w:val="20"/>
          <w:color w:val="auto"/>
        </w:rPr>
      </w:pPr>
      <w:r>
        <w:rPr>
          <w:rFonts w:ascii="Arial" w:cs="Arial" w:eastAsia="Arial" w:hAnsi="Arial"/>
          <w:sz w:val="10"/>
          <w:szCs w:val="10"/>
          <w:color w:val="auto"/>
        </w:rPr>
        <w:t>Management uses these non-GAAP financial measures to evaluate the Company's current operating performance and to allow for period-to-period comparisons. As net special items may vary from period-to-period in nature and amount, the adjustment to exclude net special items allows management an additional tool to understand the Company’s core operating performance.</w:t>
      </w:r>
    </w:p>
    <w:p>
      <w:pPr>
        <w:spacing w:after="0" w:line="48" w:lineRule="exact"/>
        <w:rPr>
          <w:sz w:val="20"/>
          <w:szCs w:val="20"/>
          <w:color w:val="auto"/>
        </w:rPr>
      </w:pPr>
    </w:p>
    <w:p>
      <w:pPr>
        <w:jc w:val="both"/>
        <w:spacing w:after="0" w:line="311" w:lineRule="auto"/>
        <w:rPr>
          <w:sz w:val="20"/>
          <w:szCs w:val="20"/>
          <w:color w:val="auto"/>
        </w:rPr>
      </w:pPr>
      <w:r>
        <w:rPr>
          <w:rFonts w:ascii="Arial" w:cs="Arial" w:eastAsia="Arial" w:hAnsi="Arial"/>
          <w:sz w:val="8"/>
          <w:szCs w:val="8"/>
          <w:color w:val="auto"/>
        </w:rPr>
        <w:t>Additionally, the tables below present the reconciliations of total operating costs (GAAP measure) to total operating costs excluding net special items and fuel (non-GAAP measure) and total operating costs per ASM (CASM) to CASM excluding net special items and fuel. Management uses total operating costs and CASM excluding net special items and aircraft fuel to evaluate the Company's current operating performance and for period-to-period comparisons. The price of fuel, over which the Company has no control, impacts the comparability of period-to-period financial performance. The adjustment to exclude aircraft fuel and net special items allows management an additional tool to understand and analyze the Company’s non-fuel costs and core operating performance.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20" w:type="dxa"/>
            <w:vAlign w:val="bottom"/>
          </w:tcPr>
          <w:p>
            <w:pPr>
              <w:spacing w:after="0"/>
              <w:rPr>
                <w:sz w:val="10"/>
                <w:szCs w:val="10"/>
                <w:color w:val="auto"/>
              </w:rPr>
            </w:pPr>
          </w:p>
        </w:tc>
        <w:tc>
          <w:tcPr>
            <w:tcW w:w="2360" w:type="dxa"/>
            <w:vAlign w:val="bottom"/>
          </w:tcPr>
          <w:p>
            <w:pPr>
              <w:jc w:val="center"/>
              <w:ind w:left="1492"/>
              <w:spacing w:after="0"/>
              <w:rPr>
                <w:sz w:val="20"/>
                <w:szCs w:val="20"/>
                <w:color w:val="auto"/>
              </w:rPr>
            </w:pPr>
            <w:r>
              <w:rPr>
                <w:rFonts w:ascii="Arial" w:cs="Arial" w:eastAsia="Arial" w:hAnsi="Arial"/>
                <w:sz w:val="10"/>
                <w:szCs w:val="10"/>
                <w:color w:val="auto"/>
                <w:w w:val="96"/>
              </w:rPr>
              <w:t>3 Months Ended</w:t>
            </w:r>
          </w:p>
        </w:tc>
        <w:tc>
          <w:tcPr>
            <w:tcW w:w="62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Arial" w:cs="Arial" w:eastAsia="Arial" w:hAnsi="Arial"/>
                <w:sz w:val="10"/>
                <w:szCs w:val="10"/>
                <w:color w:val="auto"/>
                <w:w w:val="92"/>
              </w:rPr>
              <w:t>Percent</w:t>
            </w:r>
          </w:p>
        </w:tc>
        <w:tc>
          <w:tcPr>
            <w:tcW w:w="620" w:type="dxa"/>
            <w:vAlign w:val="bottom"/>
          </w:tcPr>
          <w:p>
            <w:pPr>
              <w:spacing w:after="0"/>
              <w:rPr>
                <w:sz w:val="10"/>
                <w:szCs w:val="10"/>
                <w:color w:val="auto"/>
              </w:rPr>
            </w:pPr>
          </w:p>
        </w:tc>
        <w:tc>
          <w:tcPr>
            <w:tcW w:w="1420" w:type="dxa"/>
            <w:vAlign w:val="bottom"/>
          </w:tcPr>
          <w:p>
            <w:pPr>
              <w:jc w:val="center"/>
              <w:ind w:right="592"/>
              <w:spacing w:after="0"/>
              <w:rPr>
                <w:sz w:val="20"/>
                <w:szCs w:val="20"/>
                <w:color w:val="auto"/>
              </w:rPr>
            </w:pPr>
            <w:r>
              <w:rPr>
                <w:rFonts w:ascii="Arial" w:cs="Arial" w:eastAsia="Arial" w:hAnsi="Arial"/>
                <w:sz w:val="10"/>
                <w:szCs w:val="10"/>
                <w:color w:val="auto"/>
                <w:w w:val="96"/>
              </w:rPr>
              <w:t>6 Months Ended</w:t>
            </w:r>
          </w:p>
        </w:tc>
        <w:tc>
          <w:tcPr>
            <w:tcW w:w="820" w:type="dxa"/>
            <w:vAlign w:val="bottom"/>
          </w:tcPr>
          <w:p>
            <w:pPr>
              <w:jc w:val="center"/>
              <w:ind w:left="312"/>
              <w:spacing w:after="0"/>
              <w:rPr>
                <w:sz w:val="20"/>
                <w:szCs w:val="20"/>
                <w:color w:val="auto"/>
              </w:rPr>
            </w:pPr>
            <w:r>
              <w:rPr>
                <w:rFonts w:ascii="Arial" w:cs="Arial" w:eastAsia="Arial" w:hAnsi="Arial"/>
                <w:sz w:val="10"/>
                <w:szCs w:val="10"/>
                <w:color w:val="auto"/>
                <w:w w:val="98"/>
              </w:rPr>
              <w:t>Percent</w:t>
            </w:r>
          </w:p>
        </w:tc>
        <w:tc>
          <w:tcPr>
            <w:tcW w:w="0" w:type="dxa"/>
            <w:vAlign w:val="bottom"/>
          </w:tcPr>
          <w:p>
            <w:pPr>
              <w:spacing w:after="0"/>
              <w:rPr>
                <w:sz w:val="1"/>
                <w:szCs w:val="1"/>
                <w:color w:val="auto"/>
              </w:rPr>
            </w:pPr>
          </w:p>
        </w:tc>
      </w:tr>
      <w:tr>
        <w:trPr>
          <w:trHeight w:val="129"/>
        </w:trPr>
        <w:tc>
          <w:tcPr>
            <w:tcW w:w="4020" w:type="dxa"/>
            <w:vAlign w:val="bottom"/>
            <w:vMerge w:val="restart"/>
          </w:tcPr>
          <w:p>
            <w:pPr>
              <w:spacing w:after="0"/>
              <w:rPr>
                <w:sz w:val="20"/>
                <w:szCs w:val="20"/>
                <w:color w:val="auto"/>
              </w:rPr>
            </w:pPr>
            <w:r>
              <w:rPr>
                <w:rFonts w:ascii="Arial" w:cs="Arial" w:eastAsia="Arial" w:hAnsi="Arial"/>
                <w:sz w:val="10"/>
                <w:szCs w:val="10"/>
                <w:b w:val="1"/>
                <w:bCs w:val="1"/>
                <w:color w:val="auto"/>
              </w:rPr>
              <w:t>Reconciliation of Pre-Tax Loss Excluding Net Special Items</w:t>
            </w:r>
          </w:p>
        </w:tc>
        <w:tc>
          <w:tcPr>
            <w:tcW w:w="2360" w:type="dxa"/>
            <w:vAlign w:val="bottom"/>
          </w:tcPr>
          <w:p>
            <w:pPr>
              <w:jc w:val="center"/>
              <w:ind w:left="1512"/>
              <w:spacing w:after="0"/>
              <w:rPr>
                <w:sz w:val="20"/>
                <w:szCs w:val="20"/>
                <w:color w:val="auto"/>
              </w:rPr>
            </w:pPr>
            <w:r>
              <w:rPr>
                <w:rFonts w:ascii="Arial" w:cs="Arial" w:eastAsia="Arial" w:hAnsi="Arial"/>
                <w:sz w:val="10"/>
                <w:szCs w:val="10"/>
                <w:color w:val="auto"/>
                <w:w w:val="93"/>
              </w:rPr>
              <w:t>June 30,</w:t>
            </w:r>
          </w:p>
        </w:tc>
        <w:tc>
          <w:tcPr>
            <w:tcW w:w="62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0"/>
                <w:szCs w:val="10"/>
                <w:color w:val="auto"/>
                <w:w w:val="93"/>
              </w:rPr>
              <w:t>Increase</w:t>
            </w:r>
          </w:p>
        </w:tc>
        <w:tc>
          <w:tcPr>
            <w:tcW w:w="620" w:type="dxa"/>
            <w:vAlign w:val="bottom"/>
          </w:tcPr>
          <w:p>
            <w:pPr>
              <w:spacing w:after="0"/>
              <w:rPr>
                <w:sz w:val="11"/>
                <w:szCs w:val="11"/>
                <w:color w:val="auto"/>
              </w:rPr>
            </w:pPr>
          </w:p>
        </w:tc>
        <w:tc>
          <w:tcPr>
            <w:tcW w:w="1420" w:type="dxa"/>
            <w:vAlign w:val="bottom"/>
          </w:tcPr>
          <w:p>
            <w:pPr>
              <w:jc w:val="center"/>
              <w:ind w:right="572"/>
              <w:spacing w:after="0"/>
              <w:rPr>
                <w:sz w:val="20"/>
                <w:szCs w:val="20"/>
                <w:color w:val="auto"/>
              </w:rPr>
            </w:pPr>
            <w:r>
              <w:rPr>
                <w:rFonts w:ascii="Arial" w:cs="Arial" w:eastAsia="Arial" w:hAnsi="Arial"/>
                <w:sz w:val="10"/>
                <w:szCs w:val="10"/>
                <w:color w:val="auto"/>
                <w:w w:val="93"/>
              </w:rPr>
              <w:t>June 30,</w:t>
            </w:r>
          </w:p>
        </w:tc>
        <w:tc>
          <w:tcPr>
            <w:tcW w:w="820" w:type="dxa"/>
            <w:vAlign w:val="bottom"/>
          </w:tcPr>
          <w:p>
            <w:pPr>
              <w:jc w:val="center"/>
              <w:ind w:left="312"/>
              <w:spacing w:after="0"/>
              <w:rPr>
                <w:sz w:val="20"/>
                <w:szCs w:val="20"/>
                <w:color w:val="auto"/>
              </w:rPr>
            </w:pPr>
            <w:r>
              <w:rPr>
                <w:rFonts w:ascii="Arial" w:cs="Arial" w:eastAsia="Arial" w:hAnsi="Arial"/>
                <w:sz w:val="10"/>
                <w:szCs w:val="10"/>
                <w:color w:val="auto"/>
                <w:w w:val="98"/>
              </w:rPr>
              <w:t>Increase</w:t>
            </w:r>
          </w:p>
        </w:tc>
        <w:tc>
          <w:tcPr>
            <w:tcW w:w="0" w:type="dxa"/>
            <w:vAlign w:val="bottom"/>
          </w:tcPr>
          <w:p>
            <w:pPr>
              <w:spacing w:after="0"/>
              <w:rPr>
                <w:sz w:val="1"/>
                <w:szCs w:val="1"/>
                <w:color w:val="auto"/>
              </w:rPr>
            </w:pPr>
          </w:p>
        </w:tc>
      </w:tr>
      <w:tr>
        <w:trPr>
          <w:trHeight w:val="124"/>
        </w:trPr>
        <w:tc>
          <w:tcPr>
            <w:tcW w:w="4020" w:type="dxa"/>
            <w:vAlign w:val="bottom"/>
            <w:vMerge w:val="continue"/>
          </w:tcPr>
          <w:p>
            <w:pPr>
              <w:spacing w:after="0"/>
              <w:rPr>
                <w:sz w:val="10"/>
                <w:szCs w:val="10"/>
                <w:color w:val="auto"/>
              </w:rPr>
            </w:pPr>
          </w:p>
        </w:tc>
        <w:tc>
          <w:tcPr>
            <w:tcW w:w="2360" w:type="dxa"/>
            <w:vAlign w:val="bottom"/>
          </w:tcPr>
          <w:p>
            <w:pPr>
              <w:jc w:val="right"/>
              <w:ind w:right="792"/>
              <w:spacing w:after="0"/>
              <w:rPr>
                <w:sz w:val="20"/>
                <w:szCs w:val="20"/>
                <w:color w:val="auto"/>
              </w:rPr>
            </w:pPr>
            <w:r>
              <w:rPr>
                <w:rFonts w:ascii="Arial" w:cs="Arial" w:eastAsia="Arial" w:hAnsi="Arial"/>
                <w:sz w:val="10"/>
                <w:szCs w:val="10"/>
                <w:color w:val="auto"/>
              </w:rPr>
              <w:t>2021</w:t>
            </w:r>
          </w:p>
        </w:tc>
        <w:tc>
          <w:tcPr>
            <w:tcW w:w="620" w:type="dxa"/>
            <w:vAlign w:val="bottom"/>
          </w:tcPr>
          <w:p>
            <w:pPr>
              <w:jc w:val="right"/>
              <w:ind w:right="312"/>
              <w:spacing w:after="0"/>
              <w:rPr>
                <w:sz w:val="20"/>
                <w:szCs w:val="20"/>
                <w:color w:val="auto"/>
              </w:rPr>
            </w:pPr>
            <w:r>
              <w:rPr>
                <w:rFonts w:ascii="Arial" w:cs="Arial" w:eastAsia="Arial" w:hAnsi="Arial"/>
                <w:sz w:val="10"/>
                <w:szCs w:val="10"/>
                <w:color w:val="auto"/>
              </w:rPr>
              <w:t>2020</w:t>
            </w:r>
          </w:p>
        </w:tc>
        <w:tc>
          <w:tcPr>
            <w:tcW w:w="1200" w:type="dxa"/>
            <w:vAlign w:val="bottom"/>
          </w:tcPr>
          <w:p>
            <w:pPr>
              <w:jc w:val="center"/>
              <w:spacing w:after="0"/>
              <w:rPr>
                <w:sz w:val="20"/>
                <w:szCs w:val="20"/>
                <w:color w:val="auto"/>
              </w:rPr>
            </w:pPr>
            <w:r>
              <w:rPr>
                <w:rFonts w:ascii="Arial" w:cs="Arial" w:eastAsia="Arial" w:hAnsi="Arial"/>
                <w:sz w:val="10"/>
                <w:szCs w:val="10"/>
                <w:color w:val="auto"/>
                <w:w w:val="96"/>
              </w:rPr>
              <w:t>(Decrease)</w:t>
            </w:r>
          </w:p>
        </w:tc>
        <w:tc>
          <w:tcPr>
            <w:tcW w:w="620" w:type="dxa"/>
            <w:vAlign w:val="bottom"/>
          </w:tcPr>
          <w:p>
            <w:pPr>
              <w:jc w:val="right"/>
              <w:spacing w:after="0"/>
              <w:rPr>
                <w:sz w:val="20"/>
                <w:szCs w:val="20"/>
                <w:color w:val="auto"/>
              </w:rPr>
            </w:pPr>
            <w:r>
              <w:rPr>
                <w:rFonts w:ascii="Arial" w:cs="Arial" w:eastAsia="Arial" w:hAnsi="Arial"/>
                <w:sz w:val="10"/>
                <w:szCs w:val="10"/>
                <w:color w:val="auto"/>
              </w:rPr>
              <w:t>2021</w:t>
            </w:r>
          </w:p>
        </w:tc>
        <w:tc>
          <w:tcPr>
            <w:tcW w:w="1420" w:type="dxa"/>
            <w:vAlign w:val="bottom"/>
          </w:tcPr>
          <w:p>
            <w:pPr>
              <w:jc w:val="right"/>
              <w:ind w:right="312"/>
              <w:spacing w:after="0"/>
              <w:rPr>
                <w:sz w:val="20"/>
                <w:szCs w:val="20"/>
                <w:color w:val="auto"/>
              </w:rPr>
            </w:pPr>
            <w:r>
              <w:rPr>
                <w:rFonts w:ascii="Arial" w:cs="Arial" w:eastAsia="Arial" w:hAnsi="Arial"/>
                <w:sz w:val="10"/>
                <w:szCs w:val="10"/>
                <w:color w:val="auto"/>
              </w:rPr>
              <w:t>2020</w:t>
            </w:r>
          </w:p>
        </w:tc>
        <w:tc>
          <w:tcPr>
            <w:tcW w:w="820" w:type="dxa"/>
            <w:vAlign w:val="bottom"/>
          </w:tcPr>
          <w:p>
            <w:pPr>
              <w:jc w:val="center"/>
              <w:ind w:left="312"/>
              <w:spacing w:after="0"/>
              <w:rPr>
                <w:sz w:val="20"/>
                <w:szCs w:val="20"/>
                <w:color w:val="auto"/>
              </w:rPr>
            </w:pPr>
            <w:r>
              <w:rPr>
                <w:rFonts w:ascii="Arial" w:cs="Arial" w:eastAsia="Arial" w:hAnsi="Arial"/>
                <w:sz w:val="10"/>
                <w:szCs w:val="10"/>
                <w:color w:val="auto"/>
                <w:w w:val="92"/>
              </w:rPr>
              <w:t>(Decrease)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p>
      <w:pPr>
        <w:jc w:val="center"/>
        <w:ind w:left="4060"/>
        <w:spacing w:after="0" w:line="221" w:lineRule="auto"/>
        <w:rPr>
          <w:sz w:val="20"/>
          <w:szCs w:val="20"/>
          <w:color w:val="auto"/>
        </w:rPr>
      </w:pPr>
      <w:r>
        <w:rPr>
          <w:rFonts w:ascii="Arial" w:cs="Arial" w:eastAsia="Arial" w:hAnsi="Arial"/>
          <w:sz w:val="8"/>
          <w:szCs w:val="8"/>
          <w:color w:val="auto"/>
        </w:rPr>
        <w:t>(in millions, except share and per</w:t>
      </w:r>
    </w:p>
    <w:p>
      <w:pPr>
        <w:jc w:val="center"/>
        <w:ind w:left="4100"/>
        <w:spacing w:after="0"/>
        <w:rPr>
          <w:sz w:val="20"/>
          <w:szCs w:val="20"/>
          <w:color w:val="auto"/>
        </w:rPr>
      </w:pPr>
      <w:r>
        <w:rPr>
          <w:rFonts w:ascii="Arial" w:cs="Arial" w:eastAsia="Arial" w:hAnsi="Arial"/>
          <w:sz w:val="8"/>
          <w:szCs w:val="8"/>
          <w:color w:val="auto"/>
        </w:rPr>
        <w:t>share amounts)</w:t>
      </w:r>
    </w:p>
    <w:p>
      <w:pPr>
        <w:spacing w:after="0" w:line="20" w:lineRule="exact"/>
        <w:rPr>
          <w:sz w:val="20"/>
          <w:szCs w:val="20"/>
          <w:color w:val="auto"/>
        </w:rPr>
      </w:pPr>
      <w:r>
        <w:rPr>
          <w:sz w:val="20"/>
          <w:szCs w:val="20"/>
          <w:color w:val="auto"/>
        </w:rPr>
        <w:br w:type="column"/>
      </w:r>
    </w:p>
    <w:p>
      <w:pPr>
        <w:jc w:val="center"/>
        <w:ind w:right="1480"/>
        <w:spacing w:after="0" w:line="221" w:lineRule="auto"/>
        <w:rPr>
          <w:sz w:val="20"/>
          <w:szCs w:val="20"/>
          <w:color w:val="auto"/>
        </w:rPr>
      </w:pPr>
      <w:r>
        <w:rPr>
          <w:rFonts w:ascii="Arial" w:cs="Arial" w:eastAsia="Arial" w:hAnsi="Arial"/>
          <w:sz w:val="8"/>
          <w:szCs w:val="8"/>
          <w:color w:val="auto"/>
        </w:rPr>
        <w:t>(in millions, except share and per</w:t>
      </w:r>
    </w:p>
    <w:p>
      <w:pPr>
        <w:jc w:val="center"/>
        <w:ind w:right="1440"/>
        <w:spacing w:after="0"/>
        <w:rPr>
          <w:sz w:val="20"/>
          <w:szCs w:val="20"/>
          <w:color w:val="auto"/>
        </w:rPr>
      </w:pPr>
      <w:r>
        <w:rPr>
          <w:rFonts w:ascii="Arial" w:cs="Arial" w:eastAsia="Arial" w:hAnsi="Arial"/>
          <w:sz w:val="8"/>
          <w:szCs w:val="8"/>
          <w:color w:val="auto"/>
        </w:rPr>
        <w:t>share amounts)</w:t>
      </w:r>
    </w:p>
    <w:p>
      <w:pPr>
        <w:spacing w:after="0" w:line="28" w:lineRule="exact"/>
        <w:rPr>
          <w:sz w:val="20"/>
          <w:szCs w:val="20"/>
          <w:color w:val="auto"/>
        </w:rPr>
      </w:pPr>
    </w:p>
    <w:p>
      <w:pPr>
        <w:sectPr>
          <w:pgSz w:w="11900" w:h="16838" w:orient="portrait"/>
          <w:cols w:equalWidth="0" w:num="2">
            <w:col w:w="7860" w:space="720"/>
            <w:col w:w="2720"/>
          </w:cols>
          <w:pgMar w:left="300" w:top="126" w:right="29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4820" w:type="dxa"/>
            <w:vAlign w:val="bottom"/>
            <w:shd w:val="clear" w:color="auto" w:fill="CCEEFF"/>
          </w:tcPr>
          <w:p>
            <w:pPr>
              <w:spacing w:after="0"/>
              <w:rPr>
                <w:sz w:val="20"/>
                <w:szCs w:val="20"/>
                <w:color w:val="auto"/>
              </w:rPr>
            </w:pPr>
            <w:r>
              <w:rPr>
                <w:rFonts w:ascii="Arial" w:cs="Arial" w:eastAsia="Arial" w:hAnsi="Arial"/>
                <w:sz w:val="10"/>
                <w:szCs w:val="10"/>
                <w:color w:val="auto"/>
              </w:rPr>
              <w:t>Pre-tax income (loss) as reported</w:t>
            </w:r>
          </w:p>
        </w:tc>
        <w:tc>
          <w:tcPr>
            <w:tcW w:w="44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(2,659)</w:t>
            </w:r>
          </w:p>
        </w:tc>
        <w:tc>
          <w:tcPr>
            <w:tcW w:w="112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(1,564)</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(5,549)</w:t>
            </w:r>
          </w:p>
        </w:tc>
        <w:tc>
          <w:tcPr>
            <w:tcW w:w="1020" w:type="dxa"/>
            <w:vAlign w:val="bottom"/>
            <w:shd w:val="clear" w:color="auto" w:fill="CCEEFF"/>
          </w:tcPr>
          <w:p>
            <w:pPr>
              <w:spacing w:after="0"/>
              <w:rPr>
                <w:sz w:val="10"/>
                <w:szCs w:val="10"/>
                <w:color w:val="auto"/>
              </w:rPr>
            </w:pPr>
          </w:p>
        </w:tc>
      </w:tr>
      <w:tr>
        <w:trPr>
          <w:trHeight w:val="126"/>
        </w:trPr>
        <w:tc>
          <w:tcPr>
            <w:tcW w:w="4820" w:type="dxa"/>
            <w:vAlign w:val="bottom"/>
          </w:tcPr>
          <w:p>
            <w:pPr>
              <w:spacing w:after="0"/>
              <w:rPr>
                <w:sz w:val="20"/>
                <w:szCs w:val="20"/>
                <w:color w:val="auto"/>
              </w:rPr>
            </w:pPr>
            <w:r>
              <w:rPr>
                <w:rFonts w:ascii="Arial" w:cs="Arial" w:eastAsia="Arial" w:hAnsi="Arial"/>
                <w:sz w:val="10"/>
                <w:szCs w:val="10"/>
                <w:color w:val="auto"/>
              </w:rPr>
              <w:t>Pre-tax net special items:</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26"/>
        </w:trPr>
        <w:tc>
          <w:tcPr>
            <w:tcW w:w="4820" w:type="dxa"/>
            <w:vAlign w:val="bottom"/>
            <w:shd w:val="clear" w:color="auto" w:fill="CCEEFF"/>
          </w:tcPr>
          <w:p>
            <w:pPr>
              <w:ind w:left="220"/>
              <w:spacing w:after="0" w:line="126" w:lineRule="exact"/>
              <w:rPr>
                <w:sz w:val="20"/>
                <w:szCs w:val="20"/>
                <w:color w:val="auto"/>
              </w:rPr>
            </w:pPr>
            <w:r>
              <w:rPr>
                <w:rFonts w:ascii="Arial" w:cs="Arial" w:eastAsia="Arial" w:hAnsi="Arial"/>
                <w:sz w:val="10"/>
                <w:szCs w:val="10"/>
                <w:color w:val="auto"/>
              </w:rPr>
              <w:t xml:space="preserve">Mainline operating special items, net </w:t>
            </w:r>
            <w:r>
              <w:rPr>
                <w:rFonts w:ascii="Arial" w:cs="Arial" w:eastAsia="Arial" w:hAnsi="Arial"/>
                <w:sz w:val="12"/>
                <w:szCs w:val="12"/>
                <w:color w:val="auto"/>
                <w:vertAlign w:val="superscript"/>
              </w:rPr>
              <w:t>(1)</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(1,288)</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(1,494)</w:t>
            </w:r>
          </w:p>
        </w:tc>
        <w:tc>
          <w:tcPr>
            <w:tcW w:w="1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(2,996)</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(362)</w:t>
            </w:r>
          </w:p>
        </w:tc>
        <w:tc>
          <w:tcPr>
            <w:tcW w:w="1020" w:type="dxa"/>
            <w:vAlign w:val="bottom"/>
            <w:shd w:val="clear" w:color="auto" w:fill="CCEEFF"/>
          </w:tcPr>
          <w:p>
            <w:pPr>
              <w:spacing w:after="0"/>
              <w:rPr>
                <w:sz w:val="10"/>
                <w:szCs w:val="10"/>
                <w:color w:val="auto"/>
              </w:rPr>
            </w:pPr>
          </w:p>
        </w:tc>
      </w:tr>
      <w:tr>
        <w:trPr>
          <w:trHeight w:val="126"/>
        </w:trPr>
        <w:tc>
          <w:tcPr>
            <w:tcW w:w="4820" w:type="dxa"/>
            <w:vAlign w:val="bottom"/>
          </w:tcPr>
          <w:p>
            <w:pPr>
              <w:ind w:left="220"/>
              <w:spacing w:after="0" w:line="126" w:lineRule="exact"/>
              <w:rPr>
                <w:sz w:val="20"/>
                <w:szCs w:val="20"/>
                <w:color w:val="auto"/>
              </w:rPr>
            </w:pPr>
            <w:r>
              <w:rPr>
                <w:rFonts w:ascii="Arial" w:cs="Arial" w:eastAsia="Arial" w:hAnsi="Arial"/>
                <w:sz w:val="10"/>
                <w:szCs w:val="10"/>
                <w:color w:val="auto"/>
              </w:rPr>
              <w:t xml:space="preserve">Regional operating special items, net </w:t>
            </w:r>
            <w:r>
              <w:rPr>
                <w:rFonts w:ascii="Arial" w:cs="Arial" w:eastAsia="Arial" w:hAnsi="Arial"/>
                <w:sz w:val="12"/>
                <w:szCs w:val="12"/>
                <w:color w:val="auto"/>
                <w:vertAlign w:val="superscript"/>
              </w:rPr>
              <w:t>(2)</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(167)</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(178)</w:t>
            </w: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(381)</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(85)</w:t>
            </w:r>
          </w:p>
        </w:tc>
        <w:tc>
          <w:tcPr>
            <w:tcW w:w="1020" w:type="dxa"/>
            <w:vAlign w:val="bottom"/>
          </w:tcPr>
          <w:p>
            <w:pPr>
              <w:spacing w:after="0"/>
              <w:rPr>
                <w:sz w:val="10"/>
                <w:szCs w:val="10"/>
                <w:color w:val="auto"/>
              </w:rPr>
            </w:pPr>
          </w:p>
        </w:tc>
      </w:tr>
      <w:tr>
        <w:trPr>
          <w:trHeight w:val="126"/>
        </w:trPr>
        <w:tc>
          <w:tcPr>
            <w:tcW w:w="4820" w:type="dxa"/>
            <w:vAlign w:val="bottom"/>
            <w:shd w:val="clear" w:color="auto" w:fill="CCEEFF"/>
          </w:tcPr>
          <w:p>
            <w:pPr>
              <w:ind w:left="220"/>
              <w:spacing w:after="0" w:line="126" w:lineRule="exact"/>
              <w:rPr>
                <w:sz w:val="20"/>
                <w:szCs w:val="20"/>
                <w:color w:val="auto"/>
              </w:rPr>
            </w:pPr>
            <w:r>
              <w:rPr>
                <w:rFonts w:ascii="Arial" w:cs="Arial" w:eastAsia="Arial" w:hAnsi="Arial"/>
                <w:sz w:val="10"/>
                <w:szCs w:val="10"/>
                <w:color w:val="auto"/>
              </w:rPr>
              <w:t xml:space="preserve">Nonoperating special items, net </w:t>
            </w:r>
            <w:r>
              <w:rPr>
                <w:rFonts w:ascii="Arial" w:cs="Arial" w:eastAsia="Arial" w:hAnsi="Arial"/>
                <w:sz w:val="12"/>
                <w:szCs w:val="12"/>
                <w:color w:val="auto"/>
                <w:vertAlign w:val="superscript"/>
              </w:rPr>
              <w:t>(3)</w:t>
            </w:r>
          </w:p>
        </w:tc>
        <w:tc>
          <w:tcPr>
            <w:tcW w:w="8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10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112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13</w:t>
            </w:r>
          </w:p>
        </w:tc>
        <w:tc>
          <w:tcPr>
            <w:tcW w:w="8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228</w:t>
            </w:r>
          </w:p>
        </w:tc>
        <w:tc>
          <w:tcPr>
            <w:tcW w:w="1020" w:type="dxa"/>
            <w:vAlign w:val="bottom"/>
            <w:shd w:val="clear" w:color="auto" w:fill="CCEEFF"/>
          </w:tcPr>
          <w:p>
            <w:pPr>
              <w:spacing w:after="0"/>
              <w:rPr>
                <w:sz w:val="10"/>
                <w:szCs w:val="10"/>
                <w:color w:val="auto"/>
              </w:rPr>
            </w:pPr>
          </w:p>
        </w:tc>
      </w:tr>
      <w:tr>
        <w:trPr>
          <w:trHeight w:val="115"/>
        </w:trPr>
        <w:tc>
          <w:tcPr>
            <w:tcW w:w="4820" w:type="dxa"/>
            <w:vAlign w:val="bottom"/>
          </w:tcPr>
          <w:p>
            <w:pPr>
              <w:spacing w:after="0"/>
              <w:rPr>
                <w:sz w:val="20"/>
                <w:szCs w:val="20"/>
                <w:color w:val="auto"/>
              </w:rPr>
            </w:pPr>
            <w:r>
              <w:rPr>
                <w:rFonts w:ascii="Arial" w:cs="Arial" w:eastAsia="Arial" w:hAnsi="Arial"/>
                <w:sz w:val="10"/>
                <w:szCs w:val="10"/>
                <w:color w:val="auto"/>
              </w:rPr>
              <w:t>Total pre-tax net special items</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(1,418)</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(1,661)</w:t>
            </w: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(3,364)</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(219)</w:t>
            </w:r>
          </w:p>
        </w:tc>
        <w:tc>
          <w:tcPr>
            <w:tcW w:w="1020" w:type="dxa"/>
            <w:vAlign w:val="bottom"/>
          </w:tcPr>
          <w:p>
            <w:pPr>
              <w:spacing w:after="0"/>
              <w:rPr>
                <w:sz w:val="10"/>
                <w:szCs w:val="10"/>
                <w:color w:val="auto"/>
              </w:rPr>
            </w:pPr>
          </w:p>
        </w:tc>
      </w:tr>
      <w:tr>
        <w:trPr>
          <w:trHeight w:val="162"/>
        </w:trPr>
        <w:tc>
          <w:tcPr>
            <w:tcW w:w="4820" w:type="dxa"/>
            <w:vAlign w:val="bottom"/>
            <w:shd w:val="clear" w:color="auto" w:fill="CCEEFF"/>
          </w:tcPr>
          <w:p>
            <w:pPr>
              <w:spacing w:after="0"/>
              <w:rPr>
                <w:sz w:val="20"/>
                <w:szCs w:val="20"/>
                <w:color w:val="auto"/>
              </w:rPr>
            </w:pPr>
            <w:r>
              <w:rPr>
                <w:rFonts w:ascii="Arial" w:cs="Arial" w:eastAsia="Arial" w:hAnsi="Arial"/>
                <w:sz w:val="10"/>
                <w:szCs w:val="10"/>
                <w:color w:val="auto"/>
              </w:rPr>
              <w:t>Pre-tax loss excluding net special items</w:t>
            </w:r>
          </w:p>
        </w:tc>
        <w:tc>
          <w:tcPr>
            <w:tcW w:w="44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(1,409)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(4,320)</w:t>
            </w:r>
          </w:p>
        </w:tc>
        <w:tc>
          <w:tcPr>
            <w:tcW w:w="112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rPr>
              <w:t>(67.4%)</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(4,928)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(5,768)</w:t>
            </w: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rPr>
              <w:t>(14.6%)</w:t>
            </w:r>
          </w:p>
        </w:tc>
      </w:tr>
      <w:tr>
        <w:trPr>
          <w:trHeight w:val="108"/>
        </w:trPr>
        <w:tc>
          <w:tcPr>
            <w:tcW w:w="4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26"/>
        </w:trPr>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rPr>
              <w:t>Calculation of Pre-Tax Margin</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15"/>
        </w:trPr>
        <w:tc>
          <w:tcPr>
            <w:tcW w:w="4820" w:type="dxa"/>
            <w:vAlign w:val="bottom"/>
          </w:tcPr>
          <w:p>
            <w:pPr>
              <w:spacing w:after="0"/>
              <w:rPr>
                <w:sz w:val="20"/>
                <w:szCs w:val="20"/>
                <w:color w:val="auto"/>
              </w:rPr>
            </w:pPr>
            <w:r>
              <w:rPr>
                <w:rFonts w:ascii="Arial" w:cs="Arial" w:eastAsia="Arial" w:hAnsi="Arial"/>
                <w:sz w:val="10"/>
                <w:szCs w:val="10"/>
                <w:color w:val="auto"/>
              </w:rPr>
              <w:t>Pre-tax income (loss) as reported</w:t>
            </w:r>
          </w:p>
        </w:tc>
        <w:tc>
          <w:tcPr>
            <w:tcW w:w="440" w:type="dxa"/>
            <w:vAlign w:val="bottom"/>
            <w:gridSpan w:val="2"/>
          </w:tcPr>
          <w:p>
            <w:pPr>
              <w:jc w:val="right"/>
              <w:ind w:right="23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0"/>
                <w:szCs w:val="10"/>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(2,659)</w:t>
            </w:r>
          </w:p>
        </w:tc>
        <w:tc>
          <w:tcPr>
            <w:tcW w:w="1120" w:type="dxa"/>
            <w:vAlign w:val="bottom"/>
          </w:tcPr>
          <w:p>
            <w:pPr>
              <w:spacing w:after="0"/>
              <w:rPr>
                <w:sz w:val="10"/>
                <w:szCs w:val="10"/>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(1,564)</w:t>
            </w:r>
          </w:p>
        </w:tc>
        <w:tc>
          <w:tcPr>
            <w:tcW w:w="80" w:type="dxa"/>
            <w:vAlign w:val="bottom"/>
          </w:tcPr>
          <w:p>
            <w:pPr>
              <w:spacing w:after="0"/>
              <w:rPr>
                <w:sz w:val="10"/>
                <w:szCs w:val="10"/>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(5,549)</w:t>
            </w:r>
          </w:p>
        </w:tc>
        <w:tc>
          <w:tcPr>
            <w:tcW w:w="1020" w:type="dxa"/>
            <w:vAlign w:val="bottom"/>
          </w:tcPr>
          <w:p>
            <w:pPr>
              <w:spacing w:after="0"/>
              <w:rPr>
                <w:sz w:val="10"/>
                <w:szCs w:val="10"/>
                <w:color w:val="auto"/>
              </w:rPr>
            </w:pPr>
          </w:p>
        </w:tc>
      </w:tr>
      <w:tr>
        <w:trPr>
          <w:trHeight w:val="126"/>
        </w:trPr>
        <w:tc>
          <w:tcPr>
            <w:tcW w:w="4820" w:type="dxa"/>
            <w:vAlign w:val="bottom"/>
            <w:shd w:val="clear" w:color="auto" w:fill="CCEEFF"/>
          </w:tcPr>
          <w:p>
            <w:pPr>
              <w:spacing w:after="0"/>
              <w:rPr>
                <w:sz w:val="20"/>
                <w:szCs w:val="20"/>
                <w:color w:val="auto"/>
              </w:rPr>
            </w:pPr>
            <w:r>
              <w:rPr>
                <w:rFonts w:ascii="Arial" w:cs="Arial" w:eastAsia="Arial" w:hAnsi="Arial"/>
                <w:sz w:val="10"/>
                <w:szCs w:val="10"/>
                <w:color w:val="auto"/>
              </w:rPr>
              <w:t>Total operating revenues as reported</w:t>
            </w:r>
          </w:p>
        </w:tc>
        <w:tc>
          <w:tcPr>
            <w:tcW w:w="44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7,478</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1,622</w:t>
            </w:r>
          </w:p>
        </w:tc>
        <w:tc>
          <w:tcPr>
            <w:tcW w:w="112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11,486</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10,137</w:t>
            </w:r>
          </w:p>
        </w:tc>
        <w:tc>
          <w:tcPr>
            <w:tcW w:w="1020" w:type="dxa"/>
            <w:vAlign w:val="bottom"/>
            <w:shd w:val="clear" w:color="auto" w:fill="CCEEFF"/>
          </w:tcPr>
          <w:p>
            <w:pPr>
              <w:spacing w:after="0"/>
              <w:rPr>
                <w:sz w:val="10"/>
                <w:szCs w:val="10"/>
                <w:color w:val="auto"/>
              </w:rPr>
            </w:pPr>
          </w:p>
        </w:tc>
      </w:tr>
      <w:tr>
        <w:trPr>
          <w:trHeight w:val="126"/>
        </w:trPr>
        <w:tc>
          <w:tcPr>
            <w:tcW w:w="4820" w:type="dxa"/>
            <w:vAlign w:val="bottom"/>
          </w:tcPr>
          <w:p>
            <w:pPr>
              <w:spacing w:after="0"/>
              <w:rPr>
                <w:sz w:val="20"/>
                <w:szCs w:val="20"/>
                <w:color w:val="auto"/>
              </w:rPr>
            </w:pPr>
            <w:r>
              <w:rPr>
                <w:rFonts w:ascii="Arial" w:cs="Arial" w:eastAsia="Arial" w:hAnsi="Arial"/>
                <w:sz w:val="10"/>
                <w:szCs w:val="10"/>
                <w:color w:val="auto"/>
              </w:rPr>
              <w:t>Pre-tax margin</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0.1%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(163.9%)</w:t>
            </w: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(13.6%)</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(54.7%)</w:t>
            </w:r>
          </w:p>
        </w:tc>
        <w:tc>
          <w:tcPr>
            <w:tcW w:w="1020" w:type="dxa"/>
            <w:vAlign w:val="bottom"/>
          </w:tcPr>
          <w:p>
            <w:pPr>
              <w:spacing w:after="0"/>
              <w:rPr>
                <w:sz w:val="10"/>
                <w:szCs w:val="10"/>
                <w:color w:val="auto"/>
              </w:rPr>
            </w:pPr>
          </w:p>
        </w:tc>
      </w:tr>
      <w:tr>
        <w:trPr>
          <w:trHeight w:val="108"/>
        </w:trPr>
        <w:tc>
          <w:tcPr>
            <w:tcW w:w="4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126"/>
        </w:trPr>
        <w:tc>
          <w:tcPr>
            <w:tcW w:w="48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Calculation of Pre-Tax Margin Excluding Net Special Items</w:t>
            </w: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tcPr>
          <w:p>
            <w:pPr>
              <w:spacing w:after="0"/>
              <w:rPr>
                <w:sz w:val="10"/>
                <w:szCs w:val="10"/>
                <w:color w:val="auto"/>
              </w:rPr>
            </w:pPr>
          </w:p>
        </w:tc>
        <w:tc>
          <w:tcPr>
            <w:tcW w:w="660" w:type="dxa"/>
            <w:vAlign w:val="bottom"/>
            <w:tcBorders>
              <w:bottom w:val="single" w:sz="8" w:color="CCEEFF"/>
            </w:tcBorders>
          </w:tcPr>
          <w:p>
            <w:pPr>
              <w:spacing w:after="0"/>
              <w:rPr>
                <w:sz w:val="10"/>
                <w:szCs w:val="10"/>
                <w:color w:val="auto"/>
              </w:rPr>
            </w:pPr>
          </w:p>
        </w:tc>
        <w:tc>
          <w:tcPr>
            <w:tcW w:w="112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1020" w:type="dxa"/>
            <w:vAlign w:val="bottom"/>
            <w:tcBorders>
              <w:bottom w:val="single" w:sz="8" w:color="CCEEFF"/>
            </w:tcBorders>
          </w:tcPr>
          <w:p>
            <w:pPr>
              <w:spacing w:after="0"/>
              <w:rPr>
                <w:sz w:val="10"/>
                <w:szCs w:val="10"/>
                <w:color w:val="auto"/>
              </w:rPr>
            </w:pPr>
          </w:p>
        </w:tc>
      </w:tr>
      <w:tr>
        <w:trPr>
          <w:trHeight w:val="115"/>
        </w:trPr>
        <w:tc>
          <w:tcPr>
            <w:tcW w:w="4820" w:type="dxa"/>
            <w:vAlign w:val="bottom"/>
            <w:shd w:val="clear" w:color="auto" w:fill="CCEEFF"/>
          </w:tcPr>
          <w:p>
            <w:pPr>
              <w:spacing w:after="0"/>
              <w:rPr>
                <w:sz w:val="20"/>
                <w:szCs w:val="20"/>
                <w:color w:val="auto"/>
              </w:rPr>
            </w:pPr>
            <w:r>
              <w:rPr>
                <w:rFonts w:ascii="Arial" w:cs="Arial" w:eastAsia="Arial" w:hAnsi="Arial"/>
                <w:sz w:val="10"/>
                <w:szCs w:val="10"/>
                <w:color w:val="auto"/>
              </w:rPr>
              <w:t>Pre-tax loss excluding net special items</w:t>
            </w:r>
          </w:p>
        </w:tc>
        <w:tc>
          <w:tcPr>
            <w:tcW w:w="44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(1,409)</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(4,320)</w:t>
            </w:r>
          </w:p>
        </w:tc>
        <w:tc>
          <w:tcPr>
            <w:tcW w:w="112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(4,928)</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(5,768)</w:t>
            </w:r>
          </w:p>
        </w:tc>
        <w:tc>
          <w:tcPr>
            <w:tcW w:w="1020" w:type="dxa"/>
            <w:vAlign w:val="bottom"/>
            <w:shd w:val="clear" w:color="auto" w:fill="CCEEFF"/>
          </w:tcPr>
          <w:p>
            <w:pPr>
              <w:spacing w:after="0"/>
              <w:rPr>
                <w:sz w:val="10"/>
                <w:szCs w:val="10"/>
                <w:color w:val="auto"/>
              </w:rPr>
            </w:pPr>
          </w:p>
        </w:tc>
      </w:tr>
      <w:tr>
        <w:trPr>
          <w:trHeight w:val="126"/>
        </w:trPr>
        <w:tc>
          <w:tcPr>
            <w:tcW w:w="4820" w:type="dxa"/>
            <w:vAlign w:val="bottom"/>
          </w:tcPr>
          <w:p>
            <w:pPr>
              <w:spacing w:after="0"/>
              <w:rPr>
                <w:sz w:val="20"/>
                <w:szCs w:val="20"/>
                <w:color w:val="auto"/>
              </w:rPr>
            </w:pPr>
            <w:r>
              <w:rPr>
                <w:rFonts w:ascii="Arial" w:cs="Arial" w:eastAsia="Arial" w:hAnsi="Arial"/>
                <w:sz w:val="10"/>
                <w:szCs w:val="10"/>
                <w:color w:val="auto"/>
              </w:rPr>
              <w:t>Total operating revenues as reported</w:t>
            </w:r>
          </w:p>
        </w:tc>
        <w:tc>
          <w:tcPr>
            <w:tcW w:w="440" w:type="dxa"/>
            <w:vAlign w:val="bottom"/>
            <w:gridSpan w:val="2"/>
          </w:tcPr>
          <w:p>
            <w:pPr>
              <w:jc w:val="right"/>
              <w:ind w:right="23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7,478</w:t>
            </w:r>
          </w:p>
        </w:tc>
        <w:tc>
          <w:tcPr>
            <w:tcW w:w="100" w:type="dxa"/>
            <w:vAlign w:val="bottom"/>
          </w:tcPr>
          <w:p>
            <w:pPr>
              <w:spacing w:after="0"/>
              <w:rPr>
                <w:sz w:val="10"/>
                <w:szCs w:val="10"/>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1,622</w:t>
            </w:r>
          </w:p>
        </w:tc>
        <w:tc>
          <w:tcPr>
            <w:tcW w:w="1120" w:type="dxa"/>
            <w:vAlign w:val="bottom"/>
          </w:tcPr>
          <w:p>
            <w:pPr>
              <w:spacing w:after="0"/>
              <w:rPr>
                <w:sz w:val="10"/>
                <w:szCs w:val="10"/>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2"/>
              <w:spacing w:after="0"/>
              <w:rPr>
                <w:sz w:val="20"/>
                <w:szCs w:val="20"/>
                <w:color w:val="auto"/>
              </w:rPr>
            </w:pPr>
            <w:r>
              <w:rPr>
                <w:rFonts w:ascii="Arial" w:cs="Arial" w:eastAsia="Arial" w:hAnsi="Arial"/>
                <w:sz w:val="10"/>
                <w:szCs w:val="10"/>
                <w:color w:val="auto"/>
              </w:rPr>
              <w:t>11,486</w:t>
            </w:r>
          </w:p>
        </w:tc>
        <w:tc>
          <w:tcPr>
            <w:tcW w:w="80" w:type="dxa"/>
            <w:vAlign w:val="bottom"/>
          </w:tcPr>
          <w:p>
            <w:pPr>
              <w:spacing w:after="0"/>
              <w:rPr>
                <w:sz w:val="10"/>
                <w:szCs w:val="10"/>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10,137</w:t>
            </w:r>
          </w:p>
        </w:tc>
        <w:tc>
          <w:tcPr>
            <w:tcW w:w="1020" w:type="dxa"/>
            <w:vAlign w:val="bottom"/>
          </w:tcPr>
          <w:p>
            <w:pPr>
              <w:spacing w:after="0"/>
              <w:rPr>
                <w:sz w:val="10"/>
                <w:szCs w:val="10"/>
                <w:color w:val="auto"/>
              </w:rPr>
            </w:pPr>
          </w:p>
        </w:tc>
      </w:tr>
      <w:tr>
        <w:trPr>
          <w:trHeight w:val="126"/>
        </w:trPr>
        <w:tc>
          <w:tcPr>
            <w:tcW w:w="4820" w:type="dxa"/>
            <w:vAlign w:val="bottom"/>
            <w:shd w:val="clear" w:color="auto" w:fill="CCEEFF"/>
          </w:tcPr>
          <w:p>
            <w:pPr>
              <w:spacing w:after="0"/>
              <w:rPr>
                <w:sz w:val="20"/>
                <w:szCs w:val="20"/>
                <w:color w:val="auto"/>
              </w:rPr>
            </w:pPr>
            <w:r>
              <w:rPr>
                <w:rFonts w:ascii="Arial" w:cs="Arial" w:eastAsia="Arial" w:hAnsi="Arial"/>
                <w:sz w:val="10"/>
                <w:szCs w:val="10"/>
                <w:color w:val="auto"/>
              </w:rPr>
              <w:t>Pre-tax margin excluding net special items</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(18.8%)</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(266.3%)</w:t>
            </w:r>
          </w:p>
        </w:tc>
        <w:tc>
          <w:tcPr>
            <w:tcW w:w="1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(42.9%)</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(56.9%)</w:t>
            </w:r>
          </w:p>
        </w:tc>
        <w:tc>
          <w:tcPr>
            <w:tcW w:w="1020" w:type="dxa"/>
            <w:vAlign w:val="bottom"/>
            <w:shd w:val="clear" w:color="auto" w:fill="CCEEFF"/>
          </w:tcPr>
          <w:p>
            <w:pPr>
              <w:spacing w:after="0"/>
              <w:rPr>
                <w:sz w:val="10"/>
                <w:szCs w:val="10"/>
                <w:color w:val="auto"/>
              </w:rPr>
            </w:pPr>
          </w:p>
        </w:tc>
      </w:tr>
      <w:tr>
        <w:trPr>
          <w:trHeight w:val="108"/>
        </w:trPr>
        <w:tc>
          <w:tcPr>
            <w:tcW w:w="4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26"/>
        </w:trPr>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rPr>
              <w:t>Reconciliation of Net Loss Excluding Net Special Items</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15"/>
        </w:trPr>
        <w:tc>
          <w:tcPr>
            <w:tcW w:w="4820" w:type="dxa"/>
            <w:vAlign w:val="bottom"/>
          </w:tcPr>
          <w:p>
            <w:pPr>
              <w:spacing w:after="0"/>
              <w:rPr>
                <w:sz w:val="20"/>
                <w:szCs w:val="20"/>
                <w:color w:val="auto"/>
              </w:rPr>
            </w:pPr>
            <w:r>
              <w:rPr>
                <w:rFonts w:ascii="Arial" w:cs="Arial" w:eastAsia="Arial" w:hAnsi="Arial"/>
                <w:sz w:val="10"/>
                <w:szCs w:val="10"/>
                <w:color w:val="auto"/>
              </w:rPr>
              <w:t>Net income (loss) as reported</w:t>
            </w:r>
          </w:p>
        </w:tc>
        <w:tc>
          <w:tcPr>
            <w:tcW w:w="440" w:type="dxa"/>
            <w:vAlign w:val="bottom"/>
            <w:gridSpan w:val="2"/>
          </w:tcPr>
          <w:p>
            <w:pPr>
              <w:jc w:val="right"/>
              <w:ind w:right="23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19</w:t>
            </w:r>
          </w:p>
        </w:tc>
        <w:tc>
          <w:tcPr>
            <w:tcW w:w="100" w:type="dxa"/>
            <w:vAlign w:val="bottom"/>
          </w:tcPr>
          <w:p>
            <w:pPr>
              <w:spacing w:after="0"/>
              <w:rPr>
                <w:sz w:val="10"/>
                <w:szCs w:val="10"/>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(2,067)</w:t>
            </w:r>
          </w:p>
        </w:tc>
        <w:tc>
          <w:tcPr>
            <w:tcW w:w="1120" w:type="dxa"/>
            <w:vAlign w:val="bottom"/>
          </w:tcPr>
          <w:p>
            <w:pPr>
              <w:spacing w:after="0"/>
              <w:rPr>
                <w:sz w:val="10"/>
                <w:szCs w:val="10"/>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(1,231)</w:t>
            </w:r>
          </w:p>
        </w:tc>
        <w:tc>
          <w:tcPr>
            <w:tcW w:w="80" w:type="dxa"/>
            <w:vAlign w:val="bottom"/>
          </w:tcPr>
          <w:p>
            <w:pPr>
              <w:spacing w:after="0"/>
              <w:rPr>
                <w:sz w:val="10"/>
                <w:szCs w:val="10"/>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(4,308)</w:t>
            </w:r>
          </w:p>
        </w:tc>
        <w:tc>
          <w:tcPr>
            <w:tcW w:w="1020" w:type="dxa"/>
            <w:vAlign w:val="bottom"/>
          </w:tcPr>
          <w:p>
            <w:pPr>
              <w:spacing w:after="0"/>
              <w:rPr>
                <w:sz w:val="10"/>
                <w:szCs w:val="10"/>
                <w:color w:val="auto"/>
              </w:rPr>
            </w:pPr>
          </w:p>
        </w:tc>
      </w:tr>
      <w:tr>
        <w:trPr>
          <w:trHeight w:val="126"/>
        </w:trPr>
        <w:tc>
          <w:tcPr>
            <w:tcW w:w="4820" w:type="dxa"/>
            <w:vAlign w:val="bottom"/>
            <w:shd w:val="clear" w:color="auto" w:fill="CCEEFF"/>
          </w:tcPr>
          <w:p>
            <w:pPr>
              <w:spacing w:after="0"/>
              <w:rPr>
                <w:sz w:val="20"/>
                <w:szCs w:val="20"/>
                <w:color w:val="auto"/>
              </w:rPr>
            </w:pPr>
            <w:r>
              <w:rPr>
                <w:rFonts w:ascii="Arial" w:cs="Arial" w:eastAsia="Arial" w:hAnsi="Arial"/>
                <w:sz w:val="10"/>
                <w:szCs w:val="10"/>
                <w:color w:val="auto"/>
              </w:rPr>
              <w:t>Net special items:</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26"/>
        </w:trPr>
        <w:tc>
          <w:tcPr>
            <w:tcW w:w="4820" w:type="dxa"/>
            <w:vAlign w:val="bottom"/>
          </w:tcPr>
          <w:p>
            <w:pPr>
              <w:ind w:left="220"/>
              <w:spacing w:after="0" w:line="126" w:lineRule="exact"/>
              <w:rPr>
                <w:sz w:val="20"/>
                <w:szCs w:val="20"/>
                <w:color w:val="auto"/>
              </w:rPr>
            </w:pPr>
            <w:r>
              <w:rPr>
                <w:rFonts w:ascii="Arial" w:cs="Arial" w:eastAsia="Arial" w:hAnsi="Arial"/>
                <w:sz w:val="10"/>
                <w:szCs w:val="10"/>
                <w:color w:val="auto"/>
              </w:rPr>
              <w:t xml:space="preserve">Total pre-tax net special items </w:t>
            </w:r>
            <w:r>
              <w:rPr>
                <w:rFonts w:ascii="Arial" w:cs="Arial" w:eastAsia="Arial" w:hAnsi="Arial"/>
                <w:sz w:val="12"/>
                <w:szCs w:val="12"/>
                <w:color w:val="auto"/>
                <w:vertAlign w:val="superscript"/>
              </w:rPr>
              <w:t>(1), (2), (3)</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(1,418)</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(1,661)</w:t>
            </w: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(3,364)</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(219)</w:t>
            </w:r>
          </w:p>
        </w:tc>
        <w:tc>
          <w:tcPr>
            <w:tcW w:w="1020" w:type="dxa"/>
            <w:vAlign w:val="bottom"/>
          </w:tcPr>
          <w:p>
            <w:pPr>
              <w:spacing w:after="0"/>
              <w:rPr>
                <w:sz w:val="10"/>
                <w:szCs w:val="10"/>
                <w:color w:val="auto"/>
              </w:rPr>
            </w:pPr>
          </w:p>
        </w:tc>
      </w:tr>
      <w:tr>
        <w:trPr>
          <w:trHeight w:val="126"/>
        </w:trPr>
        <w:tc>
          <w:tcPr>
            <w:tcW w:w="48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Net tax effect of net special items</w:t>
            </w:r>
          </w:p>
        </w:tc>
        <w:tc>
          <w:tcPr>
            <w:tcW w:w="8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309</w:t>
            </w:r>
          </w:p>
        </w:tc>
        <w:tc>
          <w:tcPr>
            <w:tcW w:w="10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374</w:t>
            </w:r>
          </w:p>
        </w:tc>
        <w:tc>
          <w:tcPr>
            <w:tcW w:w="112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762</w:t>
            </w:r>
          </w:p>
        </w:tc>
        <w:tc>
          <w:tcPr>
            <w:tcW w:w="8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w:t>
            </w:r>
          </w:p>
        </w:tc>
        <w:tc>
          <w:tcPr>
            <w:tcW w:w="1020" w:type="dxa"/>
            <w:vAlign w:val="bottom"/>
            <w:shd w:val="clear" w:color="auto" w:fill="CCEEFF"/>
          </w:tcPr>
          <w:p>
            <w:pPr>
              <w:spacing w:after="0"/>
              <w:rPr>
                <w:sz w:val="10"/>
                <w:szCs w:val="10"/>
                <w:color w:val="auto"/>
              </w:rPr>
            </w:pPr>
          </w:p>
        </w:tc>
      </w:tr>
      <w:tr>
        <w:trPr>
          <w:trHeight w:val="115"/>
        </w:trPr>
        <w:tc>
          <w:tcPr>
            <w:tcW w:w="4820" w:type="dxa"/>
            <w:vAlign w:val="bottom"/>
          </w:tcPr>
          <w:p>
            <w:pPr>
              <w:spacing w:after="0"/>
              <w:rPr>
                <w:sz w:val="20"/>
                <w:szCs w:val="20"/>
                <w:color w:val="auto"/>
              </w:rPr>
            </w:pPr>
            <w:r>
              <w:rPr>
                <w:rFonts w:ascii="Arial" w:cs="Arial" w:eastAsia="Arial" w:hAnsi="Arial"/>
                <w:sz w:val="10"/>
                <w:szCs w:val="10"/>
                <w:color w:val="auto"/>
              </w:rPr>
              <w:t>Net loss excluding net special items</w:t>
            </w:r>
          </w:p>
        </w:tc>
        <w:tc>
          <w:tcPr>
            <w:tcW w:w="440" w:type="dxa"/>
            <w:vAlign w:val="bottom"/>
            <w:gridSpan w:val="2"/>
          </w:tcPr>
          <w:p>
            <w:pPr>
              <w:jc w:val="right"/>
              <w:ind w:right="232"/>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(1,090)</w:t>
            </w:r>
          </w:p>
        </w:tc>
        <w:tc>
          <w:tcPr>
            <w:tcW w:w="100" w:type="dxa"/>
            <w:vAlign w:val="bottom"/>
          </w:tcPr>
          <w:p>
            <w:pPr>
              <w:spacing w:after="0"/>
              <w:rPr>
                <w:sz w:val="10"/>
                <w:szCs w:val="10"/>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(3,354)</w:t>
            </w:r>
          </w:p>
        </w:tc>
        <w:tc>
          <w:tcPr>
            <w:tcW w:w="1120" w:type="dxa"/>
            <w:vAlign w:val="bottom"/>
          </w:tcPr>
          <w:p>
            <w:pPr>
              <w:jc w:val="right"/>
              <w:ind w:right="352"/>
              <w:spacing w:after="0"/>
              <w:rPr>
                <w:sz w:val="20"/>
                <w:szCs w:val="20"/>
                <w:color w:val="auto"/>
              </w:rPr>
            </w:pPr>
            <w:r>
              <w:rPr>
                <w:rFonts w:ascii="Arial" w:cs="Arial" w:eastAsia="Arial" w:hAnsi="Arial"/>
                <w:sz w:val="10"/>
                <w:szCs w:val="10"/>
                <w:color w:val="auto"/>
              </w:rPr>
              <w:t>(67.5%)</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(3,833)</w:t>
            </w:r>
          </w:p>
        </w:tc>
        <w:tc>
          <w:tcPr>
            <w:tcW w:w="80" w:type="dxa"/>
            <w:vAlign w:val="bottom"/>
          </w:tcPr>
          <w:p>
            <w:pPr>
              <w:spacing w:after="0"/>
              <w:rPr>
                <w:sz w:val="10"/>
                <w:szCs w:val="10"/>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(4,483)</w:t>
            </w:r>
          </w:p>
        </w:tc>
        <w:tc>
          <w:tcPr>
            <w:tcW w:w="1020" w:type="dxa"/>
            <w:vAlign w:val="bottom"/>
          </w:tcPr>
          <w:p>
            <w:pPr>
              <w:jc w:val="right"/>
              <w:ind w:right="252"/>
              <w:spacing w:after="0"/>
              <w:rPr>
                <w:sz w:val="20"/>
                <w:szCs w:val="20"/>
                <w:color w:val="auto"/>
              </w:rPr>
            </w:pPr>
            <w:r>
              <w:rPr>
                <w:rFonts w:ascii="Arial" w:cs="Arial" w:eastAsia="Arial" w:hAnsi="Arial"/>
                <w:sz w:val="10"/>
                <w:szCs w:val="10"/>
                <w:color w:val="auto"/>
              </w:rPr>
              <w:t>(14.5%)</w:t>
            </w:r>
          </w:p>
        </w:tc>
      </w:tr>
      <w:tr>
        <w:trPr>
          <w:trHeight w:val="108"/>
        </w:trPr>
        <w:tc>
          <w:tcPr>
            <w:tcW w:w="4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126"/>
        </w:trPr>
        <w:tc>
          <w:tcPr>
            <w:tcW w:w="48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Reconciliation of Basic and Diluted Loss Per Share Excluding Net Special Items</w:t>
            </w: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tcPr>
          <w:p>
            <w:pPr>
              <w:spacing w:after="0"/>
              <w:rPr>
                <w:sz w:val="10"/>
                <w:szCs w:val="10"/>
                <w:color w:val="auto"/>
              </w:rPr>
            </w:pPr>
          </w:p>
        </w:tc>
        <w:tc>
          <w:tcPr>
            <w:tcW w:w="660" w:type="dxa"/>
            <w:vAlign w:val="bottom"/>
            <w:tcBorders>
              <w:bottom w:val="single" w:sz="8" w:color="CCEEFF"/>
            </w:tcBorders>
          </w:tcPr>
          <w:p>
            <w:pPr>
              <w:spacing w:after="0"/>
              <w:rPr>
                <w:sz w:val="10"/>
                <w:szCs w:val="10"/>
                <w:color w:val="auto"/>
              </w:rPr>
            </w:pPr>
          </w:p>
        </w:tc>
        <w:tc>
          <w:tcPr>
            <w:tcW w:w="112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1020" w:type="dxa"/>
            <w:vAlign w:val="bottom"/>
            <w:tcBorders>
              <w:bottom w:val="single" w:sz="8" w:color="CCEEFF"/>
            </w:tcBorders>
          </w:tcPr>
          <w:p>
            <w:pPr>
              <w:spacing w:after="0"/>
              <w:rPr>
                <w:sz w:val="10"/>
                <w:szCs w:val="10"/>
                <w:color w:val="auto"/>
              </w:rPr>
            </w:pPr>
          </w:p>
        </w:tc>
      </w:tr>
      <w:tr>
        <w:trPr>
          <w:trHeight w:val="115"/>
        </w:trPr>
        <w:tc>
          <w:tcPr>
            <w:tcW w:w="4820" w:type="dxa"/>
            <w:vAlign w:val="bottom"/>
            <w:shd w:val="clear" w:color="auto" w:fill="CCEEFF"/>
          </w:tcPr>
          <w:p>
            <w:pPr>
              <w:spacing w:after="0"/>
              <w:rPr>
                <w:sz w:val="20"/>
                <w:szCs w:val="20"/>
                <w:color w:val="auto"/>
              </w:rPr>
            </w:pPr>
            <w:r>
              <w:rPr>
                <w:rFonts w:ascii="Arial" w:cs="Arial" w:eastAsia="Arial" w:hAnsi="Arial"/>
                <w:sz w:val="10"/>
                <w:szCs w:val="10"/>
                <w:color w:val="auto"/>
              </w:rPr>
              <w:t>Net loss excluding net special items</w:t>
            </w:r>
          </w:p>
        </w:tc>
        <w:tc>
          <w:tcPr>
            <w:tcW w:w="440" w:type="dxa"/>
            <w:vAlign w:val="bottom"/>
            <w:gridSpan w:val="2"/>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(1,090)</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(3,354)</w:t>
            </w:r>
          </w:p>
        </w:tc>
        <w:tc>
          <w:tcPr>
            <w:tcW w:w="112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(3,833)</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(4,483)</w:t>
            </w:r>
          </w:p>
        </w:tc>
        <w:tc>
          <w:tcPr>
            <w:tcW w:w="1020" w:type="dxa"/>
            <w:vAlign w:val="bottom"/>
            <w:shd w:val="clear" w:color="auto" w:fill="CCEEFF"/>
          </w:tcPr>
          <w:p>
            <w:pPr>
              <w:spacing w:after="0"/>
              <w:rPr>
                <w:sz w:val="10"/>
                <w:szCs w:val="10"/>
                <w:color w:val="auto"/>
              </w:rPr>
            </w:pPr>
          </w:p>
        </w:tc>
      </w:tr>
      <w:tr>
        <w:trPr>
          <w:trHeight w:val="126"/>
        </w:trPr>
        <w:tc>
          <w:tcPr>
            <w:tcW w:w="4820" w:type="dxa"/>
            <w:vAlign w:val="bottom"/>
          </w:tcPr>
          <w:p>
            <w:pPr>
              <w:spacing w:after="0"/>
              <w:rPr>
                <w:sz w:val="20"/>
                <w:szCs w:val="20"/>
                <w:color w:val="auto"/>
              </w:rPr>
            </w:pPr>
            <w:r>
              <w:rPr>
                <w:rFonts w:ascii="Arial" w:cs="Arial" w:eastAsia="Arial" w:hAnsi="Arial"/>
                <w:sz w:val="10"/>
                <w:szCs w:val="10"/>
                <w:color w:val="auto"/>
              </w:rPr>
              <w:t>Shares used for computation (in thousands):</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28"/>
        </w:trPr>
        <w:tc>
          <w:tcPr>
            <w:tcW w:w="4820" w:type="dxa"/>
            <w:vAlign w:val="bottom"/>
            <w:tcBorders>
              <w:bottom w:val="single" w:sz="8" w:color="CCEEFF"/>
            </w:tcBorders>
            <w:shd w:val="clear" w:color="auto" w:fill="CCEEFF"/>
          </w:tcPr>
          <w:p>
            <w:pPr>
              <w:ind w:left="220"/>
              <w:spacing w:after="0" w:line="108" w:lineRule="exact"/>
              <w:rPr>
                <w:sz w:val="20"/>
                <w:szCs w:val="20"/>
                <w:color w:val="auto"/>
              </w:rPr>
            </w:pPr>
            <w:r>
              <w:rPr>
                <w:rFonts w:ascii="Arial" w:cs="Arial" w:eastAsia="Arial" w:hAnsi="Arial"/>
                <w:sz w:val="10"/>
                <w:szCs w:val="10"/>
                <w:color w:val="auto"/>
              </w:rPr>
              <w:t>Basic and diluted</w:t>
            </w:r>
          </w:p>
        </w:tc>
        <w:tc>
          <w:tcPr>
            <w:tcW w:w="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644,123</w:t>
            </w: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428,807</w:t>
            </w:r>
          </w:p>
        </w:tc>
        <w:tc>
          <w:tcPr>
            <w:tcW w:w="11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2"/>
              <w:spacing w:after="0" w:line="108" w:lineRule="exact"/>
              <w:rPr>
                <w:sz w:val="20"/>
                <w:szCs w:val="20"/>
                <w:color w:val="auto"/>
              </w:rPr>
            </w:pPr>
            <w:r>
              <w:rPr>
                <w:rFonts w:ascii="Arial" w:cs="Arial" w:eastAsia="Arial" w:hAnsi="Arial"/>
                <w:sz w:val="10"/>
                <w:szCs w:val="10"/>
                <w:color w:val="auto"/>
              </w:rPr>
              <w:t>639,366</w:t>
            </w: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427,260</w:t>
            </w:r>
          </w:p>
        </w:tc>
        <w:tc>
          <w:tcPr>
            <w:tcW w:w="1020" w:type="dxa"/>
            <w:vAlign w:val="bottom"/>
            <w:tcBorders>
              <w:bottom w:val="single" w:sz="8" w:color="CCEEFF"/>
            </w:tcBorders>
            <w:shd w:val="clear" w:color="auto" w:fill="CCEEFF"/>
          </w:tcPr>
          <w:p>
            <w:pPr>
              <w:spacing w:after="0"/>
              <w:rPr>
                <w:sz w:val="11"/>
                <w:szCs w:val="11"/>
                <w:color w:val="auto"/>
              </w:rPr>
            </w:pPr>
          </w:p>
        </w:tc>
      </w:tr>
      <w:tr>
        <w:trPr>
          <w:trHeight w:val="104"/>
        </w:trPr>
        <w:tc>
          <w:tcPr>
            <w:tcW w:w="4820" w:type="dxa"/>
            <w:vAlign w:val="bottom"/>
          </w:tcPr>
          <w:p>
            <w:pPr>
              <w:spacing w:after="0" w:line="104" w:lineRule="exact"/>
              <w:rPr>
                <w:sz w:val="20"/>
                <w:szCs w:val="20"/>
                <w:color w:val="auto"/>
              </w:rPr>
            </w:pPr>
            <w:r>
              <w:rPr>
                <w:rFonts w:ascii="Arial" w:cs="Arial" w:eastAsia="Arial" w:hAnsi="Arial"/>
                <w:sz w:val="10"/>
                <w:szCs w:val="10"/>
                <w:color w:val="auto"/>
              </w:rPr>
              <w:t>Loss per share excluding net special items:</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42"/>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color w:val="auto"/>
              </w:rPr>
              <w:t>Basic and diluted</w:t>
            </w:r>
          </w:p>
        </w:tc>
        <w:tc>
          <w:tcPr>
            <w:tcW w:w="8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(1.69)</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(7.82)</w:t>
            </w:r>
          </w:p>
        </w:tc>
        <w:tc>
          <w:tcPr>
            <w:tcW w:w="1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(6.00)</w:t>
            </w: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(10.49)</w:t>
            </w:r>
          </w:p>
        </w:tc>
        <w:tc>
          <w:tcPr>
            <w:tcW w:w="1020" w:type="dxa"/>
            <w:vAlign w:val="bottom"/>
            <w:tcBorders>
              <w:bottom w:val="single" w:sz="8" w:color="CCEEFF"/>
            </w:tcBorders>
            <w:shd w:val="clear" w:color="auto" w:fill="CCEEFF"/>
          </w:tcPr>
          <w:p>
            <w:pPr>
              <w:spacing w:after="0"/>
              <w:rPr>
                <w:sz w:val="12"/>
                <w:szCs w:val="12"/>
                <w:color w:val="auto"/>
              </w:rPr>
            </w:pPr>
          </w:p>
        </w:tc>
      </w:tr>
    </w:tbl>
    <w:p>
      <w:pPr>
        <w:sectPr>
          <w:pgSz w:w="11900" w:h="16838" w:orient="portrait"/>
          <w:cols w:equalWidth="0" w:num="1">
            <w:col w:w="11300"/>
          </w:cols>
          <w:pgMar w:left="300" w:top="126" w:right="299" w:bottom="1440" w:gutter="0" w:footer="0" w:header="0"/>
          <w:type w:val="continuous"/>
        </w:sectPr>
      </w:pPr>
    </w:p>
    <w:bookmarkStart w:id="13" w:name="page14"/>
    <w:bookmarkEnd w:id="13"/>
    <w:p>
      <w:pPr>
        <w:ind w:left="8"/>
        <w:spacing w:after="0"/>
        <w:rPr>
          <w:sz w:val="20"/>
          <w:szCs w:val="20"/>
          <w:color w:val="auto"/>
        </w:rPr>
      </w:pPr>
      <w:r>
        <w:rPr>
          <w:rFonts w:ascii="Arial" w:cs="Arial" w:eastAsia="Arial" w:hAnsi="Arial"/>
          <w:sz w:val="12"/>
          <w:szCs w:val="12"/>
          <w:b w:val="1"/>
          <w:bCs w:val="1"/>
          <w:color w:val="auto"/>
        </w:rPr>
        <w:t>American Airlines Reports Second-Quarter 2021 Financial Results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July 22, 2021</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10</w:t>
      </w:r>
    </w:p>
    <w:p>
      <w:pPr>
        <w:spacing w:after="0" w:line="22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3"/>
          </w:tcPr>
          <w:p>
            <w:pPr>
              <w:jc w:val="center"/>
              <w:ind w:left="413"/>
              <w:spacing w:after="0"/>
              <w:rPr>
                <w:sz w:val="20"/>
                <w:szCs w:val="20"/>
                <w:color w:val="auto"/>
              </w:rPr>
            </w:pPr>
            <w:r>
              <w:rPr>
                <w:rFonts w:ascii="Arial" w:cs="Arial" w:eastAsia="Arial" w:hAnsi="Arial"/>
                <w:sz w:val="10"/>
                <w:szCs w:val="10"/>
                <w:color w:val="auto"/>
                <w:w w:val="96"/>
              </w:rPr>
              <w:t>3 Months Ended</w:t>
            </w:r>
          </w:p>
        </w:tc>
        <w:tc>
          <w:tcPr>
            <w:tcW w:w="6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3"/>
          </w:tcPr>
          <w:p>
            <w:pPr>
              <w:jc w:val="center"/>
              <w:ind w:left="373"/>
              <w:spacing w:after="0"/>
              <w:rPr>
                <w:sz w:val="20"/>
                <w:szCs w:val="20"/>
                <w:color w:val="auto"/>
              </w:rPr>
            </w:pPr>
            <w:r>
              <w:rPr>
                <w:rFonts w:ascii="Arial" w:cs="Arial" w:eastAsia="Arial" w:hAnsi="Arial"/>
                <w:sz w:val="10"/>
                <w:szCs w:val="10"/>
                <w:color w:val="auto"/>
                <w:w w:val="96"/>
              </w:rPr>
              <w:t>6 Months Ended</w:t>
            </w: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15"/>
        </w:trPr>
        <w:tc>
          <w:tcPr>
            <w:tcW w:w="4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3"/>
          </w:tcPr>
          <w:p>
            <w:pPr>
              <w:jc w:val="center"/>
              <w:ind w:left="413"/>
              <w:spacing w:after="0"/>
              <w:rPr>
                <w:sz w:val="20"/>
                <w:szCs w:val="20"/>
                <w:color w:val="auto"/>
              </w:rPr>
            </w:pPr>
            <w:r>
              <w:rPr>
                <w:rFonts w:ascii="Arial" w:cs="Arial" w:eastAsia="Arial" w:hAnsi="Arial"/>
                <w:sz w:val="10"/>
                <w:szCs w:val="10"/>
                <w:color w:val="auto"/>
                <w:w w:val="98"/>
              </w:rPr>
              <w:t>June 30,</w:t>
            </w:r>
          </w:p>
        </w:tc>
        <w:tc>
          <w:tcPr>
            <w:tcW w:w="6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3"/>
          </w:tcPr>
          <w:p>
            <w:pPr>
              <w:jc w:val="center"/>
              <w:ind w:left="393"/>
              <w:spacing w:after="0"/>
              <w:rPr>
                <w:sz w:val="20"/>
                <w:szCs w:val="20"/>
                <w:color w:val="auto"/>
              </w:rPr>
            </w:pPr>
            <w:r>
              <w:rPr>
                <w:rFonts w:ascii="Arial" w:cs="Arial" w:eastAsia="Arial" w:hAnsi="Arial"/>
                <w:sz w:val="10"/>
                <w:szCs w:val="10"/>
                <w:color w:val="auto"/>
                <w:w w:val="93"/>
              </w:rPr>
              <w:t>June 30,</w:t>
            </w:r>
          </w:p>
        </w:tc>
        <w:tc>
          <w:tcPr>
            <w:tcW w:w="6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34"/>
        </w:trPr>
        <w:tc>
          <w:tcPr>
            <w:tcW w:w="4900" w:type="dxa"/>
            <w:vAlign w:val="bottom"/>
            <w:gridSpan w:val="2"/>
          </w:tcPr>
          <w:p>
            <w:pPr>
              <w:spacing w:after="0"/>
              <w:rPr>
                <w:sz w:val="20"/>
                <w:szCs w:val="20"/>
                <w:color w:val="auto"/>
              </w:rPr>
            </w:pPr>
            <w:r>
              <w:rPr>
                <w:rFonts w:ascii="Arial" w:cs="Arial" w:eastAsia="Arial" w:hAnsi="Arial"/>
                <w:sz w:val="10"/>
                <w:szCs w:val="10"/>
                <w:b w:val="1"/>
                <w:bCs w:val="1"/>
                <w:color w:val="auto"/>
              </w:rPr>
              <w:t>Reconciliation of Operating Loss Excluding Net Special Items</w:t>
            </w:r>
          </w:p>
        </w:tc>
        <w:tc>
          <w:tcPr>
            <w:tcW w:w="240" w:type="dxa"/>
            <w:vAlign w:val="bottom"/>
          </w:tcPr>
          <w:p>
            <w:pPr>
              <w:spacing w:after="0"/>
              <w:rPr>
                <w:sz w:val="11"/>
                <w:szCs w:val="11"/>
                <w:color w:val="auto"/>
              </w:rPr>
            </w:pPr>
          </w:p>
        </w:tc>
        <w:tc>
          <w:tcPr>
            <w:tcW w:w="800" w:type="dxa"/>
            <w:vAlign w:val="bottom"/>
          </w:tcPr>
          <w:p>
            <w:pPr>
              <w:jc w:val="right"/>
              <w:ind w:right="353"/>
              <w:spacing w:after="0"/>
              <w:rPr>
                <w:sz w:val="20"/>
                <w:szCs w:val="20"/>
                <w:color w:val="auto"/>
              </w:rPr>
            </w:pPr>
            <w:r>
              <w:rPr>
                <w:rFonts w:ascii="Arial" w:cs="Arial" w:eastAsia="Arial" w:hAnsi="Arial"/>
                <w:sz w:val="10"/>
                <w:szCs w:val="10"/>
                <w:color w:val="auto"/>
              </w:rPr>
              <w:t>2021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jc w:val="right"/>
              <w:ind w:right="352"/>
              <w:spacing w:after="0"/>
              <w:rPr>
                <w:sz w:val="20"/>
                <w:szCs w:val="20"/>
                <w:color w:val="auto"/>
              </w:rPr>
            </w:pPr>
            <w:r>
              <w:rPr>
                <w:rFonts w:ascii="Arial" w:cs="Arial" w:eastAsia="Arial" w:hAnsi="Arial"/>
                <w:sz w:val="10"/>
                <w:szCs w:val="10"/>
                <w:color w:val="auto"/>
              </w:rPr>
              <w:t>2020</w:t>
            </w: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ind w:right="353"/>
              <w:spacing w:after="0"/>
              <w:rPr>
                <w:sz w:val="20"/>
                <w:szCs w:val="20"/>
                <w:color w:val="auto"/>
              </w:rPr>
            </w:pPr>
            <w:r>
              <w:rPr>
                <w:rFonts w:ascii="Arial" w:cs="Arial" w:eastAsia="Arial" w:hAnsi="Arial"/>
                <w:sz w:val="10"/>
                <w:szCs w:val="10"/>
                <w:color w:val="auto"/>
              </w:rPr>
              <w:t>2021</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ind w:right="372"/>
              <w:spacing w:after="0"/>
              <w:rPr>
                <w:sz w:val="20"/>
                <w:szCs w:val="20"/>
                <w:color w:val="auto"/>
              </w:rPr>
            </w:pPr>
            <w:r>
              <w:rPr>
                <w:rFonts w:ascii="Arial" w:cs="Arial" w:eastAsia="Arial" w:hAnsi="Arial"/>
                <w:sz w:val="10"/>
                <w:szCs w:val="10"/>
                <w:color w:val="auto"/>
              </w:rPr>
              <w:t>2020</w:t>
            </w:r>
          </w:p>
        </w:tc>
        <w:tc>
          <w:tcPr>
            <w:tcW w:w="980" w:type="dxa"/>
            <w:vAlign w:val="bottom"/>
          </w:tcPr>
          <w:p>
            <w:pPr>
              <w:spacing w:after="0"/>
              <w:rPr>
                <w:sz w:val="11"/>
                <w:szCs w:val="11"/>
                <w:color w:val="auto"/>
              </w:rPr>
            </w:pPr>
          </w:p>
        </w:tc>
      </w:tr>
      <w:tr>
        <w:trPr>
          <w:trHeight w:val="109"/>
        </w:trPr>
        <w:tc>
          <w:tcPr>
            <w:tcW w:w="48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3"/>
          </w:tcPr>
          <w:p>
            <w:pPr>
              <w:jc w:val="center"/>
              <w:ind w:left="413"/>
              <w:spacing w:after="0"/>
              <w:rPr>
                <w:sz w:val="20"/>
                <w:szCs w:val="20"/>
                <w:color w:val="auto"/>
              </w:rPr>
            </w:pPr>
            <w:r>
              <w:rPr>
                <w:rFonts w:ascii="Arial" w:cs="Arial" w:eastAsia="Arial" w:hAnsi="Arial"/>
                <w:sz w:val="8"/>
                <w:szCs w:val="8"/>
                <w:color w:val="auto"/>
              </w:rPr>
              <w:t>(in millions)</w:t>
            </w:r>
          </w:p>
        </w:tc>
        <w:tc>
          <w:tcPr>
            <w:tcW w:w="680" w:type="dxa"/>
            <w:vAlign w:val="bottom"/>
            <w:tcBorders>
              <w:top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3"/>
          </w:tcPr>
          <w:p>
            <w:pPr>
              <w:jc w:val="center"/>
              <w:ind w:left="373"/>
              <w:spacing w:after="0"/>
              <w:rPr>
                <w:sz w:val="20"/>
                <w:szCs w:val="20"/>
                <w:color w:val="auto"/>
              </w:rPr>
            </w:pPr>
            <w:r>
              <w:rPr>
                <w:rFonts w:ascii="Arial" w:cs="Arial" w:eastAsia="Arial" w:hAnsi="Arial"/>
                <w:sz w:val="8"/>
                <w:szCs w:val="8"/>
                <w:color w:val="auto"/>
              </w:rPr>
              <w:t>(in millions)</w:t>
            </w:r>
          </w:p>
        </w:tc>
        <w:tc>
          <w:tcPr>
            <w:tcW w:w="680" w:type="dxa"/>
            <w:vAlign w:val="bottom"/>
            <w:tcBorders>
              <w:top w:val="single" w:sz="8" w:color="auto"/>
            </w:tcBorders>
          </w:tcPr>
          <w:p>
            <w:pPr>
              <w:spacing w:after="0"/>
              <w:rPr>
                <w:sz w:val="9"/>
                <w:szCs w:val="9"/>
                <w:color w:val="auto"/>
              </w:rPr>
            </w:pPr>
          </w:p>
        </w:tc>
        <w:tc>
          <w:tcPr>
            <w:tcW w:w="980" w:type="dxa"/>
            <w:vAlign w:val="bottom"/>
          </w:tcPr>
          <w:p>
            <w:pPr>
              <w:spacing w:after="0"/>
              <w:rPr>
                <w:sz w:val="9"/>
                <w:szCs w:val="9"/>
                <w:color w:val="auto"/>
              </w:rPr>
            </w:pPr>
          </w:p>
        </w:tc>
      </w:tr>
      <w:tr>
        <w:trPr>
          <w:trHeight w:val="132"/>
        </w:trPr>
        <w:tc>
          <w:tcPr>
            <w:tcW w:w="49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Operating income (loss) as reported</w:t>
            </w:r>
          </w:p>
        </w:tc>
        <w:tc>
          <w:tcPr>
            <w:tcW w:w="2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441</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(2,486)</w:t>
            </w: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(874)</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(5,034)</w:t>
            </w:r>
          </w:p>
        </w:tc>
        <w:tc>
          <w:tcPr>
            <w:tcW w:w="980" w:type="dxa"/>
            <w:vAlign w:val="bottom"/>
            <w:shd w:val="clear" w:color="auto" w:fill="CCEEFF"/>
          </w:tcPr>
          <w:p>
            <w:pPr>
              <w:spacing w:after="0"/>
              <w:rPr>
                <w:sz w:val="11"/>
                <w:szCs w:val="11"/>
                <w:color w:val="auto"/>
              </w:rPr>
            </w:pPr>
          </w:p>
        </w:tc>
      </w:tr>
      <w:tr>
        <w:trPr>
          <w:trHeight w:val="126"/>
        </w:trPr>
        <w:tc>
          <w:tcPr>
            <w:tcW w:w="4900" w:type="dxa"/>
            <w:vAlign w:val="bottom"/>
            <w:gridSpan w:val="2"/>
          </w:tcPr>
          <w:p>
            <w:pPr>
              <w:spacing w:after="0"/>
              <w:rPr>
                <w:sz w:val="20"/>
                <w:szCs w:val="20"/>
                <w:color w:val="auto"/>
              </w:rPr>
            </w:pPr>
            <w:r>
              <w:rPr>
                <w:rFonts w:ascii="Arial" w:cs="Arial" w:eastAsia="Arial" w:hAnsi="Arial"/>
                <w:sz w:val="10"/>
                <w:szCs w:val="10"/>
                <w:color w:val="auto"/>
              </w:rPr>
              <w:t>Operating net special items:</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26"/>
        </w:trPr>
        <w:tc>
          <w:tcPr>
            <w:tcW w:w="4900" w:type="dxa"/>
            <w:vAlign w:val="bottom"/>
            <w:gridSpan w:val="2"/>
            <w:shd w:val="clear" w:color="auto" w:fill="CCEEFF"/>
          </w:tcPr>
          <w:p>
            <w:pPr>
              <w:ind w:left="220"/>
              <w:spacing w:after="0" w:line="126" w:lineRule="exact"/>
              <w:rPr>
                <w:sz w:val="20"/>
                <w:szCs w:val="20"/>
                <w:color w:val="auto"/>
              </w:rPr>
            </w:pPr>
            <w:r>
              <w:rPr>
                <w:rFonts w:ascii="Arial" w:cs="Arial" w:eastAsia="Arial" w:hAnsi="Arial"/>
                <w:sz w:val="10"/>
                <w:szCs w:val="10"/>
                <w:color w:val="auto"/>
              </w:rPr>
              <w:t xml:space="preserve">Mainline operating special items, net </w:t>
            </w:r>
            <w:r>
              <w:rPr>
                <w:rFonts w:ascii="Arial" w:cs="Arial" w:eastAsia="Arial" w:hAnsi="Arial"/>
                <w:sz w:val="12"/>
                <w:szCs w:val="12"/>
                <w:color w:val="auto"/>
                <w:vertAlign w:val="superscript"/>
              </w:rPr>
              <w:t>(1)</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(1,288)</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(1,494)</w:t>
            </w:r>
          </w:p>
        </w:tc>
        <w:tc>
          <w:tcPr>
            <w:tcW w:w="1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(2,996)</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(362)</w:t>
            </w:r>
          </w:p>
        </w:tc>
        <w:tc>
          <w:tcPr>
            <w:tcW w:w="980" w:type="dxa"/>
            <w:vAlign w:val="bottom"/>
            <w:shd w:val="clear" w:color="auto" w:fill="CCEEFF"/>
          </w:tcPr>
          <w:p>
            <w:pPr>
              <w:spacing w:after="0"/>
              <w:rPr>
                <w:sz w:val="10"/>
                <w:szCs w:val="10"/>
                <w:color w:val="auto"/>
              </w:rPr>
            </w:pPr>
          </w:p>
        </w:tc>
      </w:tr>
      <w:tr>
        <w:trPr>
          <w:trHeight w:val="126"/>
        </w:trPr>
        <w:tc>
          <w:tcPr>
            <w:tcW w:w="4900" w:type="dxa"/>
            <w:vAlign w:val="bottom"/>
            <w:tcBorders>
              <w:bottom w:val="single" w:sz="8" w:color="CCEEFF"/>
            </w:tcBorders>
            <w:gridSpan w:val="2"/>
          </w:tcPr>
          <w:p>
            <w:pPr>
              <w:ind w:left="220"/>
              <w:spacing w:after="0" w:line="126" w:lineRule="exact"/>
              <w:rPr>
                <w:sz w:val="20"/>
                <w:szCs w:val="20"/>
                <w:color w:val="auto"/>
              </w:rPr>
            </w:pPr>
            <w:r>
              <w:rPr>
                <w:rFonts w:ascii="Arial" w:cs="Arial" w:eastAsia="Arial" w:hAnsi="Arial"/>
                <w:sz w:val="10"/>
                <w:szCs w:val="10"/>
                <w:color w:val="auto"/>
              </w:rPr>
              <w:t xml:space="preserve">Regional operating special items, net </w:t>
            </w:r>
            <w:r>
              <w:rPr>
                <w:rFonts w:ascii="Arial" w:cs="Arial" w:eastAsia="Arial" w:hAnsi="Arial"/>
                <w:sz w:val="12"/>
                <w:szCs w:val="12"/>
                <w:color w:val="auto"/>
                <w:vertAlign w:val="superscript"/>
              </w:rPr>
              <w:t>(2)</w:t>
            </w: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(167)</w:t>
            </w: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(178)</w:t>
            </w:r>
          </w:p>
        </w:tc>
        <w:tc>
          <w:tcPr>
            <w:tcW w:w="1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(381)</w:t>
            </w:r>
          </w:p>
        </w:tc>
        <w:tc>
          <w:tcPr>
            <w:tcW w:w="1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(85)</w:t>
            </w:r>
          </w:p>
        </w:tc>
        <w:tc>
          <w:tcPr>
            <w:tcW w:w="980" w:type="dxa"/>
            <w:vAlign w:val="bottom"/>
            <w:tcBorders>
              <w:bottom w:val="single" w:sz="8" w:color="CCEEFF"/>
            </w:tcBorders>
          </w:tcPr>
          <w:p>
            <w:pPr>
              <w:spacing w:after="0"/>
              <w:rPr>
                <w:sz w:val="10"/>
                <w:szCs w:val="10"/>
                <w:color w:val="auto"/>
              </w:rPr>
            </w:pPr>
          </w:p>
        </w:tc>
      </w:tr>
      <w:tr>
        <w:trPr>
          <w:trHeight w:val="115"/>
        </w:trPr>
        <w:tc>
          <w:tcPr>
            <w:tcW w:w="49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Operating loss excluding net special items</w:t>
            </w:r>
          </w:p>
        </w:tc>
        <w:tc>
          <w:tcPr>
            <w:tcW w:w="2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(1,014)</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(4,158)</w:t>
            </w:r>
          </w:p>
        </w:tc>
        <w:tc>
          <w:tcPr>
            <w:tcW w:w="110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(4,251)</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(5,481)</w:t>
            </w:r>
          </w:p>
        </w:tc>
        <w:tc>
          <w:tcPr>
            <w:tcW w:w="980" w:type="dxa"/>
            <w:vAlign w:val="bottom"/>
            <w:shd w:val="clear" w:color="auto" w:fill="CCEEFF"/>
          </w:tcPr>
          <w:p>
            <w:pPr>
              <w:spacing w:after="0"/>
              <w:rPr>
                <w:sz w:val="10"/>
                <w:szCs w:val="10"/>
                <w:color w:val="auto"/>
              </w:rPr>
            </w:pPr>
          </w:p>
        </w:tc>
      </w:tr>
      <w:tr>
        <w:trPr>
          <w:trHeight w:val="108"/>
        </w:trPr>
        <w:tc>
          <w:tcPr>
            <w:tcW w:w="4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26"/>
        </w:trPr>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rPr>
              <w:t>Reconciliation of Total Operating Cost per ASM Excluding Net Special Items and Fuel</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15"/>
        </w:trPr>
        <w:tc>
          <w:tcPr>
            <w:tcW w:w="4900" w:type="dxa"/>
            <w:vAlign w:val="bottom"/>
            <w:gridSpan w:val="2"/>
          </w:tcPr>
          <w:p>
            <w:pPr>
              <w:spacing w:after="0"/>
              <w:rPr>
                <w:sz w:val="20"/>
                <w:szCs w:val="20"/>
                <w:color w:val="auto"/>
              </w:rPr>
            </w:pPr>
            <w:r>
              <w:rPr>
                <w:rFonts w:ascii="Arial" w:cs="Arial" w:eastAsia="Arial" w:hAnsi="Arial"/>
                <w:sz w:val="10"/>
                <w:szCs w:val="10"/>
                <w:color w:val="auto"/>
              </w:rPr>
              <w:t>Total operating expenses as reported</w:t>
            </w:r>
          </w:p>
        </w:tc>
        <w:tc>
          <w:tcPr>
            <w:tcW w:w="2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7,037</w:t>
            </w:r>
          </w:p>
        </w:tc>
        <w:tc>
          <w:tcPr>
            <w:tcW w:w="100" w:type="dxa"/>
            <w:vAlign w:val="bottom"/>
          </w:tcPr>
          <w:p>
            <w:pPr>
              <w:spacing w:after="0"/>
              <w:rPr>
                <w:sz w:val="10"/>
                <w:szCs w:val="10"/>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4,108</w:t>
            </w:r>
          </w:p>
        </w:tc>
        <w:tc>
          <w:tcPr>
            <w:tcW w:w="1100" w:type="dxa"/>
            <w:vAlign w:val="bottom"/>
          </w:tcPr>
          <w:p>
            <w:pPr>
              <w:spacing w:after="0"/>
              <w:rPr>
                <w:sz w:val="10"/>
                <w:szCs w:val="10"/>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12,360</w:t>
            </w:r>
          </w:p>
        </w:tc>
        <w:tc>
          <w:tcPr>
            <w:tcW w:w="100" w:type="dxa"/>
            <w:vAlign w:val="bottom"/>
          </w:tcPr>
          <w:p>
            <w:pPr>
              <w:spacing w:after="0"/>
              <w:rPr>
                <w:sz w:val="10"/>
                <w:szCs w:val="10"/>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15,171</w:t>
            </w:r>
          </w:p>
        </w:tc>
        <w:tc>
          <w:tcPr>
            <w:tcW w:w="980" w:type="dxa"/>
            <w:vAlign w:val="bottom"/>
          </w:tcPr>
          <w:p>
            <w:pPr>
              <w:spacing w:after="0"/>
              <w:rPr>
                <w:sz w:val="10"/>
                <w:szCs w:val="10"/>
                <w:color w:val="auto"/>
              </w:rPr>
            </w:pPr>
          </w:p>
        </w:tc>
      </w:tr>
      <w:tr>
        <w:trPr>
          <w:trHeight w:val="126"/>
        </w:trPr>
        <w:tc>
          <w:tcPr>
            <w:tcW w:w="49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Operating net special items:</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26"/>
        </w:trPr>
        <w:tc>
          <w:tcPr>
            <w:tcW w:w="4900" w:type="dxa"/>
            <w:vAlign w:val="bottom"/>
            <w:gridSpan w:val="2"/>
          </w:tcPr>
          <w:p>
            <w:pPr>
              <w:ind w:left="220"/>
              <w:spacing w:after="0" w:line="126" w:lineRule="exact"/>
              <w:rPr>
                <w:sz w:val="20"/>
                <w:szCs w:val="20"/>
                <w:color w:val="auto"/>
              </w:rPr>
            </w:pPr>
            <w:r>
              <w:rPr>
                <w:rFonts w:ascii="Arial" w:cs="Arial" w:eastAsia="Arial" w:hAnsi="Arial"/>
                <w:sz w:val="10"/>
                <w:szCs w:val="10"/>
                <w:color w:val="auto"/>
              </w:rPr>
              <w:t xml:space="preserve">Mainline operating special items, net </w:t>
            </w:r>
            <w:r>
              <w:rPr>
                <w:rFonts w:ascii="Arial" w:cs="Arial" w:eastAsia="Arial" w:hAnsi="Arial"/>
                <w:sz w:val="12"/>
                <w:szCs w:val="12"/>
                <w:color w:val="auto"/>
                <w:vertAlign w:val="superscript"/>
              </w:rPr>
              <w:t>(1)</w:t>
            </w:r>
          </w:p>
        </w:tc>
        <w:tc>
          <w:tcPr>
            <w:tcW w:w="24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1,288</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1,494</w:t>
            </w: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2,996</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362</w:t>
            </w:r>
          </w:p>
        </w:tc>
        <w:tc>
          <w:tcPr>
            <w:tcW w:w="980" w:type="dxa"/>
            <w:vAlign w:val="bottom"/>
          </w:tcPr>
          <w:p>
            <w:pPr>
              <w:spacing w:after="0"/>
              <w:rPr>
                <w:sz w:val="10"/>
                <w:szCs w:val="10"/>
                <w:color w:val="auto"/>
              </w:rPr>
            </w:pPr>
          </w:p>
        </w:tc>
      </w:tr>
      <w:tr>
        <w:trPr>
          <w:trHeight w:val="126"/>
        </w:trPr>
        <w:tc>
          <w:tcPr>
            <w:tcW w:w="4900" w:type="dxa"/>
            <w:vAlign w:val="bottom"/>
            <w:gridSpan w:val="2"/>
            <w:shd w:val="clear" w:color="auto" w:fill="CCEEFF"/>
          </w:tcPr>
          <w:p>
            <w:pPr>
              <w:ind w:left="220"/>
              <w:spacing w:after="0" w:line="126" w:lineRule="exact"/>
              <w:rPr>
                <w:sz w:val="20"/>
                <w:szCs w:val="20"/>
                <w:color w:val="auto"/>
              </w:rPr>
            </w:pPr>
            <w:r>
              <w:rPr>
                <w:rFonts w:ascii="Arial" w:cs="Arial" w:eastAsia="Arial" w:hAnsi="Arial"/>
                <w:sz w:val="10"/>
                <w:szCs w:val="10"/>
                <w:color w:val="auto"/>
              </w:rPr>
              <w:t xml:space="preserve">Regional operating special items, net </w:t>
            </w:r>
            <w:r>
              <w:rPr>
                <w:rFonts w:ascii="Arial" w:cs="Arial" w:eastAsia="Arial" w:hAnsi="Arial"/>
                <w:sz w:val="12"/>
                <w:szCs w:val="12"/>
                <w:color w:val="auto"/>
                <w:vertAlign w:val="superscript"/>
              </w:rPr>
              <w:t>(2)</w:t>
            </w:r>
          </w:p>
        </w:tc>
        <w:tc>
          <w:tcPr>
            <w:tcW w:w="24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167</w:t>
            </w:r>
          </w:p>
        </w:tc>
        <w:tc>
          <w:tcPr>
            <w:tcW w:w="10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178</w:t>
            </w:r>
          </w:p>
        </w:tc>
        <w:tc>
          <w:tcPr>
            <w:tcW w:w="1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381</w:t>
            </w:r>
          </w:p>
        </w:tc>
        <w:tc>
          <w:tcPr>
            <w:tcW w:w="10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85</w:t>
            </w:r>
          </w:p>
        </w:tc>
        <w:tc>
          <w:tcPr>
            <w:tcW w:w="980" w:type="dxa"/>
            <w:vAlign w:val="bottom"/>
            <w:shd w:val="clear" w:color="auto" w:fill="CCEEFF"/>
          </w:tcPr>
          <w:p>
            <w:pPr>
              <w:spacing w:after="0"/>
              <w:rPr>
                <w:sz w:val="10"/>
                <w:szCs w:val="10"/>
                <w:color w:val="auto"/>
              </w:rPr>
            </w:pPr>
          </w:p>
        </w:tc>
      </w:tr>
      <w:tr>
        <w:trPr>
          <w:trHeight w:val="115"/>
        </w:trPr>
        <w:tc>
          <w:tcPr>
            <w:tcW w:w="4900" w:type="dxa"/>
            <w:vAlign w:val="bottom"/>
            <w:gridSpan w:val="2"/>
          </w:tcPr>
          <w:p>
            <w:pPr>
              <w:spacing w:after="0"/>
              <w:rPr>
                <w:sz w:val="20"/>
                <w:szCs w:val="20"/>
                <w:color w:val="auto"/>
              </w:rPr>
            </w:pPr>
            <w:r>
              <w:rPr>
                <w:rFonts w:ascii="Arial" w:cs="Arial" w:eastAsia="Arial" w:hAnsi="Arial"/>
                <w:sz w:val="10"/>
                <w:szCs w:val="10"/>
                <w:color w:val="auto"/>
              </w:rPr>
              <w:t>Total operating expenses, excluding net special items</w:t>
            </w:r>
          </w:p>
        </w:tc>
        <w:tc>
          <w:tcPr>
            <w:tcW w:w="24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8,492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5,780</w:t>
            </w: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15,737</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15,618</w:t>
            </w:r>
          </w:p>
        </w:tc>
        <w:tc>
          <w:tcPr>
            <w:tcW w:w="980" w:type="dxa"/>
            <w:vAlign w:val="bottom"/>
          </w:tcPr>
          <w:p>
            <w:pPr>
              <w:spacing w:after="0"/>
              <w:rPr>
                <w:sz w:val="10"/>
                <w:szCs w:val="10"/>
                <w:color w:val="auto"/>
              </w:rPr>
            </w:pPr>
          </w:p>
        </w:tc>
      </w:tr>
      <w:tr>
        <w:trPr>
          <w:trHeight w:val="108"/>
        </w:trPr>
        <w:tc>
          <w:tcPr>
            <w:tcW w:w="4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126"/>
        </w:trPr>
        <w:tc>
          <w:tcPr>
            <w:tcW w:w="490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Aircraft fuel and related taxes</w:t>
            </w: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(1,611)</w:t>
            </w: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(309)</w:t>
            </w:r>
          </w:p>
        </w:tc>
        <w:tc>
          <w:tcPr>
            <w:tcW w:w="1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(2,644)</w:t>
            </w:r>
          </w:p>
        </w:tc>
        <w:tc>
          <w:tcPr>
            <w:tcW w:w="1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(2,092)</w:t>
            </w:r>
          </w:p>
        </w:tc>
        <w:tc>
          <w:tcPr>
            <w:tcW w:w="980" w:type="dxa"/>
            <w:vAlign w:val="bottom"/>
            <w:tcBorders>
              <w:bottom w:val="single" w:sz="8" w:color="CCEEFF"/>
            </w:tcBorders>
          </w:tcPr>
          <w:p>
            <w:pPr>
              <w:spacing w:after="0"/>
              <w:rPr>
                <w:sz w:val="10"/>
                <w:szCs w:val="10"/>
                <w:color w:val="auto"/>
              </w:rPr>
            </w:pPr>
          </w:p>
        </w:tc>
      </w:tr>
      <w:tr>
        <w:trPr>
          <w:trHeight w:val="115"/>
        </w:trPr>
        <w:tc>
          <w:tcPr>
            <w:tcW w:w="49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Total operating expenses, excluding net special items and fuel</w:t>
            </w:r>
          </w:p>
        </w:tc>
        <w:tc>
          <w:tcPr>
            <w:tcW w:w="2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6,881</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5,471</w:t>
            </w:r>
          </w:p>
        </w:tc>
        <w:tc>
          <w:tcPr>
            <w:tcW w:w="110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13,093</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13,526</w:t>
            </w:r>
          </w:p>
        </w:tc>
        <w:tc>
          <w:tcPr>
            <w:tcW w:w="980" w:type="dxa"/>
            <w:vAlign w:val="bottom"/>
            <w:shd w:val="clear" w:color="auto" w:fill="CCEEFF"/>
          </w:tcPr>
          <w:p>
            <w:pPr>
              <w:spacing w:after="0"/>
              <w:rPr>
                <w:sz w:val="10"/>
                <w:szCs w:val="10"/>
                <w:color w:val="auto"/>
              </w:rPr>
            </w:pPr>
          </w:p>
        </w:tc>
      </w:tr>
      <w:tr>
        <w:trPr>
          <w:trHeight w:val="120"/>
        </w:trPr>
        <w:tc>
          <w:tcPr>
            <w:tcW w:w="4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3"/>
          </w:tcPr>
          <w:p>
            <w:pPr>
              <w:jc w:val="center"/>
              <w:ind w:left="413"/>
              <w:spacing w:after="0"/>
              <w:rPr>
                <w:sz w:val="20"/>
                <w:szCs w:val="20"/>
                <w:color w:val="auto"/>
              </w:rPr>
            </w:pPr>
            <w:r>
              <w:rPr>
                <w:rFonts w:ascii="Arial" w:cs="Arial" w:eastAsia="Arial" w:hAnsi="Arial"/>
                <w:sz w:val="8"/>
                <w:szCs w:val="8"/>
                <w:color w:val="auto"/>
              </w:rPr>
              <w:t>(in cents)</w:t>
            </w:r>
          </w:p>
        </w:tc>
        <w:tc>
          <w:tcPr>
            <w:tcW w:w="6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3"/>
          </w:tcPr>
          <w:p>
            <w:pPr>
              <w:jc w:val="center"/>
              <w:ind w:left="373"/>
              <w:spacing w:after="0"/>
              <w:rPr>
                <w:sz w:val="20"/>
                <w:szCs w:val="20"/>
                <w:color w:val="auto"/>
              </w:rPr>
            </w:pPr>
            <w:r>
              <w:rPr>
                <w:rFonts w:ascii="Arial" w:cs="Arial" w:eastAsia="Arial" w:hAnsi="Arial"/>
                <w:sz w:val="8"/>
                <w:szCs w:val="8"/>
                <w:color w:val="auto"/>
              </w:rPr>
              <w:t>(in cents)</w:t>
            </w: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2"/>
        </w:trPr>
        <w:tc>
          <w:tcPr>
            <w:tcW w:w="49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Total operating expenses per ASM as reported</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12.90</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24.05</w:t>
            </w: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13.39</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19.16</w:t>
            </w:r>
          </w:p>
        </w:tc>
        <w:tc>
          <w:tcPr>
            <w:tcW w:w="980" w:type="dxa"/>
            <w:vAlign w:val="bottom"/>
            <w:shd w:val="clear" w:color="auto" w:fill="CCEEFF"/>
          </w:tcPr>
          <w:p>
            <w:pPr>
              <w:spacing w:after="0"/>
              <w:rPr>
                <w:sz w:val="11"/>
                <w:szCs w:val="11"/>
                <w:color w:val="auto"/>
              </w:rPr>
            </w:pPr>
          </w:p>
        </w:tc>
      </w:tr>
      <w:tr>
        <w:trPr>
          <w:trHeight w:val="126"/>
        </w:trPr>
        <w:tc>
          <w:tcPr>
            <w:tcW w:w="4900" w:type="dxa"/>
            <w:vAlign w:val="bottom"/>
            <w:gridSpan w:val="2"/>
          </w:tcPr>
          <w:p>
            <w:pPr>
              <w:spacing w:after="0"/>
              <w:rPr>
                <w:sz w:val="20"/>
                <w:szCs w:val="20"/>
                <w:color w:val="auto"/>
              </w:rPr>
            </w:pPr>
            <w:r>
              <w:rPr>
                <w:rFonts w:ascii="Arial" w:cs="Arial" w:eastAsia="Arial" w:hAnsi="Arial"/>
                <w:sz w:val="10"/>
                <w:szCs w:val="10"/>
                <w:color w:val="auto"/>
              </w:rPr>
              <w:t>Operating net special items per ASM:</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26"/>
        </w:trPr>
        <w:tc>
          <w:tcPr>
            <w:tcW w:w="4900" w:type="dxa"/>
            <w:vAlign w:val="bottom"/>
            <w:gridSpan w:val="2"/>
            <w:shd w:val="clear" w:color="auto" w:fill="CCEEFF"/>
          </w:tcPr>
          <w:p>
            <w:pPr>
              <w:ind w:left="220"/>
              <w:spacing w:after="0" w:line="126" w:lineRule="exact"/>
              <w:rPr>
                <w:sz w:val="20"/>
                <w:szCs w:val="20"/>
                <w:color w:val="auto"/>
              </w:rPr>
            </w:pPr>
            <w:r>
              <w:rPr>
                <w:rFonts w:ascii="Arial" w:cs="Arial" w:eastAsia="Arial" w:hAnsi="Arial"/>
                <w:sz w:val="10"/>
                <w:szCs w:val="10"/>
                <w:color w:val="auto"/>
              </w:rPr>
              <w:t xml:space="preserve">Mainline operating special items, net </w:t>
            </w:r>
            <w:r>
              <w:rPr>
                <w:rFonts w:ascii="Arial" w:cs="Arial" w:eastAsia="Arial" w:hAnsi="Arial"/>
                <w:sz w:val="12"/>
                <w:szCs w:val="12"/>
                <w:color w:val="auto"/>
                <w:vertAlign w:val="superscript"/>
              </w:rPr>
              <w:t>(1)</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2.36</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8.75</w:t>
            </w:r>
          </w:p>
        </w:tc>
        <w:tc>
          <w:tcPr>
            <w:tcW w:w="1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3.25</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0.46</w:t>
            </w:r>
          </w:p>
        </w:tc>
        <w:tc>
          <w:tcPr>
            <w:tcW w:w="980" w:type="dxa"/>
            <w:vAlign w:val="bottom"/>
            <w:shd w:val="clear" w:color="auto" w:fill="CCEEFF"/>
          </w:tcPr>
          <w:p>
            <w:pPr>
              <w:spacing w:after="0"/>
              <w:rPr>
                <w:sz w:val="10"/>
                <w:szCs w:val="10"/>
                <w:color w:val="auto"/>
              </w:rPr>
            </w:pPr>
          </w:p>
        </w:tc>
      </w:tr>
      <w:tr>
        <w:trPr>
          <w:trHeight w:val="126"/>
        </w:trPr>
        <w:tc>
          <w:tcPr>
            <w:tcW w:w="4900" w:type="dxa"/>
            <w:vAlign w:val="bottom"/>
            <w:tcBorders>
              <w:bottom w:val="single" w:sz="8" w:color="CCEEFF"/>
            </w:tcBorders>
            <w:gridSpan w:val="2"/>
          </w:tcPr>
          <w:p>
            <w:pPr>
              <w:ind w:left="220"/>
              <w:spacing w:after="0" w:line="126" w:lineRule="exact"/>
              <w:rPr>
                <w:sz w:val="20"/>
                <w:szCs w:val="20"/>
                <w:color w:val="auto"/>
              </w:rPr>
            </w:pPr>
            <w:r>
              <w:rPr>
                <w:rFonts w:ascii="Arial" w:cs="Arial" w:eastAsia="Arial" w:hAnsi="Arial"/>
                <w:sz w:val="10"/>
                <w:szCs w:val="10"/>
                <w:color w:val="auto"/>
              </w:rPr>
              <w:t xml:space="preserve">Regional operating special items, net </w:t>
            </w:r>
            <w:r>
              <w:rPr>
                <w:rFonts w:ascii="Arial" w:cs="Arial" w:eastAsia="Arial" w:hAnsi="Arial"/>
                <w:sz w:val="12"/>
                <w:szCs w:val="12"/>
                <w:color w:val="auto"/>
                <w:vertAlign w:val="superscript"/>
              </w:rPr>
              <w:t>(2)</w:t>
            </w: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0.31</w:t>
            </w: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1.04</w:t>
            </w:r>
          </w:p>
        </w:tc>
        <w:tc>
          <w:tcPr>
            <w:tcW w:w="1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0.41</w:t>
            </w:r>
          </w:p>
        </w:tc>
        <w:tc>
          <w:tcPr>
            <w:tcW w:w="1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0.11</w:t>
            </w:r>
          </w:p>
        </w:tc>
        <w:tc>
          <w:tcPr>
            <w:tcW w:w="980" w:type="dxa"/>
            <w:vAlign w:val="bottom"/>
            <w:tcBorders>
              <w:bottom w:val="single" w:sz="8" w:color="CCEEFF"/>
            </w:tcBorders>
          </w:tcPr>
          <w:p>
            <w:pPr>
              <w:spacing w:after="0"/>
              <w:rPr>
                <w:sz w:val="10"/>
                <w:szCs w:val="10"/>
                <w:color w:val="auto"/>
              </w:rPr>
            </w:pPr>
          </w:p>
        </w:tc>
      </w:tr>
      <w:tr>
        <w:trPr>
          <w:trHeight w:val="115"/>
        </w:trPr>
        <w:tc>
          <w:tcPr>
            <w:tcW w:w="49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Total operating expenses per ASM, excluding net special items</w:t>
            </w: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15.57</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33.84</w:t>
            </w:r>
          </w:p>
        </w:tc>
        <w:tc>
          <w:tcPr>
            <w:tcW w:w="1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17.05</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19.73</w:t>
            </w:r>
          </w:p>
        </w:tc>
        <w:tc>
          <w:tcPr>
            <w:tcW w:w="980" w:type="dxa"/>
            <w:vAlign w:val="bottom"/>
            <w:shd w:val="clear" w:color="auto" w:fill="CCEEFF"/>
          </w:tcPr>
          <w:p>
            <w:pPr>
              <w:spacing w:after="0"/>
              <w:rPr>
                <w:sz w:val="10"/>
                <w:szCs w:val="10"/>
                <w:color w:val="auto"/>
              </w:rPr>
            </w:pPr>
          </w:p>
        </w:tc>
      </w:tr>
      <w:tr>
        <w:trPr>
          <w:trHeight w:val="108"/>
        </w:trPr>
        <w:tc>
          <w:tcPr>
            <w:tcW w:w="4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26"/>
        </w:trPr>
        <w:tc>
          <w:tcPr>
            <w:tcW w:w="49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Aircraft fuel and related taxes per ASM</w:t>
            </w:r>
          </w:p>
        </w:tc>
        <w:tc>
          <w:tcPr>
            <w:tcW w:w="24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(2.95)</w:t>
            </w:r>
          </w:p>
        </w:tc>
        <w:tc>
          <w:tcPr>
            <w:tcW w:w="10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(1.81)</w:t>
            </w:r>
          </w:p>
        </w:tc>
        <w:tc>
          <w:tcPr>
            <w:tcW w:w="1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(2.86)</w:t>
            </w:r>
          </w:p>
        </w:tc>
        <w:tc>
          <w:tcPr>
            <w:tcW w:w="10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(2.64)</w:t>
            </w:r>
          </w:p>
        </w:tc>
        <w:tc>
          <w:tcPr>
            <w:tcW w:w="980" w:type="dxa"/>
            <w:vAlign w:val="bottom"/>
            <w:shd w:val="clear" w:color="auto" w:fill="CCEEFF"/>
          </w:tcPr>
          <w:p>
            <w:pPr>
              <w:spacing w:after="0"/>
              <w:rPr>
                <w:sz w:val="10"/>
                <w:szCs w:val="10"/>
                <w:color w:val="auto"/>
              </w:rPr>
            </w:pPr>
          </w:p>
        </w:tc>
      </w:tr>
      <w:tr>
        <w:trPr>
          <w:trHeight w:val="116"/>
        </w:trPr>
        <w:tc>
          <w:tcPr>
            <w:tcW w:w="4900" w:type="dxa"/>
            <w:vAlign w:val="bottom"/>
            <w:gridSpan w:val="2"/>
          </w:tcPr>
          <w:p>
            <w:pPr>
              <w:spacing w:after="0"/>
              <w:rPr>
                <w:sz w:val="20"/>
                <w:szCs w:val="20"/>
                <w:color w:val="auto"/>
              </w:rPr>
            </w:pPr>
            <w:r>
              <w:rPr>
                <w:rFonts w:ascii="Arial" w:cs="Arial" w:eastAsia="Arial" w:hAnsi="Arial"/>
                <w:sz w:val="10"/>
                <w:szCs w:val="10"/>
                <w:color w:val="auto"/>
              </w:rPr>
              <w:t>Total operating expenses per ASM, excluding net special items and fuel</w:t>
            </w:r>
          </w:p>
        </w:tc>
        <w:tc>
          <w:tcPr>
            <w:tcW w:w="24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12.61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32.04</w:t>
            </w: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14.18</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17.08</w:t>
            </w:r>
          </w:p>
        </w:tc>
        <w:tc>
          <w:tcPr>
            <w:tcW w:w="9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5840730</wp:posOffset>
            </wp:positionH>
            <wp:positionV relativeFrom="paragraph">
              <wp:posOffset>-2005965</wp:posOffset>
            </wp:positionV>
            <wp:extent cx="5715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3777615</wp:posOffset>
            </wp:positionH>
            <wp:positionV relativeFrom="paragraph">
              <wp:posOffset>-2005965</wp:posOffset>
            </wp:positionV>
            <wp:extent cx="5715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33"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Note: Amounts may not recalculate due to rounding.</w:t>
      </w:r>
    </w:p>
    <w:p>
      <w:pPr>
        <w:spacing w:after="0" w:line="47"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auto"/>
        </w:rPr>
        <w:t>FOOTNOTES:</w:t>
      </w:r>
    </w:p>
    <w:p>
      <w:pPr>
        <w:spacing w:after="0" w:line="59" w:lineRule="exact"/>
        <w:rPr>
          <w:sz w:val="20"/>
          <w:szCs w:val="20"/>
          <w:color w:val="auto"/>
        </w:rPr>
      </w:pPr>
    </w:p>
    <w:p>
      <w:pPr>
        <w:jc w:val="both"/>
        <w:ind w:left="208" w:hanging="208"/>
        <w:spacing w:after="0" w:line="215" w:lineRule="auto"/>
        <w:tabs>
          <w:tab w:leader="none" w:pos="203" w:val="left"/>
        </w:tabs>
        <w:numPr>
          <w:ilvl w:val="0"/>
          <w:numId w:val="14"/>
        </w:numPr>
        <w:rPr>
          <w:rFonts w:ascii="Arial" w:cs="Arial" w:eastAsia="Arial" w:hAnsi="Arial"/>
          <w:sz w:val="12"/>
          <w:szCs w:val="12"/>
          <w:color w:val="auto"/>
          <w:vertAlign w:val="superscript"/>
        </w:rPr>
      </w:pPr>
      <w:r>
        <w:rPr>
          <w:rFonts w:ascii="Arial" w:cs="Arial" w:eastAsia="Arial" w:hAnsi="Arial"/>
          <w:sz w:val="10"/>
          <w:szCs w:val="10"/>
          <w:color w:val="auto"/>
        </w:rPr>
        <w:t>The 2021 second quarter mainline operating special items, net principally included $1.3 billion of Payroll Support Program (PSP) financial assistance. The 2021 six month period mainline operating special items, net principally included $3.2 billion of PSP financial assistance, offset in part by $168 million of salary and medical costs primarily associated with certain team members who opted in to voluntary early retirement programs offered as a result of reductions to the Company's operation due to the COVID-19 pandemic.</w:t>
      </w:r>
    </w:p>
    <w:p>
      <w:pPr>
        <w:spacing w:after="0" w:line="48" w:lineRule="exact"/>
        <w:rPr>
          <w:rFonts w:ascii="Arial" w:cs="Arial" w:eastAsia="Arial" w:hAnsi="Arial"/>
          <w:sz w:val="12"/>
          <w:szCs w:val="12"/>
          <w:color w:val="auto"/>
          <w:vertAlign w:val="superscript"/>
        </w:rPr>
      </w:pPr>
    </w:p>
    <w:p>
      <w:pPr>
        <w:ind w:left="208"/>
        <w:spacing w:after="0"/>
        <w:rPr>
          <w:rFonts w:ascii="Arial" w:cs="Arial" w:eastAsia="Arial" w:hAnsi="Arial"/>
          <w:sz w:val="12"/>
          <w:szCs w:val="12"/>
          <w:color w:val="auto"/>
          <w:vertAlign w:val="superscript"/>
        </w:rPr>
      </w:pPr>
      <w:r>
        <w:rPr>
          <w:rFonts w:ascii="Arial" w:cs="Arial" w:eastAsia="Arial" w:hAnsi="Arial"/>
          <w:sz w:val="10"/>
          <w:szCs w:val="10"/>
          <w:color w:val="auto"/>
        </w:rPr>
        <w:t>Cash payments for salary and medical costs associated with our voluntary early retirement programs were approximately $120 million and $290 million for the 2021 second quarter and six month period, respectively.</w:t>
      </w:r>
    </w:p>
    <w:p>
      <w:pPr>
        <w:spacing w:after="0" w:line="47" w:lineRule="exact"/>
        <w:rPr>
          <w:rFonts w:ascii="Arial" w:cs="Arial" w:eastAsia="Arial" w:hAnsi="Arial"/>
          <w:sz w:val="12"/>
          <w:szCs w:val="12"/>
          <w:color w:val="auto"/>
          <w:vertAlign w:val="superscript"/>
        </w:rPr>
      </w:pPr>
    </w:p>
    <w:p>
      <w:pPr>
        <w:jc w:val="both"/>
        <w:ind w:left="208" w:right="20"/>
        <w:spacing w:after="0" w:line="228" w:lineRule="auto"/>
        <w:rPr>
          <w:rFonts w:ascii="Arial" w:cs="Arial" w:eastAsia="Arial" w:hAnsi="Arial"/>
          <w:sz w:val="12"/>
          <w:szCs w:val="12"/>
          <w:color w:val="auto"/>
          <w:vertAlign w:val="superscript"/>
        </w:rPr>
      </w:pPr>
      <w:r>
        <w:rPr>
          <w:rFonts w:ascii="Arial" w:cs="Arial" w:eastAsia="Arial" w:hAnsi="Arial"/>
          <w:sz w:val="10"/>
          <w:szCs w:val="10"/>
          <w:color w:val="auto"/>
        </w:rPr>
        <w:t>The 2020 second quarter mainline operating special items, net principally included $1.8 billion of PSP financial assistance, offset in part by $332 million of salary and medical costs primarily associated with certain team members who opted in to voluntary early retirement programs. The 2020 six month period mainline operating special items, net principally included $1.8 billion of PSP financial assistance, offset in part by $743 million of fleet impairment charges, $537 million of salary and medical costs primarily associated with certain team members who opted in to voluntary early retirement programs and $228 million of one-time labor contract expenses resulting from the ratification of a new contract with the Company's maintenance and fleet service team members, including signing bonuses and adjustments to vacation accruals resulting from pay rate increases.</w:t>
      </w:r>
    </w:p>
    <w:p>
      <w:pPr>
        <w:spacing w:after="0" w:line="49" w:lineRule="exact"/>
        <w:rPr>
          <w:rFonts w:ascii="Arial" w:cs="Arial" w:eastAsia="Arial" w:hAnsi="Arial"/>
          <w:sz w:val="12"/>
          <w:szCs w:val="12"/>
          <w:color w:val="auto"/>
          <w:vertAlign w:val="superscript"/>
        </w:rPr>
      </w:pPr>
    </w:p>
    <w:p>
      <w:pPr>
        <w:ind w:left="208"/>
        <w:spacing w:after="0" w:line="232" w:lineRule="auto"/>
        <w:rPr>
          <w:rFonts w:ascii="Arial" w:cs="Arial" w:eastAsia="Arial" w:hAnsi="Arial"/>
          <w:sz w:val="12"/>
          <w:szCs w:val="12"/>
          <w:color w:val="auto"/>
          <w:vertAlign w:val="superscript"/>
        </w:rPr>
      </w:pPr>
      <w:r>
        <w:rPr>
          <w:rFonts w:ascii="Arial" w:cs="Arial" w:eastAsia="Arial" w:hAnsi="Arial"/>
          <w:sz w:val="10"/>
          <w:szCs w:val="10"/>
          <w:color w:val="auto"/>
        </w:rPr>
        <w:t>Fleet impairment charges in the 2020 six month period included a $675 million non-cash write-down of aircraft and spare parts and $68 million in write-offs of right-of-use assets and lease return costs associated with our mainline fleet, principally Boeing 757, Boeing 767, Airbus A330-300 and Embraer 190 fleets, which were retired as a result of the decline in demand for air travel due to the COVID-19 pandemic.</w:t>
      </w:r>
    </w:p>
    <w:p>
      <w:pPr>
        <w:spacing w:after="0" w:line="47" w:lineRule="exact"/>
        <w:rPr>
          <w:rFonts w:ascii="Arial" w:cs="Arial" w:eastAsia="Arial" w:hAnsi="Arial"/>
          <w:sz w:val="12"/>
          <w:szCs w:val="12"/>
          <w:color w:val="auto"/>
          <w:vertAlign w:val="superscript"/>
        </w:rPr>
      </w:pPr>
    </w:p>
    <w:p>
      <w:pPr>
        <w:ind w:left="208" w:hanging="208"/>
        <w:spacing w:after="0" w:line="232" w:lineRule="auto"/>
        <w:tabs>
          <w:tab w:leader="none" w:pos="203" w:val="left"/>
        </w:tabs>
        <w:numPr>
          <w:ilvl w:val="0"/>
          <w:numId w:val="14"/>
        </w:numPr>
        <w:rPr>
          <w:rFonts w:ascii="Arial" w:cs="Arial" w:eastAsia="Arial" w:hAnsi="Arial"/>
          <w:sz w:val="11"/>
          <w:szCs w:val="11"/>
          <w:color w:val="auto"/>
          <w:vertAlign w:val="superscript"/>
        </w:rPr>
      </w:pPr>
      <w:r>
        <w:rPr>
          <w:rFonts w:ascii="Arial" w:cs="Arial" w:eastAsia="Arial" w:hAnsi="Arial"/>
          <w:sz w:val="9"/>
          <w:szCs w:val="9"/>
          <w:color w:val="auto"/>
        </w:rPr>
        <w:t>The 2021 second quarter regional operating special items, net principally included $167 million of PSP financial assistance. The 2021 six month period regional operating special items, net principally included $410 million of PSP financial assistance, offset in part by $27 million of fleet impairment charges. The fleet impairment charges principally included a non-cash write-down of regional aircraft resulting from the Company’s decision to retire its remaining fleet of Embraer 140 aircraft earlier than planned.</w:t>
      </w:r>
    </w:p>
    <w:p>
      <w:pPr>
        <w:spacing w:after="0" w:line="47" w:lineRule="exact"/>
        <w:rPr>
          <w:rFonts w:ascii="Arial" w:cs="Arial" w:eastAsia="Arial" w:hAnsi="Arial"/>
          <w:sz w:val="11"/>
          <w:szCs w:val="11"/>
          <w:color w:val="auto"/>
          <w:vertAlign w:val="superscript"/>
        </w:rPr>
      </w:pPr>
    </w:p>
    <w:p>
      <w:pPr>
        <w:jc w:val="both"/>
        <w:ind w:left="208"/>
        <w:spacing w:after="0" w:line="230" w:lineRule="auto"/>
        <w:rPr>
          <w:rFonts w:ascii="Arial" w:cs="Arial" w:eastAsia="Arial" w:hAnsi="Arial"/>
          <w:sz w:val="11"/>
          <w:szCs w:val="11"/>
          <w:color w:val="auto"/>
          <w:vertAlign w:val="superscript"/>
        </w:rPr>
      </w:pPr>
      <w:r>
        <w:rPr>
          <w:rFonts w:ascii="Arial" w:cs="Arial" w:eastAsia="Arial" w:hAnsi="Arial"/>
          <w:sz w:val="10"/>
          <w:szCs w:val="10"/>
          <w:color w:val="auto"/>
        </w:rPr>
        <w:t>The 2020 second quarter regional operating special items, net principally included $216 million of PSP financial assistance, offset in part by $24 million of fleet impairment charges and $14 million of salary and medical costs primarily associated with certain team members who opted in to voluntary early retirement programs. The 2020 six month period regional operating special items, net principally included $216 million of PSP financial assistance, offset in part by $117 million of fleet impairment charges and $14 million of salary and medical costs as discussed above.</w:t>
      </w:r>
    </w:p>
    <w:p>
      <w:pPr>
        <w:spacing w:after="0" w:line="47" w:lineRule="exact"/>
        <w:rPr>
          <w:rFonts w:ascii="Arial" w:cs="Arial" w:eastAsia="Arial" w:hAnsi="Arial"/>
          <w:sz w:val="11"/>
          <w:szCs w:val="11"/>
          <w:color w:val="auto"/>
          <w:vertAlign w:val="superscript"/>
        </w:rPr>
      </w:pPr>
    </w:p>
    <w:p>
      <w:pPr>
        <w:ind w:left="208" w:right="20"/>
        <w:spacing w:after="0" w:line="232" w:lineRule="auto"/>
        <w:rPr>
          <w:rFonts w:ascii="Arial" w:cs="Arial" w:eastAsia="Arial" w:hAnsi="Arial"/>
          <w:sz w:val="11"/>
          <w:szCs w:val="11"/>
          <w:color w:val="auto"/>
          <w:vertAlign w:val="superscript"/>
        </w:rPr>
      </w:pPr>
      <w:r>
        <w:rPr>
          <w:rFonts w:ascii="Arial" w:cs="Arial" w:eastAsia="Arial" w:hAnsi="Arial"/>
          <w:sz w:val="10"/>
          <w:szCs w:val="10"/>
          <w:color w:val="auto"/>
        </w:rPr>
        <w:t>Fleet impairment charges in the 2020 second quarter and six month period included a non-cash write-down of aircraft and spare parts associated with our regional fleet, principally certain Embraer 140 and Bombardier CRJ200 aircraft, which were retired as a result of the decline in demand for air travel due to the COVID-19 pandemic.</w:t>
      </w:r>
    </w:p>
    <w:p>
      <w:pPr>
        <w:spacing w:after="0" w:line="24" w:lineRule="exact"/>
        <w:rPr>
          <w:rFonts w:ascii="Arial" w:cs="Arial" w:eastAsia="Arial" w:hAnsi="Arial"/>
          <w:sz w:val="11"/>
          <w:szCs w:val="11"/>
          <w:color w:val="auto"/>
          <w:vertAlign w:val="superscript"/>
        </w:rPr>
      </w:pPr>
    </w:p>
    <w:p>
      <w:pPr>
        <w:ind w:left="208" w:hanging="208"/>
        <w:spacing w:after="0"/>
        <w:tabs>
          <w:tab w:leader="none" w:pos="208" w:val="left"/>
        </w:tabs>
        <w:numPr>
          <w:ilvl w:val="0"/>
          <w:numId w:val="14"/>
        </w:numPr>
        <w:rPr>
          <w:rFonts w:ascii="Arial" w:cs="Arial" w:eastAsia="Arial" w:hAnsi="Arial"/>
          <w:sz w:val="12"/>
          <w:szCs w:val="12"/>
          <w:color w:val="auto"/>
          <w:vertAlign w:val="superscript"/>
        </w:rPr>
      </w:pPr>
      <w:r>
        <w:rPr>
          <w:rFonts w:ascii="Arial" w:cs="Arial" w:eastAsia="Arial" w:hAnsi="Arial"/>
          <w:sz w:val="10"/>
          <w:szCs w:val="10"/>
          <w:color w:val="auto"/>
        </w:rPr>
        <w:t>Principally included mark-to-market net unrealized gains and losses associated with certain equity investments and treasury rate lock derivative instruments as well as non-cash charges associated with debt refinancings and extinguishments.</w:t>
      </w:r>
    </w:p>
    <w:p>
      <w:pPr>
        <w:sectPr>
          <w:pgSz w:w="11900" w:h="16838" w:orient="portrait"/>
          <w:cols w:equalWidth="0" w:num="1">
            <w:col w:w="11308"/>
          </w:cols>
          <w:pgMar w:left="292" w:top="126" w:right="299" w:bottom="1440" w:gutter="0" w:footer="0" w:header="0"/>
        </w:sectPr>
      </w:pPr>
    </w:p>
    <w:bookmarkStart w:id="14" w:name="page15"/>
    <w:bookmarkEnd w:id="14"/>
    <w:p>
      <w:pPr>
        <w:ind w:left="8"/>
        <w:spacing w:after="0"/>
        <w:rPr>
          <w:sz w:val="20"/>
          <w:szCs w:val="20"/>
          <w:color w:val="auto"/>
        </w:rPr>
      </w:pPr>
      <w:r>
        <w:rPr>
          <w:rFonts w:ascii="Arial" w:cs="Arial" w:eastAsia="Arial" w:hAnsi="Arial"/>
          <w:sz w:val="12"/>
          <w:szCs w:val="12"/>
          <w:b w:val="1"/>
          <w:bCs w:val="1"/>
          <w:color w:val="auto"/>
        </w:rPr>
        <w:t>American Airlines Reports Second-Quarter 2021 Financial Results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July 22, 2021</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11</w:t>
      </w:r>
    </w:p>
    <w:p>
      <w:pPr>
        <w:spacing w:after="0" w:line="32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Average Daily Cash Build (Burn)</w:t>
      </w:r>
    </w:p>
    <w:p>
      <w:pPr>
        <w:spacing w:after="0" w:line="174" w:lineRule="exact"/>
        <w:rPr>
          <w:sz w:val="20"/>
          <w:szCs w:val="20"/>
          <w:color w:val="auto"/>
        </w:rPr>
      </w:pPr>
    </w:p>
    <w:p>
      <w:pPr>
        <w:jc w:val="both"/>
        <w:ind w:left="8"/>
        <w:spacing w:after="0" w:line="273" w:lineRule="auto"/>
        <w:rPr>
          <w:sz w:val="20"/>
          <w:szCs w:val="20"/>
          <w:color w:val="auto"/>
        </w:rPr>
      </w:pPr>
      <w:r>
        <w:rPr>
          <w:rFonts w:ascii="Arial" w:cs="Arial" w:eastAsia="Arial" w:hAnsi="Arial"/>
          <w:sz w:val="10"/>
          <w:szCs w:val="10"/>
          <w:color w:val="auto"/>
        </w:rPr>
        <w:t>The Company's average daily cash build (burn) is presented in the table below, which is a non-GAAP measure that management believes is useful information to investors and others in evaluating the Company's liquidity position and cash flows from its core operating performance. The Company defines cash build (burn) as net cash provided by (used in) operating activities, net cash provided by (used in) investing activities and net cash provided by (used in) financing activities, adjusted for (1) Payroll Support Program financial assistance, (2) net purchases (proceeds from sale) of short-term investments and restricted short-term investments, (3) proceeds from issuance of long-term debt, net of deferred financing costs, but excluding aircraft financing, (4) proceeds from issuance of equity, (5) prepayments of long-term debt and (6) other cash flows that are not representative of the Company's core operating performance.</w:t>
      </w:r>
    </w:p>
    <w:p>
      <w:pPr>
        <w:spacing w:after="0" w:line="143" w:lineRule="exact"/>
        <w:rPr>
          <w:sz w:val="20"/>
          <w:szCs w:val="20"/>
          <w:color w:val="auto"/>
        </w:rPr>
      </w:pPr>
    </w:p>
    <w:p>
      <w:pPr>
        <w:jc w:val="both"/>
        <w:ind w:left="8"/>
        <w:spacing w:after="0" w:line="245" w:lineRule="auto"/>
        <w:rPr>
          <w:sz w:val="20"/>
          <w:szCs w:val="20"/>
          <w:color w:val="auto"/>
        </w:rPr>
      </w:pPr>
      <w:r>
        <w:rPr>
          <w:rFonts w:ascii="Arial" w:cs="Arial" w:eastAsia="Arial" w:hAnsi="Arial"/>
          <w:sz w:val="11"/>
          <w:szCs w:val="11"/>
          <w:color w:val="auto"/>
        </w:rPr>
        <w:t>This non-GAAP measure may not be comparable to similarly titled non-GAAP measures of other companies, and should be considered in addition to, and not as a substitute for or superior to, any measure of performance, cash flow or liquidity prepared in accordance with GAAP.</w:t>
      </w:r>
    </w:p>
    <w:p>
      <w:pPr>
        <w:spacing w:after="0" w:line="110"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9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tcPr>
          <w:p>
            <w:pPr>
              <w:jc w:val="center"/>
              <w:ind w:right="106"/>
              <w:spacing w:after="0"/>
              <w:rPr>
                <w:sz w:val="20"/>
                <w:szCs w:val="20"/>
                <w:color w:val="auto"/>
              </w:rPr>
            </w:pPr>
            <w:r>
              <w:rPr>
                <w:rFonts w:ascii="Arial" w:cs="Arial" w:eastAsia="Arial" w:hAnsi="Arial"/>
                <w:sz w:val="11"/>
                <w:szCs w:val="11"/>
                <w:color w:val="auto"/>
                <w:w w:val="99"/>
              </w:rPr>
              <w:t>3 Months Ended</w:t>
            </w:r>
          </w:p>
        </w:tc>
      </w:tr>
      <w:tr>
        <w:trPr>
          <w:trHeight w:val="132"/>
        </w:trPr>
        <w:tc>
          <w:tcPr>
            <w:tcW w:w="9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color w:val="auto"/>
                <w:w w:val="97"/>
              </w:rPr>
              <w:t>June 30, 2021</w:t>
            </w:r>
          </w:p>
        </w:tc>
      </w:tr>
      <w:tr>
        <w:trPr>
          <w:trHeight w:val="131"/>
        </w:trPr>
        <w:tc>
          <w:tcPr>
            <w:tcW w:w="9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tcPr>
          <w:p>
            <w:pPr>
              <w:jc w:val="center"/>
              <w:ind w:right="106"/>
              <w:spacing w:after="0"/>
              <w:rPr>
                <w:sz w:val="20"/>
                <w:szCs w:val="20"/>
                <w:color w:val="auto"/>
              </w:rPr>
            </w:pPr>
            <w:r>
              <w:rPr>
                <w:rFonts w:ascii="Arial" w:cs="Arial" w:eastAsia="Arial" w:hAnsi="Arial"/>
                <w:sz w:val="11"/>
                <w:szCs w:val="11"/>
                <w:color w:val="auto"/>
                <w:w w:val="98"/>
              </w:rPr>
              <w:t>(in millions, except days in period)</w:t>
            </w:r>
          </w:p>
        </w:tc>
      </w:tr>
      <w:tr>
        <w:trPr>
          <w:trHeight w:val="40"/>
        </w:trPr>
        <w:tc>
          <w:tcPr>
            <w:tcW w:w="9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144"/>
        </w:trPr>
        <w:tc>
          <w:tcPr>
            <w:tcW w:w="9220" w:type="dxa"/>
            <w:vAlign w:val="bottom"/>
            <w:shd w:val="clear" w:color="auto" w:fill="CCEEFF"/>
          </w:tcPr>
          <w:p>
            <w:pPr>
              <w:spacing w:after="0"/>
              <w:rPr>
                <w:sz w:val="20"/>
                <w:szCs w:val="20"/>
                <w:color w:val="auto"/>
              </w:rPr>
            </w:pPr>
            <w:r>
              <w:rPr>
                <w:rFonts w:ascii="Arial" w:cs="Arial" w:eastAsia="Arial" w:hAnsi="Arial"/>
                <w:sz w:val="11"/>
                <w:szCs w:val="11"/>
                <w:color w:val="auto"/>
              </w:rPr>
              <w:t>Net cash provided by operating activities</w:t>
            </w: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3,470</w:t>
            </w:r>
          </w:p>
        </w:tc>
      </w:tr>
      <w:tr>
        <w:trPr>
          <w:trHeight w:val="142"/>
        </w:trPr>
        <w:tc>
          <w:tcPr>
            <w:tcW w:w="9220" w:type="dxa"/>
            <w:vAlign w:val="bottom"/>
          </w:tcPr>
          <w:p>
            <w:pPr>
              <w:spacing w:after="0"/>
              <w:rPr>
                <w:sz w:val="20"/>
                <w:szCs w:val="20"/>
                <w:color w:val="auto"/>
              </w:rPr>
            </w:pPr>
            <w:r>
              <w:rPr>
                <w:rFonts w:ascii="Arial" w:cs="Arial" w:eastAsia="Arial" w:hAnsi="Arial"/>
                <w:sz w:val="11"/>
                <w:szCs w:val="11"/>
                <w:color w:val="auto"/>
              </w:rPr>
              <w:t>Net cash used in investing activities</w:t>
            </w:r>
          </w:p>
        </w:tc>
        <w:tc>
          <w:tcPr>
            <w:tcW w:w="160" w:type="dxa"/>
            <w:vAlign w:val="bottom"/>
          </w:tcPr>
          <w:p>
            <w:pPr>
              <w:spacing w:after="0"/>
              <w:rPr>
                <w:sz w:val="12"/>
                <w:szCs w:val="12"/>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(3,883)</w:t>
            </w:r>
          </w:p>
        </w:tc>
      </w:tr>
      <w:tr>
        <w:trPr>
          <w:trHeight w:val="146"/>
        </w:trPr>
        <w:tc>
          <w:tcPr>
            <w:tcW w:w="9220" w:type="dxa"/>
            <w:vAlign w:val="bottom"/>
            <w:shd w:val="clear" w:color="auto" w:fill="CCEEFF"/>
          </w:tcPr>
          <w:p>
            <w:pPr>
              <w:spacing w:after="0"/>
              <w:rPr>
                <w:sz w:val="20"/>
                <w:szCs w:val="20"/>
                <w:color w:val="auto"/>
              </w:rPr>
            </w:pPr>
            <w:r>
              <w:rPr>
                <w:rFonts w:ascii="Arial" w:cs="Arial" w:eastAsia="Arial" w:hAnsi="Arial"/>
                <w:sz w:val="11"/>
                <w:szCs w:val="11"/>
                <w:color w:val="auto"/>
              </w:rPr>
              <w:t>Net cash provided by financing activities</w:t>
            </w:r>
          </w:p>
        </w:tc>
        <w:tc>
          <w:tcPr>
            <w:tcW w:w="160" w:type="dxa"/>
            <w:vAlign w:val="bottom"/>
            <w:shd w:val="clear" w:color="auto" w:fill="CCEEFF"/>
          </w:tcPr>
          <w:p>
            <w:pPr>
              <w:spacing w:after="0"/>
              <w:rPr>
                <w:sz w:val="12"/>
                <w:szCs w:val="12"/>
                <w:color w:val="auto"/>
              </w:rPr>
            </w:pPr>
          </w:p>
        </w:tc>
        <w:tc>
          <w:tcPr>
            <w:tcW w:w="1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444</w:t>
            </w:r>
          </w:p>
        </w:tc>
      </w:tr>
      <w:tr>
        <w:trPr>
          <w:trHeight w:val="171"/>
        </w:trPr>
        <w:tc>
          <w:tcPr>
            <w:tcW w:w="9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44"/>
        </w:trPr>
        <w:tc>
          <w:tcPr>
            <w:tcW w:w="9220" w:type="dxa"/>
            <w:vAlign w:val="bottom"/>
            <w:shd w:val="clear" w:color="auto" w:fill="CCEEFF"/>
          </w:tcPr>
          <w:p>
            <w:pPr>
              <w:spacing w:after="0"/>
              <w:rPr>
                <w:sz w:val="20"/>
                <w:szCs w:val="20"/>
                <w:color w:val="auto"/>
              </w:rPr>
            </w:pPr>
            <w:r>
              <w:rPr>
                <w:rFonts w:ascii="Arial" w:cs="Arial" w:eastAsia="Arial" w:hAnsi="Arial"/>
                <w:sz w:val="11"/>
                <w:szCs w:val="11"/>
                <w:color w:val="auto"/>
              </w:rPr>
              <w:t>Adjustments:</w:t>
            </w:r>
          </w:p>
        </w:tc>
        <w:tc>
          <w:tcPr>
            <w:tcW w:w="1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r>
      <w:tr>
        <w:trPr>
          <w:trHeight w:val="142"/>
        </w:trPr>
        <w:tc>
          <w:tcPr>
            <w:tcW w:w="9220" w:type="dxa"/>
            <w:vAlign w:val="bottom"/>
          </w:tcPr>
          <w:p>
            <w:pPr>
              <w:ind w:left="160"/>
              <w:spacing w:after="0"/>
              <w:rPr>
                <w:sz w:val="20"/>
                <w:szCs w:val="20"/>
                <w:color w:val="auto"/>
              </w:rPr>
            </w:pPr>
            <w:r>
              <w:rPr>
                <w:rFonts w:ascii="Arial" w:cs="Arial" w:eastAsia="Arial" w:hAnsi="Arial"/>
                <w:sz w:val="11"/>
                <w:szCs w:val="11"/>
                <w:color w:val="auto"/>
              </w:rPr>
              <w:t>Payroll Support Program financial assistance</w:t>
            </w:r>
          </w:p>
        </w:tc>
        <w:tc>
          <w:tcPr>
            <w:tcW w:w="160" w:type="dxa"/>
            <w:vAlign w:val="bottom"/>
          </w:tcPr>
          <w:p>
            <w:pPr>
              <w:spacing w:after="0"/>
              <w:rPr>
                <w:sz w:val="12"/>
                <w:szCs w:val="12"/>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(2,631)</w:t>
            </w:r>
          </w:p>
        </w:tc>
      </w:tr>
      <w:tr>
        <w:trPr>
          <w:trHeight w:val="146"/>
        </w:trPr>
        <w:tc>
          <w:tcPr>
            <w:tcW w:w="92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Net purchases of short-term investments and restricted short-term investments</w:t>
            </w:r>
          </w:p>
        </w:tc>
        <w:tc>
          <w:tcPr>
            <w:tcW w:w="160" w:type="dxa"/>
            <w:vAlign w:val="bottom"/>
            <w:shd w:val="clear" w:color="auto" w:fill="CCEEFF"/>
          </w:tcPr>
          <w:p>
            <w:pPr>
              <w:spacing w:after="0"/>
              <w:rPr>
                <w:sz w:val="12"/>
                <w:szCs w:val="12"/>
                <w:color w:val="auto"/>
              </w:rPr>
            </w:pPr>
          </w:p>
        </w:tc>
        <w:tc>
          <w:tcPr>
            <w:tcW w:w="1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4,071</w:t>
            </w:r>
          </w:p>
        </w:tc>
      </w:tr>
      <w:tr>
        <w:trPr>
          <w:trHeight w:val="142"/>
        </w:trPr>
        <w:tc>
          <w:tcPr>
            <w:tcW w:w="9220" w:type="dxa"/>
            <w:vAlign w:val="bottom"/>
          </w:tcPr>
          <w:p>
            <w:pPr>
              <w:ind w:left="160"/>
              <w:spacing w:after="0"/>
              <w:rPr>
                <w:sz w:val="20"/>
                <w:szCs w:val="20"/>
                <w:color w:val="auto"/>
              </w:rPr>
            </w:pPr>
            <w:r>
              <w:rPr>
                <w:rFonts w:ascii="Arial" w:cs="Arial" w:eastAsia="Arial" w:hAnsi="Arial"/>
                <w:sz w:val="11"/>
                <w:szCs w:val="11"/>
                <w:color w:val="auto"/>
              </w:rPr>
              <w:t>Proceeds from issuance of non-aircraft long-term debt, net of deferred financing costs</w:t>
            </w:r>
          </w:p>
        </w:tc>
        <w:tc>
          <w:tcPr>
            <w:tcW w:w="160" w:type="dxa"/>
            <w:vAlign w:val="bottom"/>
          </w:tcPr>
          <w:p>
            <w:pPr>
              <w:spacing w:after="0"/>
              <w:rPr>
                <w:sz w:val="12"/>
                <w:szCs w:val="12"/>
                <w:color w:val="auto"/>
              </w:rPr>
            </w:pPr>
          </w:p>
        </w:tc>
        <w:tc>
          <w:tcPr>
            <w:tcW w:w="1920" w:type="dxa"/>
            <w:vAlign w:val="bottom"/>
          </w:tcPr>
          <w:p>
            <w:pPr>
              <w:jc w:val="right"/>
              <w:spacing w:after="0"/>
              <w:rPr>
                <w:sz w:val="20"/>
                <w:szCs w:val="20"/>
                <w:color w:val="auto"/>
              </w:rPr>
            </w:pPr>
            <w:r>
              <w:rPr>
                <w:rFonts w:ascii="Arial" w:cs="Arial" w:eastAsia="Arial" w:hAnsi="Arial"/>
                <w:sz w:val="11"/>
                <w:szCs w:val="11"/>
                <w:color w:val="auto"/>
              </w:rPr>
              <w:t>(1,231)</w:t>
            </w:r>
          </w:p>
        </w:tc>
      </w:tr>
      <w:tr>
        <w:trPr>
          <w:trHeight w:val="146"/>
        </w:trPr>
        <w:tc>
          <w:tcPr>
            <w:tcW w:w="92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Proceeds from issuance of equity</w:t>
            </w:r>
          </w:p>
        </w:tc>
        <w:tc>
          <w:tcPr>
            <w:tcW w:w="160" w:type="dxa"/>
            <w:vAlign w:val="bottom"/>
            <w:shd w:val="clear" w:color="auto" w:fill="CCEEFF"/>
          </w:tcPr>
          <w:p>
            <w:pPr>
              <w:spacing w:after="0"/>
              <w:rPr>
                <w:sz w:val="12"/>
                <w:szCs w:val="1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w:t>
            </w:r>
          </w:p>
        </w:tc>
      </w:tr>
      <w:tr>
        <w:trPr>
          <w:trHeight w:val="142"/>
        </w:trPr>
        <w:tc>
          <w:tcPr>
            <w:tcW w:w="9220" w:type="dxa"/>
            <w:vAlign w:val="bottom"/>
          </w:tcPr>
          <w:p>
            <w:pPr>
              <w:ind w:left="160"/>
              <w:spacing w:after="0"/>
              <w:rPr>
                <w:sz w:val="20"/>
                <w:szCs w:val="20"/>
                <w:color w:val="auto"/>
              </w:rPr>
            </w:pPr>
            <w:r>
              <w:rPr>
                <w:rFonts w:ascii="Arial" w:cs="Arial" w:eastAsia="Arial" w:hAnsi="Arial"/>
                <w:sz w:val="11"/>
                <w:szCs w:val="11"/>
                <w:color w:val="auto"/>
              </w:rPr>
              <w:t>Prepayments of long-term debt</w:t>
            </w:r>
          </w:p>
        </w:tc>
        <w:tc>
          <w:tcPr>
            <w:tcW w:w="160" w:type="dxa"/>
            <w:vAlign w:val="bottom"/>
          </w:tcPr>
          <w:p>
            <w:pPr>
              <w:spacing w:after="0"/>
              <w:rPr>
                <w:sz w:val="12"/>
                <w:szCs w:val="12"/>
                <w:color w:val="auto"/>
              </w:rPr>
            </w:pPr>
          </w:p>
        </w:tc>
        <w:tc>
          <w:tcPr>
            <w:tcW w:w="1920" w:type="dxa"/>
            <w:vAlign w:val="bottom"/>
          </w:tcPr>
          <w:p>
            <w:pPr>
              <w:jc w:val="right"/>
              <w:ind w:right="6"/>
              <w:spacing w:after="0"/>
              <w:rPr>
                <w:sz w:val="20"/>
                <w:szCs w:val="20"/>
                <w:color w:val="auto"/>
              </w:rPr>
            </w:pPr>
            <w:r>
              <w:rPr>
                <w:rFonts w:ascii="Arial" w:cs="Arial" w:eastAsia="Arial" w:hAnsi="Arial"/>
                <w:sz w:val="11"/>
                <w:szCs w:val="11"/>
                <w:color w:val="auto"/>
              </w:rPr>
              <w:t>22</w:t>
            </w:r>
          </w:p>
        </w:tc>
      </w:tr>
      <w:tr>
        <w:trPr>
          <w:trHeight w:val="144"/>
        </w:trPr>
        <w:tc>
          <w:tcPr>
            <w:tcW w:w="92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w:t>
            </w:r>
          </w:p>
        </w:tc>
        <w:tc>
          <w:tcPr>
            <w:tcW w:w="160" w:type="dxa"/>
            <w:vAlign w:val="bottom"/>
            <w:tcBorders>
              <w:bottom w:val="single" w:sz="8" w:color="auto"/>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53"/>
        </w:trPr>
        <w:tc>
          <w:tcPr>
            <w:tcW w:w="9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60"/>
        </w:trPr>
        <w:tc>
          <w:tcPr>
            <w:tcW w:w="922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1"/>
                <w:szCs w:val="11"/>
                <w:color w:val="auto"/>
              </w:rPr>
              <w:t xml:space="preserve">Total cash build (burn) </w:t>
            </w:r>
            <w:r>
              <w:rPr>
                <w:rFonts w:ascii="Arial" w:cs="Arial" w:eastAsia="Arial" w:hAnsi="Arial"/>
                <w:sz w:val="14"/>
                <w:szCs w:val="14"/>
                <w:color w:val="auto"/>
                <w:vertAlign w:val="superscript"/>
              </w:rPr>
              <w:t>(1)</w:t>
            </w: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118</w:t>
            </w:r>
          </w:p>
        </w:tc>
      </w:tr>
      <w:tr>
        <w:trPr>
          <w:trHeight w:val="153"/>
        </w:trPr>
        <w:tc>
          <w:tcPr>
            <w:tcW w:w="9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44"/>
        </w:trPr>
        <w:tc>
          <w:tcPr>
            <w:tcW w:w="9220" w:type="dxa"/>
            <w:vAlign w:val="bottom"/>
            <w:shd w:val="clear" w:color="auto" w:fill="CCEEFF"/>
          </w:tcPr>
          <w:p>
            <w:pPr>
              <w:spacing w:after="0"/>
              <w:rPr>
                <w:sz w:val="20"/>
                <w:szCs w:val="20"/>
                <w:color w:val="auto"/>
              </w:rPr>
            </w:pPr>
            <w:r>
              <w:rPr>
                <w:rFonts w:ascii="Arial" w:cs="Arial" w:eastAsia="Arial" w:hAnsi="Arial"/>
                <w:sz w:val="11"/>
                <w:szCs w:val="11"/>
                <w:color w:val="auto"/>
              </w:rPr>
              <w:t>Days in period</w:t>
            </w:r>
          </w:p>
        </w:tc>
        <w:tc>
          <w:tcPr>
            <w:tcW w:w="160" w:type="dxa"/>
            <w:vAlign w:val="bottom"/>
            <w:shd w:val="clear" w:color="auto" w:fill="CCEEFF"/>
          </w:tcPr>
          <w:p>
            <w:pPr>
              <w:spacing w:after="0"/>
              <w:rPr>
                <w:sz w:val="12"/>
                <w:szCs w:val="12"/>
                <w:color w:val="auto"/>
              </w:rPr>
            </w:pPr>
          </w:p>
        </w:tc>
        <w:tc>
          <w:tcPr>
            <w:tcW w:w="1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91</w:t>
            </w:r>
          </w:p>
        </w:tc>
      </w:tr>
      <w:tr>
        <w:trPr>
          <w:trHeight w:val="171"/>
        </w:trPr>
        <w:tc>
          <w:tcPr>
            <w:tcW w:w="9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0"/>
        </w:trPr>
        <w:tc>
          <w:tcPr>
            <w:tcW w:w="9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Average daily cash build (burn)</w:t>
            </w: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r>
    </w:tbl>
    <w:p>
      <w:pPr>
        <w:spacing w:after="0" w:line="36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 Amounts may not recalculate due to rounding.</w:t>
      </w:r>
    </w:p>
    <w:p>
      <w:pPr>
        <w:spacing w:after="0" w:line="120" w:lineRule="exact"/>
        <w:rPr>
          <w:sz w:val="20"/>
          <w:szCs w:val="20"/>
          <w:color w:val="auto"/>
        </w:rPr>
      </w:pPr>
    </w:p>
    <w:p>
      <w:pPr>
        <w:ind w:left="208" w:hanging="208"/>
        <w:spacing w:after="0" w:line="213" w:lineRule="auto"/>
        <w:tabs>
          <w:tab w:leader="none" w:pos="204" w:val="left"/>
        </w:tabs>
        <w:numPr>
          <w:ilvl w:val="0"/>
          <w:numId w:val="15"/>
        </w:numPr>
        <w:rPr>
          <w:rFonts w:ascii="Arial" w:cs="Arial" w:eastAsia="Arial" w:hAnsi="Arial"/>
          <w:sz w:val="14"/>
          <w:szCs w:val="14"/>
          <w:b w:val="1"/>
          <w:bCs w:val="1"/>
          <w:color w:val="auto"/>
          <w:vertAlign w:val="superscript"/>
        </w:rPr>
      </w:pPr>
      <w:r>
        <w:rPr>
          <w:rFonts w:ascii="Arial" w:cs="Arial" w:eastAsia="Arial" w:hAnsi="Arial"/>
          <w:sz w:val="11"/>
          <w:szCs w:val="11"/>
          <w:color w:val="auto"/>
        </w:rPr>
        <w:t>Of the total cash build for the three months ended June 30, 2021, approximately $965 million were cash payments for debt amortization and approximately $120 million were cash payments for salary and medical costs principally for the Company's voluntary early retirement programs totaling an equivalent of approximately $12 million of cash burn per day.</w:t>
      </w:r>
    </w:p>
    <w:p>
      <w:pPr>
        <w:sectPr>
          <w:pgSz w:w="11900" w:h="16838" w:orient="portrait"/>
          <w:cols w:equalWidth="0" w:num="1">
            <w:col w:w="11308"/>
          </w:cols>
          <w:pgMar w:left="292" w:top="126" w:right="299" w:bottom="1440" w:gutter="0" w:footer="0" w:header="0"/>
        </w:sectPr>
      </w:pPr>
    </w:p>
    <w:bookmarkStart w:id="15" w:name="page16"/>
    <w:bookmarkEnd w:id="15"/>
    <w:p>
      <w:pPr>
        <w:ind w:left="8"/>
        <w:spacing w:after="0"/>
        <w:rPr>
          <w:sz w:val="20"/>
          <w:szCs w:val="20"/>
          <w:color w:val="auto"/>
        </w:rPr>
      </w:pPr>
      <w:r>
        <w:rPr>
          <w:rFonts w:ascii="Arial" w:cs="Arial" w:eastAsia="Arial" w:hAnsi="Arial"/>
          <w:sz w:val="12"/>
          <w:szCs w:val="12"/>
          <w:b w:val="1"/>
          <w:bCs w:val="1"/>
          <w:color w:val="auto"/>
        </w:rPr>
        <w:t>American Airlines Reports Second-Quarter 2021 Financial Results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July 22, 2021</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12</w:t>
      </w:r>
    </w:p>
    <w:p>
      <w:pPr>
        <w:spacing w:after="0" w:line="266"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American Airlines Group Inc.</w:t>
      </w:r>
    </w:p>
    <w:p>
      <w:pPr>
        <w:spacing w:after="0" w:line="11"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Condensed Consolidated Statements of Cash Flows</w:t>
      </w:r>
    </w:p>
    <w:p>
      <w:pPr>
        <w:jc w:val="center"/>
        <w:ind w:right="-7"/>
        <w:spacing w:after="0"/>
        <w:rPr>
          <w:sz w:val="20"/>
          <w:szCs w:val="20"/>
          <w:color w:val="auto"/>
        </w:rPr>
      </w:pPr>
      <w:r>
        <w:rPr>
          <w:rFonts w:ascii="Arial" w:cs="Arial" w:eastAsia="Arial" w:hAnsi="Arial"/>
          <w:sz w:val="11"/>
          <w:szCs w:val="11"/>
          <w:b w:val="1"/>
          <w:bCs w:val="1"/>
          <w:color w:val="auto"/>
        </w:rPr>
        <w:t>(In millions)(Unaudited)</w:t>
      </w:r>
    </w:p>
    <w:p>
      <w:pPr>
        <w:spacing w:after="0" w:line="116" w:lineRule="exact"/>
        <w:rPr>
          <w:sz w:val="20"/>
          <w:szCs w:val="20"/>
          <w:color w:val="auto"/>
        </w:rPr>
      </w:pPr>
    </w:p>
    <w:p>
      <w:pPr>
        <w:jc w:val="center"/>
        <w:ind w:left="8560"/>
        <w:spacing w:after="0"/>
        <w:rPr>
          <w:sz w:val="20"/>
          <w:szCs w:val="20"/>
          <w:color w:val="auto"/>
        </w:rPr>
      </w:pPr>
      <w:r>
        <w:rPr>
          <w:rFonts w:ascii="Arial" w:cs="Arial" w:eastAsia="Arial" w:hAnsi="Arial"/>
          <w:sz w:val="11"/>
          <w:szCs w:val="11"/>
          <w:color w:val="auto"/>
        </w:rPr>
        <w:t>6 Months Ended</w:t>
      </w:r>
    </w:p>
    <w:p>
      <w:pPr>
        <w:jc w:val="center"/>
        <w:ind w:left="8560"/>
        <w:spacing w:after="0"/>
        <w:rPr>
          <w:sz w:val="20"/>
          <w:szCs w:val="20"/>
          <w:color w:val="auto"/>
        </w:rPr>
      </w:pPr>
      <w:r>
        <w:rPr>
          <w:rFonts w:ascii="Arial" w:cs="Arial" w:eastAsia="Arial" w:hAnsi="Arial"/>
          <w:sz w:val="11"/>
          <w:szCs w:val="11"/>
          <w:color w:val="auto"/>
        </w:rPr>
        <w:t>June 30,</w:t>
      </w:r>
    </w:p>
    <w:p>
      <w:pPr>
        <w:spacing w:after="0" w:line="18"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2180" w:type="dxa"/>
            <w:vAlign w:val="bottom"/>
            <w:tcBorders>
              <w:bottom w:val="single" w:sz="8" w:color="CCEEFF"/>
            </w:tcBorders>
          </w:tcPr>
          <w:p>
            <w:pPr>
              <w:spacing w:after="0"/>
              <w:rPr>
                <w:sz w:val="11"/>
                <w:szCs w:val="11"/>
                <w:color w:val="auto"/>
              </w:rPr>
            </w:pPr>
          </w:p>
        </w:tc>
        <w:tc>
          <w:tcPr>
            <w:tcW w:w="63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2021</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color w:val="auto"/>
              </w:rPr>
              <w:t>2020</w:t>
            </w:r>
          </w:p>
        </w:tc>
      </w:tr>
      <w:tr>
        <w:trPr>
          <w:trHeight w:val="135"/>
        </w:trPr>
        <w:tc>
          <w:tcPr>
            <w:tcW w:w="8560" w:type="dxa"/>
            <w:vAlign w:val="bottom"/>
            <w:gridSpan w:val="2"/>
            <w:shd w:val="clear" w:color="auto" w:fill="CCEEFF"/>
          </w:tcPr>
          <w:p>
            <w:pPr>
              <w:spacing w:after="0" w:line="124" w:lineRule="exact"/>
              <w:rPr>
                <w:sz w:val="20"/>
                <w:szCs w:val="20"/>
                <w:color w:val="auto"/>
              </w:rPr>
            </w:pPr>
            <w:r>
              <w:rPr>
                <w:rFonts w:ascii="Arial" w:cs="Arial" w:eastAsia="Arial" w:hAnsi="Arial"/>
                <w:sz w:val="11"/>
                <w:szCs w:val="11"/>
                <w:b w:val="1"/>
                <w:bCs w:val="1"/>
                <w:color w:val="auto"/>
              </w:rPr>
              <w:t>Net cash provided by (used in) operating activities</w:t>
            </w:r>
          </w:p>
        </w:tc>
        <w:tc>
          <w:tcPr>
            <w:tcW w:w="840" w:type="dxa"/>
            <w:vAlign w:val="bottom"/>
            <w:shd w:val="clear" w:color="auto" w:fill="CCEEFF"/>
          </w:tcPr>
          <w:p>
            <w:pPr>
              <w:jc w:val="right"/>
              <w:ind w:right="70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3,644</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(1,076)</w:t>
            </w:r>
          </w:p>
        </w:tc>
      </w:tr>
      <w:tr>
        <w:trPr>
          <w:trHeight w:val="143"/>
        </w:trPr>
        <w:tc>
          <w:tcPr>
            <w:tcW w:w="8560" w:type="dxa"/>
            <w:vAlign w:val="bottom"/>
            <w:gridSpan w:val="2"/>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5"/>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Capital expenditures, net of aircraft purchase deposit returns</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(1,233)</w:t>
            </w:r>
          </w:p>
        </w:tc>
      </w:tr>
      <w:tr>
        <w:trPr>
          <w:trHeight w:val="142"/>
        </w:trPr>
        <w:tc>
          <w:tcPr>
            <w:tcW w:w="8560" w:type="dxa"/>
            <w:vAlign w:val="bottom"/>
            <w:gridSpan w:val="2"/>
          </w:tcPr>
          <w:p>
            <w:pPr>
              <w:ind w:left="140"/>
              <w:spacing w:after="0"/>
              <w:rPr>
                <w:sz w:val="20"/>
                <w:szCs w:val="20"/>
                <w:color w:val="auto"/>
              </w:rPr>
            </w:pPr>
            <w:r>
              <w:rPr>
                <w:rFonts w:ascii="Arial" w:cs="Arial" w:eastAsia="Arial" w:hAnsi="Arial"/>
                <w:sz w:val="11"/>
                <w:szCs w:val="11"/>
                <w:color w:val="auto"/>
              </w:rPr>
              <w:t>Proceeds from sale-leaseback transactions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376</w:t>
            </w:r>
          </w:p>
        </w:tc>
      </w:tr>
      <w:tr>
        <w:trPr>
          <w:trHeight w:val="146"/>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Proceeds from sale of property and equipment</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148</w:t>
            </w:r>
          </w:p>
        </w:tc>
      </w:tr>
      <w:tr>
        <w:trPr>
          <w:trHeight w:val="142"/>
        </w:trPr>
        <w:tc>
          <w:tcPr>
            <w:tcW w:w="8560" w:type="dxa"/>
            <w:vAlign w:val="bottom"/>
            <w:gridSpan w:val="2"/>
          </w:tcPr>
          <w:p>
            <w:pPr>
              <w:ind w:left="140"/>
              <w:spacing w:after="0"/>
              <w:rPr>
                <w:sz w:val="20"/>
                <w:szCs w:val="20"/>
                <w:color w:val="auto"/>
              </w:rPr>
            </w:pPr>
            <w:r>
              <w:rPr>
                <w:rFonts w:ascii="Arial" w:cs="Arial" w:eastAsia="Arial" w:hAnsi="Arial"/>
                <w:sz w:val="11"/>
                <w:szCs w:val="11"/>
                <w:color w:val="auto"/>
              </w:rPr>
              <w:t>Purchases of short-term investments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(13,840)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(7,936)</w:t>
            </w:r>
          </w:p>
        </w:tc>
      </w:tr>
      <w:tr>
        <w:trPr>
          <w:trHeight w:val="146"/>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Sales of short-term investments</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2,131</w:t>
            </w:r>
          </w:p>
        </w:tc>
      </w:tr>
      <w:tr>
        <w:trPr>
          <w:trHeight w:val="142"/>
        </w:trPr>
        <w:tc>
          <w:tcPr>
            <w:tcW w:w="8560" w:type="dxa"/>
            <w:vAlign w:val="bottom"/>
            <w:gridSpan w:val="2"/>
          </w:tcPr>
          <w:p>
            <w:pPr>
              <w:ind w:left="140"/>
              <w:spacing w:after="0"/>
              <w:rPr>
                <w:sz w:val="20"/>
                <w:szCs w:val="20"/>
                <w:color w:val="auto"/>
              </w:rPr>
            </w:pPr>
            <w:r>
              <w:rPr>
                <w:rFonts w:ascii="Arial" w:cs="Arial" w:eastAsia="Arial" w:hAnsi="Arial"/>
                <w:sz w:val="11"/>
                <w:szCs w:val="11"/>
                <w:color w:val="auto"/>
              </w:rPr>
              <w:t>Increase in restricted short-term investments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(404)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(386)</w:t>
            </w:r>
          </w:p>
        </w:tc>
      </w:tr>
      <w:tr>
        <w:trPr>
          <w:trHeight w:val="146"/>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Other investing activities</w:t>
            </w:r>
          </w:p>
        </w:tc>
        <w:tc>
          <w:tcPr>
            <w:tcW w:w="8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(71)</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w:t>
            </w:r>
          </w:p>
        </w:tc>
      </w:tr>
      <w:tr>
        <w:trPr>
          <w:trHeight w:val="131"/>
        </w:trPr>
        <w:tc>
          <w:tcPr>
            <w:tcW w:w="8560" w:type="dxa"/>
            <w:vAlign w:val="bottom"/>
            <w:gridSpan w:val="2"/>
          </w:tcPr>
          <w:p>
            <w:pPr>
              <w:ind w:left="360"/>
              <w:spacing w:after="0" w:line="120" w:lineRule="exact"/>
              <w:rPr>
                <w:sz w:val="20"/>
                <w:szCs w:val="20"/>
                <w:color w:val="auto"/>
              </w:rPr>
            </w:pPr>
            <w:r>
              <w:rPr>
                <w:rFonts w:ascii="Arial" w:cs="Arial" w:eastAsia="Arial" w:hAnsi="Arial"/>
                <w:sz w:val="11"/>
                <w:szCs w:val="11"/>
                <w:color w:val="auto"/>
              </w:rPr>
              <w:t>Net cash used in investing activities</w:t>
            </w:r>
          </w:p>
        </w:tc>
        <w:tc>
          <w:tcPr>
            <w:tcW w:w="8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(11,036)</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(6,961)</w:t>
            </w:r>
          </w:p>
        </w:tc>
      </w:tr>
      <w:tr>
        <w:trPr>
          <w:trHeight w:val="146"/>
        </w:trPr>
        <w:tc>
          <w:tcPr>
            <w:tcW w:w="8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2"/>
        </w:trPr>
        <w:tc>
          <w:tcPr>
            <w:tcW w:w="8560" w:type="dxa"/>
            <w:vAlign w:val="bottom"/>
            <w:gridSpan w:val="2"/>
          </w:tcPr>
          <w:p>
            <w:pPr>
              <w:ind w:left="140"/>
              <w:spacing w:after="0"/>
              <w:rPr>
                <w:sz w:val="20"/>
                <w:szCs w:val="20"/>
                <w:color w:val="auto"/>
              </w:rPr>
            </w:pPr>
            <w:r>
              <w:rPr>
                <w:rFonts w:ascii="Arial" w:cs="Arial" w:eastAsia="Arial" w:hAnsi="Arial"/>
                <w:sz w:val="11"/>
                <w:szCs w:val="11"/>
                <w:color w:val="auto"/>
              </w:rPr>
              <w:t>Proceeds from issuance of long-term debt</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12,096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9,464</w:t>
            </w:r>
          </w:p>
        </w:tc>
      </w:tr>
      <w:tr>
        <w:trPr>
          <w:trHeight w:val="146"/>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Payments on long-term debt and finance leases</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(5,040)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(2,477)</w:t>
            </w:r>
          </w:p>
        </w:tc>
      </w:tr>
      <w:tr>
        <w:trPr>
          <w:trHeight w:val="142"/>
        </w:trPr>
        <w:tc>
          <w:tcPr>
            <w:tcW w:w="8560" w:type="dxa"/>
            <w:vAlign w:val="bottom"/>
            <w:gridSpan w:val="2"/>
          </w:tcPr>
          <w:p>
            <w:pPr>
              <w:ind w:left="140"/>
              <w:spacing w:after="0"/>
              <w:rPr>
                <w:sz w:val="20"/>
                <w:szCs w:val="20"/>
                <w:color w:val="auto"/>
              </w:rPr>
            </w:pPr>
            <w:r>
              <w:rPr>
                <w:rFonts w:ascii="Arial" w:cs="Arial" w:eastAsia="Arial" w:hAnsi="Arial"/>
                <w:sz w:val="11"/>
                <w:szCs w:val="11"/>
                <w:color w:val="auto"/>
              </w:rPr>
              <w:t>Proceeds from issuance of equity</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460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1,527</w:t>
            </w:r>
          </w:p>
        </w:tc>
      </w:tr>
      <w:tr>
        <w:trPr>
          <w:trHeight w:val="146"/>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Deferred financing costs</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w:t>
            </w:r>
          </w:p>
        </w:tc>
      </w:tr>
      <w:tr>
        <w:trPr>
          <w:trHeight w:val="142"/>
        </w:trPr>
        <w:tc>
          <w:tcPr>
            <w:tcW w:w="8560" w:type="dxa"/>
            <w:vAlign w:val="bottom"/>
            <w:gridSpan w:val="2"/>
          </w:tcPr>
          <w:p>
            <w:pPr>
              <w:ind w:left="140"/>
              <w:spacing w:after="0"/>
              <w:rPr>
                <w:sz w:val="20"/>
                <w:szCs w:val="20"/>
                <w:color w:val="auto"/>
              </w:rPr>
            </w:pPr>
            <w:r>
              <w:rPr>
                <w:rFonts w:ascii="Arial" w:cs="Arial" w:eastAsia="Arial" w:hAnsi="Arial"/>
                <w:sz w:val="11"/>
                <w:szCs w:val="11"/>
                <w:color w:val="auto"/>
              </w:rPr>
              <w:t>Treasury stock repurchases and shares withheld for taxes pursuant to employee stock plans</w:t>
            </w:r>
          </w:p>
        </w:tc>
        <w:tc>
          <w:tcPr>
            <w:tcW w:w="8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(173)</w:t>
            </w:r>
          </w:p>
        </w:tc>
      </w:tr>
      <w:tr>
        <w:trPr>
          <w:trHeight w:val="146"/>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Dividend payments</w:t>
            </w:r>
          </w:p>
        </w:tc>
        <w:tc>
          <w:tcPr>
            <w:tcW w:w="8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w:t>
            </w:r>
          </w:p>
        </w:tc>
      </w:tr>
      <w:tr>
        <w:trPr>
          <w:trHeight w:val="142"/>
        </w:trPr>
        <w:tc>
          <w:tcPr>
            <w:tcW w:w="8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1"/>
                <w:szCs w:val="11"/>
                <w:color w:val="auto"/>
              </w:rPr>
              <w:t>Other financing activities</w:t>
            </w: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121</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r>
      <w:tr>
        <w:trPr>
          <w:trHeight w:val="135"/>
        </w:trPr>
        <w:tc>
          <w:tcPr>
            <w:tcW w:w="8560" w:type="dxa"/>
            <w:vAlign w:val="bottom"/>
            <w:gridSpan w:val="2"/>
            <w:shd w:val="clear" w:color="auto" w:fill="CCEEFF"/>
          </w:tcPr>
          <w:p>
            <w:pPr>
              <w:ind w:left="360"/>
              <w:spacing w:after="0" w:line="122" w:lineRule="exact"/>
              <w:rPr>
                <w:sz w:val="20"/>
                <w:szCs w:val="20"/>
                <w:color w:val="auto"/>
              </w:rPr>
            </w:pPr>
            <w:r>
              <w:rPr>
                <w:rFonts w:ascii="Arial" w:cs="Arial" w:eastAsia="Arial" w:hAnsi="Arial"/>
                <w:sz w:val="11"/>
                <w:szCs w:val="11"/>
                <w:color w:val="auto"/>
              </w:rPr>
              <w:t>Net cash provided by financing activities</w:t>
            </w:r>
          </w:p>
        </w:tc>
        <w:tc>
          <w:tcPr>
            <w:tcW w:w="8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7,458</w:t>
            </w:r>
          </w:p>
        </w:tc>
        <w:tc>
          <w:tcPr>
            <w:tcW w:w="10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8,214</w:t>
            </w:r>
          </w:p>
        </w:tc>
      </w:tr>
      <w:tr>
        <w:trPr>
          <w:trHeight w:val="131"/>
        </w:trPr>
        <w:tc>
          <w:tcPr>
            <w:tcW w:w="8560" w:type="dxa"/>
            <w:vAlign w:val="bottom"/>
            <w:gridSpan w:val="2"/>
          </w:tcPr>
          <w:p>
            <w:pPr>
              <w:spacing w:after="0" w:line="120" w:lineRule="exact"/>
              <w:rPr>
                <w:sz w:val="20"/>
                <w:szCs w:val="20"/>
                <w:color w:val="auto"/>
              </w:rPr>
            </w:pPr>
            <w:r>
              <w:rPr>
                <w:rFonts w:ascii="Arial" w:cs="Arial" w:eastAsia="Arial" w:hAnsi="Arial"/>
                <w:sz w:val="11"/>
                <w:szCs w:val="11"/>
                <w:color w:val="auto"/>
              </w:rPr>
              <w:t>Net increase in cash and restricted cash</w:t>
            </w:r>
          </w:p>
        </w:tc>
        <w:tc>
          <w:tcPr>
            <w:tcW w:w="8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177</w:t>
            </w:r>
          </w:p>
        </w:tc>
      </w:tr>
      <w:tr>
        <w:trPr>
          <w:trHeight w:val="146"/>
        </w:trPr>
        <w:tc>
          <w:tcPr>
            <w:tcW w:w="8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Cash and restricted cash at beginning of period</w:t>
            </w:r>
          </w:p>
        </w:tc>
        <w:tc>
          <w:tcPr>
            <w:tcW w:w="8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399</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290</w:t>
            </w:r>
          </w:p>
        </w:tc>
      </w:tr>
      <w:tr>
        <w:trPr>
          <w:trHeight w:val="149"/>
        </w:trPr>
        <w:tc>
          <w:tcPr>
            <w:tcW w:w="8560" w:type="dxa"/>
            <w:vAlign w:val="bottom"/>
            <w:tcBorders>
              <w:bottom w:val="single" w:sz="8" w:color="CCEEFF"/>
            </w:tcBorders>
            <w:gridSpan w:val="2"/>
          </w:tcPr>
          <w:p>
            <w:pPr>
              <w:spacing w:after="0" w:line="133" w:lineRule="exact"/>
              <w:rPr>
                <w:sz w:val="20"/>
                <w:szCs w:val="20"/>
                <w:color w:val="auto"/>
              </w:rPr>
            </w:pPr>
            <w:r>
              <w:rPr>
                <w:rFonts w:ascii="Arial" w:cs="Arial" w:eastAsia="Arial" w:hAnsi="Arial"/>
                <w:sz w:val="11"/>
                <w:szCs w:val="11"/>
                <w:color w:val="auto"/>
              </w:rPr>
              <w:t xml:space="preserve">Cash and restricted cash at end of period </w:t>
            </w:r>
            <w:r>
              <w:rPr>
                <w:rFonts w:ascii="Arial" w:cs="Arial" w:eastAsia="Arial" w:hAnsi="Arial"/>
                <w:sz w:val="14"/>
                <w:szCs w:val="14"/>
                <w:color w:val="auto"/>
                <w:vertAlign w:val="superscript"/>
              </w:rPr>
              <w:t>(1)</w:t>
            </w:r>
          </w:p>
        </w:tc>
        <w:tc>
          <w:tcPr>
            <w:tcW w:w="840" w:type="dxa"/>
            <w:vAlign w:val="bottom"/>
            <w:tcBorders>
              <w:bottom w:val="single" w:sz="8" w:color="auto"/>
            </w:tcBorders>
          </w:tcPr>
          <w:p>
            <w:pPr>
              <w:jc w:val="right"/>
              <w:ind w:right="70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465</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467</w:t>
            </w:r>
          </w:p>
        </w:tc>
      </w:tr>
      <w:tr>
        <w:trPr>
          <w:trHeight w:val="126"/>
        </w:trPr>
        <w:tc>
          <w:tcPr>
            <w:tcW w:w="2180" w:type="dxa"/>
            <w:vAlign w:val="bottom"/>
            <w:shd w:val="clear" w:color="auto" w:fill="CCEEFF"/>
          </w:tcPr>
          <w:p>
            <w:pPr>
              <w:spacing w:after="0"/>
              <w:rPr>
                <w:sz w:val="10"/>
                <w:szCs w:val="10"/>
                <w:color w:val="auto"/>
              </w:rPr>
            </w:pPr>
          </w:p>
        </w:tc>
        <w:tc>
          <w:tcPr>
            <w:tcW w:w="63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17"/>
        </w:trPr>
        <w:tc>
          <w:tcPr>
            <w:tcW w:w="2180" w:type="dxa"/>
            <w:vAlign w:val="bottom"/>
            <w:tcBorders>
              <w:bottom w:val="single" w:sz="8" w:color="auto"/>
            </w:tcBorders>
          </w:tcPr>
          <w:p>
            <w:pPr>
              <w:spacing w:after="0"/>
              <w:rPr>
                <w:sz w:val="10"/>
                <w:szCs w:val="10"/>
                <w:color w:val="auto"/>
              </w:rPr>
            </w:pPr>
          </w:p>
        </w:tc>
        <w:tc>
          <w:tcPr>
            <w:tcW w:w="6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r>
    </w:tbl>
    <w:p>
      <w:pPr>
        <w:spacing w:after="0" w:line="24" w:lineRule="exact"/>
        <w:rPr>
          <w:sz w:val="20"/>
          <w:szCs w:val="20"/>
          <w:color w:val="auto"/>
        </w:rPr>
      </w:pPr>
    </w:p>
    <w:p>
      <w:pPr>
        <w:ind w:left="208" w:hanging="208"/>
        <w:spacing w:after="0"/>
        <w:tabs>
          <w:tab w:leader="none" w:pos="208" w:val="left"/>
        </w:tabs>
        <w:numPr>
          <w:ilvl w:val="0"/>
          <w:numId w:val="16"/>
        </w:numPr>
        <w:rPr>
          <w:rFonts w:ascii="Arial" w:cs="Arial" w:eastAsia="Arial" w:hAnsi="Arial"/>
          <w:sz w:val="14"/>
          <w:szCs w:val="14"/>
          <w:color w:val="auto"/>
          <w:vertAlign w:val="superscript"/>
        </w:rPr>
      </w:pPr>
      <w:r>
        <w:rPr>
          <w:rFonts w:ascii="Arial" w:cs="Arial" w:eastAsia="Arial" w:hAnsi="Arial"/>
          <w:sz w:val="11"/>
          <w:szCs w:val="11"/>
          <w:color w:val="auto"/>
        </w:rPr>
        <w:t>The following table provides a reconciliation of cash and restricted cash to amounts reported within the condensed consolidated balance sheets:</w:t>
      </w:r>
    </w:p>
    <w:p>
      <w:pPr>
        <w:spacing w:after="0" w:line="7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8560" w:type="dxa"/>
            <w:vAlign w:val="bottom"/>
            <w:shd w:val="clear" w:color="auto" w:fill="CCEEFF"/>
          </w:tcPr>
          <w:p>
            <w:pPr>
              <w:spacing w:after="0"/>
              <w:rPr>
                <w:sz w:val="20"/>
                <w:szCs w:val="20"/>
                <w:color w:val="auto"/>
              </w:rPr>
            </w:pPr>
            <w:r>
              <w:rPr>
                <w:rFonts w:ascii="Arial" w:cs="Arial" w:eastAsia="Arial" w:hAnsi="Arial"/>
                <w:sz w:val="11"/>
                <w:szCs w:val="11"/>
                <w:color w:val="auto"/>
              </w:rPr>
              <w:t>Cash</w:t>
            </w:r>
          </w:p>
        </w:tc>
        <w:tc>
          <w:tcPr>
            <w:tcW w:w="580" w:type="dxa"/>
            <w:vAlign w:val="bottom"/>
            <w:shd w:val="clear" w:color="auto" w:fill="CCEEFF"/>
          </w:tcPr>
          <w:p>
            <w:pPr>
              <w:jc w:val="right"/>
              <w:ind w:right="44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325</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7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462</w:t>
            </w:r>
          </w:p>
        </w:tc>
      </w:tr>
      <w:tr>
        <w:trPr>
          <w:trHeight w:val="142"/>
        </w:trPr>
        <w:tc>
          <w:tcPr>
            <w:tcW w:w="85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Restricted cash included in restricted cash and short-term investments</w:t>
            </w:r>
          </w:p>
        </w:tc>
        <w:tc>
          <w:tcPr>
            <w:tcW w:w="5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w:t>
            </w:r>
          </w:p>
        </w:tc>
      </w:tr>
      <w:tr>
        <w:trPr>
          <w:trHeight w:val="151"/>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cash and restricted cash</w:t>
            </w:r>
          </w:p>
        </w:tc>
        <w:tc>
          <w:tcPr>
            <w:tcW w:w="580" w:type="dxa"/>
            <w:vAlign w:val="bottom"/>
            <w:tcBorders>
              <w:bottom w:val="single" w:sz="8" w:color="auto"/>
            </w:tcBorders>
            <w:shd w:val="clear" w:color="auto" w:fill="CCEEFF"/>
          </w:tcPr>
          <w:p>
            <w:pPr>
              <w:jc w:val="right"/>
              <w:ind w:right="44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465</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467</w:t>
            </w:r>
          </w:p>
        </w:tc>
      </w:tr>
    </w:tbl>
    <w:p>
      <w:pPr>
        <w:sectPr>
          <w:pgSz w:w="11900" w:h="16838" w:orient="portrait"/>
          <w:cols w:equalWidth="0" w:num="1">
            <w:col w:w="11308"/>
          </w:cols>
          <w:pgMar w:left="292" w:top="126" w:right="29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color w:val="auto"/>
        </w:rPr>
        <w:t>American Airlines Reports Second-Quarter 2021 Financial Results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July 22, 2021</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Page 13</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American Airlines Group Inc.</w:t>
      </w:r>
    </w:p>
    <w:p>
      <w:pPr>
        <w:jc w:val="center"/>
        <w:spacing w:after="0" w:line="235" w:lineRule="auto"/>
        <w:rPr>
          <w:sz w:val="20"/>
          <w:szCs w:val="20"/>
          <w:color w:val="auto"/>
        </w:rPr>
      </w:pPr>
      <w:r>
        <w:rPr>
          <w:rFonts w:ascii="Arial" w:cs="Arial" w:eastAsia="Arial" w:hAnsi="Arial"/>
          <w:sz w:val="10"/>
          <w:szCs w:val="10"/>
          <w:b w:val="1"/>
          <w:bCs w:val="1"/>
          <w:color w:val="auto"/>
        </w:rPr>
        <w:t>Condensed Consolidated Balance Sheets</w:t>
      </w:r>
    </w:p>
    <w:p>
      <w:pPr>
        <w:jc w:val="center"/>
        <w:ind w:right="40"/>
        <w:spacing w:after="0"/>
        <w:rPr>
          <w:sz w:val="20"/>
          <w:szCs w:val="20"/>
          <w:color w:val="auto"/>
        </w:rPr>
      </w:pPr>
      <w:r>
        <w:rPr>
          <w:rFonts w:ascii="Arial" w:cs="Arial" w:eastAsia="Arial" w:hAnsi="Arial"/>
          <w:sz w:val="10"/>
          <w:szCs w:val="10"/>
          <w:b w:val="1"/>
          <w:bCs w:val="1"/>
          <w:color w:val="auto"/>
        </w:rPr>
        <w:t>(In millions, except shares)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240" w:type="dxa"/>
            <w:vAlign w:val="bottom"/>
          </w:tcPr>
          <w:p>
            <w:pPr>
              <w:spacing w:after="0"/>
              <w:rPr>
                <w:sz w:val="10"/>
                <w:szCs w:val="10"/>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rPr>
              <w:t>June 30, 2021</w:t>
            </w: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jc w:val="right"/>
              <w:ind w:right="529"/>
              <w:spacing w:after="0"/>
              <w:rPr>
                <w:sz w:val="20"/>
                <w:szCs w:val="20"/>
                <w:color w:val="auto"/>
              </w:rPr>
            </w:pPr>
            <w:r>
              <w:rPr>
                <w:rFonts w:ascii="Arial" w:cs="Arial" w:eastAsia="Arial" w:hAnsi="Arial"/>
                <w:sz w:val="10"/>
                <w:szCs w:val="10"/>
                <w:color w:val="auto"/>
              </w:rPr>
              <w:t>December 31, 2020</w:t>
            </w:r>
          </w:p>
        </w:tc>
      </w:tr>
      <w:tr>
        <w:trPr>
          <w:trHeight w:val="115"/>
        </w:trPr>
        <w:tc>
          <w:tcPr>
            <w:tcW w:w="7240" w:type="dxa"/>
            <w:vAlign w:val="bottom"/>
          </w:tcPr>
          <w:p>
            <w:pPr>
              <w:spacing w:after="0"/>
              <w:rPr>
                <w:sz w:val="10"/>
                <w:szCs w:val="10"/>
                <w:color w:val="auto"/>
              </w:rPr>
            </w:pPr>
          </w:p>
        </w:tc>
        <w:tc>
          <w:tcPr>
            <w:tcW w:w="1440" w:type="dxa"/>
            <w:vAlign w:val="bottom"/>
          </w:tcPr>
          <w:p>
            <w:pPr>
              <w:jc w:val="right"/>
              <w:ind w:right="150"/>
              <w:spacing w:after="0"/>
              <w:rPr>
                <w:sz w:val="20"/>
                <w:szCs w:val="20"/>
                <w:color w:val="auto"/>
              </w:rPr>
            </w:pPr>
            <w:r>
              <w:rPr>
                <w:rFonts w:ascii="Arial" w:cs="Arial" w:eastAsia="Arial" w:hAnsi="Arial"/>
                <w:sz w:val="10"/>
                <w:szCs w:val="10"/>
                <w:color w:val="auto"/>
              </w:rPr>
              <w:t>(unaudited)</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60" w:type="dxa"/>
            <w:vAlign w:val="bottom"/>
          </w:tcPr>
          <w:p>
            <w:pPr>
              <w:spacing w:after="0"/>
              <w:rPr>
                <w:sz w:val="10"/>
                <w:szCs w:val="10"/>
                <w:color w:val="auto"/>
              </w:rPr>
            </w:pPr>
          </w:p>
        </w:tc>
      </w:tr>
      <w:tr>
        <w:trPr>
          <w:trHeight w:val="135"/>
        </w:trPr>
        <w:tc>
          <w:tcPr>
            <w:tcW w:w="7240" w:type="dxa"/>
            <w:vAlign w:val="bottom"/>
            <w:shd w:val="clear" w:color="auto" w:fill="CCEEFF"/>
          </w:tcPr>
          <w:p>
            <w:pPr>
              <w:spacing w:after="0"/>
              <w:rPr>
                <w:sz w:val="20"/>
                <w:szCs w:val="20"/>
                <w:color w:val="auto"/>
              </w:rPr>
            </w:pPr>
            <w:r>
              <w:rPr>
                <w:rFonts w:ascii="Arial" w:cs="Arial" w:eastAsia="Arial" w:hAnsi="Arial"/>
                <w:sz w:val="10"/>
                <w:szCs w:val="10"/>
                <w:color w:val="auto"/>
              </w:rPr>
              <w:t>Assets</w:t>
            </w:r>
          </w:p>
        </w:tc>
        <w:tc>
          <w:tcPr>
            <w:tcW w:w="14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132"/>
        </w:trPr>
        <w:tc>
          <w:tcPr>
            <w:tcW w:w="7240" w:type="dxa"/>
            <w:vAlign w:val="bottom"/>
          </w:tcPr>
          <w:p>
            <w:pPr>
              <w:spacing w:after="0"/>
              <w:rPr>
                <w:sz w:val="20"/>
                <w:szCs w:val="20"/>
                <w:color w:val="auto"/>
              </w:rPr>
            </w:pPr>
            <w:r>
              <w:rPr>
                <w:rFonts w:ascii="Arial" w:cs="Arial" w:eastAsia="Arial" w:hAnsi="Arial"/>
                <w:sz w:val="10"/>
                <w:szCs w:val="10"/>
                <w:color w:val="auto"/>
              </w:rPr>
              <w:t>Current assets</w:t>
            </w:r>
          </w:p>
        </w:tc>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8"/>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Cash</w:t>
            </w:r>
          </w:p>
        </w:tc>
        <w:tc>
          <w:tcPr>
            <w:tcW w:w="1440" w:type="dxa"/>
            <w:vAlign w:val="bottom"/>
            <w:shd w:val="clear" w:color="auto" w:fill="CCEEFF"/>
          </w:tcPr>
          <w:p>
            <w:pPr>
              <w:jc w:val="right"/>
              <w:ind w:right="131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245</w:t>
            </w:r>
          </w:p>
        </w:tc>
      </w:tr>
      <w:tr>
        <w:trPr>
          <w:trHeight w:val="132"/>
        </w:trPr>
        <w:tc>
          <w:tcPr>
            <w:tcW w:w="7240" w:type="dxa"/>
            <w:vAlign w:val="bottom"/>
          </w:tcPr>
          <w:p>
            <w:pPr>
              <w:ind w:left="220"/>
              <w:spacing w:after="0"/>
              <w:rPr>
                <w:sz w:val="20"/>
                <w:szCs w:val="20"/>
                <w:color w:val="auto"/>
              </w:rPr>
            </w:pPr>
            <w:r>
              <w:rPr>
                <w:rFonts w:ascii="Arial" w:cs="Arial" w:eastAsia="Arial" w:hAnsi="Arial"/>
                <w:sz w:val="10"/>
                <w:szCs w:val="10"/>
                <w:color w:val="auto"/>
              </w:rPr>
              <w:t>Short-term investments</w:t>
            </w:r>
          </w:p>
        </w:tc>
        <w:tc>
          <w:tcPr>
            <w:tcW w:w="14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17,625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6,619</w:t>
            </w:r>
          </w:p>
        </w:tc>
      </w:tr>
      <w:tr>
        <w:trPr>
          <w:trHeight w:val="138"/>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Restricted cash and short-term investments</w:t>
            </w:r>
          </w:p>
        </w:tc>
        <w:tc>
          <w:tcPr>
            <w:tcW w:w="14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999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609</w:t>
            </w:r>
          </w:p>
        </w:tc>
      </w:tr>
      <w:tr>
        <w:trPr>
          <w:trHeight w:val="132"/>
        </w:trPr>
        <w:tc>
          <w:tcPr>
            <w:tcW w:w="7240" w:type="dxa"/>
            <w:vAlign w:val="bottom"/>
          </w:tcPr>
          <w:p>
            <w:pPr>
              <w:ind w:left="220"/>
              <w:spacing w:after="0"/>
              <w:rPr>
                <w:sz w:val="20"/>
                <w:szCs w:val="20"/>
                <w:color w:val="auto"/>
              </w:rPr>
            </w:pPr>
            <w:r>
              <w:rPr>
                <w:rFonts w:ascii="Arial" w:cs="Arial" w:eastAsia="Arial" w:hAnsi="Arial"/>
                <w:sz w:val="10"/>
                <w:szCs w:val="10"/>
                <w:color w:val="auto"/>
              </w:rPr>
              <w:t>Accounts receivable, net</w:t>
            </w:r>
          </w:p>
        </w:tc>
        <w:tc>
          <w:tcPr>
            <w:tcW w:w="14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1,249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1,342</w:t>
            </w:r>
          </w:p>
        </w:tc>
      </w:tr>
      <w:tr>
        <w:trPr>
          <w:trHeight w:val="138"/>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Aircraft fuel, spare parts and supplies, net</w:t>
            </w:r>
          </w:p>
        </w:tc>
        <w:tc>
          <w:tcPr>
            <w:tcW w:w="14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1,789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1,614</w:t>
            </w:r>
          </w:p>
        </w:tc>
      </w:tr>
      <w:tr>
        <w:trPr>
          <w:trHeight w:val="132"/>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0"/>
                <w:szCs w:val="10"/>
                <w:color w:val="auto"/>
              </w:rPr>
              <w:t>Prepaid expenses and other</w:t>
            </w:r>
          </w:p>
        </w:tc>
        <w:tc>
          <w:tcPr>
            <w:tcW w:w="14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660</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666</w:t>
            </w:r>
          </w:p>
        </w:tc>
      </w:tr>
      <w:tr>
        <w:trPr>
          <w:trHeight w:val="127"/>
        </w:trPr>
        <w:tc>
          <w:tcPr>
            <w:tcW w:w="7240" w:type="dxa"/>
            <w:vAlign w:val="bottom"/>
            <w:shd w:val="clear" w:color="auto" w:fill="CCEEFF"/>
          </w:tcPr>
          <w:p>
            <w:pPr>
              <w:ind w:left="360"/>
              <w:spacing w:after="0" w:line="112" w:lineRule="exact"/>
              <w:rPr>
                <w:sz w:val="20"/>
                <w:szCs w:val="20"/>
                <w:color w:val="auto"/>
              </w:rPr>
            </w:pPr>
            <w:r>
              <w:rPr>
                <w:rFonts w:ascii="Arial" w:cs="Arial" w:eastAsia="Arial" w:hAnsi="Arial"/>
                <w:sz w:val="10"/>
                <w:szCs w:val="10"/>
                <w:color w:val="auto"/>
              </w:rPr>
              <w:t>Total current assets</w:t>
            </w:r>
          </w:p>
        </w:tc>
        <w:tc>
          <w:tcPr>
            <w:tcW w:w="14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22,647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11,095</w:t>
            </w:r>
          </w:p>
        </w:tc>
      </w:tr>
      <w:tr>
        <w:trPr>
          <w:trHeight w:val="195"/>
        </w:trPr>
        <w:tc>
          <w:tcPr>
            <w:tcW w:w="7240" w:type="dxa"/>
            <w:vAlign w:val="bottom"/>
          </w:tcPr>
          <w:p>
            <w:pPr>
              <w:spacing w:after="0"/>
              <w:rPr>
                <w:sz w:val="20"/>
                <w:szCs w:val="20"/>
                <w:color w:val="auto"/>
              </w:rPr>
            </w:pPr>
            <w:r>
              <w:rPr>
                <w:rFonts w:ascii="Arial" w:cs="Arial" w:eastAsia="Arial" w:hAnsi="Arial"/>
                <w:sz w:val="10"/>
                <w:szCs w:val="10"/>
                <w:color w:val="auto"/>
              </w:rPr>
              <w:t>Operating property and equipment</w:t>
            </w: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38"/>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Flight equipment</w:t>
            </w:r>
          </w:p>
        </w:tc>
        <w:tc>
          <w:tcPr>
            <w:tcW w:w="14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37,577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37,816</w:t>
            </w:r>
          </w:p>
        </w:tc>
      </w:tr>
      <w:tr>
        <w:trPr>
          <w:trHeight w:val="132"/>
        </w:trPr>
        <w:tc>
          <w:tcPr>
            <w:tcW w:w="7240" w:type="dxa"/>
            <w:vAlign w:val="bottom"/>
          </w:tcPr>
          <w:p>
            <w:pPr>
              <w:ind w:left="220"/>
              <w:spacing w:after="0"/>
              <w:rPr>
                <w:sz w:val="20"/>
                <w:szCs w:val="20"/>
                <w:color w:val="auto"/>
              </w:rPr>
            </w:pPr>
            <w:r>
              <w:rPr>
                <w:rFonts w:ascii="Arial" w:cs="Arial" w:eastAsia="Arial" w:hAnsi="Arial"/>
                <w:sz w:val="10"/>
                <w:szCs w:val="10"/>
                <w:color w:val="auto"/>
              </w:rPr>
              <w:t>Ground property and equipment</w:t>
            </w:r>
          </w:p>
        </w:tc>
        <w:tc>
          <w:tcPr>
            <w:tcW w:w="14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9,132</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9,194</w:t>
            </w:r>
          </w:p>
        </w:tc>
      </w:tr>
      <w:tr>
        <w:trPr>
          <w:trHeight w:val="138"/>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Equipment purchase deposits</w:t>
            </w:r>
          </w:p>
        </w:tc>
        <w:tc>
          <w:tcPr>
            <w:tcW w:w="14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714</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1,446</w:t>
            </w:r>
          </w:p>
        </w:tc>
      </w:tr>
      <w:tr>
        <w:trPr>
          <w:trHeight w:val="121"/>
        </w:trPr>
        <w:tc>
          <w:tcPr>
            <w:tcW w:w="7240" w:type="dxa"/>
            <w:vAlign w:val="bottom"/>
          </w:tcPr>
          <w:p>
            <w:pPr>
              <w:ind w:left="360"/>
              <w:spacing w:after="0" w:line="109" w:lineRule="exact"/>
              <w:rPr>
                <w:sz w:val="20"/>
                <w:szCs w:val="20"/>
                <w:color w:val="auto"/>
              </w:rPr>
            </w:pPr>
            <w:r>
              <w:rPr>
                <w:rFonts w:ascii="Arial" w:cs="Arial" w:eastAsia="Arial" w:hAnsi="Arial"/>
                <w:sz w:val="10"/>
                <w:szCs w:val="10"/>
                <w:color w:val="auto"/>
              </w:rPr>
              <w:t>Total property and equipment, at cost</w:t>
            </w:r>
          </w:p>
        </w:tc>
        <w:tc>
          <w:tcPr>
            <w:tcW w:w="14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47,423</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48,456</w:t>
            </w:r>
          </w:p>
        </w:tc>
      </w:tr>
      <w:tr>
        <w:trPr>
          <w:trHeight w:val="138"/>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Less accumulated depreciation and amortization</w:t>
            </w:r>
          </w:p>
        </w:tc>
        <w:tc>
          <w:tcPr>
            <w:tcW w:w="14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(17,218)</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(16,757)</w:t>
            </w:r>
          </w:p>
        </w:tc>
      </w:tr>
      <w:tr>
        <w:trPr>
          <w:trHeight w:val="118"/>
        </w:trPr>
        <w:tc>
          <w:tcPr>
            <w:tcW w:w="7240" w:type="dxa"/>
            <w:vAlign w:val="bottom"/>
          </w:tcPr>
          <w:p>
            <w:pPr>
              <w:ind w:left="360"/>
              <w:spacing w:after="0" w:line="109" w:lineRule="exact"/>
              <w:rPr>
                <w:sz w:val="20"/>
                <w:szCs w:val="20"/>
                <w:color w:val="auto"/>
              </w:rPr>
            </w:pPr>
            <w:r>
              <w:rPr>
                <w:rFonts w:ascii="Arial" w:cs="Arial" w:eastAsia="Arial" w:hAnsi="Arial"/>
                <w:sz w:val="10"/>
                <w:szCs w:val="10"/>
                <w:color w:val="auto"/>
              </w:rPr>
              <w:t>Total property and equipment, net</w:t>
            </w:r>
          </w:p>
        </w:tc>
        <w:tc>
          <w:tcPr>
            <w:tcW w:w="14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30,205</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31,699</w:t>
            </w:r>
          </w:p>
        </w:tc>
      </w:tr>
      <w:tr>
        <w:trPr>
          <w:trHeight w:val="69"/>
        </w:trPr>
        <w:tc>
          <w:tcPr>
            <w:tcW w:w="7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60" w:type="dxa"/>
            <w:vAlign w:val="bottom"/>
          </w:tcPr>
          <w:p>
            <w:pPr>
              <w:spacing w:after="0"/>
              <w:rPr>
                <w:sz w:val="6"/>
                <w:szCs w:val="6"/>
                <w:color w:val="auto"/>
              </w:rPr>
            </w:pPr>
          </w:p>
        </w:tc>
      </w:tr>
      <w:tr>
        <w:trPr>
          <w:trHeight w:val="135"/>
        </w:trPr>
        <w:tc>
          <w:tcPr>
            <w:tcW w:w="7240" w:type="dxa"/>
            <w:vAlign w:val="bottom"/>
            <w:shd w:val="clear" w:color="auto" w:fill="CCEEFF"/>
          </w:tcPr>
          <w:p>
            <w:pPr>
              <w:spacing w:after="0"/>
              <w:rPr>
                <w:sz w:val="20"/>
                <w:szCs w:val="20"/>
                <w:color w:val="auto"/>
              </w:rPr>
            </w:pPr>
            <w:r>
              <w:rPr>
                <w:rFonts w:ascii="Arial" w:cs="Arial" w:eastAsia="Arial" w:hAnsi="Arial"/>
                <w:sz w:val="10"/>
                <w:szCs w:val="10"/>
                <w:color w:val="auto"/>
              </w:rPr>
              <w:t>Operating lease right-of-use assets</w:t>
            </w:r>
          </w:p>
        </w:tc>
        <w:tc>
          <w:tcPr>
            <w:tcW w:w="14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7,958</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8,039</w:t>
            </w:r>
          </w:p>
        </w:tc>
      </w:tr>
      <w:tr>
        <w:trPr>
          <w:trHeight w:val="195"/>
        </w:trPr>
        <w:tc>
          <w:tcPr>
            <w:tcW w:w="7240" w:type="dxa"/>
            <w:vAlign w:val="bottom"/>
          </w:tcPr>
          <w:p>
            <w:pPr>
              <w:spacing w:after="0"/>
              <w:rPr>
                <w:sz w:val="20"/>
                <w:szCs w:val="20"/>
                <w:color w:val="auto"/>
              </w:rPr>
            </w:pPr>
            <w:r>
              <w:rPr>
                <w:rFonts w:ascii="Arial" w:cs="Arial" w:eastAsia="Arial" w:hAnsi="Arial"/>
                <w:sz w:val="10"/>
                <w:szCs w:val="10"/>
                <w:color w:val="auto"/>
              </w:rPr>
              <w:t>Other assets</w:t>
            </w: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38"/>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Goodwill</w:t>
            </w:r>
          </w:p>
        </w:tc>
        <w:tc>
          <w:tcPr>
            <w:tcW w:w="14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4,091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4,091</w:t>
            </w:r>
          </w:p>
        </w:tc>
      </w:tr>
      <w:tr>
        <w:trPr>
          <w:trHeight w:val="132"/>
        </w:trPr>
        <w:tc>
          <w:tcPr>
            <w:tcW w:w="7240" w:type="dxa"/>
            <w:vAlign w:val="bottom"/>
          </w:tcPr>
          <w:p>
            <w:pPr>
              <w:ind w:left="220"/>
              <w:spacing w:after="0"/>
              <w:rPr>
                <w:sz w:val="20"/>
                <w:szCs w:val="20"/>
                <w:color w:val="auto"/>
              </w:rPr>
            </w:pPr>
            <w:r>
              <w:rPr>
                <w:rFonts w:ascii="Arial" w:cs="Arial" w:eastAsia="Arial" w:hAnsi="Arial"/>
                <w:sz w:val="10"/>
                <w:szCs w:val="10"/>
                <w:color w:val="auto"/>
              </w:rPr>
              <w:t>Intangibles, net</w:t>
            </w:r>
          </w:p>
        </w:tc>
        <w:tc>
          <w:tcPr>
            <w:tcW w:w="14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2,008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2,029</w:t>
            </w:r>
          </w:p>
        </w:tc>
      </w:tr>
      <w:tr>
        <w:trPr>
          <w:trHeight w:val="138"/>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Deferred tax asset</w:t>
            </w:r>
          </w:p>
        </w:tc>
        <w:tc>
          <w:tcPr>
            <w:tcW w:w="14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3,631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3,239</w:t>
            </w:r>
          </w:p>
        </w:tc>
      </w:tr>
      <w:tr>
        <w:trPr>
          <w:trHeight w:val="132"/>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0"/>
                <w:szCs w:val="10"/>
                <w:color w:val="auto"/>
              </w:rPr>
              <w:t>Other assets</w:t>
            </w:r>
          </w:p>
        </w:tc>
        <w:tc>
          <w:tcPr>
            <w:tcW w:w="14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1,924</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1,816</w:t>
            </w:r>
          </w:p>
        </w:tc>
      </w:tr>
      <w:tr>
        <w:trPr>
          <w:trHeight w:val="127"/>
        </w:trPr>
        <w:tc>
          <w:tcPr>
            <w:tcW w:w="7240" w:type="dxa"/>
            <w:vAlign w:val="bottom"/>
            <w:shd w:val="clear" w:color="auto" w:fill="CCEEFF"/>
          </w:tcPr>
          <w:p>
            <w:pPr>
              <w:ind w:left="360"/>
              <w:spacing w:after="0" w:line="112" w:lineRule="exact"/>
              <w:rPr>
                <w:sz w:val="20"/>
                <w:szCs w:val="20"/>
                <w:color w:val="auto"/>
              </w:rPr>
            </w:pPr>
            <w:r>
              <w:rPr>
                <w:rFonts w:ascii="Arial" w:cs="Arial" w:eastAsia="Arial" w:hAnsi="Arial"/>
                <w:sz w:val="10"/>
                <w:szCs w:val="10"/>
                <w:color w:val="auto"/>
              </w:rPr>
              <w:t>Total other assets</w:t>
            </w:r>
          </w:p>
        </w:tc>
        <w:tc>
          <w:tcPr>
            <w:tcW w:w="14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11,654</w:t>
            </w:r>
          </w:p>
        </w:tc>
        <w:tc>
          <w:tcPr>
            <w:tcW w:w="1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11,175</w:t>
            </w:r>
          </w:p>
        </w:tc>
      </w:tr>
      <w:tr>
        <w:trPr>
          <w:trHeight w:val="121"/>
        </w:trPr>
        <w:tc>
          <w:tcPr>
            <w:tcW w:w="7240" w:type="dxa"/>
            <w:vAlign w:val="bottom"/>
          </w:tcPr>
          <w:p>
            <w:pPr>
              <w:ind w:left="360"/>
              <w:spacing w:after="0" w:line="109" w:lineRule="exact"/>
              <w:rPr>
                <w:sz w:val="20"/>
                <w:szCs w:val="20"/>
                <w:color w:val="auto"/>
              </w:rPr>
            </w:pPr>
            <w:r>
              <w:rPr>
                <w:rFonts w:ascii="Arial" w:cs="Arial" w:eastAsia="Arial" w:hAnsi="Arial"/>
                <w:sz w:val="10"/>
                <w:szCs w:val="10"/>
                <w:color w:val="auto"/>
              </w:rPr>
              <w:t>Total assets</w:t>
            </w:r>
          </w:p>
        </w:tc>
        <w:tc>
          <w:tcPr>
            <w:tcW w:w="1440" w:type="dxa"/>
            <w:vAlign w:val="bottom"/>
            <w:tcBorders>
              <w:bottom w:val="single" w:sz="8" w:color="auto"/>
            </w:tcBorders>
          </w:tcPr>
          <w:p>
            <w:pPr>
              <w:jc w:val="right"/>
              <w:ind w:right="131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72,464</w:t>
            </w:r>
          </w:p>
        </w:tc>
        <w:tc>
          <w:tcPr>
            <w:tcW w:w="100" w:type="dxa"/>
            <w:vAlign w:val="bottom"/>
          </w:tcPr>
          <w:p>
            <w:pPr>
              <w:spacing w:after="0"/>
              <w:rPr>
                <w:sz w:val="10"/>
                <w:szCs w:val="10"/>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62,008</w:t>
            </w:r>
          </w:p>
        </w:tc>
      </w:tr>
      <w:tr>
        <w:trPr>
          <w:trHeight w:val="20"/>
        </w:trPr>
        <w:tc>
          <w:tcPr>
            <w:tcW w:w="7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4"/>
        </w:trPr>
        <w:tc>
          <w:tcPr>
            <w:tcW w:w="7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35"/>
        </w:trPr>
        <w:tc>
          <w:tcPr>
            <w:tcW w:w="7240" w:type="dxa"/>
            <w:vAlign w:val="bottom"/>
            <w:shd w:val="clear" w:color="auto" w:fill="CCEEFF"/>
          </w:tcPr>
          <w:p>
            <w:pPr>
              <w:spacing w:after="0"/>
              <w:rPr>
                <w:sz w:val="20"/>
                <w:szCs w:val="20"/>
                <w:color w:val="auto"/>
              </w:rPr>
            </w:pPr>
            <w:r>
              <w:rPr>
                <w:rFonts w:ascii="Arial" w:cs="Arial" w:eastAsia="Arial" w:hAnsi="Arial"/>
                <w:sz w:val="10"/>
                <w:szCs w:val="10"/>
                <w:color w:val="auto"/>
              </w:rPr>
              <w:t>Liabilities and Stockholders’ Equity (Deficit)</w:t>
            </w:r>
          </w:p>
        </w:tc>
        <w:tc>
          <w:tcPr>
            <w:tcW w:w="14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132"/>
        </w:trPr>
        <w:tc>
          <w:tcPr>
            <w:tcW w:w="7240" w:type="dxa"/>
            <w:vAlign w:val="bottom"/>
          </w:tcPr>
          <w:p>
            <w:pPr>
              <w:spacing w:after="0"/>
              <w:rPr>
                <w:sz w:val="20"/>
                <w:szCs w:val="20"/>
                <w:color w:val="auto"/>
              </w:rPr>
            </w:pPr>
            <w:r>
              <w:rPr>
                <w:rFonts w:ascii="Arial" w:cs="Arial" w:eastAsia="Arial" w:hAnsi="Arial"/>
                <w:sz w:val="10"/>
                <w:szCs w:val="10"/>
                <w:color w:val="auto"/>
              </w:rPr>
              <w:t>Current liabilities</w:t>
            </w:r>
          </w:p>
        </w:tc>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8"/>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Current maturities of long-term debt and finance leases</w:t>
            </w:r>
          </w:p>
        </w:tc>
        <w:tc>
          <w:tcPr>
            <w:tcW w:w="1440" w:type="dxa"/>
            <w:vAlign w:val="bottom"/>
            <w:shd w:val="clear" w:color="auto" w:fill="CCEEFF"/>
          </w:tcPr>
          <w:p>
            <w:pPr>
              <w:jc w:val="right"/>
              <w:ind w:right="131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2,798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2,797</w:t>
            </w:r>
          </w:p>
        </w:tc>
      </w:tr>
      <w:tr>
        <w:trPr>
          <w:trHeight w:val="132"/>
        </w:trPr>
        <w:tc>
          <w:tcPr>
            <w:tcW w:w="7240" w:type="dxa"/>
            <w:vAlign w:val="bottom"/>
          </w:tcPr>
          <w:p>
            <w:pPr>
              <w:ind w:left="220"/>
              <w:spacing w:after="0"/>
              <w:rPr>
                <w:sz w:val="20"/>
                <w:szCs w:val="20"/>
                <w:color w:val="auto"/>
              </w:rPr>
            </w:pPr>
            <w:r>
              <w:rPr>
                <w:rFonts w:ascii="Arial" w:cs="Arial" w:eastAsia="Arial" w:hAnsi="Arial"/>
                <w:sz w:val="10"/>
                <w:szCs w:val="10"/>
                <w:color w:val="auto"/>
              </w:rPr>
              <w:t>Accounts payable</w:t>
            </w:r>
          </w:p>
        </w:tc>
        <w:tc>
          <w:tcPr>
            <w:tcW w:w="14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2,172</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1,196</w:t>
            </w:r>
          </w:p>
        </w:tc>
      </w:tr>
      <w:tr>
        <w:trPr>
          <w:trHeight w:val="138"/>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Accrued salaries and wages</w:t>
            </w:r>
          </w:p>
        </w:tc>
        <w:tc>
          <w:tcPr>
            <w:tcW w:w="14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1,580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1,716</w:t>
            </w:r>
          </w:p>
        </w:tc>
      </w:tr>
      <w:tr>
        <w:trPr>
          <w:trHeight w:val="132"/>
        </w:trPr>
        <w:tc>
          <w:tcPr>
            <w:tcW w:w="7240" w:type="dxa"/>
            <w:vAlign w:val="bottom"/>
          </w:tcPr>
          <w:p>
            <w:pPr>
              <w:ind w:left="220"/>
              <w:spacing w:after="0"/>
              <w:rPr>
                <w:sz w:val="20"/>
                <w:szCs w:val="20"/>
                <w:color w:val="auto"/>
              </w:rPr>
            </w:pPr>
            <w:r>
              <w:rPr>
                <w:rFonts w:ascii="Arial" w:cs="Arial" w:eastAsia="Arial" w:hAnsi="Arial"/>
                <w:sz w:val="10"/>
                <w:szCs w:val="10"/>
                <w:color w:val="auto"/>
              </w:rPr>
              <w:t>Air traffic liability</w:t>
            </w:r>
          </w:p>
        </w:tc>
        <w:tc>
          <w:tcPr>
            <w:tcW w:w="14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7,095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4,757</w:t>
            </w:r>
          </w:p>
        </w:tc>
      </w:tr>
      <w:tr>
        <w:trPr>
          <w:trHeight w:val="138"/>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Loyalty program liability</w:t>
            </w:r>
          </w:p>
        </w:tc>
        <w:tc>
          <w:tcPr>
            <w:tcW w:w="14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2,033</w:t>
            </w:r>
          </w:p>
        </w:tc>
      </w:tr>
      <w:tr>
        <w:trPr>
          <w:trHeight w:val="132"/>
        </w:trPr>
        <w:tc>
          <w:tcPr>
            <w:tcW w:w="7240" w:type="dxa"/>
            <w:vAlign w:val="bottom"/>
          </w:tcPr>
          <w:p>
            <w:pPr>
              <w:ind w:left="220"/>
              <w:spacing w:after="0"/>
              <w:rPr>
                <w:sz w:val="20"/>
                <w:szCs w:val="20"/>
                <w:color w:val="auto"/>
              </w:rPr>
            </w:pPr>
            <w:r>
              <w:rPr>
                <w:rFonts w:ascii="Arial" w:cs="Arial" w:eastAsia="Arial" w:hAnsi="Arial"/>
                <w:sz w:val="10"/>
                <w:szCs w:val="10"/>
                <w:color w:val="auto"/>
              </w:rPr>
              <w:t>Operating lease liabilities</w:t>
            </w:r>
          </w:p>
        </w:tc>
        <w:tc>
          <w:tcPr>
            <w:tcW w:w="14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1,587</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1,651</w:t>
            </w:r>
          </w:p>
        </w:tc>
      </w:tr>
      <w:tr>
        <w:trPr>
          <w:trHeight w:val="138"/>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Other accrued liabilities</w:t>
            </w:r>
          </w:p>
        </w:tc>
        <w:tc>
          <w:tcPr>
            <w:tcW w:w="14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3,657</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2,419</w:t>
            </w:r>
          </w:p>
        </w:tc>
      </w:tr>
      <w:tr>
        <w:trPr>
          <w:trHeight w:val="118"/>
        </w:trPr>
        <w:tc>
          <w:tcPr>
            <w:tcW w:w="7240" w:type="dxa"/>
            <w:vAlign w:val="bottom"/>
          </w:tcPr>
          <w:p>
            <w:pPr>
              <w:ind w:left="360"/>
              <w:spacing w:after="0" w:line="109" w:lineRule="exact"/>
              <w:rPr>
                <w:sz w:val="20"/>
                <w:szCs w:val="20"/>
                <w:color w:val="auto"/>
              </w:rPr>
            </w:pPr>
            <w:r>
              <w:rPr>
                <w:rFonts w:ascii="Arial" w:cs="Arial" w:eastAsia="Arial" w:hAnsi="Arial"/>
                <w:sz w:val="10"/>
                <w:szCs w:val="10"/>
                <w:color w:val="auto"/>
              </w:rPr>
              <w:t>Total current liabilities</w:t>
            </w:r>
          </w:p>
        </w:tc>
        <w:tc>
          <w:tcPr>
            <w:tcW w:w="14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21,521</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16,569</w:t>
            </w:r>
          </w:p>
        </w:tc>
      </w:tr>
      <w:tr>
        <w:trPr>
          <w:trHeight w:val="69"/>
        </w:trPr>
        <w:tc>
          <w:tcPr>
            <w:tcW w:w="7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60" w:type="dxa"/>
            <w:vAlign w:val="bottom"/>
          </w:tcPr>
          <w:p>
            <w:pPr>
              <w:spacing w:after="0"/>
              <w:rPr>
                <w:sz w:val="6"/>
                <w:szCs w:val="6"/>
                <w:color w:val="auto"/>
              </w:rPr>
            </w:pPr>
          </w:p>
        </w:tc>
      </w:tr>
      <w:tr>
        <w:trPr>
          <w:trHeight w:val="135"/>
        </w:trPr>
        <w:tc>
          <w:tcPr>
            <w:tcW w:w="7240" w:type="dxa"/>
            <w:vAlign w:val="bottom"/>
            <w:shd w:val="clear" w:color="auto" w:fill="CCEEFF"/>
          </w:tcPr>
          <w:p>
            <w:pPr>
              <w:spacing w:after="0"/>
              <w:rPr>
                <w:sz w:val="20"/>
                <w:szCs w:val="20"/>
                <w:color w:val="auto"/>
              </w:rPr>
            </w:pPr>
            <w:r>
              <w:rPr>
                <w:rFonts w:ascii="Arial" w:cs="Arial" w:eastAsia="Arial" w:hAnsi="Arial"/>
                <w:sz w:val="10"/>
                <w:szCs w:val="10"/>
                <w:color w:val="auto"/>
              </w:rPr>
              <w:t>Noncurrent liabilities</w:t>
            </w:r>
          </w:p>
        </w:tc>
        <w:tc>
          <w:tcPr>
            <w:tcW w:w="14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132"/>
        </w:trPr>
        <w:tc>
          <w:tcPr>
            <w:tcW w:w="7240" w:type="dxa"/>
            <w:vAlign w:val="bottom"/>
          </w:tcPr>
          <w:p>
            <w:pPr>
              <w:ind w:left="220"/>
              <w:spacing w:after="0"/>
              <w:rPr>
                <w:sz w:val="20"/>
                <w:szCs w:val="20"/>
                <w:color w:val="auto"/>
              </w:rPr>
            </w:pPr>
            <w:r>
              <w:rPr>
                <w:rFonts w:ascii="Arial" w:cs="Arial" w:eastAsia="Arial" w:hAnsi="Arial"/>
                <w:sz w:val="10"/>
                <w:szCs w:val="10"/>
                <w:color w:val="auto"/>
              </w:rPr>
              <w:t>Long-term debt and finance leases, net of current maturities</w:t>
            </w:r>
          </w:p>
        </w:tc>
        <w:tc>
          <w:tcPr>
            <w:tcW w:w="14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37,201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29,796</w:t>
            </w:r>
          </w:p>
        </w:tc>
      </w:tr>
      <w:tr>
        <w:trPr>
          <w:trHeight w:val="138"/>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Pension and postretirement benefits</w:t>
            </w:r>
          </w:p>
        </w:tc>
        <w:tc>
          <w:tcPr>
            <w:tcW w:w="14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6,627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7,069</w:t>
            </w:r>
          </w:p>
        </w:tc>
      </w:tr>
      <w:tr>
        <w:trPr>
          <w:trHeight w:val="132"/>
        </w:trPr>
        <w:tc>
          <w:tcPr>
            <w:tcW w:w="7240" w:type="dxa"/>
            <w:vAlign w:val="bottom"/>
          </w:tcPr>
          <w:p>
            <w:pPr>
              <w:ind w:left="220"/>
              <w:spacing w:after="0"/>
              <w:rPr>
                <w:sz w:val="20"/>
                <w:szCs w:val="20"/>
                <w:color w:val="auto"/>
              </w:rPr>
            </w:pPr>
            <w:r>
              <w:rPr>
                <w:rFonts w:ascii="Arial" w:cs="Arial" w:eastAsia="Arial" w:hAnsi="Arial"/>
                <w:sz w:val="10"/>
                <w:szCs w:val="10"/>
                <w:color w:val="auto"/>
              </w:rPr>
              <w:t>Loyalty program liability</w:t>
            </w:r>
          </w:p>
        </w:tc>
        <w:tc>
          <w:tcPr>
            <w:tcW w:w="14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6,674</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7,162</w:t>
            </w:r>
          </w:p>
        </w:tc>
      </w:tr>
      <w:tr>
        <w:trPr>
          <w:trHeight w:val="138"/>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Operating lease liabilities</w:t>
            </w:r>
          </w:p>
        </w:tc>
        <w:tc>
          <w:tcPr>
            <w:tcW w:w="14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6,711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6,777</w:t>
            </w:r>
          </w:p>
        </w:tc>
      </w:tr>
      <w:tr>
        <w:trPr>
          <w:trHeight w:val="132"/>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0"/>
                <w:szCs w:val="10"/>
                <w:color w:val="auto"/>
              </w:rPr>
              <w:t>Other liabilities</w:t>
            </w:r>
          </w:p>
        </w:tc>
        <w:tc>
          <w:tcPr>
            <w:tcW w:w="14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1,397</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1,502</w:t>
            </w:r>
          </w:p>
        </w:tc>
      </w:tr>
      <w:tr>
        <w:trPr>
          <w:trHeight w:val="127"/>
        </w:trPr>
        <w:tc>
          <w:tcPr>
            <w:tcW w:w="7240" w:type="dxa"/>
            <w:vAlign w:val="bottom"/>
            <w:shd w:val="clear" w:color="auto" w:fill="CCEEFF"/>
          </w:tcPr>
          <w:p>
            <w:pPr>
              <w:ind w:left="360"/>
              <w:spacing w:after="0" w:line="112" w:lineRule="exact"/>
              <w:rPr>
                <w:sz w:val="20"/>
                <w:szCs w:val="20"/>
                <w:color w:val="auto"/>
              </w:rPr>
            </w:pPr>
            <w:r>
              <w:rPr>
                <w:rFonts w:ascii="Arial" w:cs="Arial" w:eastAsia="Arial" w:hAnsi="Arial"/>
                <w:sz w:val="10"/>
                <w:szCs w:val="10"/>
                <w:color w:val="auto"/>
              </w:rPr>
              <w:t>Total noncurrent liabilities</w:t>
            </w:r>
          </w:p>
        </w:tc>
        <w:tc>
          <w:tcPr>
            <w:tcW w:w="14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58,610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52,306</w:t>
            </w:r>
          </w:p>
        </w:tc>
      </w:tr>
      <w:tr>
        <w:trPr>
          <w:trHeight w:val="195"/>
        </w:trPr>
        <w:tc>
          <w:tcPr>
            <w:tcW w:w="7240" w:type="dxa"/>
            <w:vAlign w:val="bottom"/>
          </w:tcPr>
          <w:p>
            <w:pPr>
              <w:spacing w:after="0"/>
              <w:rPr>
                <w:sz w:val="20"/>
                <w:szCs w:val="20"/>
                <w:color w:val="auto"/>
              </w:rPr>
            </w:pPr>
            <w:r>
              <w:rPr>
                <w:rFonts w:ascii="Arial" w:cs="Arial" w:eastAsia="Arial" w:hAnsi="Arial"/>
                <w:sz w:val="10"/>
                <w:szCs w:val="10"/>
                <w:color w:val="auto"/>
              </w:rPr>
              <w:t>Stockholders' equity (deficit)</w:t>
            </w: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38"/>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Common stock, 647,446,499 shares outstanding at June 30, 2021</w:t>
            </w:r>
          </w:p>
        </w:tc>
        <w:tc>
          <w:tcPr>
            <w:tcW w:w="14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6</w:t>
            </w:r>
          </w:p>
        </w:tc>
      </w:tr>
      <w:tr>
        <w:trPr>
          <w:trHeight w:val="132"/>
        </w:trPr>
        <w:tc>
          <w:tcPr>
            <w:tcW w:w="7240" w:type="dxa"/>
            <w:vAlign w:val="bottom"/>
          </w:tcPr>
          <w:p>
            <w:pPr>
              <w:ind w:left="220"/>
              <w:spacing w:after="0"/>
              <w:rPr>
                <w:sz w:val="20"/>
                <w:szCs w:val="20"/>
                <w:color w:val="auto"/>
              </w:rPr>
            </w:pPr>
            <w:r>
              <w:rPr>
                <w:rFonts w:ascii="Arial" w:cs="Arial" w:eastAsia="Arial" w:hAnsi="Arial"/>
                <w:sz w:val="10"/>
                <w:szCs w:val="10"/>
                <w:color w:val="auto"/>
              </w:rPr>
              <w:t>Additional paid-in capital</w:t>
            </w:r>
          </w:p>
        </w:tc>
        <w:tc>
          <w:tcPr>
            <w:tcW w:w="14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7,200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6,894</w:t>
            </w:r>
          </w:p>
        </w:tc>
      </w:tr>
      <w:tr>
        <w:trPr>
          <w:trHeight w:val="138"/>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Accumulated other comprehensive loss</w:t>
            </w:r>
          </w:p>
        </w:tc>
        <w:tc>
          <w:tcPr>
            <w:tcW w:w="14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(6,997)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(7,103)</w:t>
            </w:r>
          </w:p>
        </w:tc>
      </w:tr>
      <w:tr>
        <w:trPr>
          <w:trHeight w:val="132"/>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0"/>
                <w:szCs w:val="10"/>
                <w:color w:val="auto"/>
              </w:rPr>
              <w:t>Retained deficit</w:t>
            </w:r>
          </w:p>
        </w:tc>
        <w:tc>
          <w:tcPr>
            <w:tcW w:w="14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(7,876)</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(6,664)</w:t>
            </w:r>
          </w:p>
        </w:tc>
      </w:tr>
      <w:tr>
        <w:trPr>
          <w:trHeight w:val="127"/>
        </w:trPr>
        <w:tc>
          <w:tcPr>
            <w:tcW w:w="7240" w:type="dxa"/>
            <w:vAlign w:val="bottom"/>
            <w:shd w:val="clear" w:color="auto" w:fill="CCEEFF"/>
          </w:tcPr>
          <w:p>
            <w:pPr>
              <w:ind w:left="360"/>
              <w:spacing w:after="0" w:line="112" w:lineRule="exact"/>
              <w:rPr>
                <w:sz w:val="20"/>
                <w:szCs w:val="20"/>
                <w:color w:val="auto"/>
              </w:rPr>
            </w:pPr>
            <w:r>
              <w:rPr>
                <w:rFonts w:ascii="Arial" w:cs="Arial" w:eastAsia="Arial" w:hAnsi="Arial"/>
                <w:sz w:val="10"/>
                <w:szCs w:val="10"/>
                <w:color w:val="auto"/>
              </w:rPr>
              <w:t>Total stockholders' deficit</w:t>
            </w:r>
          </w:p>
        </w:tc>
        <w:tc>
          <w:tcPr>
            <w:tcW w:w="14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(7,667)</w:t>
            </w:r>
          </w:p>
        </w:tc>
        <w:tc>
          <w:tcPr>
            <w:tcW w:w="1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(6,867)</w:t>
            </w:r>
          </w:p>
        </w:tc>
      </w:tr>
      <w:tr>
        <w:trPr>
          <w:trHeight w:val="121"/>
        </w:trPr>
        <w:tc>
          <w:tcPr>
            <w:tcW w:w="7240" w:type="dxa"/>
            <w:vAlign w:val="bottom"/>
          </w:tcPr>
          <w:p>
            <w:pPr>
              <w:ind w:left="360"/>
              <w:spacing w:after="0" w:line="109" w:lineRule="exact"/>
              <w:rPr>
                <w:sz w:val="20"/>
                <w:szCs w:val="20"/>
                <w:color w:val="auto"/>
              </w:rPr>
            </w:pPr>
            <w:r>
              <w:rPr>
                <w:rFonts w:ascii="Arial" w:cs="Arial" w:eastAsia="Arial" w:hAnsi="Arial"/>
                <w:sz w:val="10"/>
                <w:szCs w:val="10"/>
                <w:color w:val="auto"/>
              </w:rPr>
              <w:t>Total liabilities and stockholders’ equity (deficit)</w:t>
            </w:r>
          </w:p>
        </w:tc>
        <w:tc>
          <w:tcPr>
            <w:tcW w:w="1440" w:type="dxa"/>
            <w:vAlign w:val="bottom"/>
            <w:tcBorders>
              <w:bottom w:val="single" w:sz="8" w:color="auto"/>
            </w:tcBorders>
          </w:tcPr>
          <w:p>
            <w:pPr>
              <w:jc w:val="right"/>
              <w:ind w:right="131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72,464</w:t>
            </w:r>
          </w:p>
        </w:tc>
        <w:tc>
          <w:tcPr>
            <w:tcW w:w="100" w:type="dxa"/>
            <w:vAlign w:val="bottom"/>
          </w:tcPr>
          <w:p>
            <w:pPr>
              <w:spacing w:after="0"/>
              <w:rPr>
                <w:sz w:val="10"/>
                <w:szCs w:val="10"/>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62,008</w:t>
            </w:r>
          </w:p>
        </w:tc>
      </w:tr>
      <w:tr>
        <w:trPr>
          <w:trHeight w:val="20"/>
        </w:trPr>
        <w:tc>
          <w:tcPr>
            <w:tcW w:w="7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126" w:right="299" w:bottom="1440"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2717165</wp:posOffset>
            </wp:positionH>
            <wp:positionV relativeFrom="page">
              <wp:posOffset>88900</wp:posOffset>
            </wp:positionV>
            <wp:extent cx="2114550" cy="3200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2114550" cy="320040"/>
                    </a:xfrm>
                    <a:prstGeom prst="rect">
                      <a:avLst/>
                    </a:prstGeom>
                    <a:noFill/>
                  </pic:spPr>
                </pic:pic>
              </a:graphicData>
            </a:graphic>
          </wp:anchor>
        </w:drawing>
        <w:t>Exhibit 99.3</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Investor Relations Update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July 22, 2021</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General Overview</w:t>
      </w:r>
    </w:p>
    <w:p>
      <w:pPr>
        <w:spacing w:after="0" w:line="136" w:lineRule="exact"/>
        <w:rPr>
          <w:sz w:val="20"/>
          <w:szCs w:val="20"/>
          <w:color w:val="auto"/>
        </w:rPr>
      </w:pPr>
    </w:p>
    <w:p>
      <w:pPr>
        <w:ind w:left="240" w:hanging="236"/>
        <w:spacing w:after="0"/>
        <w:tabs>
          <w:tab w:leader="none" w:pos="240" w:val="left"/>
        </w:tabs>
        <w:numPr>
          <w:ilvl w:val="0"/>
          <w:numId w:val="17"/>
        </w:numPr>
        <w:rPr>
          <w:rFonts w:ascii="Arial" w:cs="Arial" w:eastAsia="Arial" w:hAnsi="Arial"/>
          <w:sz w:val="10"/>
          <w:szCs w:val="10"/>
          <w:color w:val="auto"/>
        </w:rPr>
      </w:pPr>
      <w:r>
        <w:rPr>
          <w:rFonts w:ascii="Arial" w:cs="Arial" w:eastAsia="Arial" w:hAnsi="Arial"/>
          <w:sz w:val="11"/>
          <w:szCs w:val="11"/>
          <w:b w:val="1"/>
          <w:bCs w:val="1"/>
          <w:color w:val="auto"/>
        </w:rPr>
        <w:t xml:space="preserve">Capacity </w:t>
      </w:r>
      <w:r>
        <w:rPr>
          <w:rFonts w:ascii="Arial" w:cs="Arial" w:eastAsia="Arial" w:hAnsi="Arial"/>
          <w:sz w:val="11"/>
          <w:szCs w:val="11"/>
          <w:color w:val="auto"/>
        </w:rPr>
        <w:t>- The Company expects its third quarter capacity to be down approximately 15% to 20% versus the third quarter 2019.</w:t>
      </w:r>
    </w:p>
    <w:p>
      <w:pPr>
        <w:spacing w:after="0" w:line="62" w:lineRule="exact"/>
        <w:rPr>
          <w:rFonts w:ascii="Arial" w:cs="Arial" w:eastAsia="Arial" w:hAnsi="Arial"/>
          <w:sz w:val="10"/>
          <w:szCs w:val="10"/>
          <w:color w:val="auto"/>
        </w:rPr>
      </w:pPr>
    </w:p>
    <w:p>
      <w:pPr>
        <w:ind w:left="240" w:hanging="236"/>
        <w:spacing w:after="0"/>
        <w:tabs>
          <w:tab w:leader="none" w:pos="240" w:val="left"/>
        </w:tabs>
        <w:numPr>
          <w:ilvl w:val="0"/>
          <w:numId w:val="17"/>
        </w:numPr>
        <w:rPr>
          <w:rFonts w:ascii="Arial" w:cs="Arial" w:eastAsia="Arial" w:hAnsi="Arial"/>
          <w:sz w:val="10"/>
          <w:szCs w:val="10"/>
          <w:color w:val="auto"/>
        </w:rPr>
      </w:pPr>
      <w:r>
        <w:rPr>
          <w:rFonts w:ascii="Arial" w:cs="Arial" w:eastAsia="Arial" w:hAnsi="Arial"/>
          <w:sz w:val="11"/>
          <w:szCs w:val="11"/>
          <w:b w:val="1"/>
          <w:bCs w:val="1"/>
          <w:color w:val="auto"/>
        </w:rPr>
        <w:t xml:space="preserve">Revenue </w:t>
      </w:r>
      <w:r>
        <w:rPr>
          <w:rFonts w:ascii="Arial" w:cs="Arial" w:eastAsia="Arial" w:hAnsi="Arial"/>
          <w:sz w:val="11"/>
          <w:szCs w:val="11"/>
          <w:color w:val="auto"/>
        </w:rPr>
        <w:t>- The Company expects its third quarter total revenue to be down approximately 20% versus the third quarter 2019.</w:t>
      </w:r>
    </w:p>
    <w:p>
      <w:pPr>
        <w:spacing w:after="0" w:line="55" w:lineRule="exact"/>
        <w:rPr>
          <w:rFonts w:ascii="Arial" w:cs="Arial" w:eastAsia="Arial" w:hAnsi="Arial"/>
          <w:sz w:val="10"/>
          <w:szCs w:val="10"/>
          <w:color w:val="auto"/>
        </w:rPr>
      </w:pPr>
    </w:p>
    <w:p>
      <w:pPr>
        <w:ind w:left="240" w:hanging="236"/>
        <w:spacing w:after="0"/>
        <w:tabs>
          <w:tab w:leader="none" w:pos="240" w:val="left"/>
        </w:tabs>
        <w:numPr>
          <w:ilvl w:val="0"/>
          <w:numId w:val="17"/>
        </w:numPr>
        <w:rPr>
          <w:rFonts w:ascii="Arial" w:cs="Arial" w:eastAsia="Arial" w:hAnsi="Arial"/>
          <w:sz w:val="10"/>
          <w:szCs w:val="10"/>
          <w:color w:val="auto"/>
        </w:rPr>
      </w:pPr>
      <w:r>
        <w:rPr>
          <w:rFonts w:ascii="Arial" w:cs="Arial" w:eastAsia="Arial" w:hAnsi="Arial"/>
          <w:sz w:val="11"/>
          <w:szCs w:val="11"/>
          <w:b w:val="1"/>
          <w:bCs w:val="1"/>
          <w:color w:val="auto"/>
        </w:rPr>
        <w:t>CASM</w:t>
      </w:r>
      <w:r>
        <w:rPr>
          <w:rFonts w:ascii="Arial" w:cs="Arial" w:eastAsia="Arial" w:hAnsi="Arial"/>
          <w:sz w:val="14"/>
          <w:szCs w:val="14"/>
          <w:b w:val="1"/>
          <w:bCs w:val="1"/>
          <w:color w:val="auto"/>
          <w:vertAlign w:val="superscript"/>
        </w:rPr>
        <w:t>1</w:t>
      </w:r>
      <w:r>
        <w:rPr>
          <w:rFonts w:ascii="Arial" w:cs="Arial" w:eastAsia="Arial" w:hAnsi="Arial"/>
          <w:sz w:val="11"/>
          <w:szCs w:val="11"/>
          <w:b w:val="1"/>
          <w:bCs w:val="1"/>
          <w:color w:val="auto"/>
        </w:rPr>
        <w:t xml:space="preserve"> </w:t>
      </w:r>
      <w:r>
        <w:rPr>
          <w:rFonts w:ascii="Arial" w:cs="Arial" w:eastAsia="Arial" w:hAnsi="Arial"/>
          <w:sz w:val="11"/>
          <w:szCs w:val="11"/>
          <w:color w:val="auto"/>
        </w:rPr>
        <w:t>- The Company expects its third quarter total cost per available seat mile (CASM) excluding fuel and net special items</w:t>
      </w:r>
      <w:r>
        <w:rPr>
          <w:rFonts w:ascii="Arial" w:cs="Arial" w:eastAsia="Arial" w:hAnsi="Arial"/>
          <w:sz w:val="15"/>
          <w:szCs w:val="15"/>
          <w:color w:val="auto"/>
          <w:vertAlign w:val="superscript"/>
        </w:rPr>
        <w:t>2</w:t>
      </w:r>
      <w:r>
        <w:rPr>
          <w:rFonts w:ascii="Arial" w:cs="Arial" w:eastAsia="Arial" w:hAnsi="Arial"/>
          <w:sz w:val="11"/>
          <w:szCs w:val="11"/>
          <w:b w:val="1"/>
          <w:bCs w:val="1"/>
          <w:color w:val="auto"/>
        </w:rPr>
        <w:t xml:space="preserve"> </w:t>
      </w:r>
      <w:r>
        <w:rPr>
          <w:rFonts w:ascii="Arial" w:cs="Arial" w:eastAsia="Arial" w:hAnsi="Arial"/>
          <w:sz w:val="11"/>
          <w:szCs w:val="11"/>
          <w:color w:val="auto"/>
        </w:rPr>
        <w:t>to be up between 8% and 12% versus the third quarter 2019.</w:t>
      </w:r>
    </w:p>
    <w:p>
      <w:pPr>
        <w:spacing w:after="0" w:line="26" w:lineRule="exact"/>
        <w:rPr>
          <w:rFonts w:ascii="Arial" w:cs="Arial" w:eastAsia="Arial" w:hAnsi="Arial"/>
          <w:sz w:val="10"/>
          <w:szCs w:val="10"/>
          <w:color w:val="auto"/>
        </w:rPr>
      </w:pPr>
    </w:p>
    <w:p>
      <w:pPr>
        <w:ind w:left="240" w:right="500" w:hanging="236"/>
        <w:spacing w:after="0" w:line="245" w:lineRule="auto"/>
        <w:tabs>
          <w:tab w:leader="none" w:pos="240" w:val="left"/>
        </w:tabs>
        <w:numPr>
          <w:ilvl w:val="0"/>
          <w:numId w:val="17"/>
        </w:numPr>
        <w:rPr>
          <w:rFonts w:ascii="Arial" w:cs="Arial" w:eastAsia="Arial" w:hAnsi="Arial"/>
          <w:sz w:val="10"/>
          <w:szCs w:val="10"/>
          <w:color w:val="auto"/>
        </w:rPr>
      </w:pPr>
      <w:r>
        <w:rPr>
          <w:rFonts w:ascii="Arial" w:cs="Arial" w:eastAsia="Arial" w:hAnsi="Arial"/>
          <w:sz w:val="11"/>
          <w:szCs w:val="11"/>
          <w:b w:val="1"/>
          <w:bCs w:val="1"/>
          <w:color w:val="auto"/>
        </w:rPr>
        <w:t xml:space="preserve">Fuel </w:t>
      </w:r>
      <w:r>
        <w:rPr>
          <w:rFonts w:ascii="Arial" w:cs="Arial" w:eastAsia="Arial" w:hAnsi="Arial"/>
          <w:sz w:val="11"/>
          <w:szCs w:val="11"/>
          <w:color w:val="auto"/>
        </w:rPr>
        <w:t>- Based on the July 12, 2021 forward curve, the Company expects to pay an average of between $2.10 and $2.15 per gallon of total jet fuel (including taxes) in the third quarter. The Company also expects to consume</w:t>
      </w:r>
      <w:r>
        <w:rPr>
          <w:rFonts w:ascii="Arial" w:cs="Arial" w:eastAsia="Arial" w:hAnsi="Arial"/>
          <w:sz w:val="11"/>
          <w:szCs w:val="11"/>
          <w:b w:val="1"/>
          <w:bCs w:val="1"/>
          <w:color w:val="auto"/>
        </w:rPr>
        <w:t xml:space="preserve"> </w:t>
      </w:r>
      <w:r>
        <w:rPr>
          <w:rFonts w:ascii="Arial" w:cs="Arial" w:eastAsia="Arial" w:hAnsi="Arial"/>
          <w:sz w:val="11"/>
          <w:szCs w:val="11"/>
          <w:color w:val="auto"/>
        </w:rPr>
        <w:t>approximately 964 million gallons of jet fuel based on its current capacity plans.</w:t>
      </w:r>
    </w:p>
    <w:p>
      <w:pPr>
        <w:spacing w:after="0" w:line="44" w:lineRule="exact"/>
        <w:rPr>
          <w:rFonts w:ascii="Arial" w:cs="Arial" w:eastAsia="Arial" w:hAnsi="Arial"/>
          <w:sz w:val="10"/>
          <w:szCs w:val="10"/>
          <w:color w:val="auto"/>
        </w:rPr>
      </w:pPr>
    </w:p>
    <w:p>
      <w:pPr>
        <w:ind w:left="240" w:right="280" w:hanging="236"/>
        <w:spacing w:after="0" w:line="250" w:lineRule="auto"/>
        <w:tabs>
          <w:tab w:leader="none" w:pos="240" w:val="left"/>
        </w:tabs>
        <w:numPr>
          <w:ilvl w:val="0"/>
          <w:numId w:val="17"/>
        </w:numPr>
        <w:rPr>
          <w:rFonts w:ascii="Arial" w:cs="Arial" w:eastAsia="Arial" w:hAnsi="Arial"/>
          <w:sz w:val="10"/>
          <w:szCs w:val="10"/>
          <w:color w:val="auto"/>
        </w:rPr>
      </w:pPr>
      <w:r>
        <w:rPr>
          <w:rFonts w:ascii="Arial" w:cs="Arial" w:eastAsia="Arial" w:hAnsi="Arial"/>
          <w:sz w:val="11"/>
          <w:szCs w:val="11"/>
          <w:b w:val="1"/>
          <w:bCs w:val="1"/>
          <w:color w:val="auto"/>
        </w:rPr>
        <w:t xml:space="preserve">Liquidity </w:t>
      </w:r>
      <w:r>
        <w:rPr>
          <w:rFonts w:ascii="Arial" w:cs="Arial" w:eastAsia="Arial" w:hAnsi="Arial"/>
          <w:sz w:val="11"/>
          <w:szCs w:val="11"/>
          <w:color w:val="auto"/>
        </w:rPr>
        <w:t>- As of June 30, 2021, the Company had approximately $21.3 billion in total available liquidity. The Company’s total liquidity as of that date was comprised of unrestricted cash and investments of $18.0 billion and $3.3</w:t>
      </w:r>
      <w:r>
        <w:rPr>
          <w:rFonts w:ascii="Arial" w:cs="Arial" w:eastAsia="Arial" w:hAnsi="Arial"/>
          <w:sz w:val="11"/>
          <w:szCs w:val="11"/>
          <w:b w:val="1"/>
          <w:bCs w:val="1"/>
          <w:color w:val="auto"/>
        </w:rPr>
        <w:t xml:space="preserve"> </w:t>
      </w:r>
      <w:r>
        <w:rPr>
          <w:rFonts w:ascii="Arial" w:cs="Arial" w:eastAsia="Arial" w:hAnsi="Arial"/>
          <w:sz w:val="11"/>
          <w:szCs w:val="11"/>
          <w:color w:val="auto"/>
        </w:rPr>
        <w:t>billion of aggregate undrawn revolver capacity and other undrawn facilities. The Company also had a restricted cash position of $999 million.</w:t>
      </w:r>
    </w:p>
    <w:p>
      <w:pPr>
        <w:spacing w:after="0" w:line="42" w:lineRule="exact"/>
        <w:rPr>
          <w:rFonts w:ascii="Arial" w:cs="Arial" w:eastAsia="Arial" w:hAnsi="Arial"/>
          <w:sz w:val="10"/>
          <w:szCs w:val="10"/>
          <w:color w:val="auto"/>
        </w:rPr>
      </w:pPr>
    </w:p>
    <w:p>
      <w:pPr>
        <w:ind w:left="240" w:right="260" w:hanging="236"/>
        <w:spacing w:after="0" w:line="250" w:lineRule="auto"/>
        <w:tabs>
          <w:tab w:leader="none" w:pos="240" w:val="left"/>
        </w:tabs>
        <w:numPr>
          <w:ilvl w:val="0"/>
          <w:numId w:val="17"/>
        </w:numPr>
        <w:rPr>
          <w:rFonts w:ascii="Arial" w:cs="Arial" w:eastAsia="Arial" w:hAnsi="Arial"/>
          <w:sz w:val="10"/>
          <w:szCs w:val="10"/>
          <w:color w:val="auto"/>
        </w:rPr>
      </w:pPr>
      <w:r>
        <w:rPr>
          <w:rFonts w:ascii="Arial" w:cs="Arial" w:eastAsia="Arial" w:hAnsi="Arial"/>
          <w:sz w:val="11"/>
          <w:szCs w:val="11"/>
          <w:b w:val="1"/>
          <w:bCs w:val="1"/>
          <w:color w:val="auto"/>
        </w:rPr>
        <w:t xml:space="preserve">Capital Expenditures </w:t>
      </w:r>
      <w:r>
        <w:rPr>
          <w:rFonts w:ascii="Arial" w:cs="Arial" w:eastAsia="Arial" w:hAnsi="Arial"/>
          <w:sz w:val="11"/>
          <w:szCs w:val="11"/>
          <w:color w:val="auto"/>
        </w:rPr>
        <w:t>- The Company continues to expect to have a net capex inflow of $0.1 billion in 2021 driven by $1 billion of cash inflows for aircraft capex and associated financing primarily due to the return of certain pre-delivery payments, offset in part by $0.9 billion in non-aircraft capex outflows.</w:t>
      </w:r>
    </w:p>
    <w:p>
      <w:pPr>
        <w:spacing w:after="0" w:line="42" w:lineRule="exact"/>
        <w:rPr>
          <w:rFonts w:ascii="Arial" w:cs="Arial" w:eastAsia="Arial" w:hAnsi="Arial"/>
          <w:sz w:val="10"/>
          <w:szCs w:val="10"/>
          <w:color w:val="auto"/>
        </w:rPr>
      </w:pPr>
    </w:p>
    <w:p>
      <w:pPr>
        <w:ind w:left="240" w:hanging="236"/>
        <w:spacing w:after="0"/>
        <w:tabs>
          <w:tab w:leader="none" w:pos="240" w:val="left"/>
        </w:tabs>
        <w:numPr>
          <w:ilvl w:val="0"/>
          <w:numId w:val="17"/>
        </w:numPr>
        <w:rPr>
          <w:rFonts w:ascii="Arial" w:cs="Arial" w:eastAsia="Arial" w:hAnsi="Arial"/>
          <w:sz w:val="10"/>
          <w:szCs w:val="10"/>
          <w:color w:val="auto"/>
        </w:rPr>
      </w:pPr>
      <w:r>
        <w:rPr>
          <w:rFonts w:ascii="Arial" w:cs="Arial" w:eastAsia="Arial" w:hAnsi="Arial"/>
          <w:sz w:val="11"/>
          <w:szCs w:val="11"/>
          <w:b w:val="1"/>
          <w:bCs w:val="1"/>
          <w:color w:val="auto"/>
        </w:rPr>
        <w:t xml:space="preserve">Non operating Expense </w:t>
      </w:r>
      <w:r>
        <w:rPr>
          <w:rFonts w:ascii="Arial" w:cs="Arial" w:eastAsia="Arial" w:hAnsi="Arial"/>
          <w:sz w:val="11"/>
          <w:szCs w:val="11"/>
          <w:color w:val="auto"/>
        </w:rPr>
        <w:t>- The Company expects its total non operating expense to be approximately $385 million in the third quarter.</w:t>
      </w:r>
    </w:p>
    <w:p>
      <w:pPr>
        <w:spacing w:after="0" w:line="62" w:lineRule="exact"/>
        <w:rPr>
          <w:rFonts w:ascii="Arial" w:cs="Arial" w:eastAsia="Arial" w:hAnsi="Arial"/>
          <w:sz w:val="10"/>
          <w:szCs w:val="10"/>
          <w:color w:val="auto"/>
        </w:rPr>
      </w:pPr>
    </w:p>
    <w:p>
      <w:pPr>
        <w:ind w:left="240" w:hanging="236"/>
        <w:spacing w:after="0"/>
        <w:tabs>
          <w:tab w:leader="none" w:pos="240" w:val="left"/>
        </w:tabs>
        <w:numPr>
          <w:ilvl w:val="0"/>
          <w:numId w:val="17"/>
        </w:numPr>
        <w:rPr>
          <w:rFonts w:ascii="Arial" w:cs="Arial" w:eastAsia="Arial" w:hAnsi="Arial"/>
          <w:sz w:val="10"/>
          <w:szCs w:val="10"/>
          <w:color w:val="auto"/>
        </w:rPr>
      </w:pPr>
      <w:r>
        <w:rPr>
          <w:rFonts w:ascii="Arial" w:cs="Arial" w:eastAsia="Arial" w:hAnsi="Arial"/>
          <w:sz w:val="11"/>
          <w:szCs w:val="11"/>
          <w:b w:val="1"/>
          <w:bCs w:val="1"/>
          <w:color w:val="auto"/>
        </w:rPr>
        <w:t xml:space="preserve">Taxes </w:t>
      </w:r>
      <w:r>
        <w:rPr>
          <w:rFonts w:ascii="Arial" w:cs="Arial" w:eastAsia="Arial" w:hAnsi="Arial"/>
          <w:sz w:val="11"/>
          <w:szCs w:val="11"/>
          <w:color w:val="auto"/>
        </w:rPr>
        <w:t>- The Company expects to record an income tax benefit at an effective rate of approximately 22% in the third quarter.</w:t>
      </w:r>
    </w:p>
    <w:p>
      <w:pPr>
        <w:spacing w:after="0" w:line="62" w:lineRule="exact"/>
        <w:rPr>
          <w:rFonts w:ascii="Arial" w:cs="Arial" w:eastAsia="Arial" w:hAnsi="Arial"/>
          <w:sz w:val="10"/>
          <w:szCs w:val="10"/>
          <w:color w:val="auto"/>
        </w:rPr>
      </w:pPr>
    </w:p>
    <w:p>
      <w:pPr>
        <w:ind w:left="240" w:hanging="236"/>
        <w:spacing w:after="0"/>
        <w:tabs>
          <w:tab w:leader="none" w:pos="240" w:val="left"/>
        </w:tabs>
        <w:numPr>
          <w:ilvl w:val="0"/>
          <w:numId w:val="17"/>
        </w:numPr>
        <w:rPr>
          <w:rFonts w:ascii="Arial" w:cs="Arial" w:eastAsia="Arial" w:hAnsi="Arial"/>
          <w:sz w:val="10"/>
          <w:szCs w:val="10"/>
          <w:color w:val="auto"/>
        </w:rPr>
      </w:pPr>
      <w:r>
        <w:rPr>
          <w:rFonts w:ascii="Arial" w:cs="Arial" w:eastAsia="Arial" w:hAnsi="Arial"/>
          <w:sz w:val="11"/>
          <w:szCs w:val="11"/>
          <w:b w:val="1"/>
          <w:bCs w:val="1"/>
          <w:color w:val="auto"/>
        </w:rPr>
        <w:t xml:space="preserve">Shares outstanding </w:t>
      </w:r>
      <w:r>
        <w:rPr>
          <w:rFonts w:ascii="Arial" w:cs="Arial" w:eastAsia="Arial" w:hAnsi="Arial"/>
          <w:sz w:val="11"/>
          <w:szCs w:val="11"/>
          <w:color w:val="auto"/>
        </w:rPr>
        <w:t>- The Company currently expects its basic and diluted shares outstanding</w:t>
      </w:r>
      <w:r>
        <w:rPr>
          <w:rFonts w:ascii="Arial" w:cs="Arial" w:eastAsia="Arial" w:hAnsi="Arial"/>
          <w:sz w:val="14"/>
          <w:szCs w:val="14"/>
          <w:color w:val="auto"/>
          <w:vertAlign w:val="superscript"/>
        </w:rPr>
        <w:t>3</w:t>
      </w:r>
      <w:r>
        <w:rPr>
          <w:rFonts w:ascii="Arial" w:cs="Arial" w:eastAsia="Arial" w:hAnsi="Arial"/>
          <w:sz w:val="11"/>
          <w:szCs w:val="11"/>
          <w:b w:val="1"/>
          <w:bCs w:val="1"/>
          <w:color w:val="auto"/>
        </w:rPr>
        <w:t xml:space="preserve"> </w:t>
      </w:r>
      <w:r>
        <w:rPr>
          <w:rFonts w:ascii="Arial" w:cs="Arial" w:eastAsia="Arial" w:hAnsi="Arial"/>
          <w:sz w:val="11"/>
          <w:szCs w:val="11"/>
          <w:color w:val="auto"/>
        </w:rPr>
        <w:t>for the third quarter to be approximately 648.6 million for financial reporting purposes.</w:t>
      </w:r>
    </w:p>
    <w:p>
      <w:pPr>
        <w:spacing w:after="0" w:line="28" w:lineRule="exact"/>
        <w:rPr>
          <w:rFonts w:ascii="Arial" w:cs="Arial" w:eastAsia="Arial" w:hAnsi="Arial"/>
          <w:sz w:val="10"/>
          <w:szCs w:val="10"/>
          <w:color w:val="auto"/>
        </w:rPr>
      </w:pPr>
    </w:p>
    <w:p>
      <w:pPr>
        <w:ind w:left="240" w:hanging="236"/>
        <w:spacing w:after="0"/>
        <w:tabs>
          <w:tab w:leader="none" w:pos="240" w:val="left"/>
        </w:tabs>
        <w:numPr>
          <w:ilvl w:val="0"/>
          <w:numId w:val="17"/>
        </w:numPr>
        <w:rPr>
          <w:rFonts w:ascii="Arial" w:cs="Arial" w:eastAsia="Arial" w:hAnsi="Arial"/>
          <w:sz w:val="10"/>
          <w:szCs w:val="10"/>
          <w:color w:val="auto"/>
        </w:rPr>
      </w:pPr>
      <w:r>
        <w:rPr>
          <w:rFonts w:ascii="Arial" w:cs="Arial" w:eastAsia="Arial" w:hAnsi="Arial"/>
          <w:sz w:val="11"/>
          <w:szCs w:val="11"/>
          <w:b w:val="1"/>
          <w:bCs w:val="1"/>
          <w:color w:val="auto"/>
        </w:rPr>
        <w:t xml:space="preserve">Pre tax margin </w:t>
      </w:r>
      <w:r>
        <w:rPr>
          <w:rFonts w:ascii="Arial" w:cs="Arial" w:eastAsia="Arial" w:hAnsi="Arial"/>
          <w:sz w:val="11"/>
          <w:szCs w:val="11"/>
          <w:color w:val="auto"/>
        </w:rPr>
        <w:t>- Based on the assumptions outlined above, the Company presently expects its third quarter pre tax margin excluding net special items to be approximately -3% to -7%</w:t>
      </w:r>
      <w:r>
        <w:rPr>
          <w:rFonts w:ascii="Arial" w:cs="Arial" w:eastAsia="Arial" w:hAnsi="Arial"/>
          <w:sz w:val="11"/>
          <w:szCs w:val="11"/>
          <w:b w:val="1"/>
          <w:bCs w:val="1"/>
          <w:color w:val="auto"/>
        </w:rPr>
        <w:t xml:space="preserve"> </w:t>
      </w:r>
      <w:r>
        <w:rPr>
          <w:rFonts w:ascii="Arial" w:cs="Arial" w:eastAsia="Arial" w:hAnsi="Arial"/>
          <w:sz w:val="14"/>
          <w:szCs w:val="14"/>
          <w:color w:val="auto"/>
          <w:vertAlign w:val="superscript"/>
        </w:rPr>
        <w:t>2</w:t>
      </w:r>
      <w:r>
        <w:rPr>
          <w:rFonts w:ascii="Arial" w:cs="Arial" w:eastAsia="Arial" w:hAnsi="Arial"/>
          <w:sz w:val="11"/>
          <w:szCs w:val="11"/>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Notes:</w:t>
      </w:r>
    </w:p>
    <w:p>
      <w:pPr>
        <w:spacing w:after="0" w:line="83" w:lineRule="exact"/>
        <w:rPr>
          <w:sz w:val="20"/>
          <w:szCs w:val="20"/>
          <w:color w:val="auto"/>
        </w:rPr>
      </w:pPr>
    </w:p>
    <w:p>
      <w:pPr>
        <w:ind w:left="300" w:hanging="296"/>
        <w:spacing w:after="0"/>
        <w:tabs>
          <w:tab w:leader="none" w:pos="300" w:val="left"/>
        </w:tabs>
        <w:numPr>
          <w:ilvl w:val="0"/>
          <w:numId w:val="18"/>
        </w:numPr>
        <w:rPr>
          <w:rFonts w:ascii="Arial" w:cs="Arial" w:eastAsia="Arial" w:hAnsi="Arial"/>
          <w:sz w:val="11"/>
          <w:szCs w:val="11"/>
          <w:i w:val="1"/>
          <w:iCs w:val="1"/>
          <w:color w:val="auto"/>
        </w:rPr>
      </w:pPr>
      <w:r>
        <w:rPr>
          <w:rFonts w:ascii="Arial" w:cs="Arial" w:eastAsia="Arial" w:hAnsi="Arial"/>
          <w:sz w:val="11"/>
          <w:szCs w:val="11"/>
          <w:i w:val="1"/>
          <w:iCs w:val="1"/>
          <w:color w:val="auto"/>
        </w:rPr>
        <w:t>All CASM guidance excludes the impact of fuel and net special items.</w:t>
      </w:r>
    </w:p>
    <w:p>
      <w:pPr>
        <w:spacing w:after="0" w:line="26" w:lineRule="exact"/>
        <w:rPr>
          <w:rFonts w:ascii="Arial" w:cs="Arial" w:eastAsia="Arial" w:hAnsi="Arial"/>
          <w:sz w:val="11"/>
          <w:szCs w:val="11"/>
          <w:i w:val="1"/>
          <w:iCs w:val="1"/>
          <w:color w:val="auto"/>
        </w:rPr>
      </w:pPr>
    </w:p>
    <w:p>
      <w:pPr>
        <w:ind w:left="300" w:right="320" w:hanging="296"/>
        <w:spacing w:after="0" w:line="247" w:lineRule="auto"/>
        <w:tabs>
          <w:tab w:leader="none" w:pos="300" w:val="left"/>
        </w:tabs>
        <w:numPr>
          <w:ilvl w:val="0"/>
          <w:numId w:val="18"/>
        </w:numPr>
        <w:rPr>
          <w:rFonts w:ascii="Arial" w:cs="Arial" w:eastAsia="Arial" w:hAnsi="Arial"/>
          <w:sz w:val="11"/>
          <w:szCs w:val="11"/>
          <w:i w:val="1"/>
          <w:iCs w:val="1"/>
          <w:color w:val="auto"/>
        </w:rPr>
      </w:pPr>
      <w:r>
        <w:rPr>
          <w:rFonts w:ascii="Arial" w:cs="Arial" w:eastAsia="Arial" w:hAnsi="Arial"/>
          <w:sz w:val="11"/>
          <w:szCs w:val="11"/>
          <w:i w:val="1"/>
          <w:iCs w:val="1"/>
          <w:color w:val="auto"/>
        </w:rPr>
        <w:t>The Company is unable to reconcile certain forward-looking projections to GAAP as the nature or amount of net special items cannot be determined at this time. Please see GAAP to non GAAP reconciliation at the end of this document.</w:t>
      </w:r>
    </w:p>
    <w:p>
      <w:pPr>
        <w:spacing w:after="0" w:line="9" w:lineRule="exact"/>
        <w:rPr>
          <w:rFonts w:ascii="Arial" w:cs="Arial" w:eastAsia="Arial" w:hAnsi="Arial"/>
          <w:sz w:val="11"/>
          <w:szCs w:val="11"/>
          <w:i w:val="1"/>
          <w:iCs w:val="1"/>
          <w:color w:val="auto"/>
        </w:rPr>
      </w:pPr>
    </w:p>
    <w:p>
      <w:pPr>
        <w:ind w:left="300" w:hanging="296"/>
        <w:spacing w:after="0"/>
        <w:tabs>
          <w:tab w:leader="none" w:pos="300" w:val="left"/>
        </w:tabs>
        <w:numPr>
          <w:ilvl w:val="0"/>
          <w:numId w:val="18"/>
        </w:numPr>
        <w:rPr>
          <w:rFonts w:ascii="Arial" w:cs="Arial" w:eastAsia="Arial" w:hAnsi="Arial"/>
          <w:sz w:val="11"/>
          <w:szCs w:val="11"/>
          <w:i w:val="1"/>
          <w:iCs w:val="1"/>
          <w:color w:val="auto"/>
        </w:rPr>
      </w:pPr>
      <w:r>
        <w:rPr>
          <w:rFonts w:ascii="Arial" w:cs="Arial" w:eastAsia="Arial" w:hAnsi="Arial"/>
          <w:sz w:val="11"/>
          <w:szCs w:val="11"/>
          <w:i w:val="1"/>
          <w:iCs w:val="1"/>
          <w:color w:val="auto"/>
        </w:rPr>
        <w:t>Shares outstanding assumes no additional shares issued through the Company’s existing at the market share issuance authorization or otherwise.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Please refer to the footnotes and the forward looking statements page of this document for additional information</w:t>
      </w:r>
    </w:p>
    <w:p>
      <w:pPr>
        <w:sectPr>
          <w:pgSz w:w="11900" w:h="16838" w:orient="portrait"/>
          <w:cols w:equalWidth="0" w:num="1">
            <w:col w:w="11300"/>
          </w:cols>
          <w:pgMar w:left="300" w:top="692" w:right="299" w:bottom="1440" w:gutter="0" w:footer="0" w:header="0"/>
        </w:sectPr>
      </w:pPr>
    </w:p>
    <w:bookmarkStart w:id="42" w:name="page43"/>
    <w:bookmarkEnd w:id="42"/>
    <w:tbl>
      <w:tblPr>
        <w:tblLayout w:type="fixed"/>
        <w:tblInd w:w="1570" w:type="dxa"/>
        <w:tblCellMar>
          <w:top w:w="0" w:type="dxa"/>
          <w:left w:w="0" w:type="dxa"/>
          <w:bottom w:w="0" w:type="dxa"/>
          <w:right w:w="0" w:type="dxa"/>
        </w:tblCellMar>
      </w:tblPr>
      <w:tr>
        <w:trPr>
          <w:trHeight w:val="144"/>
        </w:trPr>
        <w:tc>
          <w:tcPr>
            <w:tcW w:w="2960" w:type="dxa"/>
            <w:vAlign w:val="bottom"/>
          </w:tcPr>
          <w:p>
            <w:pPr>
              <w:spacing w:after="0"/>
              <w:rPr>
                <w:sz w:val="12"/>
                <w:szCs w:val="12"/>
                <w:color w:val="auto"/>
              </w:rPr>
            </w:pPr>
          </w:p>
        </w:tc>
        <w:tc>
          <w:tcPr>
            <w:tcW w:w="5220" w:type="dxa"/>
            <w:vAlign w:val="bottom"/>
            <w:gridSpan w:val="2"/>
          </w:tcPr>
          <w:p>
            <w:pPr>
              <w:jc w:val="right"/>
              <w:ind w:right="3620"/>
              <w:spacing w:after="0"/>
              <w:rPr>
                <w:sz w:val="20"/>
                <w:szCs w:val="20"/>
                <w:color w:val="auto"/>
              </w:rPr>
            </w:pPr>
            <w:r>
              <w:rPr>
                <w:rFonts w:ascii="Arial" w:cs="Arial" w:eastAsia="Arial" w:hAnsi="Arial"/>
                <w:sz w:val="12"/>
                <w:szCs w:val="12"/>
                <w:b w:val="1"/>
                <w:bCs w:val="1"/>
                <w:color w:val="auto"/>
              </w:rPr>
              <w:t>Financial Update</w:t>
            </w:r>
          </w:p>
        </w:tc>
      </w:tr>
      <w:tr>
        <w:trPr>
          <w:trHeight w:val="159"/>
        </w:trPr>
        <w:tc>
          <w:tcPr>
            <w:tcW w:w="2960" w:type="dxa"/>
            <w:vAlign w:val="bottom"/>
          </w:tcPr>
          <w:p>
            <w:pPr>
              <w:spacing w:after="0"/>
              <w:rPr>
                <w:sz w:val="13"/>
                <w:szCs w:val="13"/>
                <w:color w:val="auto"/>
              </w:rPr>
            </w:pPr>
          </w:p>
        </w:tc>
        <w:tc>
          <w:tcPr>
            <w:tcW w:w="5220" w:type="dxa"/>
            <w:vAlign w:val="bottom"/>
            <w:gridSpan w:val="2"/>
          </w:tcPr>
          <w:p>
            <w:pPr>
              <w:jc w:val="right"/>
              <w:ind w:right="3720"/>
              <w:spacing w:after="0"/>
              <w:rPr>
                <w:sz w:val="20"/>
                <w:szCs w:val="20"/>
                <w:color w:val="auto"/>
              </w:rPr>
            </w:pPr>
            <w:r>
              <w:rPr>
                <w:rFonts w:ascii="Arial" w:cs="Arial" w:eastAsia="Arial" w:hAnsi="Arial"/>
                <w:sz w:val="12"/>
                <w:szCs w:val="12"/>
                <w:b w:val="1"/>
                <w:bCs w:val="1"/>
                <w:color w:val="auto"/>
              </w:rPr>
              <w:t>July 22, 2021</w:t>
            </w:r>
          </w:p>
        </w:tc>
      </w:tr>
      <w:tr>
        <w:trPr>
          <w:trHeight w:val="432"/>
        </w:trPr>
        <w:tc>
          <w:tcPr>
            <w:tcW w:w="29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142"/>
        </w:trPr>
        <w:tc>
          <w:tcPr>
            <w:tcW w:w="2960" w:type="dxa"/>
            <w:vAlign w:val="bottom"/>
            <w:tcBorders>
              <w:left w:val="single" w:sz="8" w:color="auto"/>
            </w:tcBorders>
            <w:shd w:val="clear" w:color="auto" w:fill="00497F"/>
          </w:tcPr>
          <w:p>
            <w:pPr>
              <w:spacing w:after="0"/>
              <w:rPr>
                <w:sz w:val="12"/>
                <w:szCs w:val="12"/>
                <w:color w:val="auto"/>
              </w:rPr>
            </w:pPr>
          </w:p>
        </w:tc>
        <w:tc>
          <w:tcPr>
            <w:tcW w:w="5220" w:type="dxa"/>
            <w:vAlign w:val="bottom"/>
            <w:tcBorders>
              <w:right w:val="single" w:sz="8" w:color="auto"/>
            </w:tcBorders>
            <w:gridSpan w:val="2"/>
            <w:shd w:val="clear" w:color="auto" w:fill="00497F"/>
          </w:tcPr>
          <w:p>
            <w:pPr>
              <w:jc w:val="right"/>
              <w:ind w:right="20"/>
              <w:spacing w:after="0" w:line="142" w:lineRule="exact"/>
              <w:rPr>
                <w:sz w:val="20"/>
                <w:szCs w:val="20"/>
                <w:color w:val="auto"/>
              </w:rPr>
            </w:pPr>
            <w:r>
              <w:rPr>
                <w:rFonts w:ascii="Arial" w:cs="Arial" w:eastAsia="Arial" w:hAnsi="Arial"/>
                <w:sz w:val="12"/>
                <w:szCs w:val="12"/>
                <w:b w:val="1"/>
                <w:bCs w:val="1"/>
                <w:color w:val="FFFFFF"/>
              </w:rPr>
              <w:t>3Q21 Guidance</w:t>
            </w:r>
            <w:r>
              <w:rPr>
                <w:rFonts w:ascii="Arial" w:cs="Arial" w:eastAsia="Arial" w:hAnsi="Arial"/>
                <w:sz w:val="15"/>
                <w:szCs w:val="15"/>
                <w:b w:val="1"/>
                <w:bCs w:val="1"/>
                <w:color w:val="FFFFFF"/>
                <w:vertAlign w:val="superscript"/>
              </w:rPr>
              <w:t>1,2</w:t>
            </w:r>
          </w:p>
        </w:tc>
      </w:tr>
      <w:tr>
        <w:trPr>
          <w:trHeight w:val="324"/>
        </w:trPr>
        <w:tc>
          <w:tcPr>
            <w:tcW w:w="29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Total revenue</w:t>
            </w:r>
          </w:p>
        </w:tc>
        <w:tc>
          <w:tcPr>
            <w:tcW w:w="522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 -20% (vs 3Q19)</w:t>
            </w:r>
          </w:p>
        </w:tc>
      </w:tr>
      <w:tr>
        <w:trPr>
          <w:trHeight w:val="296"/>
        </w:trPr>
        <w:tc>
          <w:tcPr>
            <w:tcW w:w="29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Available seat miles (ASMs) (bil)</w:t>
            </w:r>
          </w:p>
        </w:tc>
        <w:tc>
          <w:tcPr>
            <w:tcW w:w="522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 -15% to -20% (vs 3Q19)</w:t>
            </w:r>
          </w:p>
        </w:tc>
      </w:tr>
      <w:tr>
        <w:trPr>
          <w:trHeight w:val="145"/>
        </w:trPr>
        <w:tc>
          <w:tcPr>
            <w:tcW w:w="2960" w:type="dxa"/>
            <w:vAlign w:val="bottom"/>
            <w:tcBorders>
              <w:left w:val="single" w:sz="8" w:color="auto"/>
            </w:tcBorders>
          </w:tcPr>
          <w:p>
            <w:pPr>
              <w:spacing w:after="0"/>
              <w:rPr>
                <w:sz w:val="12"/>
                <w:szCs w:val="12"/>
                <w:color w:val="auto"/>
              </w:rPr>
            </w:pPr>
          </w:p>
        </w:tc>
        <w:tc>
          <w:tcPr>
            <w:tcW w:w="522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to ~62.2 bil ASMs</w:t>
            </w:r>
          </w:p>
        </w:tc>
      </w:tr>
      <w:tr>
        <w:trPr>
          <w:trHeight w:val="324"/>
        </w:trPr>
        <w:tc>
          <w:tcPr>
            <w:tcW w:w="29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CASM excluding fuel and net special items</w:t>
            </w:r>
          </w:p>
        </w:tc>
        <w:tc>
          <w:tcPr>
            <w:tcW w:w="522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 +8% to +12% (vs 3Q19)</w:t>
            </w:r>
          </w:p>
        </w:tc>
      </w:tr>
      <w:tr>
        <w:trPr>
          <w:trHeight w:val="324"/>
        </w:trPr>
        <w:tc>
          <w:tcPr>
            <w:tcW w:w="29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Average fuel price (incl. taxes) ($/gal)</w:t>
            </w:r>
          </w:p>
        </w:tc>
        <w:tc>
          <w:tcPr>
            <w:tcW w:w="522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 $2.10 to $2.15</w:t>
            </w:r>
          </w:p>
        </w:tc>
      </w:tr>
      <w:tr>
        <w:trPr>
          <w:trHeight w:val="153"/>
        </w:trPr>
        <w:tc>
          <w:tcPr>
            <w:tcW w:w="29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Fuel gallons consumed (mil)</w:t>
            </w:r>
          </w:p>
        </w:tc>
        <w:tc>
          <w:tcPr>
            <w:tcW w:w="522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 964</w:t>
            </w:r>
          </w:p>
        </w:tc>
      </w:tr>
      <w:tr>
        <w:trPr>
          <w:trHeight w:val="324"/>
        </w:trPr>
        <w:tc>
          <w:tcPr>
            <w:tcW w:w="29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Other non operating expense ($ mil)</w:t>
            </w:r>
          </w:p>
        </w:tc>
        <w:tc>
          <w:tcPr>
            <w:tcW w:w="522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 385</w:t>
            </w:r>
          </w:p>
        </w:tc>
      </w:tr>
      <w:tr>
        <w:trPr>
          <w:trHeight w:val="324"/>
        </w:trPr>
        <w:tc>
          <w:tcPr>
            <w:tcW w:w="29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Pre tax margin</w:t>
            </w:r>
          </w:p>
        </w:tc>
        <w:tc>
          <w:tcPr>
            <w:tcW w:w="522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 -3% to -7%</w:t>
            </w:r>
          </w:p>
        </w:tc>
      </w:tr>
      <w:tr>
        <w:trPr>
          <w:trHeight w:val="171"/>
        </w:trPr>
        <w:tc>
          <w:tcPr>
            <w:tcW w:w="2960" w:type="dxa"/>
            <w:vAlign w:val="bottom"/>
            <w:tcBorders>
              <w:left w:val="single" w:sz="8" w:color="auto"/>
            </w:tcBorders>
          </w:tcPr>
          <w:p>
            <w:pPr>
              <w:spacing w:after="0"/>
              <w:rPr>
                <w:sz w:val="14"/>
                <w:szCs w:val="14"/>
                <w:color w:val="auto"/>
              </w:rPr>
            </w:pPr>
          </w:p>
        </w:tc>
        <w:tc>
          <w:tcPr>
            <w:tcW w:w="50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r>
      <w:tr>
        <w:trPr>
          <w:trHeight w:val="153"/>
        </w:trPr>
        <w:tc>
          <w:tcPr>
            <w:tcW w:w="2960" w:type="dxa"/>
            <w:vAlign w:val="bottom"/>
            <w:tcBorders>
              <w:left w:val="single" w:sz="8" w:color="auto"/>
            </w:tcBorders>
            <w:shd w:val="clear" w:color="auto" w:fill="00497F"/>
          </w:tcPr>
          <w:p>
            <w:pPr>
              <w:ind w:left="20"/>
              <w:spacing w:after="0"/>
              <w:rPr>
                <w:sz w:val="20"/>
                <w:szCs w:val="20"/>
                <w:color w:val="auto"/>
              </w:rPr>
            </w:pPr>
            <w:r>
              <w:rPr>
                <w:rFonts w:ascii="Arial" w:cs="Arial" w:eastAsia="Arial" w:hAnsi="Arial"/>
                <w:sz w:val="12"/>
                <w:szCs w:val="12"/>
                <w:b w:val="1"/>
                <w:bCs w:val="1"/>
                <w:color w:val="FFFFFF"/>
              </w:rPr>
              <w:t>Capital Expenditures ($ mil)</w:t>
            </w:r>
          </w:p>
        </w:tc>
        <w:tc>
          <w:tcPr>
            <w:tcW w:w="5220" w:type="dxa"/>
            <w:vAlign w:val="bottom"/>
            <w:tcBorders>
              <w:right w:val="single" w:sz="8" w:color="auto"/>
            </w:tcBorders>
            <w:gridSpan w:val="2"/>
            <w:shd w:val="clear" w:color="auto" w:fill="00497F"/>
          </w:tcPr>
          <w:p>
            <w:pPr>
              <w:jc w:val="right"/>
              <w:ind w:right="20"/>
              <w:spacing w:after="0"/>
              <w:rPr>
                <w:sz w:val="20"/>
                <w:szCs w:val="20"/>
                <w:color w:val="auto"/>
              </w:rPr>
            </w:pPr>
            <w:r>
              <w:rPr>
                <w:rFonts w:ascii="Arial" w:cs="Arial" w:eastAsia="Arial" w:hAnsi="Arial"/>
                <w:sz w:val="12"/>
                <w:szCs w:val="12"/>
                <w:b w:val="1"/>
                <w:bCs w:val="1"/>
                <w:color w:val="FFFFFF"/>
              </w:rPr>
              <w:t>FY 2021</w:t>
            </w:r>
          </w:p>
        </w:tc>
      </w:tr>
      <w:tr>
        <w:trPr>
          <w:trHeight w:val="153"/>
        </w:trPr>
        <w:tc>
          <w:tcPr>
            <w:tcW w:w="2960" w:type="dxa"/>
            <w:vAlign w:val="bottom"/>
            <w:tcBorders>
              <w:left w:val="single" w:sz="8" w:color="auto"/>
            </w:tcBorders>
          </w:tcPr>
          <w:p>
            <w:pPr>
              <w:ind w:left="160"/>
              <w:spacing w:after="0"/>
              <w:rPr>
                <w:sz w:val="20"/>
                <w:szCs w:val="20"/>
                <w:color w:val="auto"/>
              </w:rPr>
            </w:pPr>
            <w:r>
              <w:rPr>
                <w:rFonts w:ascii="Arial" w:cs="Arial" w:eastAsia="Arial" w:hAnsi="Arial"/>
                <w:sz w:val="12"/>
                <w:szCs w:val="12"/>
                <w:color w:val="auto"/>
              </w:rPr>
              <w:t>Aircraft, net</w:t>
            </w:r>
          </w:p>
        </w:tc>
        <w:tc>
          <w:tcPr>
            <w:tcW w:w="522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($1,000)</w:t>
            </w:r>
          </w:p>
        </w:tc>
      </w:tr>
      <w:tr>
        <w:trPr>
          <w:trHeight w:val="126"/>
        </w:trPr>
        <w:tc>
          <w:tcPr>
            <w:tcW w:w="2960" w:type="dxa"/>
            <w:vAlign w:val="bottom"/>
            <w:tcBorders>
              <w:left w:val="single" w:sz="8" w:color="auto"/>
            </w:tcBorders>
          </w:tcPr>
          <w:p>
            <w:pPr>
              <w:ind w:left="160"/>
              <w:spacing w:after="0" w:line="126" w:lineRule="exact"/>
              <w:rPr>
                <w:sz w:val="20"/>
                <w:szCs w:val="20"/>
                <w:color w:val="auto"/>
              </w:rPr>
            </w:pPr>
            <w:r>
              <w:rPr>
                <w:rFonts w:ascii="Arial" w:cs="Arial" w:eastAsia="Arial" w:hAnsi="Arial"/>
                <w:sz w:val="12"/>
                <w:szCs w:val="12"/>
                <w:color w:val="auto"/>
              </w:rPr>
              <w:t>Non-aircraft</w:t>
            </w:r>
          </w:p>
        </w:tc>
        <w:tc>
          <w:tcPr>
            <w:tcW w:w="5220" w:type="dxa"/>
            <w:vAlign w:val="bottom"/>
            <w:tcBorders>
              <w:right w:val="single" w:sz="8" w:color="auto"/>
            </w:tcBorders>
            <w:gridSpan w:val="2"/>
          </w:tcPr>
          <w:p>
            <w:pPr>
              <w:jc w:val="right"/>
              <w:ind w:right="20"/>
              <w:spacing w:after="0" w:line="126" w:lineRule="exact"/>
              <w:rPr>
                <w:sz w:val="20"/>
                <w:szCs w:val="20"/>
                <w:color w:val="auto"/>
              </w:rPr>
            </w:pPr>
            <w:r>
              <w:rPr>
                <w:rFonts w:ascii="Arial" w:cs="Arial" w:eastAsia="Arial" w:hAnsi="Arial"/>
                <w:sz w:val="12"/>
                <w:szCs w:val="12"/>
                <w:color w:val="auto"/>
              </w:rPr>
              <w:t>900</w:t>
            </w:r>
          </w:p>
        </w:tc>
      </w:tr>
      <w:tr>
        <w:trPr>
          <w:trHeight w:val="20"/>
        </w:trPr>
        <w:tc>
          <w:tcPr>
            <w:tcW w:w="2960" w:type="dxa"/>
            <w:vAlign w:val="bottom"/>
            <w:tcBorders>
              <w:left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r>
      <w:tr>
        <w:trPr>
          <w:trHeight w:val="160"/>
        </w:trPr>
        <w:tc>
          <w:tcPr>
            <w:tcW w:w="29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2"/>
                <w:szCs w:val="12"/>
                <w:color w:val="auto"/>
              </w:rPr>
              <w:t>Total inflow</w:t>
            </w:r>
          </w:p>
        </w:tc>
        <w:tc>
          <w:tcPr>
            <w:tcW w:w="522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($100)</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2717165</wp:posOffset>
            </wp:positionH>
            <wp:positionV relativeFrom="page">
              <wp:posOffset>88900</wp:posOffset>
            </wp:positionV>
            <wp:extent cx="2114550" cy="3200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2114550" cy="32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Notes:</w:t>
      </w:r>
    </w:p>
    <w:p>
      <w:pPr>
        <w:spacing w:after="0" w:line="29" w:lineRule="exact"/>
        <w:rPr>
          <w:sz w:val="20"/>
          <w:szCs w:val="20"/>
          <w:color w:val="auto"/>
        </w:rPr>
      </w:pPr>
    </w:p>
    <w:p>
      <w:pPr>
        <w:ind w:left="420" w:hanging="416"/>
        <w:spacing w:after="0" w:line="247" w:lineRule="auto"/>
        <w:tabs>
          <w:tab w:leader="none" w:pos="420" w:val="left"/>
        </w:tabs>
        <w:numPr>
          <w:ilvl w:val="0"/>
          <w:numId w:val="19"/>
        </w:numPr>
        <w:rPr>
          <w:rFonts w:ascii="Arial" w:cs="Arial" w:eastAsia="Arial" w:hAnsi="Arial"/>
          <w:sz w:val="11"/>
          <w:szCs w:val="11"/>
          <w:i w:val="1"/>
          <w:iCs w:val="1"/>
          <w:color w:val="auto"/>
        </w:rPr>
      </w:pPr>
      <w:r>
        <w:rPr>
          <w:rFonts w:ascii="Arial" w:cs="Arial" w:eastAsia="Arial" w:hAnsi="Arial"/>
          <w:sz w:val="11"/>
          <w:szCs w:val="11"/>
          <w:i w:val="1"/>
          <w:iCs w:val="1"/>
          <w:color w:val="auto"/>
        </w:rPr>
        <w:t>Includes guidance on certain non-GAAP measures, which exclude, among other things, net special items. The Company is unable to reconcile certain forward-looking projections to GAAP as the nature or amount of net special items cannot be determined at this time. Please see the GAAP to non-GAAP reconciliation at the end of this document.</w:t>
      </w:r>
    </w:p>
    <w:p>
      <w:pPr>
        <w:spacing w:after="0" w:line="9" w:lineRule="exact"/>
        <w:rPr>
          <w:rFonts w:ascii="Arial" w:cs="Arial" w:eastAsia="Arial" w:hAnsi="Arial"/>
          <w:sz w:val="11"/>
          <w:szCs w:val="11"/>
          <w:i w:val="1"/>
          <w:iCs w:val="1"/>
          <w:color w:val="auto"/>
        </w:rPr>
      </w:pPr>
    </w:p>
    <w:p>
      <w:pPr>
        <w:ind w:left="420" w:hanging="416"/>
        <w:spacing w:after="0"/>
        <w:tabs>
          <w:tab w:leader="none" w:pos="420" w:val="left"/>
        </w:tabs>
        <w:numPr>
          <w:ilvl w:val="0"/>
          <w:numId w:val="19"/>
        </w:numPr>
        <w:rPr>
          <w:rFonts w:ascii="Arial" w:cs="Arial" w:eastAsia="Arial" w:hAnsi="Arial"/>
          <w:sz w:val="11"/>
          <w:szCs w:val="11"/>
          <w:i w:val="1"/>
          <w:iCs w:val="1"/>
          <w:color w:val="auto"/>
        </w:rPr>
      </w:pPr>
      <w:r>
        <w:rPr>
          <w:rFonts w:ascii="Arial" w:cs="Arial" w:eastAsia="Arial" w:hAnsi="Arial"/>
          <w:sz w:val="11"/>
          <w:szCs w:val="11"/>
          <w:i w:val="1"/>
          <w:iCs w:val="1"/>
          <w:color w:val="auto"/>
        </w:rPr>
        <w:t>Numbers may not recalculate due to rounding.</w:t>
      </w: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1"/>
          <w:szCs w:val="11"/>
          <w:b w:val="1"/>
          <w:bCs w:val="1"/>
          <w:color w:val="auto"/>
        </w:rPr>
        <w:t>Please refer to the footnotes and the forward looking statements page of this document for additional information</w:t>
      </w:r>
    </w:p>
    <w:p>
      <w:pPr>
        <w:sectPr>
          <w:pgSz w:w="11900" w:h="16838" w:orient="portrait"/>
          <w:cols w:equalWidth="0" w:num="1">
            <w:col w:w="11180"/>
          </w:cols>
          <w:pgMar w:left="300" w:top="935" w:right="419" w:bottom="1440" w:gutter="0" w:footer="0" w:header="0"/>
        </w:sectPr>
      </w:pPr>
    </w:p>
    <w:bookmarkStart w:id="43" w:name="page44"/>
    <w:bookmarkEnd w:id="43"/>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2717165</wp:posOffset>
            </wp:positionH>
            <wp:positionV relativeFrom="page">
              <wp:posOffset>88900</wp:posOffset>
            </wp:positionV>
            <wp:extent cx="2114550" cy="3200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2114550" cy="320040"/>
                    </a:xfrm>
                    <a:prstGeom prst="rect">
                      <a:avLst/>
                    </a:prstGeom>
                    <a:noFill/>
                  </pic:spPr>
                </pic:pic>
              </a:graphicData>
            </a:graphic>
          </wp:anchor>
        </w:drawing>
        <w:t>GAAP to Non-GAAP Reconciliation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July 22, 2021</w:t>
      </w:r>
    </w:p>
    <w:p>
      <w:pPr>
        <w:spacing w:after="0" w:line="118" w:lineRule="exact"/>
        <w:rPr>
          <w:sz w:val="20"/>
          <w:szCs w:val="20"/>
          <w:color w:val="auto"/>
        </w:rPr>
      </w:pPr>
    </w:p>
    <w:p>
      <w:pPr>
        <w:jc w:val="both"/>
        <w:spacing w:after="0" w:line="227" w:lineRule="auto"/>
        <w:rPr>
          <w:sz w:val="20"/>
          <w:szCs w:val="20"/>
          <w:color w:val="auto"/>
        </w:rPr>
      </w:pPr>
      <w:r>
        <w:rPr>
          <w:rFonts w:ascii="Arial" w:cs="Arial" w:eastAsia="Arial" w:hAnsi="Arial"/>
          <w:sz w:val="10"/>
          <w:szCs w:val="10"/>
          <w:color w:val="auto"/>
        </w:rPr>
        <w:t>The Company sometimes uses financial measures that are derived from the condensed consolidated financial statements but that are not presented in accordance with GAAP to understand and evaluate its current operating performance and to allow for period-to-period comparisons. The Company believes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The Company is providing a reconciliation of reported non-GAAP financial measures to their comparable financial measures on a GAAP basis. The table below presents the reconciliation of total operating costs (GAAP measure) to total operating costs excluding fuel and net special items (non-GAAP measure) and total operating costs per ASM (CASM) to CASM excluding fuel and net special items. Management uses total operating costs and CASM excluding fuel and net special items to evaluate the Company's current operating performance and for period-to-period comparisons. The price of fuel, over which the Company has no control, impacts the comparability of period-to-period financial performance. Additionally, net special items may vary from period-to-period in nature and amount. These adjustments to exclude aircraft fuel and net special items allow management an additional tool to understand and analyze the Company’s non-fuel costs and core operating performance.</w:t>
      </w:r>
    </w:p>
    <w:p>
      <w:pPr>
        <w:sectPr>
          <w:pgSz w:w="11900" w:h="16838" w:orient="portrait"/>
          <w:cols w:equalWidth="0" w:num="1">
            <w:col w:w="11300"/>
          </w:cols>
          <w:pgMar w:left="300" w:top="93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80"/>
        <w:spacing w:after="0"/>
        <w:rPr>
          <w:sz w:val="20"/>
          <w:szCs w:val="20"/>
          <w:color w:val="auto"/>
        </w:rPr>
      </w:pPr>
      <w:r>
        <w:rPr>
          <w:rFonts w:ascii="Arial" w:cs="Arial" w:eastAsia="Arial" w:hAnsi="Arial"/>
          <w:sz w:val="11"/>
          <w:szCs w:val="11"/>
          <w:color w:val="auto"/>
        </w:rPr>
        <w:t>Total operating expenses</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1"/>
          <w:szCs w:val="11"/>
          <w:color w:val="auto"/>
        </w:rPr>
        <w:t>Less fuel expense</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1"/>
          <w:szCs w:val="11"/>
          <w:color w:val="auto"/>
        </w:rPr>
        <w:t>Less operating net special items</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0"/>
          <w:szCs w:val="10"/>
          <w:color w:val="auto"/>
        </w:rPr>
        <w:t>Total operating expense excluding fuel and net special items</w:t>
      </w:r>
    </w:p>
    <w:p>
      <w:pPr>
        <w:spacing w:after="0" w:line="173" w:lineRule="exact"/>
        <w:rPr>
          <w:sz w:val="20"/>
          <w:szCs w:val="20"/>
          <w:color w:val="auto"/>
        </w:rPr>
      </w:pPr>
    </w:p>
    <w:p>
      <w:pPr>
        <w:ind w:left="780"/>
        <w:spacing w:after="0"/>
        <w:rPr>
          <w:sz w:val="20"/>
          <w:szCs w:val="20"/>
          <w:color w:val="auto"/>
        </w:rPr>
      </w:pPr>
      <w:r>
        <w:rPr>
          <w:rFonts w:ascii="Arial" w:cs="Arial" w:eastAsia="Arial" w:hAnsi="Arial"/>
          <w:sz w:val="11"/>
          <w:szCs w:val="11"/>
          <w:color w:val="auto"/>
        </w:rPr>
        <w:t>Total CASM (cts)</w:t>
      </w:r>
    </w:p>
    <w:p>
      <w:pPr>
        <w:spacing w:after="0" w:line="162" w:lineRule="exact"/>
        <w:rPr>
          <w:sz w:val="20"/>
          <w:szCs w:val="20"/>
          <w:color w:val="auto"/>
        </w:rPr>
      </w:pPr>
    </w:p>
    <w:p>
      <w:pPr>
        <w:ind w:left="780"/>
        <w:spacing w:after="0"/>
        <w:rPr>
          <w:sz w:val="20"/>
          <w:szCs w:val="20"/>
          <w:color w:val="auto"/>
        </w:rPr>
      </w:pPr>
      <w:r>
        <w:rPr>
          <w:rFonts w:ascii="Arial" w:cs="Arial" w:eastAsia="Arial" w:hAnsi="Arial"/>
          <w:sz w:val="11"/>
          <w:szCs w:val="11"/>
          <w:color w:val="auto"/>
        </w:rPr>
        <w:t>Total CASM excluding fuel and net special items (cts)</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1"/>
          <w:szCs w:val="11"/>
          <w:i w:val="1"/>
          <w:iCs w:val="1"/>
          <w:color w:val="auto"/>
        </w:rPr>
        <w:t>Percentage change vs 3Q19</w:t>
      </w:r>
    </w:p>
    <w:p>
      <w:pPr>
        <w:spacing w:after="0" w:line="172" w:lineRule="exact"/>
        <w:rPr>
          <w:sz w:val="20"/>
          <w:szCs w:val="20"/>
          <w:color w:val="auto"/>
        </w:rPr>
      </w:pPr>
    </w:p>
    <w:p>
      <w:pPr>
        <w:ind w:left="780"/>
        <w:spacing w:after="0"/>
        <w:rPr>
          <w:sz w:val="20"/>
          <w:szCs w:val="20"/>
          <w:color w:val="auto"/>
        </w:rPr>
      </w:pPr>
      <w:r>
        <w:rPr>
          <w:rFonts w:ascii="Arial" w:cs="Arial" w:eastAsia="Arial" w:hAnsi="Arial"/>
          <w:sz w:val="11"/>
          <w:szCs w:val="11"/>
          <w:color w:val="auto"/>
        </w:rPr>
        <w:t>Total ASMs (bil)</w:t>
      </w:r>
    </w:p>
    <w:p>
      <w:pPr>
        <w:spacing w:after="0" w:line="251" w:lineRule="exact"/>
        <w:rPr>
          <w:sz w:val="20"/>
          <w:szCs w:val="20"/>
          <w:color w:val="auto"/>
        </w:rPr>
      </w:pPr>
    </w:p>
    <w:p>
      <w:pPr>
        <w:jc w:val="center"/>
        <w:ind w:left="260"/>
        <w:spacing w:after="0"/>
        <w:rPr>
          <w:sz w:val="20"/>
          <w:szCs w:val="20"/>
          <w:color w:val="auto"/>
        </w:rPr>
      </w:pPr>
      <w:r>
        <w:rPr>
          <w:rFonts w:ascii="Arial" w:cs="Arial" w:eastAsia="Arial" w:hAnsi="Arial"/>
          <w:sz w:val="10"/>
          <w:szCs w:val="10"/>
          <w:i w:val="1"/>
          <w:iCs w:val="1"/>
          <w:color w:val="auto"/>
        </w:rPr>
        <w:t>Note: Amounts may not recalculate due to rounding.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ind w:right="3980"/>
        <w:spacing w:after="0"/>
        <w:rPr>
          <w:sz w:val="20"/>
          <w:szCs w:val="20"/>
          <w:color w:val="auto"/>
        </w:rPr>
      </w:pPr>
      <w:r>
        <w:rPr>
          <w:rFonts w:ascii="Arial" w:cs="Arial" w:eastAsia="Arial" w:hAnsi="Arial"/>
          <w:sz w:val="10"/>
          <w:szCs w:val="10"/>
          <w:b w:val="1"/>
          <w:bCs w:val="1"/>
          <w:color w:val="auto"/>
        </w:rPr>
        <w:t>American Airlines Group Inc. GAAP to Non-GAAP Reconciliation</w:t>
      </w:r>
      <w:r>
        <w:rPr>
          <w:rFonts w:ascii="Arial" w:cs="Arial" w:eastAsia="Arial" w:hAnsi="Arial"/>
          <w:sz w:val="13"/>
          <w:szCs w:val="13"/>
          <w:b w:val="1"/>
          <w:bCs w:val="1"/>
          <w:color w:val="auto"/>
          <w:vertAlign w:val="superscript"/>
        </w:rPr>
        <w:t>1</w:t>
      </w:r>
    </w:p>
    <w:p>
      <w:pPr>
        <w:jc w:val="center"/>
        <w:ind w:right="3980"/>
        <w:spacing w:after="0"/>
        <w:rPr>
          <w:sz w:val="20"/>
          <w:szCs w:val="20"/>
          <w:color w:val="auto"/>
        </w:rPr>
      </w:pPr>
      <w:r>
        <w:rPr>
          <w:rFonts w:ascii="Arial" w:cs="Arial" w:eastAsia="Arial" w:hAnsi="Arial"/>
          <w:sz w:val="11"/>
          <w:szCs w:val="11"/>
          <w:b w:val="1"/>
          <w:bCs w:val="1"/>
          <w:color w:val="auto"/>
        </w:rPr>
        <w:t>($ mil except ASM and CASM data)</w:t>
      </w:r>
    </w:p>
    <w:p>
      <w:pPr>
        <w:spacing w:after="0" w:line="7" w:lineRule="exact"/>
        <w:rPr>
          <w:sz w:val="20"/>
          <w:szCs w:val="20"/>
          <w:color w:val="auto"/>
        </w:rPr>
      </w:pPr>
    </w:p>
    <w:p>
      <w:pPr>
        <w:jc w:val="center"/>
        <w:ind w:left="-3319"/>
        <w:spacing w:after="0"/>
        <w:rPr>
          <w:sz w:val="20"/>
          <w:szCs w:val="20"/>
          <w:color w:val="auto"/>
        </w:rPr>
      </w:pPr>
      <w:r>
        <w:rPr>
          <w:rFonts w:ascii="Arial" w:cs="Arial" w:eastAsia="Arial" w:hAnsi="Arial"/>
          <w:sz w:val="10"/>
          <w:szCs w:val="10"/>
          <w:b w:val="1"/>
          <w:bCs w:val="1"/>
          <w:color w:val="auto"/>
        </w:rPr>
        <w:t>3Q21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6985</wp:posOffset>
            </wp:positionV>
            <wp:extent cx="138874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88745" cy="5715"/>
                    </a:xfrm>
                    <a:prstGeom prst="rect">
                      <a:avLst/>
                    </a:prstGeom>
                    <a:noFill/>
                  </pic:spPr>
                </pic:pic>
              </a:graphicData>
            </a:graphic>
          </wp:anchor>
        </w:drawing>
      </w:r>
    </w:p>
    <w:p>
      <w:pPr>
        <w:ind w:left="4800"/>
        <w:spacing w:after="0"/>
        <w:tabs>
          <w:tab w:leader="none" w:pos="5920" w:val="left"/>
        </w:tabs>
        <w:rPr>
          <w:sz w:val="20"/>
          <w:szCs w:val="20"/>
          <w:color w:val="auto"/>
        </w:rPr>
      </w:pPr>
      <w:r>
        <w:rPr>
          <w:rFonts w:ascii="Arial" w:cs="Arial" w:eastAsia="Arial" w:hAnsi="Arial"/>
          <w:sz w:val="10"/>
          <w:szCs w:val="10"/>
          <w:b w:val="1"/>
          <w:bCs w:val="1"/>
          <w:color w:val="auto"/>
        </w:rPr>
        <w:t>Low</w:t>
      </w:r>
      <w:r>
        <w:rPr>
          <w:sz w:val="20"/>
          <w:szCs w:val="20"/>
          <w:color w:val="auto"/>
        </w:rPr>
        <w:tab/>
      </w:r>
      <w:r>
        <w:rPr>
          <w:rFonts w:ascii="Arial" w:cs="Arial" w:eastAsia="Arial" w:hAnsi="Arial"/>
          <w:sz w:val="10"/>
          <w:szCs w:val="10"/>
          <w:b w:val="1"/>
          <w:bCs w:val="1"/>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-2027555</wp:posOffset>
            </wp:positionH>
            <wp:positionV relativeFrom="paragraph">
              <wp:posOffset>6985</wp:posOffset>
            </wp:positionV>
            <wp:extent cx="6200775" cy="914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00775" cy="91440"/>
                    </a:xfrm>
                    <a:prstGeom prst="rect">
                      <a:avLst/>
                    </a:prstGeom>
                    <a:noFill/>
                  </pic:spPr>
                </pic:pic>
              </a:graphicData>
            </a:graphic>
          </wp:anchor>
        </w:drawing>
      </w:r>
    </w:p>
    <w:p>
      <w:pPr>
        <w:spacing w:after="0" w:line="165" w:lineRule="exact"/>
        <w:rPr>
          <w:sz w:val="20"/>
          <w:szCs w:val="20"/>
          <w:color w:val="auto"/>
        </w:rPr>
      </w:pPr>
    </w:p>
    <w:p>
      <w:pPr>
        <w:jc w:val="both"/>
        <w:ind w:left="4400"/>
        <w:spacing w:after="0"/>
        <w:tabs>
          <w:tab w:leader="none" w:pos="5120" w:val="left"/>
          <w:tab w:leader="none" w:pos="5500" w:val="left"/>
          <w:tab w:leader="none" w:pos="6260" w:val="left"/>
        </w:tabs>
        <w:rPr>
          <w:sz w:val="20"/>
          <w:szCs w:val="20"/>
          <w:color w:val="auto"/>
        </w:rPr>
      </w:pP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9,461</w:t>
        <w:tab/>
        <w:t>$</w:t>
      </w:r>
      <w:r>
        <w:rPr>
          <w:sz w:val="20"/>
          <w:szCs w:val="20"/>
          <w:color w:val="auto"/>
        </w:rPr>
        <w:tab/>
      </w:r>
      <w:r>
        <w:rPr>
          <w:rFonts w:ascii="Arial" w:cs="Arial" w:eastAsia="Arial" w:hAnsi="Arial"/>
          <w:sz w:val="8"/>
          <w:szCs w:val="8"/>
          <w:color w:val="auto"/>
        </w:rPr>
        <w:t>9,784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-2027555</wp:posOffset>
            </wp:positionH>
            <wp:positionV relativeFrom="paragraph">
              <wp:posOffset>0</wp:posOffset>
            </wp:positionV>
            <wp:extent cx="6200775" cy="914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00775" cy="91440"/>
                    </a:xfrm>
                    <a:prstGeom prst="rect">
                      <a:avLst/>
                    </a:prstGeom>
                    <a:noFill/>
                  </pic:spPr>
                </pic:pic>
              </a:graphicData>
            </a:graphic>
          </wp:anchor>
        </w:drawing>
      </w:r>
    </w:p>
    <w:p>
      <w:pPr>
        <w:spacing w:after="0" w:line="9" w:lineRule="exact"/>
        <w:rPr>
          <w:sz w:val="20"/>
          <w:szCs w:val="20"/>
          <w:color w:val="auto"/>
        </w:rPr>
      </w:pPr>
    </w:p>
    <w:p>
      <w:pPr>
        <w:jc w:val="both"/>
        <w:ind w:left="5140"/>
        <w:spacing w:after="0"/>
        <w:tabs>
          <w:tab w:leader="none" w:pos="6260" w:val="left"/>
        </w:tabs>
        <w:rPr>
          <w:sz w:val="20"/>
          <w:szCs w:val="20"/>
          <w:color w:val="auto"/>
        </w:rPr>
      </w:pPr>
      <w:r>
        <w:rPr>
          <w:rFonts w:ascii="Arial" w:cs="Arial" w:eastAsia="Arial" w:hAnsi="Arial"/>
          <w:sz w:val="10"/>
          <w:szCs w:val="10"/>
          <w:color w:val="auto"/>
        </w:rPr>
        <w:t>2,024</w:t>
      </w:r>
      <w:r>
        <w:rPr>
          <w:sz w:val="20"/>
          <w:szCs w:val="20"/>
          <w:color w:val="auto"/>
        </w:rPr>
        <w:tab/>
      </w:r>
      <w:r>
        <w:rPr>
          <w:rFonts w:ascii="Arial" w:cs="Arial" w:eastAsia="Arial" w:hAnsi="Arial"/>
          <w:sz w:val="10"/>
          <w:szCs w:val="10"/>
          <w:color w:val="auto"/>
        </w:rPr>
        <w:t>2,073</w:t>
      </w:r>
    </w:p>
    <w:p>
      <w:pPr>
        <w:spacing w:after="0" w:line="29" w:lineRule="exact"/>
        <w:rPr>
          <w:sz w:val="20"/>
          <w:szCs w:val="20"/>
          <w:color w:val="auto"/>
        </w:rPr>
      </w:pPr>
    </w:p>
    <w:p>
      <w:pPr>
        <w:jc w:val="both"/>
        <w:ind w:left="5280"/>
        <w:spacing w:after="0"/>
        <w:tabs>
          <w:tab w:leader="none" w:pos="6400" w:val="left"/>
        </w:tabs>
        <w:rPr>
          <w:sz w:val="20"/>
          <w:szCs w:val="20"/>
          <w:color w:val="auto"/>
        </w:rPr>
      </w:pP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-2027555</wp:posOffset>
            </wp:positionH>
            <wp:positionV relativeFrom="paragraph">
              <wp:posOffset>0</wp:posOffset>
            </wp:positionV>
            <wp:extent cx="6200775" cy="914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00775" cy="91440"/>
                    </a:xfrm>
                    <a:prstGeom prst="rect">
                      <a:avLst/>
                    </a:prstGeom>
                    <a:noFill/>
                  </pic:spPr>
                </pic:pic>
              </a:graphicData>
            </a:graphic>
          </wp:anchor>
        </w:drawing>
      </w:r>
    </w:p>
    <w:p>
      <w:pPr>
        <w:spacing w:after="0" w:line="9" w:lineRule="exact"/>
        <w:rPr>
          <w:sz w:val="20"/>
          <w:szCs w:val="20"/>
          <w:color w:val="auto"/>
        </w:rPr>
      </w:pPr>
    </w:p>
    <w:p>
      <w:pPr>
        <w:jc w:val="both"/>
        <w:ind w:left="5140"/>
        <w:spacing w:after="0"/>
        <w:tabs>
          <w:tab w:leader="none" w:pos="6260" w:val="left"/>
        </w:tabs>
        <w:rPr>
          <w:sz w:val="20"/>
          <w:szCs w:val="20"/>
          <w:color w:val="auto"/>
        </w:rPr>
      </w:pPr>
      <w:r>
        <w:rPr>
          <w:rFonts w:ascii="Arial" w:cs="Arial" w:eastAsia="Arial" w:hAnsi="Arial"/>
          <w:sz w:val="10"/>
          <w:szCs w:val="10"/>
          <w:color w:val="auto"/>
        </w:rPr>
        <w:t>7,436</w:t>
      </w:r>
      <w:r>
        <w:rPr>
          <w:sz w:val="20"/>
          <w:szCs w:val="20"/>
          <w:color w:val="auto"/>
        </w:rPr>
        <w:tab/>
      </w:r>
      <w:r>
        <w:rPr>
          <w:rFonts w:ascii="Arial" w:cs="Arial" w:eastAsia="Arial" w:hAnsi="Arial"/>
          <w:sz w:val="10"/>
          <w:szCs w:val="10"/>
          <w:color w:val="auto"/>
        </w:rPr>
        <w:t>7,712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-2027555</wp:posOffset>
            </wp:positionH>
            <wp:positionV relativeFrom="paragraph">
              <wp:posOffset>90805</wp:posOffset>
            </wp:positionV>
            <wp:extent cx="6200775" cy="914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00775" cy="91440"/>
                    </a:xfrm>
                    <a:prstGeom prst="rect">
                      <a:avLst/>
                    </a:prstGeom>
                    <a:noFill/>
                  </pic:spPr>
                </pic:pic>
              </a:graphicData>
            </a:graphic>
          </wp:anchor>
        </w:drawing>
      </w:r>
    </w:p>
    <w:p>
      <w:pPr>
        <w:spacing w:after="0" w:line="153" w:lineRule="exact"/>
        <w:rPr>
          <w:sz w:val="20"/>
          <w:szCs w:val="20"/>
          <w:color w:val="auto"/>
        </w:rPr>
      </w:pPr>
    </w:p>
    <w:p>
      <w:pPr>
        <w:ind w:left="5140"/>
        <w:spacing w:after="0"/>
        <w:tabs>
          <w:tab w:leader="none" w:pos="6260" w:val="left"/>
        </w:tabs>
        <w:rPr>
          <w:sz w:val="20"/>
          <w:szCs w:val="20"/>
          <w:color w:val="auto"/>
        </w:rPr>
      </w:pPr>
      <w:r>
        <w:rPr>
          <w:rFonts w:ascii="Arial" w:cs="Arial" w:eastAsia="Arial" w:hAnsi="Arial"/>
          <w:sz w:val="10"/>
          <w:szCs w:val="10"/>
          <w:color w:val="auto"/>
        </w:rPr>
        <w:t>15.21</w:t>
      </w:r>
      <w:r>
        <w:rPr>
          <w:sz w:val="20"/>
          <w:szCs w:val="20"/>
          <w:color w:val="auto"/>
        </w:rPr>
        <w:tab/>
      </w:r>
      <w:r>
        <w:rPr>
          <w:rFonts w:ascii="Arial" w:cs="Arial" w:eastAsia="Arial" w:hAnsi="Arial"/>
          <w:sz w:val="8"/>
          <w:szCs w:val="8"/>
          <w:color w:val="auto"/>
        </w:rPr>
        <w:t>15.73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-2027555</wp:posOffset>
            </wp:positionH>
            <wp:positionV relativeFrom="paragraph">
              <wp:posOffset>90805</wp:posOffset>
            </wp:positionV>
            <wp:extent cx="6200775" cy="914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00775" cy="91440"/>
                    </a:xfrm>
                    <a:prstGeom prst="rect">
                      <a:avLst/>
                    </a:prstGeom>
                    <a:noFill/>
                  </pic:spPr>
                </pic:pic>
              </a:graphicData>
            </a:graphic>
          </wp:anchor>
        </w:drawing>
      </w:r>
    </w:p>
    <w:p>
      <w:pPr>
        <w:spacing w:after="0" w:line="153" w:lineRule="exact"/>
        <w:rPr>
          <w:sz w:val="20"/>
          <w:szCs w:val="20"/>
          <w:color w:val="auto"/>
        </w:rPr>
      </w:pPr>
    </w:p>
    <w:p>
      <w:pPr>
        <w:ind w:left="5140"/>
        <w:spacing w:after="0"/>
        <w:tabs>
          <w:tab w:leader="none" w:pos="6260" w:val="left"/>
        </w:tabs>
        <w:rPr>
          <w:sz w:val="20"/>
          <w:szCs w:val="20"/>
          <w:color w:val="auto"/>
        </w:rPr>
      </w:pPr>
      <w:r>
        <w:rPr>
          <w:rFonts w:ascii="Arial" w:cs="Arial" w:eastAsia="Arial" w:hAnsi="Arial"/>
          <w:sz w:val="10"/>
          <w:szCs w:val="10"/>
          <w:color w:val="auto"/>
        </w:rPr>
        <w:t>11.96</w:t>
      </w:r>
      <w:r>
        <w:rPr>
          <w:sz w:val="20"/>
          <w:szCs w:val="20"/>
          <w:color w:val="auto"/>
        </w:rPr>
        <w:tab/>
      </w:r>
      <w:r>
        <w:rPr>
          <w:rFonts w:ascii="Arial" w:cs="Arial" w:eastAsia="Arial" w:hAnsi="Arial"/>
          <w:sz w:val="8"/>
          <w:szCs w:val="8"/>
          <w:color w:val="auto"/>
        </w:rPr>
        <w:t>12.40</w:t>
      </w:r>
    </w:p>
    <w:p>
      <w:pPr>
        <w:spacing w:after="0" w:line="19" w:lineRule="exact"/>
        <w:rPr>
          <w:sz w:val="20"/>
          <w:szCs w:val="20"/>
          <w:color w:val="auto"/>
        </w:rPr>
      </w:pPr>
    </w:p>
    <w:p>
      <w:pPr>
        <w:jc w:val="right"/>
        <w:ind w:right="780"/>
        <w:spacing w:after="0"/>
        <w:tabs>
          <w:tab w:leader="none" w:pos="260" w:val="left"/>
        </w:tabs>
        <w:rPr>
          <w:sz w:val="20"/>
          <w:szCs w:val="20"/>
          <w:color w:val="auto"/>
        </w:rPr>
      </w:pPr>
      <w:r>
        <w:rPr>
          <w:rFonts w:ascii="Arial" w:cs="Arial" w:eastAsia="Arial" w:hAnsi="Arial"/>
          <w:sz w:val="10"/>
          <w:szCs w:val="10"/>
          <w:i w:val="1"/>
          <w:iCs w:val="1"/>
          <w:color w:val="auto"/>
        </w:rPr>
        <w:t>8.0%</w:t>
      </w:r>
      <w:r>
        <w:rPr>
          <w:sz w:val="20"/>
          <w:szCs w:val="20"/>
          <w:color w:val="auto"/>
        </w:rPr>
        <w:tab/>
      </w:r>
      <w:r>
        <w:rPr>
          <w:rFonts w:ascii="Arial" w:cs="Arial" w:eastAsia="Arial" w:hAnsi="Arial"/>
          <w:sz w:val="8"/>
          <w:szCs w:val="8"/>
          <w:i w:val="1"/>
          <w:iCs w:val="1"/>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-2027555</wp:posOffset>
            </wp:positionH>
            <wp:positionV relativeFrom="paragraph">
              <wp:posOffset>5715</wp:posOffset>
            </wp:positionV>
            <wp:extent cx="6200775" cy="914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00775" cy="91440"/>
                    </a:xfrm>
                    <a:prstGeom prst="rect">
                      <a:avLst/>
                    </a:prstGeom>
                    <a:noFill/>
                  </pic:spPr>
                </pic:pic>
              </a:graphicData>
            </a:graphic>
          </wp:anchor>
        </w:drawing>
      </w:r>
    </w:p>
    <w:p>
      <w:pPr>
        <w:spacing w:after="0" w:line="163" w:lineRule="exact"/>
        <w:rPr>
          <w:sz w:val="20"/>
          <w:szCs w:val="20"/>
          <w:color w:val="auto"/>
        </w:rPr>
      </w:pPr>
    </w:p>
    <w:p>
      <w:pPr>
        <w:ind w:left="5200"/>
        <w:spacing w:after="0"/>
        <w:tabs>
          <w:tab w:leader="none" w:pos="6300" w:val="left"/>
        </w:tabs>
        <w:rPr>
          <w:sz w:val="20"/>
          <w:szCs w:val="20"/>
          <w:color w:val="auto"/>
        </w:rPr>
      </w:pPr>
      <w:r>
        <w:rPr>
          <w:rFonts w:ascii="Arial" w:cs="Arial" w:eastAsia="Arial" w:hAnsi="Arial"/>
          <w:sz w:val="10"/>
          <w:szCs w:val="10"/>
          <w:color w:val="auto"/>
        </w:rPr>
        <w:t>62.2</w:t>
      </w:r>
      <w:r>
        <w:rPr>
          <w:sz w:val="20"/>
          <w:szCs w:val="20"/>
          <w:color w:val="auto"/>
        </w:rPr>
        <w:tab/>
      </w:r>
      <w:r>
        <w:rPr>
          <w:rFonts w:ascii="Arial" w:cs="Arial" w:eastAsia="Arial" w:hAnsi="Arial"/>
          <w:sz w:val="10"/>
          <w:szCs w:val="10"/>
          <w:color w:val="auto"/>
        </w:rPr>
        <w:t>62.2</w:t>
      </w:r>
    </w:p>
    <w:p>
      <w:pPr>
        <w:spacing w:after="0" w:line="386" w:lineRule="exact"/>
        <w:rPr>
          <w:sz w:val="20"/>
          <w:szCs w:val="20"/>
          <w:color w:val="auto"/>
        </w:rPr>
      </w:pPr>
    </w:p>
    <w:p>
      <w:pPr>
        <w:sectPr>
          <w:pgSz w:w="11900" w:h="16838" w:orient="portrait"/>
          <w:cols w:equalWidth="0" w:num="2">
            <w:col w:w="3660" w:space="300"/>
            <w:col w:w="7340"/>
          </w:cols>
          <w:pgMar w:left="300" w:top="935" w:right="299" w:bottom="1440" w:gutter="0" w:footer="0" w:header="0"/>
          <w:type w:val="continuous"/>
        </w:sectPr>
      </w:pPr>
    </w:p>
    <w:p>
      <w:pPr>
        <w:ind w:left="1020" w:right="800" w:hanging="310"/>
        <w:spacing w:after="0" w:line="277" w:lineRule="auto"/>
        <w:tabs>
          <w:tab w:leader="none" w:pos="1020" w:val="left"/>
        </w:tabs>
        <w:numPr>
          <w:ilvl w:val="0"/>
          <w:numId w:val="20"/>
        </w:numPr>
        <w:rPr>
          <w:rFonts w:ascii="Arial" w:cs="Arial" w:eastAsia="Arial" w:hAnsi="Arial"/>
          <w:sz w:val="10"/>
          <w:szCs w:val="10"/>
          <w:i w:val="1"/>
          <w:iCs w:val="1"/>
          <w:color w:val="auto"/>
        </w:rPr>
      </w:pPr>
      <w:r>
        <w:rPr>
          <w:rFonts w:ascii="Arial" w:cs="Arial" w:eastAsia="Arial" w:hAnsi="Arial"/>
          <w:sz w:val="10"/>
          <w:szCs w:val="10"/>
          <w:i w:val="1"/>
          <w:iCs w:val="1"/>
          <w:color w:val="auto"/>
        </w:rPr>
        <w:t>Certain of the guidance provided excludes net special items. The Company is unable to fully reconcile such forward-looking guidance to the corresponding GAAP measure because the full nature and amount of net special items cannot be determined at this time. Net special items for this period may include, among others, special credits related to the US Treasury's Payroll Support Program.</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Please refer to the footnotes and the forward looking statements page of this document for additional information</w:t>
      </w:r>
    </w:p>
    <w:p>
      <w:pPr>
        <w:sectPr>
          <w:pgSz w:w="11900" w:h="16838" w:orient="portrait"/>
          <w:cols w:equalWidth="0" w:num="1">
            <w:col w:w="11300"/>
          </w:cols>
          <w:pgMar w:left="300" w:top="935" w:right="29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2717165</wp:posOffset>
            </wp:positionH>
            <wp:positionV relativeFrom="page">
              <wp:posOffset>88900</wp:posOffset>
            </wp:positionV>
            <wp:extent cx="2114550" cy="3200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2114550" cy="320040"/>
                    </a:xfrm>
                    <a:prstGeom prst="rect">
                      <a:avLst/>
                    </a:prstGeom>
                    <a:noFill/>
                  </pic:spPr>
                </pic:pic>
              </a:graphicData>
            </a:graphic>
          </wp:anchor>
        </w:drawing>
        <w:t>Forward Looking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July 22, 2021</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74"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Certain of the statements contained in this report should be considered forward-looking statements within the meaning of the Securities Act,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herein as well as in the Company’s Quarterly Report on Form 10-Q for the quarter ended June 30, 2021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In particular, the consequences of the coronavirus outbreak to economic conditions and the travel industry in general and the financial position and operating results of the Company in particular have been material, are changing rapidly, and cannot be predicted.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Please refer to the footnotes and the forward looking statements page of this document for additional information</w:t>
      </w:r>
    </w:p>
    <w:sectPr>
      <w:pgSz w:w="11900" w:h="16838" w:orient="portrait"/>
      <w:cols w:equalWidth="0" w:num="1">
        <w:col w:w="11300"/>
      </w:cols>
      <w:pgMar w:left="300" w:top="107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682"/>
    </w:lvl>
  </w:abstractNum>
  <w:abstractNum w:abstractNumId="1">
    <w:nsid w:val="1F16E9E8"/>
    <w:multiLevelType w:val="hybridMultilevel"/>
    <w:lvl w:ilvl="0">
      <w:lvlJc w:val="left"/>
      <w:lvlText w:val="(%1)"/>
      <w:numFmt w:val="decimal"/>
      <w:start w:val="682"/>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endash "/>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2021-07-22T06:03:19Z</dcterms:created>
  <dcterms:modified xsi:type="dcterms:W3CDTF">2021-07-22T06:03:19Z</dcterms:modified>
</cp:coreProperties>
</file>