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AMERICAN AIRLINES,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1-2691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13-1502798</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404"/>
        <w:spacing w:after="0"/>
        <w:rPr>
          <w:sz w:val="20"/>
          <w:szCs w:val="20"/>
          <w:color w:val="auto"/>
        </w:rPr>
      </w:pPr>
      <w:r>
        <w:rPr>
          <w:rFonts w:ascii="Times New Roman" w:cs="Times New Roman" w:eastAsia="Times New Roman" w:hAnsi="Times New Roman"/>
          <w:sz w:val="17"/>
          <w:szCs w:val="17"/>
          <w:b w:val="1"/>
          <w:bCs w:val="1"/>
          <w:color w:val="auto"/>
        </w:rPr>
        <w:t>1 Skyview Drive, Fort Worth,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76155</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(682) 278-9000</w:t>
      </w:r>
    </w:p>
    <w:p>
      <w:pPr>
        <w:spacing w:after="0" w:line="14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67"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27, 2026, American Airlines, Inc. announced the pricing of its offering of (i) $905,038,000 aggregate face amount of Class A enhanced equipment trust certificates and (ii) $235,765,000 aggregate face amount of Class B enhanced equipment trust certificates.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0" w:lineRule="exact"/>
        <w:rPr>
          <w:sz w:val="20"/>
          <w:szCs w:val="20"/>
          <w:color w:val="auto"/>
        </w:rPr>
      </w:pPr>
    </w:p>
    <w:p>
      <w:pPr>
        <w:spacing w:after="0"/>
        <w:tabs>
          <w:tab w:leader="none" w:pos="552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02" w:lineRule="exact"/>
        <w:rPr>
          <w:sz w:val="20"/>
          <w:szCs w:val="20"/>
          <w:color w:val="auto"/>
        </w:rPr>
      </w:pPr>
    </w:p>
    <w:p>
      <w:pPr>
        <w:ind w:left="780" w:right="40" w:hanging="782"/>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0000EE"/>
        </w:rPr>
        <w:t>Underwriting Agreement, dated as of April 27, 2026, among Goldman Sachs &amp; Co. LLC and MUFG Securities Americas Inc., as the representatives of the underwriters named therein, and American Airlines, Inc.</w:t>
      </w:r>
    </w:p>
    <w:p>
      <w:pPr>
        <w:spacing w:after="0" w:line="54" w:lineRule="exact"/>
        <w:rPr>
          <w:sz w:val="20"/>
          <w:szCs w:val="20"/>
          <w:color w:val="auto"/>
        </w:rPr>
      </w:pPr>
    </w:p>
    <w:p>
      <w:pPr>
        <w:ind w:left="780" w:right="40" w:hanging="782"/>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0000EE"/>
        </w:rPr>
        <w:t>Underwriting Agreement, dated as of April 27, 2026, among Goldman Sachs &amp; Co. LLC and MUFG Securities Americas Inc., as the representatives of the underwriters named therein, and American Airlines, Inc.</w:t>
      </w:r>
    </w:p>
    <w:p>
      <w:pPr>
        <w:spacing w:after="0" w:line="5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Aircraft Information Services, Inc. relating to the Class A Certificates</w:t>
      </w:r>
    </w:p>
    <w:p>
      <w:pPr>
        <w:spacing w:after="0" w:line="1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BK Associates, Inc. relating to the Class A Certificates</w:t>
      </w:r>
    </w:p>
    <w:p>
      <w:pPr>
        <w:spacing w:after="0" w:line="1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u w:val="single" w:color="auto"/>
          <w:color w:val="0000EE"/>
        </w:rPr>
        <w:t>Consent of Morten Beyer &amp; Agnew, Inc. relating to the Class A Certificates</w:t>
      </w:r>
    </w:p>
    <w:p>
      <w:pPr>
        <w:spacing w:after="0" w:line="1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7"/>
          <w:szCs w:val="17"/>
          <w:u w:val="single" w:color="auto"/>
          <w:color w:val="0000EE"/>
        </w:rPr>
        <w:t>Consent of Aircraft Information Services, Inc. relating to the Class B Certificates</w:t>
      </w:r>
    </w:p>
    <w:p>
      <w:pPr>
        <w:spacing w:after="0" w:line="1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7"/>
          <w:szCs w:val="17"/>
          <w:u w:val="single" w:color="auto"/>
          <w:color w:val="0000EE"/>
        </w:rPr>
        <w:t>Consent of BK Associates, Inc. relating to the Class B Certificates</w:t>
      </w:r>
    </w:p>
    <w:p>
      <w:pPr>
        <w:spacing w:after="0" w:line="1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7"/>
          <w:szCs w:val="17"/>
          <w:u w:val="single" w:color="auto"/>
          <w:color w:val="0000EE"/>
        </w:rPr>
        <w:t>Consent of Morten Beyer &amp; Agnew, Inc. relating to the Class B Certificates</w:t>
      </w:r>
    </w:p>
    <w:p>
      <w:pPr>
        <w:spacing w:after="0" w:line="1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104.1</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420"/>
          </w:cols>
          <w:pgMar w:left="440" w:top="293" w:right="10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American Airlines, Inc.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AMERICAN AIRLINES,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Devon E. May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0760"/>
          </w:cols>
          <w:pgMar w:left="440" w:top="293" w:right="6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AIRLINES,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Pass Through Certificates, Series 2026-1A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27, 2026</w:t>
      </w:r>
    </w:p>
    <w:p>
      <w:pPr>
        <w:sectPr>
          <w:pgSz w:w="11900" w:h="16838" w:orient="portrait"/>
          <w:cols w:equalWidth="0" w:num="1">
            <w:col w:w="11020"/>
          </w:cols>
          <w:pgMar w:left="440" w:top="117" w:right="439" w:bottom="1440" w:gutter="0" w:footer="0" w:header="0"/>
        </w:sectPr>
      </w:pPr>
    </w:p>
    <w:bookmarkStart w:id="4" w:name="page5"/>
    <w:bookmarkEnd w:id="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AMERICAN AIRLINES, INC.</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Pass Through Certificates, Series 2026-1A</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27,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1221 Avenue of the Americas, 6th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Representatives of the Underwriters named in Schedule I hereto</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4" w:right="80" w:firstLine="991"/>
        <w:spacing w:after="0" w:line="255" w:lineRule="auto"/>
        <w:rPr>
          <w:sz w:val="20"/>
          <w:szCs w:val="20"/>
          <w:color w:val="auto"/>
        </w:rPr>
      </w:pPr>
      <w:r>
        <w:rPr>
          <w:rFonts w:ascii="Times New Roman" w:cs="Times New Roman" w:eastAsia="Times New Roman" w:hAnsi="Times New Roman"/>
          <w:sz w:val="18"/>
          <w:szCs w:val="18"/>
          <w:color w:val="auto"/>
        </w:rPr>
        <w:t>American Airlines,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that Wilmington Trust Company, a Delaware trust company (“</w:t>
      </w:r>
      <w:r>
        <w:rPr>
          <w:rFonts w:ascii="Times New Roman" w:cs="Times New Roman" w:eastAsia="Times New Roman" w:hAnsi="Times New Roman"/>
          <w:sz w:val="18"/>
          <w:szCs w:val="18"/>
          <w:u w:val="single" w:color="auto"/>
          <w:color w:val="auto"/>
        </w:rPr>
        <w:t>WTC</w:t>
      </w:r>
      <w:r>
        <w:rPr>
          <w:rFonts w:ascii="Times New Roman" w:cs="Times New Roman" w:eastAsia="Times New Roman" w:hAnsi="Times New Roman"/>
          <w:sz w:val="18"/>
          <w:szCs w:val="18"/>
          <w:color w:val="auto"/>
        </w:rPr>
        <w:t>”), acting not in its individual capacity but solely as pass through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under the Pass Through Trust Agreement, dated September 16, 2014 (the “</w:t>
      </w:r>
      <w:r>
        <w:rPr>
          <w:rFonts w:ascii="Times New Roman" w:cs="Times New Roman" w:eastAsia="Times New Roman" w:hAnsi="Times New Roman"/>
          <w:sz w:val="18"/>
          <w:szCs w:val="18"/>
          <w:u w:val="single" w:color="auto"/>
          <w:color w:val="auto"/>
        </w:rPr>
        <w:t>Basic Agreement</w:t>
      </w:r>
      <w:r>
        <w:rPr>
          <w:rFonts w:ascii="Times New Roman" w:cs="Times New Roman" w:eastAsia="Times New Roman" w:hAnsi="Times New Roman"/>
          <w:sz w:val="18"/>
          <w:szCs w:val="18"/>
          <w:color w:val="auto"/>
        </w:rPr>
        <w:t>”), as supplemented by the Company’s Pass Through Certificates, Series 2026-1A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to be purchased hereunder by a Trust Supplement No. 2026-1A (the “</w:t>
      </w:r>
      <w:r>
        <w:rPr>
          <w:rFonts w:ascii="Times New Roman" w:cs="Times New Roman" w:eastAsia="Times New Roman" w:hAnsi="Times New Roman"/>
          <w:sz w:val="18"/>
          <w:szCs w:val="18"/>
          <w:u w:val="single" w:color="auto"/>
          <w:color w:val="auto"/>
        </w:rPr>
        <w:t>Trust Supplement</w:t>
      </w:r>
      <w:r>
        <w:rPr>
          <w:rFonts w:ascii="Times New Roman" w:cs="Times New Roman" w:eastAsia="Times New Roman" w:hAnsi="Times New Roman"/>
          <w:sz w:val="18"/>
          <w:szCs w:val="18"/>
          <w:color w:val="auto"/>
        </w:rPr>
        <w:t>”) between the Company and the Trustee (the Basic Agreement, as supplemented by the Trust Supplement being referred to herein as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issue and sell to the underwriters named in Schedule I hereto (collectively,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the Certificates, each in the aggregate face amount and with the interest rate and final expected distribution date set forth on Schedule B hereto on the terms and conditions stated herein.</w:t>
      </w:r>
    </w:p>
    <w:p>
      <w:pPr>
        <w:spacing w:after="0" w:line="189" w:lineRule="exact"/>
        <w:rPr>
          <w:sz w:val="20"/>
          <w:szCs w:val="20"/>
          <w:color w:val="auto"/>
        </w:rPr>
      </w:pPr>
    </w:p>
    <w:p>
      <w:pPr>
        <w:ind w:left="4" w:right="380" w:firstLine="991"/>
        <w:spacing w:after="0" w:line="276" w:lineRule="auto"/>
        <w:rPr>
          <w:sz w:val="20"/>
          <w:szCs w:val="20"/>
          <w:color w:val="auto"/>
        </w:rPr>
      </w:pPr>
      <w:r>
        <w:rPr>
          <w:rFonts w:ascii="Times New Roman" w:cs="Times New Roman" w:eastAsia="Times New Roman" w:hAnsi="Times New Roman"/>
          <w:sz w:val="17"/>
          <w:szCs w:val="17"/>
          <w:color w:val="auto"/>
        </w:rPr>
        <w:t>The Certificates will represent interests in the Company’s 2026-1A Pass Through Trust (the “</w:t>
      </w:r>
      <w:r>
        <w:rPr>
          <w:rFonts w:ascii="Times New Roman" w:cs="Times New Roman" w:eastAsia="Times New Roman" w:hAnsi="Times New Roman"/>
          <w:sz w:val="17"/>
          <w:szCs w:val="17"/>
          <w:u w:val="single" w:color="auto"/>
          <w:color w:val="auto"/>
        </w:rPr>
        <w:t>Trust</w:t>
      </w:r>
      <w:r>
        <w:rPr>
          <w:rFonts w:ascii="Times New Roman" w:cs="Times New Roman" w:eastAsia="Times New Roman" w:hAnsi="Times New Roman"/>
          <w:sz w:val="17"/>
          <w:szCs w:val="17"/>
          <w:color w:val="auto"/>
        </w:rPr>
        <w:t>”), established pursuant to the Trust Agreement to fund the purchase of equipment notes (the “</w:t>
      </w:r>
      <w:r>
        <w:rPr>
          <w:rFonts w:ascii="Times New Roman" w:cs="Times New Roman" w:eastAsia="Times New Roman" w:hAnsi="Times New Roman"/>
          <w:sz w:val="17"/>
          <w:szCs w:val="17"/>
          <w:u w:val="single" w:color="auto"/>
          <w:color w:val="auto"/>
        </w:rPr>
        <w:t>Equipment Notes</w:t>
      </w:r>
      <w:r>
        <w:rPr>
          <w:rFonts w:ascii="Times New Roman" w:cs="Times New Roman" w:eastAsia="Times New Roman" w:hAnsi="Times New Roman"/>
          <w:sz w:val="17"/>
          <w:szCs w:val="17"/>
          <w:color w:val="auto"/>
        </w:rPr>
        <w:t>”) to be issued by the Company in connection with the financing of</w:t>
      </w:r>
    </w:p>
    <w:p>
      <w:pPr>
        <w:spacing w:after="0" w:line="1" w:lineRule="exact"/>
        <w:rPr>
          <w:sz w:val="20"/>
          <w:szCs w:val="20"/>
          <w:color w:val="auto"/>
        </w:rPr>
      </w:pPr>
    </w:p>
    <w:p>
      <w:pPr>
        <w:ind w:left="4" w:right="20" w:hanging="4"/>
        <w:spacing w:after="0" w:line="251"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eleven newly manufactured Boeing 737 MAX 8 aircraft, currently scheduled for delivery to the Company during the period from January 2026 to April 2026, (b) six newly manufactured Airbus A321 XLR aircraft, currently scheduled for delivery to the Company during the period from July 2025 to July 2026, (c) twelve Airbus A321-200 aircraft, currently scheduled for delivery to the Company or to US Airways, Inc. (which was merged with the Company in 2013) during the period from October 2013 to November 2015 and (d) three Boeing 777-300ER aircraft, currently scheduled for delivery to the Company during the period from April 2013 to June 2013 (each such aircraft, an “</w:t>
      </w:r>
      <w:r>
        <w:rPr>
          <w:rFonts w:ascii="Times New Roman" w:cs="Times New Roman" w:eastAsia="Times New Roman" w:hAnsi="Times New Roman"/>
          <w:sz w:val="18"/>
          <w:szCs w:val="18"/>
          <w:u w:val="single" w:color="auto"/>
          <w:color w:val="auto"/>
        </w:rPr>
        <w:t>Aircraft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Aircraft</w:t>
      </w:r>
      <w:r>
        <w:rPr>
          <w:rFonts w:ascii="Times New Roman" w:cs="Times New Roman" w:eastAsia="Times New Roman" w:hAnsi="Times New Roman"/>
          <w:sz w:val="18"/>
          <w:szCs w:val="18"/>
          <w:color w:val="auto"/>
        </w:rPr>
        <w:t>”). Subject to the terms and conditions of the Note Purchase Agreement (as defined below) and the relevant participation agreement between the Company and WTC, as Trustee, Loan Trustee and Subordination Agent (each, a “</w:t>
      </w:r>
      <w:r>
        <w:rPr>
          <w:rFonts w:ascii="Times New Roman" w:cs="Times New Roman" w:eastAsia="Times New Roman" w:hAnsi="Times New Roman"/>
          <w:sz w:val="18"/>
          <w:szCs w:val="18"/>
          <w:u w:val="single" w:color="auto"/>
          <w:color w:val="auto"/>
        </w:rPr>
        <w:t>Participation Agreement</w:t>
      </w:r>
      <w:r>
        <w:rPr>
          <w:rFonts w:ascii="Times New Roman" w:cs="Times New Roman" w:eastAsia="Times New Roman" w:hAnsi="Times New Roman"/>
          <w:sz w:val="18"/>
          <w:szCs w:val="18"/>
          <w:color w:val="auto"/>
        </w:rPr>
        <w:t>”), the Equipment Notes will be issued initially in one series under 32 separate Indenture and Security Agreements between WTC, as Loan Trustee (the “Loan Trustee”), and the Company (each, including any supplements thereto, an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Indentures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66" w:right="439" w:bottom="1440" w:gutter="0" w:footer="0" w:header="0"/>
        </w:sectPr>
      </w:pPr>
    </w:p>
    <w:bookmarkStart w:id="5" w:name="page6"/>
    <w:bookmarkEnd w:id="5"/>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cash proceeds from the sale of the Certificates by the Trust will be paid to Wilmington Trust, National Association (“</w:t>
      </w:r>
      <w:r>
        <w:rPr>
          <w:rFonts w:ascii="Times New Roman" w:cs="Times New Roman" w:eastAsia="Times New Roman" w:hAnsi="Times New Roman"/>
          <w:sz w:val="18"/>
          <w:szCs w:val="18"/>
          <w:u w:val="single" w:color="auto"/>
          <w:color w:val="auto"/>
        </w:rPr>
        <w:t>WTNA</w:t>
      </w:r>
      <w:r>
        <w:rPr>
          <w:rFonts w:ascii="Times New Roman" w:cs="Times New Roman" w:eastAsia="Times New Roman" w:hAnsi="Times New Roman"/>
          <w:sz w:val="18"/>
          <w:szCs w:val="18"/>
          <w:color w:val="auto"/>
        </w:rPr>
        <w:t>”), acting as escrow agent (the “</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under an Escrow and Paying Agent Agreement, to be dated as of the Closing Date (as defined below), among the Escrow Agent, the Representatives, on behalf of the Underwriters, the Trustee and WTC, as paying agent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for the benefit of the holders of the Certificates issued by the Trust (the “</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The Escrow Agent will deposit such cash proceeds (the “</w:t>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to the extent required pursuant to the Deposit Agreement (as defined below), with Sumitomo Mitsui Banking Corporation, acting through its New York Branch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in accordance with a deposit agreement, to be dated as of the Closing Date, between the Escrow Agent and the Depositary relating to the Trust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and will withdraw Deposits upon request to allow the Trustee of the Trust to purchase Equipment Notes in respect of the Aircraft from time to time pursuant to a Note Purchase Agreement, to be dated as of the Closing Date, among the Company, the Trustee, the Subordination Agent (as defined below), the Escrow Agent and the Paying Agent (the “</w:t>
      </w:r>
      <w:r>
        <w:rPr>
          <w:rFonts w:ascii="Times New Roman" w:cs="Times New Roman" w:eastAsia="Times New Roman" w:hAnsi="Times New Roman"/>
          <w:sz w:val="18"/>
          <w:szCs w:val="18"/>
          <w:u w:val="single" w:color="auto"/>
          <w:color w:val="auto"/>
        </w:rPr>
        <w:t>Note Purchase Agreement</w:t>
      </w:r>
      <w:r>
        <w:rPr>
          <w:rFonts w:ascii="Times New Roman" w:cs="Times New Roman" w:eastAsia="Times New Roman" w:hAnsi="Times New Roman"/>
          <w:sz w:val="18"/>
          <w:szCs w:val="18"/>
          <w:color w:val="auto"/>
        </w:rPr>
        <w:t>”). With respect to each Certificate, the Escrow Agent will issue a receipt to be attached to such Certificate (each an “</w:t>
      </w:r>
      <w:r>
        <w:rPr>
          <w:rFonts w:ascii="Times New Roman" w:cs="Times New Roman" w:eastAsia="Times New Roman" w:hAnsi="Times New Roman"/>
          <w:sz w:val="18"/>
          <w:szCs w:val="18"/>
          <w:u w:val="single" w:color="auto"/>
          <w:color w:val="auto"/>
        </w:rPr>
        <w:t>Escrow Receipt</w:t>
      </w:r>
      <w:r>
        <w:rPr>
          <w:rFonts w:ascii="Times New Roman" w:cs="Times New Roman" w:eastAsia="Times New Roman" w:hAnsi="Times New Roman"/>
          <w:sz w:val="18"/>
          <w:szCs w:val="18"/>
          <w:color w:val="auto"/>
        </w:rPr>
        <w:t>”) representing a fractional undivided interest of the holder of such Certificate in amounts deposited with the Depositary on behalf of the Escrow Agent and will pay to such holders through the Paying Agent interest accrued on the Deposits and received by the Paying Agent pursuant to the Deposit Agreement at a rate per annum equal to the interest rate applicable to such Certificate.</w:t>
      </w:r>
    </w:p>
    <w:p>
      <w:pPr>
        <w:spacing w:after="0" w:line="187"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Certain amounts of interest payable on the Certificates issued by the Trust will be entitled to the benefits of a liquidity facility. Natixis, acting through its New York Branch (the “</w:t>
      </w:r>
      <w:r>
        <w:rPr>
          <w:rFonts w:ascii="Times New Roman" w:cs="Times New Roman" w:eastAsia="Times New Roman" w:hAnsi="Times New Roman"/>
          <w:sz w:val="18"/>
          <w:szCs w:val="18"/>
          <w:u w:val="single" w:color="auto"/>
          <w:color w:val="auto"/>
        </w:rPr>
        <w:t>Liquidity Provider</w:t>
      </w:r>
      <w:r>
        <w:rPr>
          <w:rFonts w:ascii="Times New Roman" w:cs="Times New Roman" w:eastAsia="Times New Roman" w:hAnsi="Times New Roman"/>
          <w:sz w:val="18"/>
          <w:szCs w:val="18"/>
          <w:color w:val="auto"/>
        </w:rPr>
        <w:t>”) and the Subordination Agent will enter into a revolving credit agreement with respect to the Trust (the “</w:t>
      </w:r>
      <w:r>
        <w:rPr>
          <w:rFonts w:ascii="Times New Roman" w:cs="Times New Roman" w:eastAsia="Times New Roman" w:hAnsi="Times New Roman"/>
          <w:sz w:val="18"/>
          <w:szCs w:val="18"/>
          <w:u w:val="single" w:color="auto"/>
          <w:color w:val="auto"/>
        </w:rPr>
        <w:t>Liquidity Facility</w:t>
      </w:r>
      <w:r>
        <w:rPr>
          <w:rFonts w:ascii="Times New Roman" w:cs="Times New Roman" w:eastAsia="Times New Roman" w:hAnsi="Times New Roman"/>
          <w:sz w:val="18"/>
          <w:szCs w:val="18"/>
          <w:color w:val="auto"/>
        </w:rPr>
        <w:t>”) to be dated as of the Closing Date, for the benefit of the holders of the Certificates. The Liquidity Provider and the holders of the Certificates will be entitled to the benefits of an Intercreditor Agreement, to be dated as of the Closing Date (the “</w:t>
      </w:r>
      <w:r>
        <w:rPr>
          <w:rFonts w:ascii="Times New Roman" w:cs="Times New Roman" w:eastAsia="Times New Roman" w:hAnsi="Times New Roman"/>
          <w:sz w:val="18"/>
          <w:szCs w:val="18"/>
          <w:u w:val="single" w:color="auto"/>
          <w:color w:val="auto"/>
        </w:rPr>
        <w:t>Intercreditor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the Trustee, the Liquidity Provider and WTC, as subordination agent and trustee thereunder (the “</w:t>
      </w:r>
      <w:r>
        <w:rPr>
          <w:rFonts w:ascii="Times New Roman" w:cs="Times New Roman" w:eastAsia="Times New Roman" w:hAnsi="Times New Roman"/>
          <w:sz w:val="18"/>
          <w:szCs w:val="18"/>
          <w:u w:val="single" w:color="auto"/>
          <w:color w:val="auto"/>
        </w:rPr>
        <w:t>Subordination Agent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As used herein, unless the context otherwise requires, the term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shall mean the firms named as Underwriters in Schedule I hereto, and the terms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shall mean Goldman Sachs &amp; Co. LLC (“</w:t>
      </w:r>
      <w:r>
        <w:rPr>
          <w:rFonts w:ascii="Times New Roman" w:cs="Times New Roman" w:eastAsia="Times New Roman" w:hAnsi="Times New Roman"/>
          <w:sz w:val="18"/>
          <w:szCs w:val="18"/>
          <w:u w:val="single" w:color="auto"/>
          <w:color w:val="auto"/>
        </w:rPr>
        <w:t>Goldman</w:t>
      </w:r>
      <w:r>
        <w:rPr>
          <w:rFonts w:ascii="Times New Roman" w:cs="Times New Roman" w:eastAsia="Times New Roman" w:hAnsi="Times New Roman"/>
          <w:sz w:val="18"/>
          <w:szCs w:val="18"/>
          <w:color w:val="auto"/>
        </w:rPr>
        <w:t>”) and MUFG Securities Americas Inc. (“</w:t>
      </w:r>
      <w:r>
        <w:rPr>
          <w:rFonts w:ascii="Times New Roman" w:cs="Times New Roman" w:eastAsia="Times New Roman" w:hAnsi="Times New Roman"/>
          <w:sz w:val="18"/>
          <w:szCs w:val="18"/>
          <w:u w:val="single" w:color="auto"/>
          <w:color w:val="auto"/>
        </w:rPr>
        <w:t>MUFG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Capitalized terms not otherwise defined in this underwriting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shall have the meanings specified therefor in the Trust Agreement or the Intercreditor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used in this Agreement, the term “</w:t>
      </w:r>
      <w:r>
        <w:rPr>
          <w:rFonts w:ascii="Times New Roman" w:cs="Times New Roman" w:eastAsia="Times New Roman" w:hAnsi="Times New Roman"/>
          <w:sz w:val="18"/>
          <w:szCs w:val="18"/>
          <w:u w:val="single" w:color="auto"/>
          <w:color w:val="auto"/>
        </w:rPr>
        <w:t>Operative Documents</w:t>
      </w:r>
      <w:r>
        <w:rPr>
          <w:rFonts w:ascii="Times New Roman" w:cs="Times New Roman" w:eastAsia="Times New Roman" w:hAnsi="Times New Roman"/>
          <w:sz w:val="18"/>
          <w:szCs w:val="18"/>
          <w:color w:val="auto"/>
        </w:rPr>
        <w:t>” shall mean the Intercreditor Agreement, the Liquidity Facility, the Participation Agreement, the Indentures, the Trust Agreement, the Escrow Agreement, the Deposit Agreement and the Note Purchase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6" w:name="page7"/>
    <w:bookmarkEnd w:id="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prepared and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on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S-3 (File No. 333- 293649) relating to the Company’s pass through certificates (including the Certificates) and other securities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and the offering thereof from time to time in accordance with Rule 415 under the Securities Act of 1933, as amended (the “</w:t>
      </w:r>
      <w:r>
        <w:rPr>
          <w:rFonts w:ascii="Times New Roman" w:cs="Times New Roman" w:eastAsia="Times New Roman" w:hAnsi="Times New Roman"/>
          <w:sz w:val="18"/>
          <w:szCs w:val="18"/>
          <w:u w:val="single" w:color="auto"/>
          <w:color w:val="auto"/>
        </w:rPr>
        <w:t>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Such registration statement, at any given time, including the amendments thereto to such time, the exhibits and any schedules thereto 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the documents incorporated by reference therein pursuant to Item 12 of Form S-3 under the Securities Act at such time and the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deemed to be a part thereof or included therein by the rules and regulations under the Securities Act, is herein called the “</w:t>
      </w:r>
      <w:r>
        <w:rPr>
          <w:rFonts w:ascii="Times New Roman" w:cs="Times New Roman" w:eastAsia="Times New Roman" w:hAnsi="Times New Roman"/>
          <w:sz w:val="18"/>
          <w:szCs w:val="18"/>
          <w:u w:val="single" w:color="auto"/>
          <w:color w:val="auto"/>
        </w:rPr>
        <w:t>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The Registration Statement at the time it originally became effective is herein called the “</w:t>
      </w:r>
      <w:r>
        <w:rPr>
          <w:rFonts w:ascii="Times New Roman" w:cs="Times New Roman" w:eastAsia="Times New Roman" w:hAnsi="Times New Roman"/>
          <w:sz w:val="18"/>
          <w:szCs w:val="18"/>
          <w:u w:val="single" w:color="auto"/>
          <w:color w:val="auto"/>
        </w:rPr>
        <w:t>Original Registration Statement</w:t>
      </w:r>
      <w:r>
        <w:rPr>
          <w:rFonts w:ascii="Times New Roman" w:cs="Times New Roman" w:eastAsia="Times New Roman" w:hAnsi="Times New Roman"/>
          <w:sz w:val="18"/>
          <w:szCs w:val="18"/>
          <w:color w:val="auto"/>
        </w:rPr>
        <w:t>.” As provided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3(a) hereof, promptly after execution and delivery of this Agreement, the Company will prepare and file a final prospectus relating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Certificates in accordance with the provisions of Rule 430B under the Securities Act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and paragraph (b) of Rule 424 under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Any information included in such final prospectus that was omitted from the Original Registration Statement but that is deemed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of and included in such registration statement pursuant to Rule 430B(f) is referred to as the “</w:t>
      </w:r>
      <w:r>
        <w:rPr>
          <w:rFonts w:ascii="Times New Roman" w:cs="Times New Roman" w:eastAsia="Times New Roman" w:hAnsi="Times New Roman"/>
          <w:sz w:val="18"/>
          <w:szCs w:val="18"/>
          <w:u w:val="single" w:color="auto"/>
          <w:color w:val="auto"/>
        </w:rPr>
        <w:t>Rule 430B Information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Statutory Prospectus</w:t>
      </w:r>
      <w:r>
        <w:rPr>
          <w:rFonts w:ascii="Times New Roman" w:cs="Times New Roman" w:eastAsia="Times New Roman" w:hAnsi="Times New Roman"/>
          <w:sz w:val="18"/>
          <w:szCs w:val="18"/>
          <w:color w:val="auto"/>
        </w:rPr>
        <w:t>” means the preliminary prospectus supplement relating to the Certificates that omits Rule 430B Information, together with the base prospectus included in the Original Registration Statement, and including the documents incorporated by reference therein pursuant to Item 12 of Form S-3 under the Securities Act immediately prior to the Applicable Time (as defined below).</w:t>
      </w:r>
    </w:p>
    <w:p>
      <w:pPr>
        <w:spacing w:after="0" w:line="176"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Final Prospectus</w:t>
      </w:r>
      <w:r>
        <w:rPr>
          <w:rFonts w:ascii="Times New Roman" w:cs="Times New Roman" w:eastAsia="Times New Roman" w:hAnsi="Times New Roman"/>
          <w:sz w:val="18"/>
          <w:szCs w:val="18"/>
          <w:color w:val="auto"/>
        </w:rPr>
        <w:t>” means the final prospectus supplement relating to the Certificates and the base prospectus, collectively, in the form first filed pursuant to Rule 424(b) after the execution of this Agreement, which includes the Rule 430B Information, including the documents incorporated by reference therein pursuant to Item 12 of Form S-3 under the Securities Act.</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Any reference to any amendment or supplement to the Final Prospectus shall be deemed to refer to and include any document incorporated by reference after the date of such Final Prospectus. Any reference to any amendment to the Registration Statement shall be deemed to include any document incorporated by reference after the effective time of such Registration Statement.</w:t>
      </w:r>
    </w:p>
    <w:p>
      <w:pPr>
        <w:spacing w:after="0" w:line="176"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means any “issuer free writing prospectus,” as defined in Rule 433 under the Securities Act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relating to the public offering of the Certificates.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shall mean 5:15 p.m. (New York Time) on April 27, 2026.</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The terms of the public offering of the Certificates are set forth in the General Disclosure Package relating thereto and the Final Prospectus. The term “</w:t>
      </w:r>
      <w:r>
        <w:rPr>
          <w:rFonts w:ascii="Times New Roman" w:cs="Times New Roman" w:eastAsia="Times New Roman" w:hAnsi="Times New Roman"/>
          <w:sz w:val="18"/>
          <w:szCs w:val="18"/>
          <w:u w:val="single" w:color="auto"/>
          <w:color w:val="auto"/>
        </w:rPr>
        <w:t>General Disclosure Package</w:t>
      </w:r>
      <w:r>
        <w:rPr>
          <w:rFonts w:ascii="Times New Roman" w:cs="Times New Roman" w:eastAsia="Times New Roman" w:hAnsi="Times New Roman"/>
          <w:sz w:val="18"/>
          <w:szCs w:val="18"/>
          <w:color w:val="auto"/>
        </w:rPr>
        <w:t>” means the Statutory Prospectus and the Issuer Free Writing Prospectuses identified in items 1 and 2 of Schedule A hereto, all considered together.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ind w:left="200" w:hanging="173"/>
        <w:spacing w:after="0"/>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w:t>
      </w:r>
      <w:r>
        <w:rPr>
          <w:rFonts w:ascii="Times New Roman" w:cs="Times New Roman" w:eastAsia="Times New Roman" w:hAnsi="Times New Roman"/>
          <w:sz w:val="18"/>
          <w:szCs w:val="18"/>
          <w:color w:val="auto"/>
        </w:rPr>
        <w:t>. (a) The Company represents and warrants to, and agrees with, each Underwriter that:</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Form S-3 Eligibility</w:t>
      </w:r>
      <w:r>
        <w:rPr>
          <w:rFonts w:ascii="Times New Roman" w:cs="Times New Roman" w:eastAsia="Times New Roman" w:hAnsi="Times New Roman"/>
          <w:sz w:val="18"/>
          <w:szCs w:val="18"/>
          <w:color w:val="auto"/>
        </w:rPr>
        <w:t>. The Company meets the requirements for use of Form S-3 under the Securities Act.</w:t>
      </w:r>
    </w:p>
    <w:p>
      <w:pPr>
        <w:spacing w:after="0" w:line="117" w:lineRule="exact"/>
        <w:rPr>
          <w:sz w:val="20"/>
          <w:szCs w:val="20"/>
          <w:color w:val="auto"/>
        </w:rPr>
      </w:pPr>
    </w:p>
    <w:p>
      <w:pPr>
        <w:ind w:left="-420" w:firstLine="425"/>
        <w:spacing w:after="0" w:line="251" w:lineRule="auto"/>
        <w:tabs>
          <w:tab w:leader="none" w:pos="2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Registration Statement</w:t>
      </w:r>
      <w:r>
        <w:rPr>
          <w:rFonts w:ascii="Times New Roman" w:cs="Times New Roman" w:eastAsia="Times New Roman" w:hAnsi="Times New Roman"/>
          <w:sz w:val="18"/>
          <w:szCs w:val="18"/>
          <w:color w:val="auto"/>
        </w:rPr>
        <w:t>. The Company is a well-known seasoned issuer (as defined in Rule 405 under the Securities Act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eligible to use the Registration Statement as an automatic shelf registration statement; the Registration Statement has been filed with the Commission, became effective upon filing under Rule 462(e) under the Securities Act and is an “automatic shelf registration statement” as defined in Rule 405; the Company has not received from the Commission any notice pursuant to Rule 401(g)(2) under the Securities Act objecting to the use of the automatic shelf registration statement form; no stop order suspending the effectiveness of the Registration Statement has been issued and no proceeding for that purpose has been initiated or threatened by the Commission; no order preventing or suspending the use of the Statutory Prospectus, the Final Prospectus or any Issuer Free Writing Prospectus has been issued by the Commission; any request on the part of the Commission for additional information has been complied with to the reasonable satisfaction of counsel to the Underwriters, and the Final Prospectus containing the Rule 430B Information shall be filed with the Commission in the manner and within the time period required by Rule 424(b) without reliance on Rule 424(b)(8) (or a post-effective amendment providing such information shall have been filed and become effective in accordance with the requirements of Rule 430B). At the respective times the Original Registration Statement and each amendment thereto became effective, at any deemed effective date pursuant to Rule 430B(f)(2) and at the Closing Time (as defined below), the Registration Statement complied and will comply in all material respects with the requirements of the Securities Act and the rules and regulations under the Securities Act (the “</w:t>
      </w:r>
      <w:r>
        <w:rPr>
          <w:rFonts w:ascii="Times New Roman" w:cs="Times New Roman" w:eastAsia="Times New Roman" w:hAnsi="Times New Roman"/>
          <w:sz w:val="18"/>
          <w:szCs w:val="18"/>
          <w:u w:val="single" w:color="auto"/>
          <w:color w:val="auto"/>
        </w:rPr>
        <w:t>Securities Act Regulations</w:t>
      </w:r>
      <w:r>
        <w:rPr>
          <w:rFonts w:ascii="Times New Roman" w:cs="Times New Roman" w:eastAsia="Times New Roman" w:hAnsi="Times New Roman"/>
          <w:sz w:val="18"/>
          <w:szCs w:val="18"/>
          <w:color w:val="auto"/>
        </w:rPr>
        <w:t>”) and the Trust Indenture Act of 1939, as amended (the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xml:space="preserve">”), and the rules and regulations under the TIA. At the deemed effective date, pursuant to Rule 430B(f)(2), the Registration Statement did not contain an untrue statement of a material fact or omit to state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representations and warranties in this Section 1(a)(ii) shall not apply to statements in or omissions from the Registration Statement, the General Disclosure Package, the Final Prospectus or any Issuer Free Writing Prospectus made in reliance upon and in conformity with written information furnished to the Company by the Underwriters expressly for use therein (the “Underwriter Information”) or to those parts of the Registration Statement constituting a Statement of Eligibility and Qualification under the TIA (Form T-1) of a trustee pursuant to an indenture. For purposes of this Agreement, the only Underwriter Information shall be the statements with respect to the offering of the Certificates by the Underwriters set forth in the third sentence of the second full paragraph and the fourth full paragraph under the caption “Underwriting” in the Statutory Prospectus and the Final Prospectus, the statements with respect to marketing activities by the Underwriters for the Certificates set forth in the first and second sentences of the sixth full paragraph under the caption “Underwriting” in the Statutory Prospectus and the Final Prospectus and the statements with respect to stabilization and over-allotment of the Certificates by the Underwriters (with respect to themselves only) set forth in the eleventh and twelfth full paragraphs under the caption “Underwriting” in the Statutory Prospectus and the Final Prospectus.</w:t>
      </w:r>
    </w:p>
    <w:p>
      <w:pPr>
        <w:spacing w:after="0" w:line="1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40"/>
          </w:cols>
          <w:pgMar w:left="1400" w:top="270" w:right="459" w:bottom="1440" w:gutter="0" w:footer="0" w:header="0"/>
        </w:sectPr>
      </w:pPr>
    </w:p>
    <w:bookmarkStart w:id="8" w:name="page9"/>
    <w:bookmarkEnd w:id="8"/>
    <w:p>
      <w:pPr>
        <w:ind w:right="20" w:firstLine="425"/>
        <w:spacing w:after="0" w:line="252" w:lineRule="auto"/>
        <w:tabs>
          <w:tab w:leader="none" w:pos="73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Final Prospectus and General Disclosure Package</w:t>
      </w:r>
      <w:r>
        <w:rPr>
          <w:rFonts w:ascii="Times New Roman" w:cs="Times New Roman" w:eastAsia="Times New Roman" w:hAnsi="Times New Roman"/>
          <w:sz w:val="18"/>
          <w:szCs w:val="18"/>
          <w:color w:val="auto"/>
        </w:rPr>
        <w:t>. Neither the Final Prospectus nor any amendments or supplements thereto, at the time the Final Prospectus or any such amendment or supplement is issued and at the Closing Time, will include an untrue statement of a material fact or will omit to state a material fact necessary in order to make the statements therein, in the light of the circumstances under which they were made, not misleading; the Final Prospectus will comply when filed with the Commission in all material respects with the Securities Act Regulations and each of the Statutory Prospectus and the Final Prospectus delivered to the Underwriters for use in connection with this offering was or will be, as the case may be, identical to the electronically transmitted copies thereof filed with the Commission’s Electronic Data Gathering Analysis and Retrieval 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xml:space="preserve">”), except to the extent permitted by Regulation S-T or required under Rule 424(e) under the Securities Act; the General Disclosure Package,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does not include any information that conflicts with the information contained in the Registration Statement or the Statutory Prospectus or that will conflict with the information contained in the Final Prospectus that has not been superseded or modified;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representations and warranties in this Section 1(a)(iii) shall not apply to statements in or omissions from the Registration Statement, the General Disclosure Package, the Final Prospectus or any Issuer Free Writing Prospectus made in reliance upon and in conformity with the Underwriter Information or to those parts of the Registration Statement constituting a Statement of Eligibility and Qualification under the TIA (Form T-1) of a trustee pursuant to an indenture.</w:t>
      </w:r>
    </w:p>
    <w:p>
      <w:pPr>
        <w:spacing w:after="0" w:line="87" w:lineRule="exact"/>
        <w:rPr>
          <w:rFonts w:ascii="Times New Roman" w:cs="Times New Roman" w:eastAsia="Times New Roman" w:hAnsi="Times New Roman"/>
          <w:sz w:val="18"/>
          <w:szCs w:val="18"/>
          <w:color w:val="auto"/>
        </w:rPr>
      </w:pPr>
    </w:p>
    <w:p>
      <w:pPr>
        <w:ind w:firstLine="425"/>
        <w:spacing w:after="0" w:line="261" w:lineRule="auto"/>
        <w:tabs>
          <w:tab w:leader="none" w:pos="72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General Disclosure Package and the Final Prospectus as delivered from time to time shall incorporate by reference (A) the most recent Annual Report on Form 10-K for the year ended December 31, 2025, filed by the Company with the Commission,</w:t>
      </w:r>
    </w:p>
    <w:p>
      <w:pPr>
        <w:ind w:right="20" w:firstLine="7"/>
        <w:spacing w:after="0" w:line="252" w:lineRule="auto"/>
        <w:tabs>
          <w:tab w:leader="none" w:pos="2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March 31, 2026, filed by the Company with the Commission, (C) each Current Report on Form 8-K filed (not furnished) by the Company with the Commission on or after January 1, 2026 and (D) such other reports as are specifically incorporated by reference in the General Disclosure Package and the Final Prospectus (the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Incorporated Documents filed on or before the date hereof or hereafter are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The Incorporated Documents at the time they were or hereafter are filed with the Commission, or if amended, as so amended, complied and will comply in all material respects with the requirements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applicable rules and regulations of the Commission thereunder (the “</w:t>
      </w:r>
      <w:r>
        <w:rPr>
          <w:rFonts w:ascii="Times New Roman" w:cs="Times New Roman" w:eastAsia="Times New Roman" w:hAnsi="Times New Roman"/>
          <w:sz w:val="18"/>
          <w:szCs w:val="18"/>
          <w:u w:val="single" w:color="auto"/>
          <w:color w:val="auto"/>
        </w:rPr>
        <w:t>Exchange Act Regulations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right="40" w:firstLine="425"/>
        <w:spacing w:after="0" w:line="261" w:lineRule="auto"/>
        <w:tabs>
          <w:tab w:leader="none" w:pos="67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consolidated financial statements of the Company, together with the related schedules and notes, included in the SEC Reports and incorporated by reference in the Registration Statement and the Statutory Prospectus and to be incorporated by reference in the Final Prospectus, present fairly, in all material respects, the consolidated financial position of the Company and its consolidated subsidiaries at the dates indicated and the statement of operations, comprehensive income, cash flows and</w:t>
      </w:r>
    </w:p>
    <w:p>
      <w:pPr>
        <w:spacing w:after="0" w:line="11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60"/>
          </w:cols>
          <w:pgMar w:left="980" w:top="270" w:right="459" w:bottom="1440" w:gutter="0" w:footer="0" w:header="0"/>
        </w:sectPr>
      </w:pPr>
    </w:p>
    <w:bookmarkStart w:id="9" w:name="page10"/>
    <w:bookmarkEnd w:id="9"/>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stockholders’ equity of the Company and its consolidated subsidiaries throughout the periods specified; and said financial statements have been or will be prepared in conformity with generally accepted accounting principles as in effect in the United States of America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during the periods involved (except as indicated in the footnotes to such financial statements). The supporting schedules included in the SEC Reports and incorporated by reference in the General Disclosure Package and to be incorporated by reference in the Final Prospectus present fairly in accordance with GAAP the information required to be stated therein. The interactive data in eXtensible Business Reporting Language incorporated by reference in the General Disclosure Package and to be incorporated by reference in the Final Prospectus fairly presents the information called for in all material respects and is or will be prepared in accordance with the Commission’s rules and guidelines applicable thereto.</w:t>
      </w:r>
    </w:p>
    <w:p>
      <w:pPr>
        <w:spacing w:after="0" w:line="84" w:lineRule="exact"/>
        <w:rPr>
          <w:sz w:val="20"/>
          <w:szCs w:val="20"/>
          <w:color w:val="auto"/>
        </w:rPr>
      </w:pPr>
    </w:p>
    <w:p>
      <w:pPr>
        <w:ind w:right="20" w:firstLine="425"/>
        <w:spacing w:after="0" w:line="261" w:lineRule="auto"/>
        <w:tabs>
          <w:tab w:leader="none" w:pos="7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KPMG LLP, who audited the annual consolidated financial statements of the Company for each of the fiscal years ended December 31, 2025, 2024 and 2023 that are incorporated by reference in the General Disclosure Package and the Final Prospectus, is an independent registered public accounting firm as required by the Securities Act, the Securities Act Regulations and the Public Company Accounting Oversight Board.</w:t>
      </w:r>
    </w:p>
    <w:p>
      <w:pPr>
        <w:spacing w:after="0" w:line="71" w:lineRule="exact"/>
        <w:rPr>
          <w:rFonts w:ascii="Times New Roman" w:cs="Times New Roman" w:eastAsia="Times New Roman" w:hAnsi="Times New Roman"/>
          <w:sz w:val="18"/>
          <w:szCs w:val="18"/>
          <w:color w:val="auto"/>
        </w:rPr>
      </w:pPr>
    </w:p>
    <w:p>
      <w:pPr>
        <w:ind w:right="40" w:firstLine="425"/>
        <w:spacing w:after="0" w:line="256" w:lineRule="auto"/>
        <w:tabs>
          <w:tab w:leader="none" w:pos="7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Since the respective dates as of which information is given in the Registration Statement, the General Disclosure Package or the Final Prospectus, except as otherwise stated therein or contemplated thereby, (A) there has been no material adverse change in the condition, financial or otherwise, or the earnings, results of operations or general affairs of the Company and its subsidiaries taken as a whole, whether or not arising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(B) there have been no transactions entered into by the Company or any of its subsidiaries other than those in the ordinary course of business, which are material with respect to the Company and its subsidiaries taken as a whole.</w:t>
      </w:r>
    </w:p>
    <w:p>
      <w:pPr>
        <w:spacing w:after="0" w:line="79" w:lineRule="exact"/>
        <w:rPr>
          <w:rFonts w:ascii="Times New Roman" w:cs="Times New Roman" w:eastAsia="Times New Roman" w:hAnsi="Times New Roman"/>
          <w:sz w:val="18"/>
          <w:szCs w:val="18"/>
          <w:color w:val="auto"/>
        </w:rPr>
      </w:pPr>
    </w:p>
    <w:p>
      <w:pPr>
        <w:ind w:firstLine="425"/>
        <w:spacing w:after="0" w:line="255" w:lineRule="auto"/>
        <w:tabs>
          <w:tab w:leader="none" w:pos="8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w:t>
      </w:r>
      <w:r>
        <w:rPr>
          <w:rFonts w:ascii="Times New Roman" w:cs="Times New Roman" w:eastAsia="Times New Roman" w:hAnsi="Times New Roman"/>
          <w:sz w:val="18"/>
          <w:szCs w:val="18"/>
          <w:color w:val="auto"/>
        </w:rPr>
        <w:t>. The Company is a corporation duly incorporated and validly existing in good standing under the laws of the State of Delaware and has corporate power and authority to own, lease and operate its properties and conduct its business as described in the General Disclosure Package and the Final Prospectus and to enter into and perform its obligations under, or as contemplated by, this Agreement. The Company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Effect. The Company has no “significant subsidiaries” (as such term is defined in Rule 1-02 of Regulation S-X).</w:t>
      </w:r>
    </w:p>
    <w:p>
      <w:pPr>
        <w:spacing w:after="0" w:line="80" w:lineRule="exact"/>
        <w:rPr>
          <w:rFonts w:ascii="Times New Roman" w:cs="Times New Roman" w:eastAsia="Times New Roman" w:hAnsi="Times New Roman"/>
          <w:sz w:val="18"/>
          <w:szCs w:val="18"/>
          <w:color w:val="auto"/>
        </w:rPr>
      </w:pPr>
    </w:p>
    <w:p>
      <w:pPr>
        <w:ind w:right="40" w:firstLine="425"/>
        <w:spacing w:after="0" w:line="266" w:lineRule="auto"/>
        <w:tabs>
          <w:tab w:leader="none" w:pos="7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All of the issued and outstanding capital stock of the Company has been duly authorized and validly issued, is fully paid and non-assessable and is owned by American Airlines Group Inc. (“</w:t>
      </w:r>
      <w:r>
        <w:rPr>
          <w:rFonts w:ascii="Times New Roman" w:cs="Times New Roman" w:eastAsia="Times New Roman" w:hAnsi="Times New Roman"/>
          <w:sz w:val="18"/>
          <w:szCs w:val="18"/>
          <w:u w:val="single" w:color="auto"/>
          <w:color w:val="auto"/>
        </w:rPr>
        <w:t>AAG</w:t>
      </w:r>
      <w:r>
        <w:rPr>
          <w:rFonts w:ascii="Times New Roman" w:cs="Times New Roman" w:eastAsia="Times New Roman" w:hAnsi="Times New Roman"/>
          <w:sz w:val="18"/>
          <w:szCs w:val="18"/>
          <w:color w:val="auto"/>
        </w:rPr>
        <w:t>”) free and clear of any recorded liens, encumbrances, equities or claims.</w:t>
      </w:r>
    </w:p>
    <w:p>
      <w:pPr>
        <w:spacing w:after="0" w:line="10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60"/>
          </w:cols>
          <w:pgMar w:left="980" w:top="270" w:right="459" w:bottom="1440" w:gutter="0" w:footer="0" w:header="0"/>
        </w:sectPr>
      </w:pPr>
    </w:p>
    <w:bookmarkStart w:id="10" w:name="page11"/>
    <w:bookmarkEnd w:id="10"/>
    <w:p>
      <w:pPr>
        <w:jc w:val="both"/>
        <w:ind w:left="-425" w:right="180" w:firstLine="425"/>
        <w:spacing w:after="0" w:line="261" w:lineRule="auto"/>
        <w:tabs>
          <w:tab w:leader="none" w:pos="2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Air Carrier Certification</w:t>
      </w:r>
      <w:r>
        <w:rPr>
          <w:rFonts w:ascii="Times New Roman" w:cs="Times New Roman" w:eastAsia="Times New Roman" w:hAnsi="Times New Roman"/>
          <w:sz w:val="18"/>
          <w:szCs w:val="18"/>
          <w:color w:val="auto"/>
        </w:rPr>
        <w:t>. The Company (A) is an “air carrier” within the meaning of 49 U.S.C. Section 40102(a)(2), (B) holds an air carrier operating certificate issued by the Secretary of Transportation pursuant to Chapter 447 of Title 49 of the United States Code for aircraft capable of carrying 10 or more individuals or 6,000 pounds or more of cargo and (C) is a “citizen of the United States” as defined in 49 U.S.C. Section 40102(a)(15).</w:t>
      </w:r>
    </w:p>
    <w:p>
      <w:pPr>
        <w:spacing w:after="0" w:line="71" w:lineRule="exact"/>
        <w:rPr>
          <w:rFonts w:ascii="Times New Roman" w:cs="Times New Roman" w:eastAsia="Times New Roman" w:hAnsi="Times New Roman"/>
          <w:sz w:val="18"/>
          <w:szCs w:val="18"/>
          <w:color w:val="auto"/>
        </w:rPr>
      </w:pPr>
    </w:p>
    <w:p>
      <w:pPr>
        <w:ind w:left="-425" w:right="40" w:firstLine="425"/>
        <w:spacing w:after="0" w:line="252" w:lineRule="auto"/>
        <w:tabs>
          <w:tab w:leader="none" w:pos="29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Agreements; Binding Obligations</w:t>
      </w:r>
      <w:r>
        <w:rPr>
          <w:rFonts w:ascii="Times New Roman" w:cs="Times New Roman" w:eastAsia="Times New Roman" w:hAnsi="Times New Roman"/>
          <w:sz w:val="18"/>
          <w:szCs w:val="18"/>
          <w:color w:val="auto"/>
        </w:rPr>
        <w:t>. This Agreement, the Equipment Notes and the Operative Documents to which the Company is, or is to be, a party have been duly authorized by the Company. This Agreement has been duly executed and delivered by the Company and each Operative Document (subject to the satisfaction of conditions precedent set forth in the Note Purchase Agreement and the Participation Agreements) to which the Company is to be a party will be at or prior to the applicable Closing Date (as defined in the applicable Participation Agreement) duly executed and delivered by the Company. The Equipment Notes will be (subject to the satisfaction of conditions precedent set forth in the Note Purchase Agreement and the Participation Agreements) duly executed and delivered by the Company at or prior to the applicable Closing Date (as defined in the applicable Participation Agreement). Each Operative Document to which the Company is, or is to be, a party, when duly executed and delivered by the Company, assuming that such document constitutes the legal, valid and binding obligation of each other party thereto, constitutes or will constitute, as the case may be, a valid and binding obligation of the Company, enforceable against the Company in accordance with its terms, except as may be limited by bankruptcy, insolvency, reorganization, moratorium or other similar laws affecting enforcement of creditors’ rights generally and by general principles of equity. When executed, authenticated, issued and delivered in the manner provided for in the Escrow Agreement, the Escrow Receipt will be legally and validly issued and will be entitled to the benefits of the Escrow Agreement, except as may be limited by bankruptcy, insolvency, reorganization, moratorium or other similar laws affecting enforcement of creditors’ rights generally and by general principles of equity. The Certificates, the Equipment Notes, the Escrow Receipt and the Operative Documents will conform in all material respects to the descriptions thereof in the General Disclosure Package and the Final Prospectus.</w:t>
      </w:r>
    </w:p>
    <w:p>
      <w:pPr>
        <w:spacing w:after="0" w:line="86" w:lineRule="exact"/>
        <w:rPr>
          <w:rFonts w:ascii="Times New Roman" w:cs="Times New Roman" w:eastAsia="Times New Roman" w:hAnsi="Times New Roman"/>
          <w:sz w:val="18"/>
          <w:szCs w:val="18"/>
          <w:color w:val="auto"/>
        </w:rPr>
      </w:pPr>
    </w:p>
    <w:p>
      <w:pPr>
        <w:ind w:left="-425" w:firstLine="425"/>
        <w:spacing w:after="0" w:line="258" w:lineRule="auto"/>
        <w:tabs>
          <w:tab w:leader="none" w:pos="3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are Valid and Binding Obligations</w:t>
      </w:r>
      <w:r>
        <w:rPr>
          <w:rFonts w:ascii="Times New Roman" w:cs="Times New Roman" w:eastAsia="Times New Roman" w:hAnsi="Times New Roman"/>
          <w:sz w:val="18"/>
          <w:szCs w:val="18"/>
          <w:color w:val="auto"/>
        </w:rPr>
        <w:t>. When duly executed, authenticated and delivered by the Trustee in accordance with the terms of the Trust Agreement and sold and paid for as provided in this Agreement, the Certificates will be validly issued pursuant to the Trust Agreement and will constitute valid and binding obligations of the Trustee, enforceable against the Trustee in accordance with its terms, except as may be limited by bankruptcy, insolvency, reorganization, moratorium or other similar laws affecting enforcement of creditors’ rights generally and by general principles of equity; and the holders of the Certificates will be entitled to the benefits of the Trust Agreement.</w:t>
      </w:r>
    </w:p>
    <w:p>
      <w:pPr>
        <w:spacing w:after="0" w:line="116" w:lineRule="exact"/>
        <w:rPr>
          <w:sz w:val="20"/>
          <w:szCs w:val="20"/>
          <w:color w:val="auto"/>
        </w:rPr>
      </w:pPr>
    </w:p>
    <w:p>
      <w:pPr>
        <w:ind w:left="449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35"/>
          </w:cols>
          <w:pgMar w:left="1405" w:top="270" w:right="459" w:bottom="1440" w:gutter="0" w:footer="0" w:header="0"/>
        </w:sectPr>
      </w:pPr>
    </w:p>
    <w:bookmarkStart w:id="11" w:name="page12"/>
    <w:bookmarkEnd w:id="11"/>
    <w:p>
      <w:pPr>
        <w:ind w:firstLine="425"/>
        <w:spacing w:after="0" w:line="258" w:lineRule="auto"/>
        <w:tabs>
          <w:tab w:leader="none" w:pos="8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Equipment Notes are Valid and Binding Obligations</w:t>
      </w:r>
      <w:r>
        <w:rPr>
          <w:rFonts w:ascii="Times New Roman" w:cs="Times New Roman" w:eastAsia="Times New Roman" w:hAnsi="Times New Roman"/>
          <w:sz w:val="18"/>
          <w:szCs w:val="18"/>
          <w:color w:val="auto"/>
        </w:rPr>
        <w:t>. The Equipment Notes, when duly executed and delivered by the Company and when duly authenticated by the Loan Trustee in accordance with the terms of the applicable Indenture, will be duly issued under such Indenture and will constitute valid and binding obligations of the Company, enforceable against the Company in accordance with their terms; and the holders thereof will be entitled to the benefits of such Indenture, except as may be limited by bankruptcy, insolvency, reorganization, moratorium or other similar laws affecting enforcement of creditors’ rights generally and by general principles of equity.</w:t>
      </w:r>
    </w:p>
    <w:p>
      <w:pPr>
        <w:spacing w:after="0" w:line="75" w:lineRule="exact"/>
        <w:rPr>
          <w:rFonts w:ascii="Times New Roman" w:cs="Times New Roman" w:eastAsia="Times New Roman" w:hAnsi="Times New Roman"/>
          <w:sz w:val="18"/>
          <w:szCs w:val="18"/>
          <w:color w:val="auto"/>
        </w:rPr>
      </w:pPr>
    </w:p>
    <w:p>
      <w:pPr>
        <w:ind w:firstLine="425"/>
        <w:spacing w:after="0" w:line="252" w:lineRule="auto"/>
        <w:tabs>
          <w:tab w:leader="none" w:pos="81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Defaults and Conflicts</w:t>
      </w:r>
      <w:r>
        <w:rPr>
          <w:rFonts w:ascii="Times New Roman" w:cs="Times New Roman" w:eastAsia="Times New Roman" w:hAnsi="Times New Roman"/>
          <w:sz w:val="18"/>
          <w:szCs w:val="18"/>
          <w:color w:val="auto"/>
        </w:rPr>
        <w:t>. The Company is not in violation of its charter or by-laws or other constituting or organizational document or in default in the performance or observance of any obligation, agreement, covenant or condition contained in any agreement or other instrument binding upon the Company or to which any of the property or assets of the Company is subject, except for such defaults that would not reasonably be expected to result in a Material Adverse Effect and that would not affect the validity of the Equipment Notes or the Certificates; and the execution and delivery by the Company of this Agreement, the Equipment Notes and the Operative Documents to which it is, or is to be, a party, the consummation by the Company of the transactions herein and therein contemplated, and the compliance by the Company with its obligations hereunder and thereunder and the terms hereof and thereof do not and will not, whether with or without the giving of notice or passage of time or both, (i) conflict with or constitute a breach of, or default or a Repayment Event (as defined below) under, or result in the creation or imposition of any lien, charge or encumbrance upon any property or assets of the Company pursuant to, any agreement or other instrument binding upon the Company (except for such conflicts, breaches, defaults or Repayment Events or liens, charges or encumbrances that, singly or in the aggregate, would not reasonably be expected to result in a Material Adverse Effect and that would not affect the validity of the Equipment Notes or the Certificates), (ii) result in a violation of the provisions of the certificate of incorporation or by-laws, as amended, or other constituting or organizational document of the Company, or (iii) result in a violation of any applicable law, statute, rule, regulation, judgment, order, writ or decree of any government, governmental instrumentality or court, domestic or foreign, having jurisdiction over the Company or any of its assets, properties or operations, except, in each case of this clause (iii), for such violations or defaults, that, singly or in the aggregate, would not reasonably be expected to result in a Material Adverse Effect and that would not affect the validity of the Equipment Notes or the Certificates. As used herein, “</w:t>
      </w:r>
      <w:r>
        <w:rPr>
          <w:rFonts w:ascii="Times New Roman" w:cs="Times New Roman" w:eastAsia="Times New Roman" w:hAnsi="Times New Roman"/>
          <w:sz w:val="18"/>
          <w:szCs w:val="18"/>
          <w:u w:val="single" w:color="auto"/>
          <w:color w:val="auto"/>
        </w:rPr>
        <w:t>Repayment Event</w:t>
      </w:r>
      <w:r>
        <w:rPr>
          <w:rFonts w:ascii="Times New Roman" w:cs="Times New Roman" w:eastAsia="Times New Roman" w:hAnsi="Times New Roman"/>
          <w:sz w:val="18"/>
          <w:szCs w:val="18"/>
          <w:color w:val="auto"/>
        </w:rPr>
        <w:t>” means any event or condition which gives the holder of any note, debenture or other evidence of indebtedness (or any person acting on such holder’s behalf) the right to require the repurchase, redemption or repayment prior to the stated maturity or date of mandatory redemption or repayment thereof of all or a portion of such indebtedness by the Company.</w:t>
      </w:r>
    </w:p>
    <w:p>
      <w:pPr>
        <w:spacing w:after="0" w:line="81" w:lineRule="exact"/>
        <w:rPr>
          <w:rFonts w:ascii="Times New Roman" w:cs="Times New Roman" w:eastAsia="Times New Roman" w:hAnsi="Times New Roman"/>
          <w:sz w:val="18"/>
          <w:szCs w:val="18"/>
          <w:color w:val="auto"/>
        </w:rPr>
      </w:pPr>
    </w:p>
    <w:p>
      <w:pPr>
        <w:ind w:right="500" w:firstLine="425"/>
        <w:spacing w:after="0" w:line="266" w:lineRule="auto"/>
        <w:tabs>
          <w:tab w:leader="none" w:pos="7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Labor Dispute</w:t>
      </w:r>
      <w:r>
        <w:rPr>
          <w:rFonts w:ascii="Times New Roman" w:cs="Times New Roman" w:eastAsia="Times New Roman" w:hAnsi="Times New Roman"/>
          <w:sz w:val="18"/>
          <w:szCs w:val="18"/>
          <w:color w:val="auto"/>
        </w:rPr>
        <w:t>. Other than as described in the General Disclosure Package and the Final Prospectus, if any, no labor dispute with the employees of the Company or any of its subsidiaries exists or, to the knowledge of the Company, is imminent, which the Company expects to have a Material Adverse Effect.</w:t>
      </w:r>
    </w:p>
    <w:p>
      <w:pPr>
        <w:spacing w:after="0" w:line="67" w:lineRule="exact"/>
        <w:rPr>
          <w:rFonts w:ascii="Times New Roman" w:cs="Times New Roman" w:eastAsia="Times New Roman" w:hAnsi="Times New Roman"/>
          <w:sz w:val="18"/>
          <w:szCs w:val="18"/>
          <w:color w:val="auto"/>
        </w:rPr>
      </w:pPr>
    </w:p>
    <w:p>
      <w:pPr>
        <w:ind w:right="240" w:firstLine="425"/>
        <w:spacing w:after="0" w:line="282" w:lineRule="auto"/>
        <w:tabs>
          <w:tab w:leader="none" w:pos="81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the Deposits</w:t>
      </w:r>
      <w:r>
        <w:rPr>
          <w:rFonts w:ascii="Times New Roman" w:cs="Times New Roman" w:eastAsia="Times New Roman" w:hAnsi="Times New Roman"/>
          <w:sz w:val="18"/>
          <w:szCs w:val="18"/>
          <w:color w:val="auto"/>
        </w:rPr>
        <w:t>. Payments of interest and principal in respect of the Deposits are not subject under the laws of the U.S. or any political subdivision thereof to any withholdings or similar charges or deductions.</w:t>
      </w:r>
    </w:p>
    <w:p>
      <w:pPr>
        <w:spacing w:after="0" w:line="9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460"/>
          </w:cols>
          <w:pgMar w:left="980" w:top="270" w:right="459" w:bottom="1440" w:gutter="0" w:footer="0" w:header="0"/>
        </w:sectPr>
      </w:pPr>
    </w:p>
    <w:bookmarkStart w:id="12" w:name="page13"/>
    <w:bookmarkEnd w:id="12"/>
    <w:p>
      <w:pPr>
        <w:ind w:firstLine="425"/>
        <w:spacing w:after="0" w:line="261" w:lineRule="auto"/>
        <w:tabs>
          <w:tab w:leader="none" w:pos="8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Proceedings</w:t>
      </w:r>
      <w:r>
        <w:rPr>
          <w:rFonts w:ascii="Times New Roman" w:cs="Times New Roman" w:eastAsia="Times New Roman" w:hAnsi="Times New Roman"/>
          <w:sz w:val="18"/>
          <w:szCs w:val="18"/>
          <w:color w:val="auto"/>
        </w:rPr>
        <w:t>. Other than as set forth in the General Disclosure Package and the Final Prospectus, there is no action, suit, proceeding, inquiry or investigation before or brought by any court or governmental agency or body, domestic or foreign, now pending, or, to the knowledge of the Company, threatened, against the Company or any of its subsidiaries which, in the judgment of the Company, is likely to result in a Material Adverse Effect.</w:t>
      </w:r>
    </w:p>
    <w:p>
      <w:pPr>
        <w:spacing w:after="0" w:line="71" w:lineRule="exact"/>
        <w:rPr>
          <w:rFonts w:ascii="Times New Roman" w:cs="Times New Roman" w:eastAsia="Times New Roman" w:hAnsi="Times New Roman"/>
          <w:sz w:val="18"/>
          <w:szCs w:val="18"/>
          <w:color w:val="auto"/>
        </w:rPr>
      </w:pPr>
    </w:p>
    <w:p>
      <w:pPr>
        <w:ind w:right="220" w:firstLine="425"/>
        <w:spacing w:after="0" w:line="271" w:lineRule="auto"/>
        <w:tabs>
          <w:tab w:leader="none" w:pos="91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Absence of Further Requirements</w:t>
      </w:r>
      <w:r>
        <w:rPr>
          <w:rFonts w:ascii="Times New Roman" w:cs="Times New Roman" w:eastAsia="Times New Roman" w:hAnsi="Times New Roman"/>
          <w:sz w:val="17"/>
          <w:szCs w:val="17"/>
          <w:color w:val="auto"/>
        </w:rPr>
        <w:t>. No consent, approval, authorization, order or license of, or filing with or notice to, any government, governmental instrumentality, regulatory body or authority or court, domestic or foreign, is required for the valid authorization, issuance and delivery of the Certificates and the Equipment Notes, for the valid authorization, execution, delivery and performance by the Company of this Agreement, the Equipment Notes and the Operative Documents to which the Company is, or is to be, a party or for the consummation by the Company of the transactions contemplated by this Agreement, the Equipment Notes and the Operative Documents to which the Company is, or is to be, a party, except (A) such as has been already obtained or made, (B) such as are required under the Securities Act or the Securities Act Regulations or state securities or similar foreign laws in connection with the Registration Statement, (C) filings or recordings with respect to the Aircraft with the Federal Aviation Administration and registration with the International Registry and under the Uniform Commercial Code as in effect in Delaware and (D) as are disclosed in the General Disclosure Package and the Final Prospectus.</w:t>
      </w:r>
    </w:p>
    <w:p>
      <w:pPr>
        <w:spacing w:after="0" w:line="65" w:lineRule="exact"/>
        <w:rPr>
          <w:rFonts w:ascii="Times New Roman" w:cs="Times New Roman" w:eastAsia="Times New Roman" w:hAnsi="Times New Roman"/>
          <w:sz w:val="17"/>
          <w:szCs w:val="17"/>
          <w:color w:val="auto"/>
        </w:rPr>
      </w:pPr>
    </w:p>
    <w:p>
      <w:pPr>
        <w:ind w:right="40" w:firstLine="425"/>
        <w:spacing w:after="0" w:line="255" w:lineRule="auto"/>
        <w:tabs>
          <w:tab w:leader="none" w:pos="81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nor upon the issuance and sale of the Certificates as contemplated by this Agreement and the application of the net proceeds therefrom as described in the General Disclosure Package and the Final Prospectus will be, an “investment company” or an entity “controlled” by an “investment company,” as such terms are defined in the Investment Company Act of 1940, as amended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nor will the Trust or the escrow arrangements relating to the Trust contemplated by the Escrow Agreement be required to register as an “investment company” as defined in the 1940 Act. In making the foregoing determination, the Trust is relying upon the exemption from registration set forth in Rule 3a-7 under the 1940 Act, although additional exemptions or exclusions may be available to the Trust.</w:t>
      </w:r>
    </w:p>
    <w:p>
      <w:pPr>
        <w:spacing w:after="0" w:line="80" w:lineRule="exact"/>
        <w:rPr>
          <w:rFonts w:ascii="Times New Roman" w:cs="Times New Roman" w:eastAsia="Times New Roman" w:hAnsi="Times New Roman"/>
          <w:sz w:val="18"/>
          <w:szCs w:val="18"/>
          <w:color w:val="auto"/>
        </w:rPr>
      </w:pPr>
    </w:p>
    <w:p>
      <w:pPr>
        <w:ind w:right="60" w:firstLine="425"/>
        <w:spacing w:after="0" w:line="254" w:lineRule="auto"/>
        <w:tabs>
          <w:tab w:leader="none" w:pos="7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There has been no storage, disposal, generation, manufacture, refinement, transportation, handling or treatment of toxic wastes, medical wastes, hazardous wastes or hazardous substances by the Company (or, to the knowledge of the Company, any of its predecessors in interest), or at, upon or from any of the property now or previously owned or leased by the Company in violation of, and the Company has no liability under, any applicable law, ordinance, rule, regulation, order, judgment, decree or permit or which would require remedial action under any applicable law, ordinance, rule, regulation, order, judgment, decree or permit applicable to the Company, except for any violation, liability or remedial action which would not have, or could not be reasonably likely to have, singularly or in the aggregate with all such violations, liabilities and remedial actions, a Material Adverse Effect; there has been no spill, discharge, leak, emission, injection, escape, dumping or release of any kind by the Company onto such property or into the environment surrounding such property of any toxic wastes, medical wastes, solid wastes,</w:t>
      </w:r>
    </w:p>
    <w:p>
      <w:pPr>
        <w:spacing w:after="0" w:line="12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460"/>
          </w:cols>
          <w:pgMar w:left="980" w:top="270" w:right="459" w:bottom="1440" w:gutter="0" w:footer="0" w:header="0"/>
        </w:sectPr>
      </w:pPr>
    </w:p>
    <w:bookmarkStart w:id="13" w:name="page14"/>
    <w:bookmarkEnd w:id="1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hazardous wastes or hazardous substances due to or caused by the Company or with respect to which the Company has knowledge, except for any such spill, discharge, leak, emission, injection, escape, dumping or release which would not have or would not be reasonably likely to have, singularly or in the aggregate with all such spills, discharges, leaks, emissions, injections, escapes, dumpings and releases, a Material Adverse Effect. The terms “hazardous wastes,” “toxic wastes,” “hazardous substances” and “medical wastes” shall have the meanings specified in any applicable local, state, federal and foreign laws or regulations with respect to environmental protection or human health. In the ordinary course of its business, the Company conducts a periodic review of the effect of any and all applicable foreign, federal, state and local laws and regulations relating to the protection of human health and safety, the environment, and hazardous and toxic substances and wastes, pollutants and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on the business, operations and properties of the Company,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have not had and would not, singularly or in the aggregate, reasonably be expected to have a Material Adverse Effect.</w:t>
      </w:r>
    </w:p>
    <w:p>
      <w:pPr>
        <w:spacing w:after="0" w:line="82" w:lineRule="exact"/>
        <w:rPr>
          <w:sz w:val="20"/>
          <w:szCs w:val="20"/>
          <w:color w:val="auto"/>
        </w:rPr>
      </w:pPr>
    </w:p>
    <w:p>
      <w:pPr>
        <w:ind w:right="160" w:firstLine="425"/>
        <w:spacing w:after="0" w:line="282" w:lineRule="auto"/>
        <w:tabs>
          <w:tab w:leader="none" w:pos="81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carries, or is covered by, insurance in such amounts and covering such risks as is adequate for the conduct of its business and the value of its properties.</w:t>
      </w:r>
    </w:p>
    <w:p>
      <w:pPr>
        <w:spacing w:after="0" w:line="53" w:lineRule="exact"/>
        <w:rPr>
          <w:rFonts w:ascii="Times New Roman" w:cs="Times New Roman" w:eastAsia="Times New Roman" w:hAnsi="Times New Roman"/>
          <w:sz w:val="18"/>
          <w:szCs w:val="18"/>
          <w:color w:val="auto"/>
        </w:rPr>
      </w:pPr>
    </w:p>
    <w:p>
      <w:pPr>
        <w:ind w:right="40" w:firstLine="425"/>
        <w:spacing w:after="0" w:line="254" w:lineRule="auto"/>
        <w:tabs>
          <w:tab w:leader="none" w:pos="86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 The Company maintains internal accounting controls which pertain to the maintenance of records that in reasonable detail accurately and fairly reflect the transactions and dispositions of its assets and that provide reasonable assurance (i) that transactions are executed in accordance with management’s authorization in all material respects, (ii) that transactions are recorded as necessary to permit preparation of its financial statements in conformity with GAAP and to maintain accountability for its assets, (iii) regarding prevention or timely detection of unauthorized acquisition, use or disposition of its assets that could have a material effect on the financial statements, and</w:t>
      </w:r>
    </w:p>
    <w:p>
      <w:pPr>
        <w:spacing w:after="0" w:line="3" w:lineRule="exact"/>
        <w:rPr>
          <w:rFonts w:ascii="Times New Roman" w:cs="Times New Roman" w:eastAsia="Times New Roman" w:hAnsi="Times New Roman"/>
          <w:sz w:val="18"/>
          <w:szCs w:val="18"/>
          <w:color w:val="auto"/>
        </w:rPr>
      </w:pPr>
    </w:p>
    <w:p>
      <w:pPr>
        <w:ind w:right="60" w:firstLine="7"/>
        <w:spacing w:after="0" w:line="253" w:lineRule="auto"/>
        <w:tabs>
          <w:tab w:leader="none" w:pos="3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interactive data in eXtensible Business Reporting Language incorporated by reference in each of the General Disclosure Package and the Final Prospectus is prepared in accordance with the Commission’s rules and guidelines applicable thereto. The Company is not aware of any material weakness in its internal control over financial reporting that is reasonably likely to adversely affect its ability to record, process, summarize and report financial information.</w:t>
      </w:r>
    </w:p>
    <w:p>
      <w:pPr>
        <w:spacing w:after="0" w:line="80" w:lineRule="exact"/>
        <w:rPr>
          <w:rFonts w:ascii="Times New Roman" w:cs="Times New Roman" w:eastAsia="Times New Roman" w:hAnsi="Times New Roman"/>
          <w:sz w:val="18"/>
          <w:szCs w:val="18"/>
          <w:color w:val="auto"/>
        </w:rPr>
      </w:pPr>
    </w:p>
    <w:p>
      <w:pPr>
        <w:ind w:right="400" w:firstLine="425"/>
        <w:spacing w:after="0" w:line="261" w:lineRule="auto"/>
        <w:tabs>
          <w:tab w:leader="none" w:pos="91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 The Company maintains “disclosure controls and procedures” (as such term is defined in Rule 13a-15(e) of the Exchange Act) that have been designed to ensure that material information relating to the Company, including its consolidated subsidiaries, is made known to the Company’s principal executive officer and principal financial officer by others within those entities; such disclosure controls and procedures are effective.</w:t>
      </w:r>
    </w:p>
    <w:p>
      <w:pPr>
        <w:spacing w:after="0" w:line="11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60"/>
          </w:cols>
          <w:pgMar w:left="980" w:top="270" w:right="459" w:bottom="1440" w:gutter="0" w:footer="0" w:header="0"/>
        </w:sectPr>
      </w:pPr>
    </w:p>
    <w:bookmarkStart w:id="14" w:name="page15"/>
    <w:bookmarkEnd w:id="14"/>
    <w:p>
      <w:pPr>
        <w:ind w:firstLine="425"/>
        <w:spacing w:after="0" w:line="253" w:lineRule="auto"/>
        <w:tabs>
          <w:tab w:leader="none" w:pos="9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Unlawful Payments</w:t>
      </w:r>
      <w:r>
        <w:rPr>
          <w:rFonts w:ascii="Times New Roman" w:cs="Times New Roman" w:eastAsia="Times New Roman" w:hAnsi="Times New Roman"/>
          <w:sz w:val="18"/>
          <w:szCs w:val="18"/>
          <w:color w:val="auto"/>
        </w:rPr>
        <w:t>. Neither the Company nor any of its subsidiaries nor, to the knowledge of the Company, any director, officer, agent, employee or other person associated with or acting on behalf of the Company or any of its subsidiaries has materially violated in the past five years or is in material violation of (1) laws relating to the use of any corporate funds for unlawful contributions, gifts, entertainment or other unlawful expenses relating to political activity, (2) laws relating to direct or indirect unlawful payments to any foreign or domestic government official or employee from corporate funds, (3) the Foreign Corrupt Practices Act of 1977, as amended, or the rules and regulations thereunder or (4) laws relating to bribes, rebates, payoffs, influence payments, kickbacks or other unlawful payments. The Company has implemented compliance programs for purposes of (a) informing the appropriate officers and employees of the Company and its subsidiaries of the Company’s policies to ensure compliance with the laws described under (1) through (4) above, and (b) requiring such officers and employees to report to the Company any knowledge they may have of violations of the Company’s policies referred to above and no such reports have been made.</w:t>
      </w:r>
    </w:p>
    <w:p>
      <w:pPr>
        <w:spacing w:after="0" w:line="86" w:lineRule="exact"/>
        <w:rPr>
          <w:rFonts w:ascii="Times New Roman" w:cs="Times New Roman" w:eastAsia="Times New Roman" w:hAnsi="Times New Roman"/>
          <w:sz w:val="18"/>
          <w:szCs w:val="18"/>
          <w:color w:val="auto"/>
        </w:rPr>
      </w:pPr>
    </w:p>
    <w:p>
      <w:pPr>
        <w:ind w:right="340" w:firstLine="425"/>
        <w:spacing w:after="0" w:line="266" w:lineRule="auto"/>
        <w:tabs>
          <w:tab w:leader="none" w:pos="8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Brokerage Commission; Finder’s Fee</w:t>
      </w:r>
      <w:r>
        <w:rPr>
          <w:rFonts w:ascii="Times New Roman" w:cs="Times New Roman" w:eastAsia="Times New Roman" w:hAnsi="Times New Roman"/>
          <w:sz w:val="18"/>
          <w:szCs w:val="18"/>
          <w:color w:val="auto"/>
        </w:rPr>
        <w:t>. To the best of the Company’s knowledge after due inquiry, there are no contracts, agreements or understandings between the Company and any person that would give rise to a valid claim against the Company or any of the Underwriters for a brokerage commission, finder’s fee or other like payment in connection with this offering.</w:t>
      </w:r>
    </w:p>
    <w:p>
      <w:pPr>
        <w:spacing w:after="0" w:line="67" w:lineRule="exact"/>
        <w:rPr>
          <w:rFonts w:ascii="Times New Roman" w:cs="Times New Roman" w:eastAsia="Times New Roman" w:hAnsi="Times New Roman"/>
          <w:sz w:val="18"/>
          <w:szCs w:val="18"/>
          <w:color w:val="auto"/>
        </w:rPr>
      </w:pPr>
    </w:p>
    <w:p>
      <w:pPr>
        <w:ind w:left="900" w:hanging="47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Company</w:t>
      </w:r>
      <w:r>
        <w:rPr>
          <w:rFonts w:ascii="Times New Roman" w:cs="Times New Roman" w:eastAsia="Times New Roman" w:hAnsi="Times New Roman"/>
          <w:sz w:val="18"/>
          <w:szCs w:val="18"/>
          <w:color w:val="auto"/>
        </w:rPr>
        <w:t>. The Company is subject to the reporting requirements of Section 13 or Section 15(d) of the Exchange Act.</w:t>
      </w:r>
    </w:p>
    <w:p>
      <w:pPr>
        <w:spacing w:after="0" w:line="117" w:lineRule="exact"/>
        <w:rPr>
          <w:rFonts w:ascii="Times New Roman" w:cs="Times New Roman" w:eastAsia="Times New Roman" w:hAnsi="Times New Roman"/>
          <w:sz w:val="18"/>
          <w:szCs w:val="18"/>
          <w:color w:val="auto"/>
        </w:rPr>
      </w:pPr>
    </w:p>
    <w:p>
      <w:pPr>
        <w:ind w:right="80" w:firstLine="425"/>
        <w:spacing w:after="0" w:line="254" w:lineRule="auto"/>
        <w:tabs>
          <w:tab w:leader="none" w:pos="9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Well-Known Seasoned Issuer</w:t>
      </w:r>
      <w:r>
        <w:rPr>
          <w:rFonts w:ascii="Times New Roman" w:cs="Times New Roman" w:eastAsia="Times New Roman" w:hAnsi="Times New Roman"/>
          <w:sz w:val="18"/>
          <w:szCs w:val="18"/>
          <w:color w:val="auto"/>
        </w:rPr>
        <w:t>. (A)(i) At the time of filing the Registration Statement, (ii) at the time of the most recent amendment thereto for the purposes of complying with Section 10(a)(3) of the Securities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Securities Act) made any offer relating to the Securities in reliance on the exemption provided by Rule 163 under the Securities Act, the Company was a “well-known seasoned issuer” as defined in Rule 405, including not having been an “ineligible issuer” as defined in Rule 405; and (B) at the time of filing the Original Registration Statement, at the earliest time thereafter that the Company or another offering participant made a bona fide offer (within the meaning of Rule 164(h)(2) under the Securities Act) of the Securities and at the date hereof, the Company was not and is not an “ineligible issuer” as defined in Rule 405.</w:t>
      </w:r>
    </w:p>
    <w:p>
      <w:pPr>
        <w:spacing w:after="0" w:line="80" w:lineRule="exact"/>
        <w:rPr>
          <w:rFonts w:ascii="Times New Roman" w:cs="Times New Roman" w:eastAsia="Times New Roman" w:hAnsi="Times New Roman"/>
          <w:sz w:val="18"/>
          <w:szCs w:val="18"/>
          <w:color w:val="auto"/>
        </w:rPr>
      </w:pPr>
    </w:p>
    <w:p>
      <w:pPr>
        <w:ind w:right="40" w:firstLine="425"/>
        <w:spacing w:after="0" w:line="254" w:lineRule="auto"/>
        <w:tabs>
          <w:tab w:leader="none" w:pos="10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The Company possesses such permits, licenses, approvals, consents and other authorizations (collectively, “</w:t>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 issued by the appropriate federal, state, local or foreign regulatory agencies or bodies and third parties, governmental or otherwise necessary to conduct the business now operated by it as described in the General Disclosure Package and the Final Prospectus, except for such failures to possess Licenses as would not, singly or in the aggregate, result in a Material Adverse Effect; the Company is in compliance with the terms and conditions of all such Licenses, except where the failure so to comply would not, singly or in the aggregate, have a Material Adverse Effect; all of the Licenses are valid and in full force and effect, except where the invalidity of such Licenses or the failure of such Licenses to be in full force and effect would not, singly or in the aggregate, result in a Material Adverse Effect; and the Company has not received any notice of proceedings relating to the revocation or modification of any such Licenses which, singly or in the aggregate, if the subject of an unfavorable decision, ruling or finding, would result in a Material Adverse Effect.</w:t>
      </w:r>
    </w:p>
    <w:p>
      <w:pPr>
        <w:spacing w:after="0" w:line="12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40"/>
          </w:cols>
          <w:pgMar w:left="980" w:top="270" w:right="479" w:bottom="1440" w:gutter="0" w:footer="0" w:header="0"/>
        </w:sectPr>
      </w:pPr>
    </w:p>
    <w:bookmarkStart w:id="15" w:name="page16"/>
    <w:bookmarkEnd w:id="15"/>
    <w:p>
      <w:pPr>
        <w:ind w:left="-425" w:firstLine="425"/>
        <w:spacing w:after="0" w:line="254" w:lineRule="auto"/>
        <w:tabs>
          <w:tab w:leader="none" w:pos="4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Anti-Money Laundering Laws</w:t>
      </w:r>
      <w:r>
        <w:rPr>
          <w:rFonts w:ascii="Times New Roman" w:cs="Times New Roman" w:eastAsia="Times New Roman" w:hAnsi="Times New Roman"/>
          <w:sz w:val="18"/>
          <w:szCs w:val="18"/>
          <w:color w:val="auto"/>
        </w:rPr>
        <w:t>. 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83" w:lineRule="exact"/>
        <w:rPr>
          <w:rFonts w:ascii="Times New Roman" w:cs="Times New Roman" w:eastAsia="Times New Roman" w:hAnsi="Times New Roman"/>
          <w:sz w:val="18"/>
          <w:szCs w:val="18"/>
          <w:color w:val="auto"/>
        </w:rPr>
      </w:pPr>
    </w:p>
    <w:p>
      <w:pPr>
        <w:ind w:left="-425" w:firstLine="425"/>
        <w:spacing w:after="0" w:line="256" w:lineRule="auto"/>
        <w:tabs>
          <w:tab w:leader="none" w:pos="4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None of the Company, any of its subsidiaries or, to the knowledge of the Company, any director, officer, agent, employee, affiliate or other person acting on behalf of the Company or any of its subsidiaries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the Company will not directly or indirectly use the proceeds of the sale of the Certificates hereunder, or lend, contribute or otherwise make available such proceeds to any of its subsidiaries, joint venture partners or any other person or entity, for the purpose of financing the activities of any person, that at the time of such financing, is subject to any U.S. sanctions administered by OFAC.</w:t>
      </w:r>
    </w:p>
    <w:p>
      <w:pPr>
        <w:spacing w:after="0" w:line="79" w:lineRule="exact"/>
        <w:rPr>
          <w:rFonts w:ascii="Times New Roman" w:cs="Times New Roman" w:eastAsia="Times New Roman" w:hAnsi="Times New Roman"/>
          <w:sz w:val="18"/>
          <w:szCs w:val="18"/>
          <w:color w:val="auto"/>
        </w:rPr>
      </w:pPr>
    </w:p>
    <w:p>
      <w:pPr>
        <w:ind w:left="-425" w:firstLine="425"/>
        <w:spacing w:after="0" w:line="258" w:lineRule="auto"/>
        <w:tabs>
          <w:tab w:leader="none" w:pos="4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Appraiser Independence</w:t>
      </w:r>
      <w:r>
        <w:rPr>
          <w:rFonts w:ascii="Times New Roman" w:cs="Times New Roman" w:eastAsia="Times New Roman" w:hAnsi="Times New Roman"/>
          <w:sz w:val="18"/>
          <w:szCs w:val="18"/>
          <w:color w:val="auto"/>
        </w:rPr>
        <w:t>. None of Aircraft Information Services, Inc., BK Associates Inc. and Morten Beyer &amp; Agnew, Inc. (each, an “</w:t>
      </w:r>
      <w:r>
        <w:rPr>
          <w:rFonts w:ascii="Times New Roman" w:cs="Times New Roman" w:eastAsia="Times New Roman" w:hAnsi="Times New Roman"/>
          <w:sz w:val="18"/>
          <w:szCs w:val="18"/>
          <w:u w:val="single" w:color="auto"/>
          <w:color w:val="auto"/>
        </w:rPr>
        <w:t>Appraiser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Appraisers</w:t>
      </w:r>
      <w:r>
        <w:rPr>
          <w:rFonts w:ascii="Times New Roman" w:cs="Times New Roman" w:eastAsia="Times New Roman" w:hAnsi="Times New Roman"/>
          <w:sz w:val="18"/>
          <w:szCs w:val="18"/>
          <w:color w:val="auto"/>
        </w:rPr>
        <w:t>”) is an affiliate of the Company or, to the knowledge of the Company, has a substantial interest, direct or indirect, in the Company. To the knowledge of the Company, none of the officers and directors of any of such Appraisers is connected to the Company or any of its affiliates as an officer, employee, promoter, underwriter, trustee, partner, director or person performing similar functions.</w:t>
      </w:r>
    </w:p>
    <w:p>
      <w:pPr>
        <w:spacing w:after="0" w:line="75" w:lineRule="exact"/>
        <w:rPr>
          <w:rFonts w:ascii="Times New Roman" w:cs="Times New Roman" w:eastAsia="Times New Roman" w:hAnsi="Times New Roman"/>
          <w:sz w:val="18"/>
          <w:szCs w:val="18"/>
          <w:color w:val="auto"/>
        </w:rPr>
      </w:pPr>
    </w:p>
    <w:p>
      <w:pPr>
        <w:ind w:left="275" w:hanging="253"/>
        <w:spacing w:after="0"/>
        <w:tabs>
          <w:tab w:leader="none" w:pos="27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represents and warrants to, and agrees with, each Underwriter and the Company that:</w:t>
      </w:r>
    </w:p>
    <w:p>
      <w:pPr>
        <w:spacing w:after="0" w:line="117" w:lineRule="exact"/>
        <w:rPr>
          <w:sz w:val="20"/>
          <w:szCs w:val="20"/>
          <w:color w:val="auto"/>
        </w:rPr>
      </w:pPr>
    </w:p>
    <w:p>
      <w:pPr>
        <w:ind w:left="-425" w:right="220" w:firstLine="425"/>
        <w:spacing w:after="0" w:line="266" w:lineRule="auto"/>
        <w:tabs>
          <w:tab w:leader="none" w:pos="2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The information pertaining to the Depositary set forth under the caption “Description of the Deposit Agreement—Depositary” (collectively, the “</w:t>
      </w:r>
      <w:r>
        <w:rPr>
          <w:rFonts w:ascii="Times New Roman" w:cs="Times New Roman" w:eastAsia="Times New Roman" w:hAnsi="Times New Roman"/>
          <w:sz w:val="18"/>
          <w:szCs w:val="18"/>
          <w:u w:val="single" w:color="auto"/>
          <w:color w:val="auto"/>
        </w:rPr>
        <w:t>Depositary Information</w:t>
      </w:r>
      <w:r>
        <w:rPr>
          <w:rFonts w:ascii="Times New Roman" w:cs="Times New Roman" w:eastAsia="Times New Roman" w:hAnsi="Times New Roman"/>
          <w:sz w:val="18"/>
          <w:szCs w:val="18"/>
          <w:color w:val="auto"/>
        </w:rPr>
        <w:t>”) in the General Disclosure Package and the Final Prospectus, as amended and supplemented, does not contain any untrue statement of a material fact.</w:t>
      </w:r>
    </w:p>
    <w:p>
      <w:pPr>
        <w:spacing w:after="0" w:line="108" w:lineRule="exact"/>
        <w:rPr>
          <w:sz w:val="20"/>
          <w:szCs w:val="20"/>
          <w:color w:val="auto"/>
        </w:rPr>
      </w:pPr>
    </w:p>
    <w:p>
      <w:pPr>
        <w:ind w:left="4455"/>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035"/>
          </w:cols>
          <w:pgMar w:left="1405" w:top="270" w:right="459" w:bottom="1440" w:gutter="0" w:footer="0" w:header="0"/>
        </w:sectPr>
      </w:pPr>
    </w:p>
    <w:bookmarkStart w:id="16" w:name="page17"/>
    <w:bookmarkEnd w:id="16"/>
    <w:p>
      <w:pPr>
        <w:ind w:firstLine="425"/>
        <w:spacing w:after="0" w:line="261" w:lineRule="auto"/>
        <w:tabs>
          <w:tab w:leader="none" w:pos="68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Existence; Corporate Power and Authority</w:t>
      </w:r>
      <w:r>
        <w:rPr>
          <w:rFonts w:ascii="Times New Roman" w:cs="Times New Roman" w:eastAsia="Times New Roman" w:hAnsi="Times New Roman"/>
          <w:sz w:val="18"/>
          <w:szCs w:val="18"/>
          <w:color w:val="auto"/>
        </w:rPr>
        <w:t>. The Depositary has been duly organized and is validly existing under the laws of Japan and is duly licensed to conduct banking business in the State of New York through its New York Branch, with corporate power and authority and legal right to own, lease and operate its property, to conduct its business as described in the Depositary Information and to enter into and perform its obligations under this Agreement and the Deposit Agreement.</w:t>
      </w:r>
    </w:p>
    <w:p>
      <w:pPr>
        <w:spacing w:after="0" w:line="71" w:lineRule="exact"/>
        <w:rPr>
          <w:rFonts w:ascii="Times New Roman" w:cs="Times New Roman" w:eastAsia="Times New Roman" w:hAnsi="Times New Roman"/>
          <w:sz w:val="18"/>
          <w:szCs w:val="18"/>
          <w:color w:val="auto"/>
        </w:rPr>
      </w:pPr>
    </w:p>
    <w:p>
      <w:pPr>
        <w:jc w:val="both"/>
        <w:ind w:right="20" w:firstLine="425"/>
        <w:spacing w:after="0" w:line="266" w:lineRule="auto"/>
        <w:tabs>
          <w:tab w:leader="none" w:pos="73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consent, approval, authorization, or order of, or filing with any governmental agency or body or any court is required for the valid authorization, execution and delivery by the Depositary of this Agreement and the Deposit Agreement and for the consummation of the transactions contemplated herein and therein, except such as have been obtained.</w:t>
      </w:r>
    </w:p>
    <w:p>
      <w:pPr>
        <w:spacing w:after="0" w:line="67" w:lineRule="exact"/>
        <w:rPr>
          <w:rFonts w:ascii="Times New Roman" w:cs="Times New Roman" w:eastAsia="Times New Roman" w:hAnsi="Times New Roman"/>
          <w:sz w:val="18"/>
          <w:szCs w:val="18"/>
          <w:color w:val="auto"/>
        </w:rPr>
      </w:pPr>
    </w:p>
    <w:p>
      <w:pPr>
        <w:ind w:left="720" w:hanging="295"/>
        <w:spacing w:after="0"/>
        <w:tabs>
          <w:tab w:leader="none" w:pos="7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The execution and delivery by the Depositary of this Agreement and the Deposit Agreement and the</w:t>
      </w:r>
    </w:p>
    <w:p>
      <w:pPr>
        <w:spacing w:after="0" w:line="27" w:lineRule="exact"/>
        <w:rPr>
          <w:rFonts w:ascii="Times New Roman" w:cs="Times New Roman" w:eastAsia="Times New Roman" w:hAnsi="Times New Roman"/>
          <w:sz w:val="18"/>
          <w:szCs w:val="18"/>
          <w:color w:val="auto"/>
        </w:rPr>
      </w:pPr>
    </w:p>
    <w:p>
      <w:pPr>
        <w:ind w:right="30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consummation of the transactions contemplated herein and therein have been duly authorized by the Depositary and will not violate any law, governmental rule or regulation or any of its organizational documents or any order, writ, injunction or decree of any court or governmental agency against it or the provisions of any indenture, loan agreement, contract or other instrument to which it is a party or is bound.</w:t>
      </w:r>
    </w:p>
    <w:p>
      <w:pPr>
        <w:spacing w:after="0" w:line="60" w:lineRule="exact"/>
        <w:rPr>
          <w:rFonts w:ascii="Times New Roman" w:cs="Times New Roman" w:eastAsia="Times New Roman" w:hAnsi="Times New Roman"/>
          <w:sz w:val="18"/>
          <w:szCs w:val="18"/>
          <w:color w:val="auto"/>
        </w:rPr>
      </w:pPr>
    </w:p>
    <w:p>
      <w:pPr>
        <w:ind w:right="160" w:firstLine="425"/>
        <w:spacing w:after="0" w:line="282" w:lineRule="auto"/>
        <w:tabs>
          <w:tab w:leader="none" w:pos="67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Delivery</w:t>
      </w:r>
      <w:r>
        <w:rPr>
          <w:rFonts w:ascii="Times New Roman" w:cs="Times New Roman" w:eastAsia="Times New Roman" w:hAnsi="Times New Roman"/>
          <w:sz w:val="18"/>
          <w:szCs w:val="18"/>
          <w:color w:val="auto"/>
        </w:rPr>
        <w:t>. This Agreement has been duly executed and delivered by the Depositary, and the Deposit Agreement will be duly authorized, executed and delivered by the Depositary on or prior to the Closing Time.</w:t>
      </w:r>
    </w:p>
    <w:p>
      <w:pPr>
        <w:spacing w:after="0" w:line="53" w:lineRule="exact"/>
        <w:rPr>
          <w:rFonts w:ascii="Times New Roman" w:cs="Times New Roman" w:eastAsia="Times New Roman" w:hAnsi="Times New Roman"/>
          <w:sz w:val="18"/>
          <w:szCs w:val="18"/>
          <w:color w:val="auto"/>
        </w:rPr>
      </w:pPr>
    </w:p>
    <w:p>
      <w:pPr>
        <w:ind w:right="20" w:firstLine="425"/>
        <w:spacing w:after="0" w:line="254" w:lineRule="auto"/>
        <w:tabs>
          <w:tab w:leader="none" w:pos="72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Delivery of Deposit Agreement</w:t>
      </w:r>
      <w:r>
        <w:rPr>
          <w:rFonts w:ascii="Times New Roman" w:cs="Times New Roman" w:eastAsia="Times New Roman" w:hAnsi="Times New Roman"/>
          <w:sz w:val="18"/>
          <w:szCs w:val="18"/>
          <w:color w:val="auto"/>
        </w:rPr>
        <w:t>. The Deposit Agreement, when duly authorized, executed and delivered by the Depositary, assuming that the Deposit Agreement has been duly authorized, executed and delivered by, and constitutes the legal, valid and binding obligation of, the Escrow Agent, will constitute the legal, valid and binding obligation of the Depositary, enforceable in accordance with its terms, except (x) as enforcement thereof may be limited by bankruptcy, insolvency (including, without limitation, all laws relating to fraudulent transfers), reorganization, moratorium or other similar laws now or hereinafter in effect relating to creditors’ rights generally and</w:t>
      </w:r>
    </w:p>
    <w:p>
      <w:pPr>
        <w:spacing w:after="0" w:line="3" w:lineRule="exact"/>
        <w:rPr>
          <w:rFonts w:ascii="Times New Roman" w:cs="Times New Roman" w:eastAsia="Times New Roman" w:hAnsi="Times New Roman"/>
          <w:sz w:val="18"/>
          <w:szCs w:val="18"/>
          <w:color w:val="auto"/>
        </w:rPr>
      </w:pPr>
    </w:p>
    <w:p>
      <w:pPr>
        <w:ind w:firstLine="7"/>
        <w:spacing w:after="0" w:line="260"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enforcement thereof is subject to general principles of equity (regardless of whether enforcement is considered in a proceeding in equity or at law).</w:t>
      </w:r>
    </w:p>
    <w:p>
      <w:pPr>
        <w:spacing w:after="0" w:line="73" w:lineRule="exact"/>
        <w:rPr>
          <w:rFonts w:ascii="Times New Roman" w:cs="Times New Roman" w:eastAsia="Times New Roman" w:hAnsi="Times New Roman"/>
          <w:sz w:val="18"/>
          <w:szCs w:val="18"/>
          <w:color w:val="auto"/>
        </w:rPr>
      </w:pPr>
    </w:p>
    <w:p>
      <w:pPr>
        <w:jc w:val="both"/>
        <w:ind w:right="360" w:firstLine="425"/>
        <w:spacing w:after="0" w:line="272" w:lineRule="auto"/>
        <w:tabs>
          <w:tab w:leader="none" w:pos="773"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Absence of Proceedings</w:t>
      </w:r>
      <w:r>
        <w:rPr>
          <w:rFonts w:ascii="Times New Roman" w:cs="Times New Roman" w:eastAsia="Times New Roman" w:hAnsi="Times New Roman"/>
          <w:sz w:val="17"/>
          <w:szCs w:val="17"/>
          <w:color w:val="auto"/>
        </w:rPr>
        <w:t>. There are no pending or, to the knowledge of the Depositary, threatened actions, suits, investigations or proceedings (whether or not purportedly on behalf of it) against or affecting it or any of its property before or by any court or administrative agency which, if adversely determined, (i) would adversely affect the ability of it to perform its obligations under the Deposit Agreement or</w:t>
      </w:r>
    </w:p>
    <w:p>
      <w:pPr>
        <w:spacing w:after="0" w:line="1" w:lineRule="exact"/>
        <w:rPr>
          <w:rFonts w:ascii="Times New Roman" w:cs="Times New Roman" w:eastAsia="Times New Roman" w:hAnsi="Times New Roman"/>
          <w:sz w:val="17"/>
          <w:szCs w:val="17"/>
          <w:color w:val="auto"/>
        </w:rPr>
      </w:pPr>
    </w:p>
    <w:p>
      <w:pPr>
        <w:ind w:right="280" w:firstLine="7"/>
        <w:spacing w:after="0" w:line="255" w:lineRule="auto"/>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call into question or challenge the validity of the Deposit Agreement or the enforceability of the Deposit Agreement in accordance with the terms thereof, nor is it in default with respect to any order of any court, governmental authority, arbitration board or administrative agency so as to adversely affect its ability to perform its obligations under the Deposit Agreement.</w:t>
      </w:r>
    </w:p>
    <w:p>
      <w:pPr>
        <w:spacing w:after="0" w:line="11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440"/>
          </w:cols>
          <w:pgMar w:left="980" w:top="270" w:right="479" w:bottom="1440" w:gutter="0" w:footer="0" w:header="0"/>
        </w:sectPr>
      </w:pPr>
    </w:p>
    <w:bookmarkStart w:id="17" w:name="page18"/>
    <w:bookmarkEnd w:id="17"/>
    <w:p>
      <w:pPr>
        <w:ind w:left="-20" w:right="20" w:firstLine="987"/>
        <w:spacing w:after="0" w:line="266" w:lineRule="auto"/>
        <w:tabs>
          <w:tab w:leader="none" w:pos="12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agree that any certificate signed by any officer of the Company delivered to the Underwriters or to counsel for the Underwriters pursuant to or in connection with this Agreement shall be deemed a representation and warranty by the Company to the Underwriters as to the matters covered thereby as of the date or dates indicated in such certificate.</w:t>
      </w:r>
    </w:p>
    <w:p>
      <w:pPr>
        <w:spacing w:after="0" w:line="68" w:lineRule="exact"/>
        <w:rPr>
          <w:sz w:val="20"/>
          <w:szCs w:val="20"/>
          <w:color w:val="auto"/>
        </w:rPr>
      </w:pPr>
    </w:p>
    <w:p>
      <w:pPr>
        <w:ind w:left="-20" w:firstLine="987"/>
        <w:spacing w:after="0" w:line="277" w:lineRule="auto"/>
        <w:tabs>
          <w:tab w:leader="none" w:pos="115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 and Sale; Closing</w:t>
      </w:r>
      <w:r>
        <w:rPr>
          <w:rFonts w:ascii="Times New Roman" w:cs="Times New Roman" w:eastAsia="Times New Roman" w:hAnsi="Times New Roman"/>
          <w:sz w:val="17"/>
          <w:szCs w:val="17"/>
          <w:color w:val="auto"/>
        </w:rPr>
        <w:t>. (a) On the basis of the representations, warranties and agreements herein contained and subject to the terms and conditions herein set forth, the Company agrees to cause the Trustee to sell to each Underwriter, and each Underwriter agrees, severally and not jointly, to purchase from the Trustee, at a purchase price of 100% of the face amount thereof, the aggregate face amount of Certificates set forth opposite the name of such Underwriter in Schedule I hereto. Concurrently with the issuance of the Certificates, the Escrow Agent shall issue and deliver to the Trustee the Escrow Receipt in accordance with the terms of the Escrow Agreement, which Escrow Receipt shall be attached to the related Certificates.</w:t>
      </w:r>
    </w:p>
    <w:p>
      <w:pPr>
        <w:spacing w:after="0" w:line="60" w:lineRule="exact"/>
        <w:rPr>
          <w:sz w:val="20"/>
          <w:szCs w:val="20"/>
          <w:color w:val="auto"/>
        </w:rPr>
      </w:pPr>
    </w:p>
    <w:p>
      <w:pPr>
        <w:ind w:left="-20" w:right="20" w:firstLine="987"/>
        <w:spacing w:after="0" w:line="255" w:lineRule="auto"/>
        <w:tabs>
          <w:tab w:leader="none" w:pos="12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purchase price for, and delivery of, the Certificates (with attached Escrow Receipt) shall be made at the date, time and location or locations specified in Schedule II hereto, or at such other date, time or location or locations as shall be agreed upon by the Company and the Representatives, or as shall otherwise be provided in Section 7 hereof (such date being herein called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and such time being herein called the “</w:t>
      </w:r>
      <w:r>
        <w:rPr>
          <w:rFonts w:ascii="Times New Roman" w:cs="Times New Roman" w:eastAsia="Times New Roman" w:hAnsi="Times New Roman"/>
          <w:sz w:val="18"/>
          <w:szCs w:val="18"/>
          <w:u w:val="single" w:color="auto"/>
          <w:color w:val="auto"/>
        </w:rPr>
        <w:t>Closing Time</w:t>
      </w:r>
      <w:r>
        <w:rPr>
          <w:rFonts w:ascii="Times New Roman" w:cs="Times New Roman" w:eastAsia="Times New Roman" w:hAnsi="Times New Roman"/>
          <w:sz w:val="18"/>
          <w:szCs w:val="18"/>
          <w:color w:val="auto"/>
        </w:rPr>
        <w:t>”). Payment shall be made to or upon the order of the Trustee by federal funds wire transfer or transfer of other immediately available funds against delivery to the account of Goldman at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for the respective accounts of the several Underwriters of the Certificates. Such Certificates (with attached Escrow Receipt) shall be registered in the name of Cede &amp; Co. or in such other names, and in such authorized denominations as the Representatives may request in writing at least two full business days before the Closing Time.</w:t>
      </w:r>
    </w:p>
    <w:p>
      <w:pPr>
        <w:spacing w:after="0" w:line="80" w:lineRule="exact"/>
        <w:rPr>
          <w:rFonts w:ascii="Times New Roman" w:cs="Times New Roman" w:eastAsia="Times New Roman" w:hAnsi="Times New Roman"/>
          <w:sz w:val="18"/>
          <w:szCs w:val="18"/>
          <w:color w:val="auto"/>
        </w:rPr>
      </w:pPr>
    </w:p>
    <w:p>
      <w:pPr>
        <w:ind w:left="-20" w:right="480" w:firstLine="987"/>
        <w:spacing w:after="0" w:line="266" w:lineRule="auto"/>
        <w:tabs>
          <w:tab w:leader="none" w:pos="12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to Goldman at the Closing Time for the accounts of the Underwriters any fee, commission or other compensation which is specified in Schedule II hereto. Such payment will be made by federal funds wire transfer or transfer of other immediately available funds.</w:t>
      </w:r>
    </w:p>
    <w:p>
      <w:pPr>
        <w:spacing w:after="0" w:line="6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The Company covenants with each Underwriter as follows:</w:t>
      </w:r>
    </w:p>
    <w:p>
      <w:pPr>
        <w:spacing w:after="0" w:line="117" w:lineRule="exact"/>
        <w:rPr>
          <w:sz w:val="20"/>
          <w:szCs w:val="20"/>
          <w:color w:val="auto"/>
        </w:rPr>
      </w:pPr>
    </w:p>
    <w:p>
      <w:pPr>
        <w:ind w:left="-20" w:right="40" w:firstLine="987"/>
        <w:spacing w:after="0" w:line="271" w:lineRule="auto"/>
        <w:tabs>
          <w:tab w:leader="none" w:pos="12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following the execution of this Agreement, the Company will (x) prepare the Final Prospectus that complies with the Securities Act and the Securities Act Regulations and which sets forth the aggregate face amount of the Certificates and their terms not otherwise specified in the base prospectus relating to all offerings of pass through certificates under the Registration Statement, the name of each Underwriter participating in the offering and the aggregate face amount of the Certificates that each severally has agreed to purchase, the name of each Underwriter, if any, acting as representative of the Underwriters in connection with the offering, the price at which the Certificates are to be purchased by the Underwriters from the Trustee, any initial public offering price, any selling concession and reallowance, and such other information as you and the Company deem appropriate in connection with the offering of the Certificates and (y) file all material required to be filed by the Company with the Commission pursuant to Rule 433(d) within the time required by such rule. The Company will promptly transmit copies of the Final Prospectus to the Commission for filing pursuant to Rule 424 and will furnish to the Underwriters as many copies of the Final Prospectus as you shall reasonably request.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60" w:top="270" w:right="479" w:bottom="1440" w:gutter="0" w:footer="0" w:header="0"/>
        </w:sectPr>
      </w:pPr>
    </w:p>
    <w:bookmarkStart w:id="18" w:name="page19"/>
    <w:bookmarkEnd w:id="18"/>
    <w:p>
      <w:pPr>
        <w:ind w:left="-20" w:firstLine="987"/>
        <w:spacing w:after="0" w:line="253" w:lineRule="auto"/>
        <w:tabs>
          <w:tab w:leader="none" w:pos="12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period when a prospectus (or in lieu thereof, a notice referred to in Rule 173(a) under the Securities Act (“</w:t>
      </w:r>
      <w:r>
        <w:rPr>
          <w:rFonts w:ascii="Times New Roman" w:cs="Times New Roman" w:eastAsia="Times New Roman" w:hAnsi="Times New Roman"/>
          <w:sz w:val="18"/>
          <w:szCs w:val="18"/>
          <w:u w:val="single" w:color="auto"/>
          <w:color w:val="auto"/>
        </w:rPr>
        <w:t>Rule 173(a)</w:t>
      </w:r>
      <w:r>
        <w:rPr>
          <w:rFonts w:ascii="Times New Roman" w:cs="Times New Roman" w:eastAsia="Times New Roman" w:hAnsi="Times New Roman"/>
          <w:sz w:val="18"/>
          <w:szCs w:val="18"/>
          <w:color w:val="auto"/>
        </w:rPr>
        <w:t>”)) relating to the Certificates is required to be delivered under the Securities Act or the Securities Act Regulations, the Company will promptly advise you of (i) the effectiveness of any amendment to the Registration Statement, (ii) the transmittal to the Commission for filing of any supplement to the Final Prospectus or any document that would as a result thereof be incorporated by reference in the Final Prospectus, (iii) any request by the Commission for any amendment of the Registration Statement or any amendment or supplement to the Final Prospectus or for any additional information relating thereto or to any document incorporated by reference therein, (iv) the issuance by the Commission of any stop order suspending the effectiveness of the Registration Statement or the institution or threatening of any proceeding for that purpose, and (v) the receipt by the Company of any notification with respect to the suspension of the qualification of the Certificates for sale in any jurisdiction or the institution or threatening of any proceeding for such purpose. The Company will use its best efforts to prevent the issuance of any such stop order or suspension and, if issued, to obtain as soon as possible the withdrawal thereof.</w:t>
      </w:r>
    </w:p>
    <w:p>
      <w:pPr>
        <w:spacing w:after="0" w:line="86" w:lineRule="exact"/>
        <w:rPr>
          <w:rFonts w:ascii="Times New Roman" w:cs="Times New Roman" w:eastAsia="Times New Roman" w:hAnsi="Times New Roman"/>
          <w:sz w:val="18"/>
          <w:szCs w:val="18"/>
          <w:color w:val="auto"/>
        </w:rPr>
      </w:pPr>
    </w:p>
    <w:p>
      <w:pPr>
        <w:ind w:left="-20" w:right="60" w:firstLine="987"/>
        <w:spacing w:after="0" w:line="253" w:lineRule="auto"/>
        <w:tabs>
          <w:tab w:leader="none" w:pos="12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when a prospectus (or in lieu thereof, a notice referred to in Rule 173(a)) relating to the Certificates is required to be delivered under the Securities Act or the Securities Act Regulations, any event occurs as a result of which the Final Prospectus as then amended or supplemented would include any untrue statement of a material fact or omit to state any material fact necessary to make the statements therein, in light of the circumstances under which they were made, not misleading, or if it shall be necessary to amend or supplement the Final Prospectus to comply with the Securities Act or the Securities Act Regulations, the Company will promptly prepare and file with the Commission, subject to paragraph (d) of this Section 3, an amendment or supplement which will correct such statement or omission or an amendment or supplement which will effect such compliance and the Company will use its reasonable efforts to have any such amendment to the Registration Statement or new registration statement declared effective as soon as practicable (if it is not an automatic shelf registration statement with respect to the Certificates). Neither the Representatives’ consent to, nor the Underwriters’ delivery of, any such amendment or supplement shall constitute a waiver of any of the conditions set forth in Section 4 hereof.</w:t>
      </w:r>
    </w:p>
    <w:p>
      <w:pPr>
        <w:spacing w:after="0" w:line="86" w:lineRule="exact"/>
        <w:rPr>
          <w:rFonts w:ascii="Times New Roman" w:cs="Times New Roman" w:eastAsia="Times New Roman" w:hAnsi="Times New Roman"/>
          <w:sz w:val="18"/>
          <w:szCs w:val="18"/>
          <w:color w:val="auto"/>
        </w:rPr>
      </w:pPr>
    </w:p>
    <w:p>
      <w:pPr>
        <w:ind w:left="-20" w:firstLine="987"/>
        <w:spacing w:after="0" w:line="258" w:lineRule="auto"/>
        <w:tabs>
          <w:tab w:leader="none" w:pos="12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a prospectus (or in lieu thereof, a notice referred to in Rule 173(a)) relating to the Certificates is required to be delivered under the Securities Act or the Securities Act Regulations, the Company will give you notice of its intention to file any amendment to the Registration Statement or any amendment or supplement to the Final Prospectus, whether pursuant to the Exchange Act, the Securities Act or otherwise, will furnish you with copies of any such amendment or supplement or other documents proposed to be filed within a reasonable time in advance of filing, and will not file any such amendment or supplement or other documents in a form to which you shall reasonably object.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60" w:top="270" w:right="479" w:bottom="1440" w:gutter="0" w:footer="0" w:header="0"/>
        </w:sectPr>
      </w:pPr>
    </w:p>
    <w:bookmarkStart w:id="19" w:name="page20"/>
    <w:bookmarkEnd w:id="19"/>
    <w:p>
      <w:pPr>
        <w:ind w:right="20" w:firstLine="987"/>
        <w:spacing w:after="0" w:line="269" w:lineRule="auto"/>
        <w:tabs>
          <w:tab w:leader="none" w:pos="12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furnished or will furnish, if requested, to the Representatives and their counsel, without charge, conformed copies of the Original Registration Statement and of all amendments thereto, whether filed before or after such Registration Statement originally became effective (including exhibits thereto and the documents incorporated therein by reference) and the copies of the Original Registration Statement and each amendment thereto furnished to the Underwriters will be identical to the electronically transmitted copies thereof filed with the Commission pursuant to EDGAR, except to the extent permitted by Regulation S-T. So long as delivery of a Final Prospectus (or in lieu thereof, a notice referred to in</w:t>
      </w:r>
    </w:p>
    <w:p>
      <w:pPr>
        <w:spacing w:after="0" w:line="2" w:lineRule="exact"/>
        <w:rPr>
          <w:rFonts w:ascii="Times New Roman" w:cs="Times New Roman" w:eastAsia="Times New Roman" w:hAnsi="Times New Roman"/>
          <w:sz w:val="17"/>
          <w:szCs w:val="17"/>
          <w:color w:val="auto"/>
        </w:rPr>
      </w:pPr>
    </w:p>
    <w:p>
      <w:pPr>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Rule 173(a)) by the Underwriters may be required by the Securities Act, the Company will furnish as many copies of any Statutory Prospectus, the Final Prospectus and any amendments thereof and supplements thereto as the Representatives may reasonably request and the Final Prospectus and any amendments or supplements thereto furnished to each Underwriter will be identical to the electronically transmitted copies thereof filed with the Commission pursuant to EDGAR, except to the extent permitted by Regulation S-T or required under Rule 424(e).</w:t>
      </w:r>
    </w:p>
    <w:p>
      <w:pPr>
        <w:spacing w:after="0" w:line="80" w:lineRule="exact"/>
        <w:rPr>
          <w:rFonts w:ascii="Times New Roman" w:cs="Times New Roman" w:eastAsia="Times New Roman" w:hAnsi="Times New Roman"/>
          <w:sz w:val="17"/>
          <w:szCs w:val="17"/>
          <w:color w:val="auto"/>
        </w:rPr>
      </w:pPr>
    </w:p>
    <w:p>
      <w:pPr>
        <w:ind w:right="80" w:firstLine="987"/>
        <w:spacing w:after="0" w:line="258" w:lineRule="auto"/>
        <w:tabs>
          <w:tab w:leader="none" w:pos="12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reasonable efforts, in cooperation with the Underwriters, to qualify the Certificates for offering and sale under the applicable securities laws of such states in the United States as the Underwriters may reasonably designate and will maintain such qualifications in effect so long as required in connection with the distribution of the Certificates;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such jurisdiction in which it is not otherwise so subject.</w:t>
      </w:r>
    </w:p>
    <w:p>
      <w:pPr>
        <w:spacing w:after="0" w:line="75"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the proceeds received by it from the sale of the Equipment Notes in the manner to be indicated in the Final Prospectus under “Use of Proceeds.”</w:t>
      </w:r>
    </w:p>
    <w:p>
      <w:pPr>
        <w:spacing w:after="0" w:line="53"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cooperate with the Underwriters and use its reasonable efforts to permit the Certificates to be eligible for clearance and settlement through the facilities of DTC.</w:t>
      </w:r>
    </w:p>
    <w:p>
      <w:pPr>
        <w:spacing w:after="0" w:line="53" w:lineRule="exact"/>
        <w:rPr>
          <w:rFonts w:ascii="Times New Roman" w:cs="Times New Roman" w:eastAsia="Times New Roman" w:hAnsi="Times New Roman"/>
          <w:sz w:val="18"/>
          <w:szCs w:val="18"/>
          <w:color w:val="auto"/>
        </w:rPr>
      </w:pPr>
    </w:p>
    <w:p>
      <w:pPr>
        <w:ind w:right="140" w:firstLine="987"/>
        <w:spacing w:after="0" w:line="266" w:lineRule="auto"/>
        <w:tabs>
          <w:tab w:leader="none" w:pos="120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during the period when a Final Prospectus (or in lieu thereof, the notice referred to in Rule 173(a)) relating to the Certificates is required to be delivered, will file promptly all documents required to be filed with the Commission pursuant to the Exchange Act within the time periods required by the Exchange Act and the Exchange Act Regulations.</w:t>
      </w:r>
    </w:p>
    <w:p>
      <w:pPr>
        <w:spacing w:after="0" w:line="67" w:lineRule="exact"/>
        <w:rPr>
          <w:rFonts w:ascii="Times New Roman" w:cs="Times New Roman" w:eastAsia="Times New Roman" w:hAnsi="Times New Roman"/>
          <w:sz w:val="18"/>
          <w:szCs w:val="18"/>
          <w:color w:val="auto"/>
        </w:rPr>
      </w:pPr>
    </w:p>
    <w:p>
      <w:pPr>
        <w:ind w:right="140" w:firstLine="987"/>
        <w:spacing w:after="0" w:line="255" w:lineRule="auto"/>
        <w:tabs>
          <w:tab w:leader="none" w:pos="120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agrees that, unless it obtains the prior consent of each Underwriter, and each Underwriter represents and agrees that, unless it obtains the prior consent of the Company, it has not made and will not make any offer relating to the Certificates that would constitute an “issuer free writing prospectus,” as defined in Rule 433 or that would otherwise constitute a “free writing prospectus” as defined in Rule 405. Any such free writing prospectus consented to by the Company and the Underwriters is hereinafter referred to as a “</w:t>
      </w:r>
      <w:r>
        <w:rPr>
          <w:rFonts w:ascii="Times New Roman" w:cs="Times New Roman" w:eastAsia="Times New Roman" w:hAnsi="Times New Roman"/>
          <w:sz w:val="18"/>
          <w:szCs w:val="18"/>
          <w:u w:val="single" w:color="auto"/>
          <w:color w:val="auto"/>
        </w:rPr>
        <w:t>Permitted 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Company represents that it has treated or agrees that it will treat each Permitted Free Writing Prospectus as an “issuer free writing prospectus,” as defined in Rule 433, and has complied and will comply with the requirements of Rule 433 as applicable to any Permitted Free Writing Prospectus, including timely filing with the Commission where required, legending and record keeping.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0" w:name="page21"/>
    <w:bookmarkEnd w:id="20"/>
    <w:p>
      <w:pPr>
        <w:ind w:right="20" w:firstLine="987"/>
        <w:spacing w:after="0" w:line="258" w:lineRule="auto"/>
        <w:tabs>
          <w:tab w:leader="none" w:pos="1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Between the date of this Agreement and the Closing Time, the Company will not, without the Representatives’ prior consent, offer, sell or enter into any agreement to sell any public debt securities registered under the Securities Act (other than the Certificates and any American Airlines Pass Through Certificates, Series 2026-1B, if any) or any debt securities which may be sold in a transaction exempt from the registration requirements of the Securities Act in reliance on Rule 144A under the Securities Act and which are marketed through the use of a disclosure document containing substantially the same information as a prospectus for similar debt securities registered under the Securities Act.</w:t>
      </w:r>
    </w:p>
    <w:p>
      <w:pPr>
        <w:spacing w:after="0" w:line="75" w:lineRule="exact"/>
        <w:rPr>
          <w:rFonts w:ascii="Times New Roman" w:cs="Times New Roman" w:eastAsia="Times New Roman" w:hAnsi="Times New Roman"/>
          <w:sz w:val="18"/>
          <w:szCs w:val="18"/>
          <w:color w:val="auto"/>
        </w:rPr>
      </w:pPr>
    </w:p>
    <w:p>
      <w:pPr>
        <w:ind w:firstLine="987"/>
        <w:spacing w:after="0" w:line="254" w:lineRule="auto"/>
        <w:tabs>
          <w:tab w:leader="none" w:pos="120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the third anniversary (the “</w:t>
      </w:r>
      <w:r>
        <w:rPr>
          <w:rFonts w:ascii="Times New Roman" w:cs="Times New Roman" w:eastAsia="Times New Roman" w:hAnsi="Times New Roman"/>
          <w:sz w:val="18"/>
          <w:szCs w:val="18"/>
          <w:u w:val="single" w:color="auto"/>
          <w:color w:val="auto"/>
        </w:rPr>
        <w:t>Renewal Deadline</w:t>
      </w:r>
      <w:r>
        <w:rPr>
          <w:rFonts w:ascii="Times New Roman" w:cs="Times New Roman" w:eastAsia="Times New Roman" w:hAnsi="Times New Roman"/>
          <w:sz w:val="18"/>
          <w:szCs w:val="18"/>
          <w:color w:val="auto"/>
        </w:rPr>
        <w:t>”) of the initial effective date of the Original Registration Statement, any of the Certificates remain unsold by the Underwriters, the Company will use its best efforts to file, if it has not already done so and is eligible to do so, a new automatic shelf registration statement relating to the Certificates, in a form satisfactory to the Representatives. If at the Renewal Deadline the Company is no longer eligible to file an automatic shelf registration statement, the Company will, if it has not already done so, use its best efforts to file a new shelf registration statement relating to the Certificates, in a form satisfactory to the Representatives and will use its best efforts to cause such registration statement to be declared effective within 180 days after the Renewal Deadline. The Company will take all other action necessary or appropriate to permit the public offering and sale of the Certificates to continue as contemplated in the expired registration statement relating to the Certificates. References herein to the Registration Statement shall include such new automatic shelf registration statement or such new shelf registration statement, as the case may be.</w:t>
      </w:r>
    </w:p>
    <w:p>
      <w:pPr>
        <w:spacing w:after="0" w:line="188"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The Representatives agree that in the aggregate, the Certificates will be widely offered. Each Underwriter and each other member of the underwriting group that offers or sells Certificates agree that the Certificates offered by such Underwriter and such other member of the underwriting group will be primarily offered in the United States to United States persons. The term “</w:t>
      </w:r>
      <w:r>
        <w:rPr>
          <w:rFonts w:ascii="Times New Roman" w:cs="Times New Roman" w:eastAsia="Times New Roman" w:hAnsi="Times New Roman"/>
          <w:sz w:val="18"/>
          <w:szCs w:val="18"/>
          <w:u w:val="single" w:color="auto"/>
          <w:color w:val="auto"/>
        </w:rPr>
        <w:t>United States person</w:t>
      </w:r>
      <w:r>
        <w:rPr>
          <w:rFonts w:ascii="Times New Roman" w:cs="Times New Roman" w:eastAsia="Times New Roman" w:hAnsi="Times New Roman"/>
          <w:sz w:val="18"/>
          <w:szCs w:val="18"/>
          <w:color w:val="auto"/>
        </w:rPr>
        <w:t>” shall have the meaning set forth in section 7701(a)(30) of the Internal Revenue Code of 1986, as amended.</w:t>
      </w:r>
    </w:p>
    <w:p>
      <w:pPr>
        <w:spacing w:after="0" w:line="72" w:lineRule="exact"/>
        <w:rPr>
          <w:sz w:val="20"/>
          <w:szCs w:val="20"/>
          <w:color w:val="auto"/>
        </w:rPr>
      </w:pPr>
    </w:p>
    <w:p>
      <w:pPr>
        <w:jc w:val="both"/>
        <w:ind w:right="40" w:firstLine="987"/>
        <w:spacing w:after="0" w:line="281" w:lineRule="auto"/>
        <w:tabs>
          <w:tab w:leader="none" w:pos="117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to the Obligations of the Underwriters</w:t>
      </w:r>
      <w:r>
        <w:rPr>
          <w:rFonts w:ascii="Times New Roman" w:cs="Times New Roman" w:eastAsia="Times New Roman" w:hAnsi="Times New Roman"/>
          <w:sz w:val="17"/>
          <w:szCs w:val="17"/>
          <w:color w:val="auto"/>
        </w:rPr>
        <w:t>. The obligations of the Underwriters to purchase and pay for the Certificates pursuant to this Agreement shall be subject to the accuracy of and compliance with the representations and warranties of the Company contained herein as of the date hereof and as of the Closing Time, to the accuracy of the statements of the Company’s officers made in any certificates furnished pursuant to the provisions hereof, to the performance by the Company of its covenants and other obligations hereunder and to the following additional conditions:</w:t>
      </w:r>
    </w:p>
    <w:p>
      <w:pPr>
        <w:spacing w:after="0" w:line="56" w:lineRule="exact"/>
        <w:rPr>
          <w:sz w:val="20"/>
          <w:szCs w:val="20"/>
          <w:color w:val="auto"/>
        </w:rPr>
      </w:pPr>
    </w:p>
    <w:p>
      <w:pPr>
        <w:ind w:right="640" w:firstLine="987"/>
        <w:spacing w:after="0" w:line="282" w:lineRule="auto"/>
        <w:tabs>
          <w:tab w:leader="none" w:pos="12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Time, no stop order suspending the effectiveness of the Registration Statement shall have been issued under the Securities Act and no proceedings therefor shall have been instituted or threatened by the Commission.</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Time, the Underwriters shall have received:</w:t>
      </w:r>
    </w:p>
    <w:p>
      <w:pPr>
        <w:spacing w:after="0" w:line="117" w:lineRule="exact"/>
        <w:rPr>
          <w:rFonts w:ascii="Times New Roman" w:cs="Times New Roman" w:eastAsia="Times New Roman" w:hAnsi="Times New Roman"/>
          <w:sz w:val="18"/>
          <w:szCs w:val="18"/>
          <w:color w:val="auto"/>
        </w:rPr>
      </w:pPr>
    </w:p>
    <w:p>
      <w:pPr>
        <w:ind w:left="980" w:right="620" w:firstLine="408"/>
        <w:spacing w:after="0" w:line="282" w:lineRule="auto"/>
        <w:tabs>
          <w:tab w:leader="none" w:pos="163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and a negative assurance letter, each dated as of the Closing Date, of Latham &amp; Watkins LLP, as counsel for the Company, each in form and substance reasonably satisfactory to the Representatives.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1" w:name="page22"/>
    <w:bookmarkEnd w:id="21"/>
    <w:p>
      <w:pPr>
        <w:ind w:left="980" w:right="140" w:firstLine="408"/>
        <w:spacing w:after="0" w:line="312" w:lineRule="auto"/>
        <w:tabs>
          <w:tab w:leader="none" w:pos="1636"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opinion, dated as of the Closing Date, from Morris James LLP, counsel for (i) WTC, individually, and as Subordination Agent, Trustee and Loan Trustee and (ii) WTNA, as Escrow Agent, in form and substance reasonably satisfactory to the Representatives.</w:t>
      </w:r>
    </w:p>
    <w:p>
      <w:pPr>
        <w:spacing w:after="0" w:line="31" w:lineRule="exact"/>
        <w:rPr>
          <w:rFonts w:ascii="Times New Roman" w:cs="Times New Roman" w:eastAsia="Times New Roman" w:hAnsi="Times New Roman"/>
          <w:sz w:val="17"/>
          <w:szCs w:val="17"/>
          <w:color w:val="auto"/>
        </w:rPr>
      </w:pPr>
    </w:p>
    <w:p>
      <w:pPr>
        <w:ind w:left="980" w:right="680" w:firstLine="408"/>
        <w:spacing w:after="0" w:line="282" w:lineRule="auto"/>
        <w:tabs>
          <w:tab w:leader="none" w:pos="163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dated as of the Closing Date, from Pillsbury Winthrop Shaw Pittman LLP, special New York counsel for the Liquidity Provider,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3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dated as of the Closing Date, from the chief legal officer of the Liquidity Provider, or other counsel to the Liquidity Provider satisfactory to the Representatives and counsel to the Representatives, in form and substance reasonably satisfactory to the Representatives.</w:t>
      </w:r>
    </w:p>
    <w:p>
      <w:pPr>
        <w:spacing w:after="0" w:line="67" w:lineRule="exact"/>
        <w:rPr>
          <w:rFonts w:ascii="Times New Roman" w:cs="Times New Roman" w:eastAsia="Times New Roman" w:hAnsi="Times New Roman"/>
          <w:sz w:val="18"/>
          <w:szCs w:val="18"/>
          <w:color w:val="auto"/>
        </w:rPr>
      </w:pPr>
    </w:p>
    <w:p>
      <w:pPr>
        <w:ind w:left="980" w:right="680" w:firstLine="408"/>
        <w:spacing w:after="0" w:line="282" w:lineRule="auto"/>
        <w:tabs>
          <w:tab w:leader="none" w:pos="163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dated as of the Closing Date, from Pillsbury Winthrop Shaw Pittman LLP, special New York counsel for the Depositary,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left="980" w:right="260" w:firstLine="408"/>
        <w:spacing w:after="0" w:line="282" w:lineRule="auto"/>
        <w:tabs>
          <w:tab w:leader="none" w:pos="163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dated as of the Closing Date, from Yumoto, Ota &amp; Miyazaki, special Japanese counsel for the Depositary,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left="980" w:right="180" w:firstLine="408"/>
        <w:spacing w:after="0" w:line="282" w:lineRule="auto"/>
        <w:tabs>
          <w:tab w:leader="none" w:pos="163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a negative assurance letter, each dated as of the Closing Date, from Milbank LLP, counsel for the Underwriters, each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Time, there shall not have been, since the respective dates as of which information is given in the General Disclosure Package and the Final Prospectus, any material adverse change in the condition, financial or otherwise, of the Company and its subsidiaries considered as one enterprise, or in the earnings, business affairs or business prospects of the Company and its subsidiaries considered as one enterprise, whether or not arising in the ordinary course of business, and you shall have received a certificate of the President, an Executive Vice President, a Senior Vice President or a Vice President of the Company, dated as of such Closing Date, to the effect that (i) there has been no such material adverse change, (ii) the representations and warranties of the Company contained in Section 1(a) hereof are true and correct with the same force and effect as though made at such Closing Time and (iii) the Company has complied in all material respects with all of the agreements applicable to it contemplated herein and satisfied in all material respects all of the conditions on its part to be performed or satisfied hereunder on or before the Closing Date.</w:t>
      </w:r>
    </w:p>
    <w:p>
      <w:pPr>
        <w:spacing w:after="0" w:line="83"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Time, neither S&amp;P Global Ratings, a Standard &amp; Poor’s Financial Services LLC business nor Moody’s Investors Service, Inc. shall have downgraded the rating accorded any of the Company’s securities (except for any pass through certificates) or announced that any probable downgrading of such rating is about to occur in the near future.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2" w:name="page23"/>
    <w:bookmarkEnd w:id="22"/>
    <w:p>
      <w:pPr>
        <w:ind w:right="40" w:firstLine="987"/>
        <w:spacing w:after="0" w:line="261"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after the execution of this Agreement and also at the Closing Time, the Underwriters shall have received from KPMG LLP a letter or letters, dated as of the respective dates of delivery thereof, in form and substance reasonably satisfactory to the Representatives, containing statements and information of the type ordinarily included in accountants’ “comfort letters” to underwriters with respect to certain financial statements and certain financial information contained or incorporated by reference in the General Disclosure Package and the Final Prospectus.</w:t>
      </w:r>
    </w:p>
    <w:p>
      <w:pPr>
        <w:spacing w:after="0" w:line="71" w:lineRule="exact"/>
        <w:rPr>
          <w:rFonts w:ascii="Times New Roman" w:cs="Times New Roman" w:eastAsia="Times New Roman" w:hAnsi="Times New Roman"/>
          <w:sz w:val="18"/>
          <w:szCs w:val="18"/>
          <w:color w:val="auto"/>
        </w:rPr>
      </w:pPr>
    </w:p>
    <w:p>
      <w:pPr>
        <w:ind w:right="80" w:firstLine="987"/>
        <w:spacing w:after="0" w:line="281" w:lineRule="auto"/>
        <w:tabs>
          <w:tab w:leader="none" w:pos="12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Closing Time, each of the Intercreditor Agreement, the Liquidity Facility, the Trust Agreement, the Escrow Agreement, the Deposit Agreement and the Note Purchase Agreement shall have been executed and delivered by each party thereto; the representations and warranties of the Company contained in such agreements shall be accurate as of the Closing Time and the Underwriters shall have received a certificate of the President, an Executive Vice President, a Senior Vice President or a Vice President of the Company, dated as of the Closing Date, to such effect.</w:t>
      </w:r>
    </w:p>
    <w:p>
      <w:pPr>
        <w:spacing w:after="0" w:line="56" w:lineRule="exact"/>
        <w:rPr>
          <w:rFonts w:ascii="Times New Roman" w:cs="Times New Roman" w:eastAsia="Times New Roman" w:hAnsi="Times New Roman"/>
          <w:sz w:val="17"/>
          <w:szCs w:val="17"/>
          <w:color w:val="auto"/>
        </w:rPr>
      </w:pPr>
    </w:p>
    <w:p>
      <w:pPr>
        <w:ind w:right="100" w:firstLine="987"/>
        <w:spacing w:after="0" w:line="258"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execution of this Agreement and also at the Closing Time, each of the Appraisers shall have furnished to the Underwriters a letter from such Appraiser, addressed to the Company and dated the respective date of delivery thereof, confirming that such Appraiser and each of its directors and officers (i) is not an affiliate of the Company or any of its affiliates, (ii) does not have any substantial interest, direct or indirect, in the Company or any of its affiliates and (iii) is not connected with the Company or any of its affiliates as an officer, employee, promoter, underwriter, trustee, partner, director or person performing similar functions.</w:t>
      </w:r>
    </w:p>
    <w:p>
      <w:pPr>
        <w:spacing w:after="0" w:line="75" w:lineRule="exact"/>
        <w:rPr>
          <w:rFonts w:ascii="Times New Roman" w:cs="Times New Roman" w:eastAsia="Times New Roman" w:hAnsi="Times New Roman"/>
          <w:sz w:val="18"/>
          <w:szCs w:val="18"/>
          <w:color w:val="auto"/>
        </w:rPr>
      </w:pPr>
    </w:p>
    <w:p>
      <w:pPr>
        <w:ind w:right="440" w:firstLine="987"/>
        <w:spacing w:after="0" w:line="282"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of Certificates shall have received ratings equal to or higher than the ratings indicated in the free writing prospectuses identified as Item 2 in Schedule A hereto from the nationally recognized statistical rating organizations named therein.</w:t>
      </w:r>
    </w:p>
    <w:p>
      <w:pPr>
        <w:spacing w:after="0" w:line="53" w:lineRule="exact"/>
        <w:rPr>
          <w:rFonts w:ascii="Times New Roman" w:cs="Times New Roman" w:eastAsia="Times New Roman" w:hAnsi="Times New Roman"/>
          <w:sz w:val="18"/>
          <w:szCs w:val="18"/>
          <w:color w:val="auto"/>
        </w:rPr>
      </w:pPr>
    </w:p>
    <w:p>
      <w:pPr>
        <w:ind w:right="20" w:firstLine="987"/>
        <w:spacing w:after="0" w:line="266" w:lineRule="auto"/>
        <w:tabs>
          <w:tab w:leader="none" w:pos="120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Depositary shall have furnished to the Underwriters a certificate of the Depositary, signed by an officer of the Depositary, dated as of the applicable date, to the effect that the representations and warranties of the Depositary contained in Section 1(b) hereof are true and correct with the same force and effect as though made on such Closing Date.</w:t>
      </w:r>
    </w:p>
    <w:p>
      <w:pPr>
        <w:spacing w:after="0" w:line="67" w:lineRule="exact"/>
        <w:rPr>
          <w:rFonts w:ascii="Times New Roman" w:cs="Times New Roman" w:eastAsia="Times New Roman" w:hAnsi="Times New Roman"/>
          <w:sz w:val="18"/>
          <w:szCs w:val="18"/>
          <w:color w:val="auto"/>
        </w:rPr>
      </w:pPr>
    </w:p>
    <w:p>
      <w:pPr>
        <w:ind w:right="40" w:firstLine="987"/>
        <w:spacing w:after="0" w:line="281" w:lineRule="auto"/>
        <w:tabs>
          <w:tab w:leader="none" w:pos="120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furnished to the Underwriters and their counsel, in form and substance satisfactory to them, such other documents, certificates and opinions as such counsel may reasonably request for the purpose of enabling such counsel to pass upon the matters referred to in subsection (b)(7) of this Section 4 and in order to evidence the accuracy and completeness of any of the representations, warranties or statements, the performance of any covenant by the Company theretofore to be performed, or the compliance with any of the conditions herein contained.</w:t>
      </w:r>
    </w:p>
    <w:p>
      <w:pPr>
        <w:spacing w:after="0" w:line="164"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All such opinions, certificates, letters and documents shall be deemed to be in compliance with the provisions hereof only if they are in all respects satisfactory to the Underwriters and their counsel.</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440" w:top="270" w:right="519" w:bottom="1440" w:gutter="0" w:footer="0" w:header="0"/>
        </w:sectPr>
      </w:pPr>
    </w:p>
    <w:bookmarkStart w:id="23" w:name="page24"/>
    <w:bookmarkEnd w:id="23"/>
    <w:p>
      <w:pPr>
        <w:ind w:left="4" w:right="1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condition specified in this Section 4 shall not have been fulfilled when and as required to be fulfilled, other than by reason of any default by any Underwriter, such failure to fulfill a condition may be waived by the Underwriters, or this Agreement may be terminated by the Underwriters by notice to the Company at any time at or prior to the Closing Time, and such termination shall be without liability of any party to any other party, except as provided in Sections 5, 6 and 8 hereof, which provisions shall remain in effect notwithstanding such termination.</w:t>
      </w:r>
    </w:p>
    <w:p>
      <w:pPr>
        <w:spacing w:after="0" w:line="72" w:lineRule="exact"/>
        <w:rPr>
          <w:sz w:val="20"/>
          <w:szCs w:val="20"/>
          <w:color w:val="auto"/>
        </w:rPr>
      </w:pPr>
    </w:p>
    <w:p>
      <w:pPr>
        <w:ind w:left="4" w:right="340" w:firstLine="987"/>
        <w:spacing w:after="0" w:line="257" w:lineRule="auto"/>
        <w:tabs>
          <w:tab w:leader="none" w:pos="117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shall, upon demand, pay or cause to be paid all expenses incident to the performance of its obligations under this Agreement, including (i) expenses relating to the preparation, printing, filing and distribution of the Statutory Prospectus, the Final Prospectus, the Registration Statement and each Permitted Free Writing Prospectus and any amendments thereof or supplements thereto,</w:t>
      </w:r>
    </w:p>
    <w:p>
      <w:pPr>
        <w:spacing w:after="0" w:line="1" w:lineRule="exact"/>
        <w:rPr>
          <w:rFonts w:ascii="Times New Roman" w:cs="Times New Roman" w:eastAsia="Times New Roman" w:hAnsi="Times New Roman"/>
          <w:sz w:val="18"/>
          <w:szCs w:val="18"/>
          <w:color w:val="auto"/>
        </w:rPr>
      </w:pPr>
    </w:p>
    <w:p>
      <w:pPr>
        <w:ind w:left="4" w:right="80" w:hanging="4"/>
        <w:spacing w:after="0" w:line="265" w:lineRule="auto"/>
        <w:tabs>
          <w:tab w:leader="none" w:pos="26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relating to the preparation, printing and distribution of this Agreement, the Certificates, the Equipment Notes, the Operative Documents, any Underwriter’s Questionnaire or related matters, the blue sky survey and any legal investment survey by the Underwriters’ counsel, (iii) expenses relating to the issuance and delivery of the Certificates to the Underwriters, (iv) the fees and disbursements of the Company’s counsel and accountants,</w:t>
      </w:r>
    </w:p>
    <w:p>
      <w:pPr>
        <w:ind w:left="4" w:right="340" w:hanging="4"/>
        <w:spacing w:after="0" w:line="265" w:lineRule="auto"/>
        <w:tabs>
          <w:tab w:leader="none" w:pos="25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of qualifying the Certificates under state securities laws in accordance with Section 3(f) hereof, including filing fees and fees and disbursements of counsel for the Underwriters in connection therewith and in connection with the blue sky survey and any legal investment survey,</w:t>
      </w:r>
    </w:p>
    <w:p>
      <w:pPr>
        <w:ind w:left="4" w:right="80" w:hanging="4"/>
        <w:spacing w:after="0" w:line="251" w:lineRule="auto"/>
        <w:tabs>
          <w:tab w:leader="none" w:pos="30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of the Trustee, the Subordination Agent, the Loan Trustee, the Escrow Agent, the Paying Agent and the Depositary, and the fees and disbursements of their respective counsel, (vii) any fees charged by rating agencies for rating the Certificates, (viii) all costs and expenses related to review by the Financial Industry Regulatory Authority, Inc. of the Certificates (including filing fees and the fees and expenses of counsel for the Underwriters relating to review), (ix) any costs and expenses of the Company relating to investor presentations on any “road show” undertaken in connection with the marketing of the Certificates, (x) certain reasonable fees and expenses of counsel for the Underwriters, and (xi) the fees and expenses, if any, incurred in connection with the listing of the Certificates on any securities exchange. The Company will also cause to be paid all expenses incident to the performance of its obligations under the Equipment Notes and the Operative Documents and each of the other agreements and instruments referred to therein.</w:t>
      </w:r>
    </w:p>
    <w:p>
      <w:pPr>
        <w:spacing w:after="0" w:line="194" w:lineRule="exact"/>
        <w:rPr>
          <w:sz w:val="20"/>
          <w:szCs w:val="20"/>
          <w:color w:val="auto"/>
        </w:rPr>
      </w:pPr>
    </w:p>
    <w:p>
      <w:pPr>
        <w:ind w:left="4" w:right="300" w:firstLine="991"/>
        <w:spacing w:after="0" w:line="266" w:lineRule="auto"/>
        <w:rPr>
          <w:sz w:val="20"/>
          <w:szCs w:val="20"/>
          <w:color w:val="auto"/>
        </w:rPr>
      </w:pPr>
      <w:r>
        <w:rPr>
          <w:rFonts w:ascii="Times New Roman" w:cs="Times New Roman" w:eastAsia="Times New Roman" w:hAnsi="Times New Roman"/>
          <w:sz w:val="18"/>
          <w:szCs w:val="18"/>
          <w:color w:val="auto"/>
        </w:rPr>
        <w:t>If this Agreement is terminated by you in accordance with the provisions of Section 4 or Section 9(i) hereof, the Company shall, upon demand, reimburse the Underwriters for all of their out-of-pocket expenses, including the reasonable fees and disbursements of counsel for the Underwriters, incurred by them in connection with the offering contemplated by this Agreement.</w:t>
      </w:r>
    </w:p>
    <w:p>
      <w:pPr>
        <w:spacing w:after="0" w:line="68" w:lineRule="exact"/>
        <w:rPr>
          <w:sz w:val="20"/>
          <w:szCs w:val="20"/>
          <w:color w:val="auto"/>
        </w:rPr>
      </w:pPr>
    </w:p>
    <w:p>
      <w:pPr>
        <w:ind w:left="4" w:firstLine="987"/>
        <w:spacing w:after="0" w:line="256" w:lineRule="auto"/>
        <w:tabs>
          <w:tab w:leader="none" w:pos="11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 (a) The Company agrees to indemnify and hold harmless each Underwriter, its affiliates and their respective directors and officers, and each person who controls any Underwriter within the meaning of either Section 15 of the Securities Act or Section 20 of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(1) arise out of or are based upon any untrue statement or alleged untrue statement of a material fact contained in</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4"/>
          </w:cols>
          <w:pgMar w:left="436" w:top="270" w:right="519" w:bottom="1440" w:gutter="0" w:footer="0" w:header="0"/>
        </w:sectPr>
      </w:pPr>
    </w:p>
    <w:bookmarkStart w:id="24" w:name="page25"/>
    <w:bookmarkEnd w:id="2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Registration Statement (or any amendment to the Registration Statement), or arise out of or are based upon the omission or alleged omission therefrom of a material fact required to be stated therein or necessary to make the statements therein not misleading, or (2) arise out of or are based upon any untrue statement or alleged untrue statement of a material fact contained in the General Disclosure Package or in the Final Prospectus or in any amendment thereof or supplement thereto or in any Issuer Free Writing Prospectus or any amendment thereof, or arise out of or are based upon the omission or alleged omission therefrom of a material fact necessary in order to make the statements therein, in light of the circumstances under which they were made, not misleading, and, in each case, agrees to reimburse each such indemnified party for any legal or other expenses reasonably incurred by them in connection with investigating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Company shall not be liable in any such case to the extent that any such loss, claim, damage, or liability arises out of or is based upon any such untrue statement or alleged untrue statement or omission or alleged omission (a) made therein in reliance upon, and in conformity with, written information relating to any Underwriter furnished to the Company by or on behalf of such Underwriter specifically for use in the Registration Statement (or any amendment thereto) or any Issuer Free Writing Prospectus (or any amendment thereto) or the General Disclosure Package or the Final Prospectus (or any amendment or supplement thereto) or (b) made in those parts of the Registration Statement constituting a Statement of Eligibility under the TIA of a trustee on Form T-1, and (ii) the Company shall not be liable for any loss, liability or expense of any settlement or compromise of or consent to entry of judgment with respect to, any pending or threatened litigation or any pending or threatened governmental agency investigation or proceeding if such settlement or compromise of or consent to entry of judgment with respect thereto is effected without the prior written consent of the Company (which consent shall not be unreasonably withheld), except to the extent that such consent is not required pursuant to Section 6(d) hereof. This indemnity agreement will be in addition to any liability that the Company may otherwise have.</w:t>
      </w:r>
    </w:p>
    <w:p>
      <w:pPr>
        <w:spacing w:after="0" w:line="85" w:lineRule="exact"/>
        <w:rPr>
          <w:sz w:val="20"/>
          <w:szCs w:val="20"/>
          <w:color w:val="auto"/>
        </w:rPr>
      </w:pPr>
    </w:p>
    <w:p>
      <w:pPr>
        <w:ind w:right="20" w:firstLine="987"/>
        <w:spacing w:after="0" w:line="253" w:lineRule="auto"/>
        <w:tabs>
          <w:tab w:leader="none" w:pos="12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Underwriter severally agrees to indemnify and hold harmless the Company, each of its directors, each of its officers who signed the Registration Statement, and each person who controls the Company within the meaning of either Section 15 of the Securities Act or Section 20 of the Exchange Act, against any and all losses, claims, damages, liabilities and expenses described in the indemnity contained in Section 6(a) hereof, but only with respect to untrue statements or alleged untrue statements or omissions or alleged omissions made in the Registration Statement (or any amendment thereto), any Permitted Free Writing Prospectus, the General Disclosure Package, or the Final Prospectus (or any amendment or supplement thereto) in reliance upon and in conformity with the Underwriter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Underwriters shall not be liable for any loss, liability or expense of any settlement or compromise of or consent to entry of judgment with respect to, any pending or threatened litigation or any pending or threatened governmental agency investigation or proceeding if such settlement or compromise of or consent to entry of judgment with respect thereto is effected without the prior written consent of the Underwriters (which consent shall not be unreasonably withheld), except to the extent that such consent is not required pursuant to Section 6(d) hereof. This indemnity agreement will be in addition to any liability that any Underwriter may otherwise have.</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25" w:name="page26"/>
    <w:bookmarkEnd w:id="25"/>
    <w:p>
      <w:pPr>
        <w:ind w:firstLine="987"/>
        <w:spacing w:after="0" w:line="251"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Promptly after receipt by an indemnified party under Section 6(a) or (b) hereof of notice of the commencement of any action, such indemnified party will, if a claim in respect thereof is to be made against the indemnifying party under Section 6(a) or (b) hereof, notify the indemnifying party or parties in writing of the commencement thereof; but the omission so to notify the indemnifying party or parties will not relieve it from any liability which it may have to any indemnified party otherwise than under Section 6(a) or (b) hereof. In case any such action is brought against any indemnified party and it notifies the indemnifying party or parties of the commencement thereof, the indemnifying party or parties will be entitled to participate therein, and to the extent that such indemnifying party or parties may elect, by written notice delivered to such indemnified party promptly after receiving the aforesaid notice from such indemnified party, to assume the defense thereof, with counsel satisfactory to such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in the reasonable judgment of such indemnified party, a conflict of interest exists where it is advisable for such indemnified party to be represented by separate counsel, the indemnified party shall have the right to employ separate counsel in any such action, in which event the fees and expenses of such separate counsel shall be borne by the indemnifying party or parties. Upon receipt of notice from the indemnifying party or parties to such indemnified party of the election so to assume the defense of such action and approval by the indemnified party of counsel, the indemnifying party or parties will not be liable to such indemnified party under this Section 6 for any legal or other expenses subsequently incurred by such indemnified party in connection with the defense thereof unless (i) the indemnified party shall have employed separate counsel in accordance with the proviso to the next preceding sentence (it being understood, however, that the indemnifying party or parties shall not be liable for the expenses of more than one such separate counsel representing the indemnified parties under subparagraph (a) or (b), as applicable) of this Section 6 who are parties to such action in addition to one local counsel in each jurisdiction, (ii) the indemnifying party or parties shall not have employed counsel satisfactory to the indemnified party to represent the indemnified party within a reasonable time after notice of commencement of the action or (iii) the indemnifying party or parties have authorized the employment of counsel for the indemnified party at the expense of the indemnifying party or parties; and except that, if clause (i) or (iii) is applicable, such liability shall be only in respect of the counsel referred to in such clause (i) or (iii). It is understood that all such fees and expenses of counsel for the indemnified party for which the indemnifying party is liable shall be reimbursed as they are incurred. No indemnifying party shall, without the prior written consent of the indemnified party (which consent shall not be unreasonably withheld), effect any settlement or compromise of, or consent to entry of judgment with respect to, any pending or threatened proceeding in respect of which any indemnified party is or could have been a party and indemnity could have been sought hereunder by such indemnified party, unless such settlement or compromise of, or consent to entry of judgment with respect to, includes an unconditional release of such indemnified party from all liability on claims that are the subject matter of such proceeding and does not include a statement as to or an admission of fault, culpability or failure to act by or on behalf of any indemnified party.</w:t>
      </w:r>
    </w:p>
    <w:p>
      <w:pPr>
        <w:spacing w:after="0" w:line="95"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an indemnified party shall have requested an indemnifying party to reimburse the indemnified party for fees and expenses of counsel payable pursuant to this Section 6, such indemnifying party agrees that it shall be liable for any settlement, compromise or consent to entry of judgment of the nature contemplated by clause (ii) of the proviso in Section 6(a) hereof and the proviso in Section 6(b) hereof effected without its written consent if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6" w:name="page27"/>
    <w:bookmarkEnd w:id="26"/>
    <w:p>
      <w:pPr>
        <w:ind w:left="4" w:hanging="4"/>
        <w:spacing w:after="0" w:line="261" w:lineRule="auto"/>
        <w:tabs>
          <w:tab w:leader="none" w:pos="2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settlement, compromise or consent to entry of judgment is entered into more than 45 days after receipt by such indemnifying party of the aforesaid notice of request, (ii) such indemnifying party shall have received notice of the terms of such settlement, compromise or consent to entry of judgment at least 30 days prior to such settlement being entered into, and (iii) such indemnifying party shall not have reimbursed such indemnified party in accordance with such request prior to the date of such settlement, compromise or consent to entry of judgment.</w:t>
      </w:r>
    </w:p>
    <w:p>
      <w:pPr>
        <w:spacing w:after="0" w:line="71" w:lineRule="exact"/>
        <w:rPr>
          <w:rFonts w:ascii="Times New Roman" w:cs="Times New Roman" w:eastAsia="Times New Roman" w:hAnsi="Times New Roman"/>
          <w:sz w:val="18"/>
          <w:szCs w:val="18"/>
          <w:color w:val="auto"/>
        </w:rPr>
      </w:pPr>
    </w:p>
    <w:p>
      <w:pPr>
        <w:ind w:left="4" w:firstLine="987"/>
        <w:spacing w:after="0" w:line="251" w:lineRule="auto"/>
        <w:tabs>
          <w:tab w:leader="none" w:pos="12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paragraph (a) or (b) of this Section 6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(i) in such proportion as is appropriate to reflect the relative benefits received by the Company on the one hand and the Underwriters on the other hand from the offering of the Certificates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 The relative benefits received by the Company on the one hand and the Underwriters on the other hand in connection with the offering of the Certificates pursuant to this Agreement shall be deemed to be in the same proportion as the total proceeds from the offering of the Certificates pursuant to this Agreement (net of underwriting discounts and commissions paid to the Underwriters but before deducting expenses) received by the Company and the total underwriting discounts and commissions received by the Underwriters in each case as set forth on the cover of the Final Prospectus, bears to the aggregate initial public offering price of the Certificates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 The Company and the Underwriters agree that it would not be just and equitable if contribution pursuant to this Section 6 were determined by pro rata allocation or by any other method of allocation which does not take account of the equitable considerations referred to above in this Section 6. The aggregate amount of losses, liabilities, claims, damages and expenses incurred by an indemnified party and referred to above in this Section 6 shall be deemed to include any legal or other expenses reasonably incurred by such indemnified party in investigating, preparing or defending against any such action or claim. Notwithstanding the provisions of this Section 6, no Underwriter shall be required to contribute any amount in excess of the amount by which the total price at which the Certificates underwritten by it and distributed to the public were offered to the public exceeds the amount of any damages which such Underwriter has otherwise been required to pay by reason of any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Section 6, each person, if any, who</w:t>
      </w:r>
    </w:p>
    <w:p>
      <w:pPr>
        <w:spacing w:after="0" w:line="35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4"/>
          </w:cols>
          <w:pgMar w:left="436" w:top="270" w:right="479" w:bottom="1440" w:gutter="0" w:footer="0" w:header="0"/>
        </w:sectPr>
      </w:pPr>
    </w:p>
    <w:bookmarkStart w:id="27" w:name="page28"/>
    <w:bookmarkEnd w:id="2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controls any Underwriter within the meaning of Section 15 of the Securities Act or Section 20 of the Exchange Act shall have the same rights to contribution as such Underwriter, and each director of the Company, each officer of the Company who signed the Registration Statement, and each person, if any, who controls the Company within the meaning of Section 15 of the Securities Act or Section 20 of the Exchange Act shall have the same rights to contribution as the Company. The Underwriters’ respective obligations to contribute pursuant to this Section 6 are several in proportion to the face amount of Certificates set forth opposite their respective names in Schedule I hereto and not joint.</w:t>
      </w:r>
    </w:p>
    <w:p>
      <w:pPr>
        <w:spacing w:after="0" w:line="75" w:lineRule="exact"/>
        <w:rPr>
          <w:sz w:val="20"/>
          <w:szCs w:val="20"/>
          <w:color w:val="auto"/>
        </w:rPr>
      </w:pPr>
    </w:p>
    <w:p>
      <w:pPr>
        <w:ind w:right="40" w:firstLine="987"/>
        <w:spacing w:after="0" w:line="252" w:lineRule="auto"/>
        <w:tabs>
          <w:tab w:leader="none" w:pos="11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xml:space="preserve">. If any one or more Underwriters shall fail at the Closing Time to purchase and pay for any of the Certificates agreed to be purchased by such Underwriter or Underwriters pursuant to this Agreement and such failure to purchase shall constitute a default in the performance of its or their obligations under this Agreement, the remaining Underwriters shall be obligated severally to take up and pay for (in the respective proportions which the aggregate face amount of Certificates specified to be purchased by each of them in Schedule I hereto bears to the aggregate face amount of Certificates to be purchased by all the remaining Underwriters) the Certificates which the defaulting Underwriter or Underwriters agreed but failed to 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aggregate face amount of Certificates that the defaulting Underwriter or Underwriters agreed but failed to purchase shall exceed 10% of the aggregate face amount of Certificates to be purchased pursuant to this Agreement, the remaining Underwriters shall have the right, but not the obligation within 24 hours thereafter, to make arrangements to purchase all, but not less than all, of such Certificates, and if such nondefaulting Underwriters do not complete such arrangements within such 24 hour period, then this Agreement will terminate without liability to any nondefaulting Underwriters or the Company. In the event of any such termination, the provisions of Sections 5, 6 and 8 hereof shall remain in effect. In the event of a default by any Underwriter as set forth in this Section 7 that does not result in a termination of this Agreement, the Closing Time shall be postponed for such period, not exceeding seven days, as the nondefaulting Underwriters or the Company shall determine in order that the required changes in the General Disclosure Package and the Final Prospectus or in any other documents or arrangements may be effected. Nothing contained in this Agreement shall relieve any defaulting Underwriter of its liability, if any, to the Company and to any nondefaulting Underwriters for damages occasioned by its default hereunder.</w:t>
      </w:r>
    </w:p>
    <w:p>
      <w:pPr>
        <w:spacing w:after="0" w:line="87" w:lineRule="exact"/>
        <w:rPr>
          <w:rFonts w:ascii="Times New Roman" w:cs="Times New Roman" w:eastAsia="Times New Roman" w:hAnsi="Times New Roman"/>
          <w:sz w:val="18"/>
          <w:szCs w:val="18"/>
          <w:color w:val="auto"/>
        </w:rPr>
      </w:pPr>
    </w:p>
    <w:p>
      <w:pPr>
        <w:ind w:firstLine="987"/>
        <w:spacing w:after="0" w:line="261" w:lineRule="auto"/>
        <w:tabs>
          <w:tab w:leader="none" w:pos="11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Covenants, Indemnities and Agreements to Survive Delivery</w:t>
      </w:r>
      <w:r>
        <w:rPr>
          <w:rFonts w:ascii="Times New Roman" w:cs="Times New Roman" w:eastAsia="Times New Roman" w:hAnsi="Times New Roman"/>
          <w:sz w:val="18"/>
          <w:szCs w:val="18"/>
          <w:color w:val="auto"/>
        </w:rPr>
        <w:t>. All representations, warranties, covenants, indemnities and agreements contained in this Agreement, or contained in certificates of officers of the Company submitted pursuant hereto, shall remain operative and in full force and effect, regardless of any investigation made by or on behalf of the Company or any Underwriter, its affiliates, their respective directors and officers or any controlling person of either and shall survive delivery of any Certificates to the Underwriters.</w:t>
      </w:r>
    </w:p>
    <w:p>
      <w:pPr>
        <w:spacing w:after="0" w:line="71" w:lineRule="exact"/>
        <w:rPr>
          <w:rFonts w:ascii="Times New Roman" w:cs="Times New Roman" w:eastAsia="Times New Roman" w:hAnsi="Times New Roman"/>
          <w:sz w:val="18"/>
          <w:szCs w:val="18"/>
          <w:color w:val="auto"/>
        </w:rPr>
      </w:pPr>
    </w:p>
    <w:p>
      <w:pPr>
        <w:ind w:right="20" w:firstLine="987"/>
        <w:spacing w:after="0" w:line="261" w:lineRule="auto"/>
        <w:tabs>
          <w:tab w:leader="none" w:pos="11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immediately upon notice from you to the Company at any time at or prior to the Closing Time (i) if there has been, since the respective dates as of which information is given in the Registration Statement and the Final Prospectus (exclusive of any amendments or supplements thereto subsequent to the date of this Agreement), any material adverse change in the condition, financial or otherwise, of the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70" w:right="499" w:bottom="1440" w:gutter="0" w:footer="0" w:header="0"/>
        </w:sectPr>
      </w:pPr>
    </w:p>
    <w:bookmarkStart w:id="28" w:name="page29"/>
    <w:bookmarkEnd w:id="28"/>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and its subsidiaries considered as one enterprise, or in the earnings, business affairs or business prospects of the Company and its subsidiaries considered as one enterprise, whether or not arising in the ordinary course of business, or (ii) if there has occurred any outbreak or escalation of hostilities or any material adverse change in the financial markets in the United States or in the international financial markets or any other calamity or crisis the effect of any of which on the financial markets is such as to make it, in your judgment, impracticable to market the Certificates or enforce contracts for the sale of the Certificates, or (iii) if trading in the securities of AAG or the Company has been suspended by the Commission or the New York Stock Exchange, or if trading generally on the New York Stock Exchange has been suspended, or minimum or maximum prices for trading have been fixed, or maximum ranges for prices for securities have been required, by said exchange or by order of the Commission or any other governmental authority, or (iv) if a banking moratorium has been declared by either Federal or New York authorities. In the event of any such termination, the provisions of Sections 5, 6 and 8 hereof shall remain in effect.</w:t>
      </w:r>
    </w:p>
    <w:p>
      <w:pPr>
        <w:spacing w:after="0" w:line="80" w:lineRule="exact"/>
        <w:rPr>
          <w:sz w:val="20"/>
          <w:szCs w:val="20"/>
          <w:color w:val="auto"/>
        </w:rPr>
      </w:pPr>
    </w:p>
    <w:p>
      <w:pPr>
        <w:ind w:right="40" w:firstLine="987"/>
        <w:spacing w:after="0" w:line="233" w:lineRule="auto"/>
        <w:tabs>
          <w:tab w:leader="none" w:pos="126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effective only upon receipt, and, (a) if sent to the Representatives on behalf of the Underwriters, will be mailed or transmitted by any standard form of telecommunication to Goldman Sachs &amp; Co. LLC, 200 West Street, New York, New York 10282, Attention: Registration Department with a copy to: MUFG Securities Americas Inc. at 1221 Avenue of the Americas,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10020 Attention: Capital Markets Group, and (b) if sent to the Company, will be mailed or transmitted by any standard form of telecommunication to the Company at 1 Skyview Drive, Fort Worth, Texas 76155 attention of the Treasurer.</w:t>
      </w:r>
    </w:p>
    <w:p>
      <w:pPr>
        <w:spacing w:after="0" w:line="93"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4" w:lineRule="auto"/>
        <w:tabs>
          <w:tab w:leader="none" w:pos="126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inure to the benefit of and be binding upon the Underwriters and the Company and their respective successors. Nothing expressed or mentioned in this Agreement is intended or shall be construed to give any person, firm or corporation, other than the parties hereto and their respective successors and the controlling persons and officers and directors referred to in Section 6 hereof and their successors, heirs and legal representatives, any legal or equitable right, remedy or claim under or in respect of this Agreement or any provision herein contained. This Agreement and all conditions and provisions hereof are intended to be for the sole and exclusive benefit of the parties and their respective successors and said controlling persons, affiliates and officers and directors and their successors, heirs and legal representatives, and for the benefit of no other person, firm or corporation. No purchaser of Certificates from any Underwriter shall be deemed to be a successor by reason merely of such purchase.</w:t>
      </w:r>
    </w:p>
    <w:p>
      <w:pPr>
        <w:spacing w:after="0" w:line="83" w:lineRule="exact"/>
        <w:rPr>
          <w:rFonts w:ascii="Times New Roman" w:cs="Times New Roman" w:eastAsia="Times New Roman" w:hAnsi="Times New Roman"/>
          <w:sz w:val="18"/>
          <w:szCs w:val="18"/>
          <w:color w:val="auto"/>
        </w:rPr>
      </w:pPr>
    </w:p>
    <w:p>
      <w:pPr>
        <w:ind w:right="80" w:firstLine="987"/>
        <w:spacing w:after="0" w:line="258" w:lineRule="auto"/>
        <w:tabs>
          <w:tab w:leader="none" w:pos="126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The Company acknowledges and agrees that each Underwriter is acting solely in the capacity of an arm’s length contractual counterparty to the Company with respect to the offering of Certificates contemplated hereby (including in connection with determining the terms of such offering) and not as a financial advisor or a fiduciary to, or an agent of, the Company or any of its subsidiaries. Additionally, no Underwriter is advising the Company or any of its subsidiaries as to any legal, tax, investment, accounting or regulatory matters in any jurisdiction with respect to the offering of the Certificates or the process leading thereto (irrespective of whether the Underwriter has advised or is advising AAG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9" w:name="page30"/>
    <w:bookmarkEnd w:id="29"/>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the Company on other matters). Each Underwriter advises that it and its affiliates are engaged in a broad range of securities and financial services and that it and its affiliates may enter into contractual relationships with purchasers or potential purchasers of the securities of the Company or its affiliates and that some of these services or relationships may involve interests that differ from those of the Company and need not be disclosed to the Company, unless otherwise required by law. The Company has consulted with its own advisors concerning such matters and shall be responsible for making its own independent investigation and appraisal of the transactions contemplated hereby, and no Underwriter shall have any responsibility or liability to the Company or any of its subsidiaries or affiliates with respect thereto. Any review by any Underwriter of the Company, the transactions contemplated hereby or other matters relating to such transactions will be performed solely for the benefit of such Underwriter and shall not be on behalf of the Company. The Company waives, to the fullest extent permitted by law, any claims it may have against each Underwriter for breach of fiduciary duty or alleged breach of fiduciary duty and agrees that no Underwriter shall have any liability (whether direct or indirect) to the Company in respect of such a fiduciary duty claim.</w:t>
      </w:r>
    </w:p>
    <w:p>
      <w:pPr>
        <w:spacing w:after="0" w:line="86" w:lineRule="exact"/>
        <w:rPr>
          <w:sz w:val="20"/>
          <w:szCs w:val="20"/>
          <w:color w:val="auto"/>
        </w:rPr>
      </w:pPr>
    </w:p>
    <w:p>
      <w:pPr>
        <w:ind w:right="20" w:firstLine="987"/>
        <w:spacing w:after="0" w:line="282" w:lineRule="auto"/>
        <w:tabs>
          <w:tab w:leader="none" w:pos="126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THE LAWS OF THE STATE OF NEW YORK.</w:t>
      </w:r>
    </w:p>
    <w:p>
      <w:pPr>
        <w:spacing w:after="0" w:line="53"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 Venue; Waiver of Jury Trial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8" w:lineRule="auto"/>
        <w:tabs>
          <w:tab w:leader="none" w:pos="12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any suit or proceeding arising in respect of this Agreement or the Underwriters’ engagement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 Each of the parties to this Agreement agrees that a final action in any such suit or proceeding shall be conclusive and may be enforced in other jurisdictions by suit on the judgment or in any other lawful manner.</w:t>
      </w:r>
    </w:p>
    <w:p>
      <w:pPr>
        <w:spacing w:after="0" w:line="75"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waives, to the fullest extent permitted by applicable law, and agrees not to assert, by stay of motion, as a defense, or otherwise, in any legal action or proceeding brought hereunder in any of the above-named courts, that such action or proceeding is brought in an inconvenient forum, or that venue for the action or proceeding is improper.</w:t>
      </w:r>
    </w:p>
    <w:p>
      <w:pPr>
        <w:spacing w:after="0" w:line="67" w:lineRule="exact"/>
        <w:rPr>
          <w:rFonts w:ascii="Times New Roman" w:cs="Times New Roman" w:eastAsia="Times New Roman" w:hAnsi="Times New Roman"/>
          <w:sz w:val="18"/>
          <w:szCs w:val="18"/>
          <w:color w:val="auto"/>
        </w:rPr>
      </w:pPr>
    </w:p>
    <w:p>
      <w:pPr>
        <w:ind w:right="220" w:firstLine="987"/>
        <w:spacing w:after="0" w:line="282" w:lineRule="auto"/>
        <w:tabs>
          <w:tab w:leader="none" w:pos="12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waives, to the fullest extent permitted by applicable law, any and all right to trial by jury in any legal proceeding arising out of or relating to this Agreement or the transactions contemplated hereby.</w:t>
      </w:r>
    </w:p>
    <w:p>
      <w:pPr>
        <w:spacing w:after="0" w:line="54" w:lineRule="exact"/>
        <w:rPr>
          <w:sz w:val="20"/>
          <w:szCs w:val="20"/>
          <w:color w:val="auto"/>
        </w:rPr>
      </w:pPr>
    </w:p>
    <w:p>
      <w:pPr>
        <w:jc w:val="both"/>
        <w:ind w:right="420" w:firstLine="987"/>
        <w:spacing w:after="0" w:line="261" w:lineRule="auto"/>
        <w:tabs>
          <w:tab w:leader="none" w:pos="126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0" w:name="page31"/>
    <w:bookmarkEnd w:id="30"/>
    <w:p>
      <w:pPr>
        <w:ind w:left="1264" w:hanging="273"/>
        <w:spacing w:after="0"/>
        <w:tabs>
          <w:tab w:leader="none" w:pos="12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Recognition of the U.S. Special Resolutions Regimes.</w:t>
      </w:r>
    </w:p>
    <w:p>
      <w:pPr>
        <w:spacing w:after="0" w:line="117" w:lineRule="exact"/>
        <w:rPr>
          <w:sz w:val="20"/>
          <w:szCs w:val="20"/>
          <w:color w:val="auto"/>
        </w:rPr>
      </w:pPr>
    </w:p>
    <w:p>
      <w:pPr>
        <w:ind w:left="4" w:right="120" w:firstLine="987"/>
        <w:spacing w:after="0" w:line="261"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5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2"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For purposes of this section,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w:t>
      </w:r>
    </w:p>
    <w:p>
      <w:pPr>
        <w:spacing w:after="0" w:line="3" w:lineRule="exact"/>
        <w:rPr>
          <w:sz w:val="20"/>
          <w:szCs w:val="20"/>
          <w:color w:val="auto"/>
        </w:rPr>
      </w:pPr>
    </w:p>
    <w:p>
      <w:pPr>
        <w:ind w:left="4" w:right="120" w:hanging="4"/>
        <w:spacing w:after="0" w:line="260" w:lineRule="auto"/>
        <w:tabs>
          <w:tab w:leader="none" w:pos="2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73"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117"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6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This Agreement may be executed in one or more counterparts and when a counterpart has been executed by each party hereto all such counterparts taken together shall constitute one and the same agreement. Delivery of an executed counterpart of a signature page to this Agreement by telecopier, facsimile or other electronic transmission (i.e., a “pdf” or “tif”) shall be effective as delivery of a manually executed counterpart thereof.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79"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6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any contemporaneous written agreements and prior written agreements (to the extent not superseded by this Agreement) that relate to the offering of the Certificates, represents the entire agreement among the Company and the Underwriters with respect to the subject matter hereof.</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31" w:name="page32"/>
    <w:bookmarkEnd w:id="31"/>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please sign and return to us a counterpart hereof, whereupon this instrument will become a binding agreement between the Company and each Underwriter in accordance with its terms.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Clemens Metz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Clemens Metz</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i w:val="1"/>
          <w:iCs w:val="1"/>
          <w:color w:val="auto"/>
        </w:rPr>
        <w:t>Underwriting Agreement Signature Page</w:t>
      </w:r>
    </w:p>
    <w:p>
      <w:pPr>
        <w:sectPr>
          <w:pgSz w:w="11900" w:h="16838" w:orient="portrait"/>
          <w:cols w:equalWidth="0" w:num="1">
            <w:col w:w="10840"/>
          </w:cols>
          <w:pgMar w:left="440" w:top="270" w:right="6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Underwriting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hereby confirmed and accepted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individually and as Representative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Underwriters 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Douglas C. Buffone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Douglas C. Buffone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i w:val="1"/>
          <w:iCs w:val="1"/>
          <w:color w:val="auto"/>
        </w:rPr>
        <w:t>Underwriting Agreement Signature Page</w:t>
      </w:r>
    </w:p>
    <w:p>
      <w:pPr>
        <w:sectPr>
          <w:pgSz w:w="11900" w:h="16838" w:orient="portrait"/>
          <w:cols w:equalWidth="0" w:num="1">
            <w:col w:w="10019"/>
          </w:cols>
          <w:pgMar w:left="440" w:top="270"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MUFG SECURITIES AMERICAS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individually and as Representative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Underwriters 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Yezdan Badrakhan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Yezdan Badrakhan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i w:val="1"/>
          <w:iCs w:val="1"/>
          <w:color w:val="auto"/>
        </w:rPr>
        <w:t>Underwriting Agreement Signature Page</w:t>
      </w:r>
    </w:p>
    <w:p>
      <w:pPr>
        <w:sectPr>
          <w:pgSz w:w="11900" w:h="16838" w:orient="portrait"/>
          <w:cols w:equalWidth="0" w:num="1">
            <w:col w:w="10019"/>
          </w:cols>
          <w:pgMar w:left="440" w:top="270" w:right="1440" w:bottom="1440" w:gutter="0" w:footer="0" w:header="0"/>
        </w:sectPr>
      </w:pPr>
    </w:p>
    <w:bookmarkStart w:id="34" w:name="page35"/>
    <w:bookmarkEnd w:id="3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SUMITOMO MITSUI BANKING CORPORATION,</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acting through its New York Branch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Depositary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Brian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Brian Reed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i w:val="1"/>
          <w:iCs w:val="1"/>
          <w:color w:val="auto"/>
        </w:rPr>
        <w:t>Underwriting Agreement Signature Page</w:t>
      </w:r>
    </w:p>
    <w:p>
      <w:pPr>
        <w:sectPr>
          <w:pgSz w:w="11900" w:h="16838" w:orient="portrait"/>
          <w:cols w:equalWidth="0" w:num="1">
            <w:col w:w="9480"/>
          </w:cols>
          <w:pgMar w:left="1440" w:top="270" w:right="9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Underwriting</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Schedule of Issuer Free Writing Prospectuses</w:t>
      </w:r>
    </w:p>
    <w:p>
      <w:pPr>
        <w:spacing w:after="0" w:line="252" w:lineRule="exact"/>
        <w:rPr>
          <w:sz w:val="20"/>
          <w:szCs w:val="20"/>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Issuer Free Writing Prospectus, used on April 24, 2026, containing the investor presentation of the Company.</w:t>
      </w:r>
    </w:p>
    <w:p>
      <w:pPr>
        <w:spacing w:after="0" w:line="130"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Issuer Free Writing Prospectus, dated April 27, 2026, containing the terms of the Certificates (substantially in the form of Schedule C hereto).</w:t>
      </w:r>
    </w:p>
    <w:p>
      <w:pPr>
        <w:sectPr>
          <w:pgSz w:w="11900" w:h="16838" w:orient="portrait"/>
          <w:cols w:equalWidth="0" w:num="1">
            <w:col w:w="11024"/>
          </w:cols>
          <w:pgMar w:left="436" w:top="270" w:right="4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Class of</w:t>
      </w:r>
    </w:p>
    <w:p>
      <w:pPr>
        <w:spacing w:after="0" w:line="226" w:lineRule="auto"/>
        <w:rPr>
          <w:sz w:val="20"/>
          <w:szCs w:val="20"/>
          <w:color w:val="auto"/>
        </w:rPr>
      </w:pPr>
      <w:r>
        <w:rPr>
          <w:rFonts w:ascii="Times New Roman" w:cs="Times New Roman" w:eastAsia="Times New Roman" w:hAnsi="Times New Roman"/>
          <w:sz w:val="14"/>
          <w:szCs w:val="14"/>
          <w:color w:val="auto"/>
        </w:rPr>
        <w:t>Pass Through</w:t>
      </w:r>
    </w:p>
    <w:p>
      <w:pPr>
        <w:spacing w:after="0"/>
        <w:rPr>
          <w:sz w:val="20"/>
          <w:szCs w:val="20"/>
          <w:color w:val="auto"/>
        </w:rPr>
      </w:pPr>
      <w:r>
        <w:rPr>
          <w:rFonts w:ascii="Times New Roman" w:cs="Times New Roman" w:eastAsia="Times New Roman" w:hAnsi="Times New Roman"/>
          <w:sz w:val="14"/>
          <w:szCs w:val="14"/>
          <w:u w:val="single" w:color="auto"/>
          <w:color w:val="auto"/>
        </w:rPr>
        <w:t>Certificates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Certificates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SCHEDULE B</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to</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Underwriting</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Agreement</w:t>
            </w:r>
          </w:p>
        </w:tc>
        <w:tc>
          <w:tcPr>
            <w:tcW w:w="0" w:type="dxa"/>
            <w:vAlign w:val="bottom"/>
          </w:tcPr>
          <w:p>
            <w:pPr>
              <w:spacing w:after="0"/>
              <w:rPr>
                <w:sz w:val="1"/>
                <w:szCs w:val="1"/>
                <w:color w:val="auto"/>
              </w:rPr>
            </w:pPr>
          </w:p>
        </w:tc>
      </w:tr>
      <w:tr>
        <w:trPr>
          <w:trHeight w:val="382"/>
        </w:trPr>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Aggregate</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Final Expected</w:t>
            </w:r>
          </w:p>
        </w:tc>
        <w:tc>
          <w:tcPr>
            <w:tcW w:w="0" w:type="dxa"/>
            <w:vAlign w:val="bottom"/>
          </w:tcPr>
          <w:p>
            <w:pPr>
              <w:spacing w:after="0"/>
              <w:rPr>
                <w:sz w:val="1"/>
                <w:szCs w:val="1"/>
                <w:color w:val="auto"/>
              </w:rPr>
            </w:pPr>
          </w:p>
        </w:tc>
      </w:tr>
      <w:tr>
        <w:trPr>
          <w:trHeight w:val="148"/>
        </w:trPr>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8"/>
              </w:rPr>
              <w:t>Face</w:t>
            </w: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Interest Rate</w:t>
            </w:r>
          </w:p>
        </w:tc>
        <w:tc>
          <w:tcPr>
            <w:tcW w:w="14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Distribution</w:t>
            </w:r>
          </w:p>
        </w:tc>
        <w:tc>
          <w:tcPr>
            <w:tcW w:w="0" w:type="dxa"/>
            <w:vAlign w:val="bottom"/>
          </w:tcPr>
          <w:p>
            <w:pPr>
              <w:spacing w:after="0"/>
              <w:rPr>
                <w:sz w:val="1"/>
                <w:szCs w:val="1"/>
                <w:color w:val="auto"/>
              </w:rPr>
            </w:pPr>
          </w:p>
        </w:tc>
      </w:tr>
      <w:tr>
        <w:trPr>
          <w:trHeight w:val="171"/>
        </w:trPr>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Amount</w:t>
            </w:r>
          </w:p>
        </w:tc>
        <w:tc>
          <w:tcPr>
            <w:tcW w:w="960" w:type="dxa"/>
            <w:vAlign w:val="bottom"/>
            <w:gridSpan w:val="2"/>
            <w:vMerge w:val="continue"/>
          </w:tcPr>
          <w:p>
            <w:pPr>
              <w:spacing w:after="0"/>
              <w:rPr>
                <w:sz w:val="14"/>
                <w:szCs w:val="14"/>
                <w:color w:val="auto"/>
              </w:rPr>
            </w:pP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8"/>
              </w:rPr>
              <w:t>Date</w:t>
            </w:r>
          </w:p>
        </w:tc>
        <w:tc>
          <w:tcPr>
            <w:tcW w:w="0" w:type="dxa"/>
            <w:vAlign w:val="bottom"/>
          </w:tcPr>
          <w:p>
            <w:pPr>
              <w:spacing w:after="0"/>
              <w:rPr>
                <w:sz w:val="1"/>
                <w:szCs w:val="1"/>
                <w:color w:val="auto"/>
              </w:rPr>
            </w:pPr>
          </w:p>
        </w:tc>
      </w:tr>
      <w:tr>
        <w:trPr>
          <w:trHeight w:val="228"/>
        </w:trPr>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$905,038,000</w:t>
            </w: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5.25%</w:t>
            </w:r>
          </w:p>
        </w:tc>
        <w:tc>
          <w:tcPr>
            <w:tcW w:w="2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November 10, 2038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-1245235</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-4700905</wp:posOffset>
            </wp:positionH>
            <wp:positionV relativeFrom="paragraph">
              <wp:posOffset>-156845</wp:posOffset>
            </wp:positionV>
            <wp:extent cx="699516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ectPr>
          <w:pgSz w:w="11900" w:h="16838" w:orient="portrait"/>
          <w:cols w:equalWidth="0" w:num="2">
            <w:col w:w="6680" w:space="720"/>
            <w:col w:w="3620"/>
          </w:cols>
          <w:pgMar w:left="440" w:top="270"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Underwriting</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Agreement</w:t>
      </w: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American Airlines,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$905,038,000 Pass Through Certificates, Series 2026-1A</w:t>
      </w:r>
    </w:p>
    <w:p>
      <w:pPr>
        <w:spacing w:after="0" w:line="207"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Pricing Term Sheet, dated April 27, 2026 to the preliminary prospectus supplement dated April 27, 2026 (as supplemented, the “Preliminary Prospectus Supplement”) of American Airlines, Inc. (“American”).</w:t>
      </w:r>
    </w:p>
    <w:p>
      <w:pPr>
        <w:spacing w:after="0" w:line="162"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The information herein supplements the Preliminary Prospectus Supplement and supersedes the information in the Preliminary Prospectus Supplement to the extent inconsistent with the information in the Preliminary Prospectus Supplement.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Unless otherwise indicated, terms used but not defined herein have the meanings assigned to such terms in the Preliminary Prospectus Supplement.</w:t>
      </w:r>
    </w:p>
    <w:p>
      <w:pPr>
        <w:spacing w:after="0" w:line="270"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Pass Through Certificates, Series 2026-1A (“Class A Certificates”)</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$905,038,000</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Price to Public:</w:t>
            </w:r>
          </w:p>
        </w:tc>
        <w:tc>
          <w:tcPr>
            <w:tcW w:w="5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02379V AA8</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ISIN:</w:t>
            </w:r>
          </w:p>
        </w:tc>
        <w:tc>
          <w:tcPr>
            <w:tcW w:w="5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US02379VAA89</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Coupon/Stated Interest Rate:</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Make-Whole Spread Over Treasuries:</w:t>
            </w:r>
          </w:p>
        </w:tc>
        <w:tc>
          <w:tcPr>
            <w:tcW w:w="5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0.15%</w:t>
            </w:r>
          </w:p>
        </w:tc>
      </w:tr>
      <w:tr>
        <w:trPr>
          <w:trHeight w:val="216"/>
        </w:trPr>
        <w:tc>
          <w:tcPr>
            <w:tcW w:w="574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Available Amount under the Liquidity Facilities at November 10, 2026</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7"/>
                <w:szCs w:val="17"/>
                <w:b w:val="1"/>
                <w:bCs w:val="1"/>
                <w:color w:val="auto"/>
              </w:rPr>
              <w:t>:</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$71,271,743</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Initial “Maximum Commitment” under the Liquidity Facilities:</w:t>
            </w:r>
          </w:p>
        </w:tc>
        <w:tc>
          <w:tcPr>
            <w:tcW w:w="5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$71,271,743</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Underwriters’ Purchase Commitments:</w:t>
            </w:r>
          </w:p>
        </w:tc>
        <w:tc>
          <w:tcPr>
            <w:tcW w:w="528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5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$190,058,000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$162,907,000</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5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$90,504,000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$41,451,000</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5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$41,451,000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$41,451,000</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5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$41,451,000</w:t>
            </w: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Credit Agricole Securities (USA), Inc.</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$41,451,000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jc w:val="both"/>
        <w:ind w:left="424" w:right="140" w:hanging="424"/>
        <w:spacing w:after="0" w:line="220" w:lineRule="auto"/>
        <w:tabs>
          <w:tab w:leader="none" w:pos="424" w:val="left"/>
        </w:tabs>
        <w:numPr>
          <w:ilvl w:val="0"/>
          <w:numId w:val="4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first Regular Distribution Date that occurs after the currently scheduled delivery month of the last New Aircraft to be delivered to American, assuming that all Aircraft have been financed in accordance with the terms and conditions of the Note Purchase Agreement prior to such Regular Distribution Date and that all interest and principal due on or prior to such Regular Distribution Date have been paid.</w:t>
      </w:r>
    </w:p>
    <w:p>
      <w:pPr>
        <w:sectPr>
          <w:pgSz w:w="11900" w:h="16838" w:orient="portrait"/>
          <w:cols w:equalWidth="0" w:num="1">
            <w:col w:w="11024"/>
          </w:cols>
          <w:pgMar w:left="436" w:top="270" w:right="439" w:bottom="1440" w:gutter="0" w:footer="0" w:header="0"/>
        </w:sectPr>
      </w:pPr>
    </w:p>
    <w:bookmarkStart w:id="38" w:name="page39"/>
    <w:bookmarkEnd w:id="38"/>
    <w:tbl>
      <w:tblPr>
        <w:tblLayout w:type="fixed"/>
        <w:tblInd w:w="4"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662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9"/>
              </w:rPr>
              <w:t>$41,451,000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66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$41,451,000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662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9"/>
              </w:rPr>
              <w:t>$41,451,000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66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$20,725,000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662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9"/>
              </w:rPr>
              <w:t>$20,725,000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ICBC Standard Bank Plc</w:t>
            </w:r>
          </w:p>
        </w:tc>
        <w:tc>
          <w:tcPr>
            <w:tcW w:w="66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$20,725,000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662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9"/>
              </w:rPr>
              <w:t>$20,725,000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Natixis Securities Americas LLC</w:t>
            </w:r>
          </w:p>
        </w:tc>
        <w:tc>
          <w:tcPr>
            <w:tcW w:w="66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$20,725,000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NatWest Markets Securities Inc.</w:t>
            </w:r>
          </w:p>
        </w:tc>
        <w:tc>
          <w:tcPr>
            <w:tcW w:w="662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9"/>
              </w:rPr>
              <w:t>$12,218,000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66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$9,412,000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BOK Financial Securities, Inc.</w:t>
            </w:r>
          </w:p>
        </w:tc>
        <w:tc>
          <w:tcPr>
            <w:tcW w:w="662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rPr>
              <w:t>$4,706,000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Underwriting Commission:</w:t>
            </w:r>
          </w:p>
        </w:tc>
        <w:tc>
          <w:tcPr>
            <w:tcW w:w="66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$9,050,380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Percentage Concession to Underwriters:</w:t>
            </w:r>
          </w:p>
        </w:tc>
        <w:tc>
          <w:tcPr>
            <w:tcW w:w="66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Discount to Brokers/Dealers:</w:t>
            </w:r>
          </w:p>
        </w:tc>
        <w:tc>
          <w:tcPr>
            <w:tcW w:w="66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66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May 11, 2026 (T+10), the tenth business day after the date hereof</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right="140"/>
        <w:spacing w:after="0" w:line="257"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and a related prospectus supplement with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them by calling Goldman Sachs &amp; Co. LLC toll free at (866) 471-2526 or MUFG Securities Americas Inc. toll-free at (877) 649-6848.</w:t>
      </w:r>
    </w:p>
    <w:p>
      <w:pPr>
        <w:spacing w:after="0" w:line="209" w:lineRule="exact"/>
        <w:rPr>
          <w:sz w:val="20"/>
          <w:szCs w:val="20"/>
          <w:color w:val="auto"/>
        </w:rPr>
      </w:pPr>
    </w:p>
    <w:p>
      <w:pPr>
        <w:ind w:left="424" w:right="20" w:hanging="424"/>
        <w:spacing w:after="0" w:line="256" w:lineRule="auto"/>
        <w:tabs>
          <w:tab w:leader="none" w:pos="42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It is expected that delivery of the Class A Certificates will be made against payment therefore on or about May 11, 2026, which is the tenth business day following the date hereof (such settlement cycle being referred to as “T+10”). Under Rule 15c6-1 under the Securities Exchange Act of 1934, as amended, trades in the secondary market generally are required to settle in one business day unless the parties to any such trade expressly agree otherwise. Accordingly, purchasers who wish to trade the Class A Certificates on any date prior to their date of initial delivery of such Class A Certificates will be required, by virtue of the fact that the Class A Certificates initially will settle in T+10, to specify an alternative settlement cycle at the time of any such trade to prevent a failed settlement and should consult their own advisors.</w:t>
      </w:r>
    </w:p>
    <w:p>
      <w:pPr>
        <w:sectPr>
          <w:pgSz w:w="11900" w:h="16838" w:orient="portrait"/>
          <w:cols w:equalWidth="0" w:num="1">
            <w:col w:w="11024"/>
          </w:cols>
          <w:pgMar w:left="436" w:top="288" w:right="4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SCHEDULE I</w:t>
            </w:r>
          </w:p>
        </w:tc>
      </w:tr>
      <w:tr>
        <w:trPr>
          <w:trHeight w:val="216"/>
        </w:trPr>
        <w:tc>
          <w:tcPr>
            <w:tcW w:w="35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w:t>
            </w:r>
          </w:p>
        </w:tc>
      </w:tr>
      <w:tr>
        <w:trPr>
          <w:trHeight w:val="216"/>
        </w:trPr>
        <w:tc>
          <w:tcPr>
            <w:tcW w:w="35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Underwriting</w:t>
            </w:r>
          </w:p>
        </w:tc>
      </w:tr>
      <w:tr>
        <w:trPr>
          <w:trHeight w:val="234"/>
        </w:trPr>
        <w:tc>
          <w:tcPr>
            <w:tcW w:w="3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Agreement</w:t>
            </w:r>
          </w:p>
        </w:tc>
      </w:tr>
      <w:tr>
        <w:trPr>
          <w:trHeight w:val="648"/>
        </w:trPr>
        <w:tc>
          <w:tcPr>
            <w:tcW w:w="3580" w:type="dxa"/>
            <w:vAlign w:val="bottom"/>
          </w:tcPr>
          <w:p>
            <w:pPr>
              <w:spacing w:after="0"/>
              <w:rPr>
                <w:sz w:val="24"/>
                <w:szCs w:val="24"/>
                <w:color w:val="auto"/>
              </w:rPr>
            </w:pPr>
          </w:p>
        </w:tc>
        <w:tc>
          <w:tcPr>
            <w:tcW w:w="64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AMERICAN AIRLINES, INC.</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35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Face amount of</w:t>
            </w:r>
          </w:p>
        </w:tc>
      </w:tr>
      <w:tr>
        <w:trPr>
          <w:trHeight w:val="149"/>
        </w:trPr>
        <w:tc>
          <w:tcPr>
            <w:tcW w:w="35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Class A</w:t>
            </w:r>
          </w:p>
        </w:tc>
      </w:tr>
      <w:tr>
        <w:trPr>
          <w:trHeight w:val="171"/>
        </w:trPr>
        <w:tc>
          <w:tcPr>
            <w:tcW w:w="35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Certificates</w:t>
            </w: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6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190,058,000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6480" w:type="dxa"/>
            <w:vAlign w:val="bottom"/>
            <w:gridSpan w:val="2"/>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162,907,000</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6480" w:type="dxa"/>
            <w:vAlign w:val="bottom"/>
            <w:gridSpan w:val="2"/>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90,504,000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6480" w:type="dxa"/>
            <w:vAlign w:val="bottom"/>
            <w:gridSpan w:val="2"/>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41,451,000</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6480" w:type="dxa"/>
            <w:vAlign w:val="bottom"/>
            <w:gridSpan w:val="2"/>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41,451,000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6480" w:type="dxa"/>
            <w:vAlign w:val="bottom"/>
            <w:gridSpan w:val="2"/>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41,451,000</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6480" w:type="dxa"/>
            <w:vAlign w:val="bottom"/>
            <w:gridSpan w:val="2"/>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41,451,000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Credit Agricole Securities (USA), Inc.</w:t>
            </w:r>
          </w:p>
        </w:tc>
        <w:tc>
          <w:tcPr>
            <w:tcW w:w="6480" w:type="dxa"/>
            <w:vAlign w:val="bottom"/>
            <w:gridSpan w:val="2"/>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41,451,000</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6480" w:type="dxa"/>
            <w:vAlign w:val="bottom"/>
            <w:gridSpan w:val="2"/>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41,451,000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6480" w:type="dxa"/>
            <w:vAlign w:val="bottom"/>
            <w:gridSpan w:val="2"/>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41,451,000</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6480" w:type="dxa"/>
            <w:vAlign w:val="bottom"/>
            <w:gridSpan w:val="2"/>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41,451,000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6480" w:type="dxa"/>
            <w:vAlign w:val="bottom"/>
            <w:gridSpan w:val="2"/>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20,725,000</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6480" w:type="dxa"/>
            <w:vAlign w:val="bottom"/>
            <w:gridSpan w:val="2"/>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20,725,000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ICBC Standard Bank Plc</w:t>
            </w:r>
          </w:p>
        </w:tc>
        <w:tc>
          <w:tcPr>
            <w:tcW w:w="6480" w:type="dxa"/>
            <w:vAlign w:val="bottom"/>
            <w:gridSpan w:val="2"/>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20,725,000</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6480" w:type="dxa"/>
            <w:vAlign w:val="bottom"/>
            <w:gridSpan w:val="2"/>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20,725,000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Natixis Securities Americas LLC</w:t>
            </w:r>
          </w:p>
        </w:tc>
        <w:tc>
          <w:tcPr>
            <w:tcW w:w="6480" w:type="dxa"/>
            <w:vAlign w:val="bottom"/>
            <w:gridSpan w:val="2"/>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20,725,000</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NatWest Markets Securities Inc.</w:t>
            </w:r>
          </w:p>
        </w:tc>
        <w:tc>
          <w:tcPr>
            <w:tcW w:w="6480" w:type="dxa"/>
            <w:vAlign w:val="bottom"/>
            <w:gridSpan w:val="2"/>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12,218,000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6480" w:type="dxa"/>
            <w:vAlign w:val="bottom"/>
            <w:gridSpan w:val="2"/>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9,412,000</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BOK Financial Securities, Inc.</w:t>
            </w:r>
          </w:p>
        </w:tc>
        <w:tc>
          <w:tcPr>
            <w:tcW w:w="6480" w:type="dxa"/>
            <w:vAlign w:val="bottom"/>
            <w:gridSpan w:val="2"/>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4,706,000</w:t>
            </w:r>
          </w:p>
        </w:tc>
      </w:tr>
      <w:tr>
        <w:trPr>
          <w:trHeight w:val="232"/>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3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905,038,000</w:t>
            </w:r>
          </w:p>
        </w:tc>
        <w:tc>
          <w:tcPr>
            <w:tcW w:w="60" w:type="dxa"/>
            <w:vAlign w:val="bottom"/>
          </w:tcPr>
          <w:p>
            <w:pPr>
              <w:spacing w:after="0"/>
              <w:rPr>
                <w:sz w:val="20"/>
                <w:szCs w:val="20"/>
                <w:color w:val="auto"/>
              </w:rPr>
            </w:pPr>
          </w:p>
        </w:tc>
      </w:tr>
    </w:tbl>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All notices to the Underwriters shall be sent to the Representatives as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1221 Avenue of the Americas, 6th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10020</w:t>
      </w:r>
    </w:p>
    <w:p>
      <w:pPr>
        <w:sectPr>
          <w:pgSz w:w="11900" w:h="16838" w:orient="portrait"/>
          <w:cols w:equalWidth="0" w:num="1">
            <w:col w:w="11020"/>
          </w:cols>
          <w:pgMar w:left="440" w:top="270"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Underwriting</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Agreement</w:t>
      </w:r>
    </w:p>
    <w:p>
      <w:pPr>
        <w:spacing w:after="0" w:line="200" w:lineRule="exact"/>
        <w:rPr>
          <w:sz w:val="20"/>
          <w:szCs w:val="20"/>
          <w:color w:val="auto"/>
        </w:rPr>
      </w:pPr>
    </w:p>
    <w:p>
      <w:pPr>
        <w:spacing w:after="0" w:line="22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fees, discounts, commissions or other compensation: $9,050,380</w:t>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Closing date, time and location: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10:00 A.M. on May 11, 2026 at the offices of Latham &amp; Watkins LLP, 1271 Avenue of the Americas New York, NY 10020</w:t>
      </w:r>
    </w:p>
    <w:p>
      <w:pPr>
        <w:sectPr>
          <w:pgSz w:w="11900" w:h="16838" w:orient="portrait"/>
          <w:cols w:equalWidth="0" w:num="2">
            <w:col w:w="4340" w:space="720"/>
            <w:col w:w="5960"/>
          </w:cols>
          <w:pgMar w:left="440" w:top="270" w:right="439" w:bottom="1440" w:gutter="0" w:footer="0" w:header="0"/>
          <w:type w:val="continuous"/>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AIRLINES,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Pass Through Certificates, Series 2026-1B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27, 2026</w:t>
      </w:r>
    </w:p>
    <w:p>
      <w:pPr>
        <w:sectPr>
          <w:pgSz w:w="11900" w:h="16838" w:orient="portrait"/>
          <w:cols w:equalWidth="0" w:num="1">
            <w:col w:w="11020"/>
          </w:cols>
          <w:pgMar w:left="440" w:top="117" w:right="4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AMERICAN AIRLINES,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Pass Through Certificates, Series 2026-1B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196" w:lineRule="auto"/>
        <w:rPr>
          <w:sz w:val="20"/>
          <w:szCs w:val="20"/>
          <w:color w:val="auto"/>
        </w:rPr>
      </w:pPr>
      <w:r>
        <w:rPr>
          <w:rFonts w:ascii="Times New Roman" w:cs="Times New Roman" w:eastAsia="Times New Roman" w:hAnsi="Times New Roman"/>
          <w:sz w:val="18"/>
          <w:szCs w:val="18"/>
          <w:color w:val="auto"/>
        </w:rPr>
        <w:t>1221 Avenue of the Americas,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Underwriters named in Schedule I hereto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American Airlines,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that Wilmington Trust Company, a Delaware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WTC</w:t>
      </w:r>
      <w:r>
        <w:rPr>
          <w:rFonts w:ascii="Times New Roman" w:cs="Times New Roman" w:eastAsia="Times New Roman" w:hAnsi="Times New Roman"/>
          <w:sz w:val="18"/>
          <w:szCs w:val="18"/>
          <w:color w:val="auto"/>
        </w:rPr>
        <w:t>”), acting not in its individual capacity but solely as pass through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under the Pass Through Trust Agreement,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16, 2014 (the “</w:t>
      </w:r>
      <w:r>
        <w:rPr>
          <w:rFonts w:ascii="Times New Roman" w:cs="Times New Roman" w:eastAsia="Times New Roman" w:hAnsi="Times New Roman"/>
          <w:sz w:val="18"/>
          <w:szCs w:val="18"/>
          <w:u w:val="single" w:color="auto"/>
          <w:color w:val="auto"/>
        </w:rPr>
        <w:t>Basic Agreement</w:t>
      </w:r>
      <w:r>
        <w:rPr>
          <w:rFonts w:ascii="Times New Roman" w:cs="Times New Roman" w:eastAsia="Times New Roman" w:hAnsi="Times New Roman"/>
          <w:sz w:val="18"/>
          <w:szCs w:val="18"/>
          <w:color w:val="auto"/>
        </w:rPr>
        <w:t>”), as supplemented by the Company’s Pass Through Certificates, Series 2026-1B (the “</w:t>
      </w:r>
      <w:r>
        <w:rPr>
          <w:rFonts w:ascii="Times New Roman" w:cs="Times New Roman" w:eastAsia="Times New Roman" w:hAnsi="Times New Roman"/>
          <w:sz w:val="18"/>
          <w:szCs w:val="18"/>
          <w:u w:val="single" w:color="auto"/>
          <w:color w:val="auto"/>
        </w:rPr>
        <w:t>Class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to be purchased hereunder by a Trust Supplement No. 2026-1B (the “</w:t>
      </w:r>
      <w:r>
        <w:rPr>
          <w:rFonts w:ascii="Times New Roman" w:cs="Times New Roman" w:eastAsia="Times New Roman" w:hAnsi="Times New Roman"/>
          <w:sz w:val="18"/>
          <w:szCs w:val="18"/>
          <w:u w:val="single" w:color="auto"/>
          <w:color w:val="auto"/>
        </w:rPr>
        <w:t>Class B Trust Supplement</w:t>
      </w:r>
      <w:r>
        <w:rPr>
          <w:rFonts w:ascii="Times New Roman" w:cs="Times New Roman" w:eastAsia="Times New Roman" w:hAnsi="Times New Roman"/>
          <w:sz w:val="18"/>
          <w:szCs w:val="18"/>
          <w:color w:val="auto"/>
        </w:rPr>
        <w:t>”) between the Company and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Basic Agreement, as supplemented by the Class A Trust Supplement (as defined below) or the Class B Trust Supplement, as applicable,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herein collectively as the “</w:t>
      </w:r>
      <w:r>
        <w:rPr>
          <w:rFonts w:ascii="Times New Roman" w:cs="Times New Roman" w:eastAsia="Times New Roman" w:hAnsi="Times New Roman"/>
          <w:sz w:val="18"/>
          <w:szCs w:val="18"/>
          <w:u w:val="single" w:color="auto"/>
          <w:color w:val="auto"/>
        </w:rPr>
        <w:t>Trust Agreements</w:t>
      </w:r>
      <w:r>
        <w:rPr>
          <w:rFonts w:ascii="Times New Roman" w:cs="Times New Roman" w:eastAsia="Times New Roman" w:hAnsi="Times New Roman"/>
          <w:sz w:val="18"/>
          <w:szCs w:val="18"/>
          <w:color w:val="auto"/>
        </w:rPr>
        <w:t>”), issue and sell to the underwriters named in Schedule I hereto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the Class B Certificates, each in the aggregate face amount and with the interest rate and final expected distribution date set forth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B hereto on the terms and conditions stated herein. The Company has offered $883,625,000 aggregate face amount of the Company’s Pass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Certificates, Series 2026-1A (the “</w:t>
      </w:r>
      <w:r>
        <w:rPr>
          <w:rFonts w:ascii="Times New Roman" w:cs="Times New Roman" w:eastAsia="Times New Roman" w:hAnsi="Times New Roman"/>
          <w:sz w:val="18"/>
          <w:szCs w:val="18"/>
          <w:u w:val="single" w:color="auto"/>
          <w:color w:val="auto"/>
        </w:rPr>
        <w:t>Class A Certificates</w:t>
      </w:r>
      <w:r>
        <w:rPr>
          <w:rFonts w:ascii="Times New Roman" w:cs="Times New Roman" w:eastAsia="Times New Roman" w:hAnsi="Times New Roman"/>
          <w:sz w:val="18"/>
          <w:szCs w:val="18"/>
          <w:color w:val="auto"/>
        </w:rPr>
        <w:t>” and, together with the Class B Certificates,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to be purchased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Supplement No. 2026-1A (the “</w:t>
      </w:r>
      <w:r>
        <w:rPr>
          <w:rFonts w:ascii="Times New Roman" w:cs="Times New Roman" w:eastAsia="Times New Roman" w:hAnsi="Times New Roman"/>
          <w:sz w:val="18"/>
          <w:szCs w:val="18"/>
          <w:u w:val="single" w:color="auto"/>
          <w:color w:val="auto"/>
        </w:rPr>
        <w:t>Class A Trust Supplement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Class B Certificates will represent interests in the Company’s 2026-1B Pass Through Trust (the “</w:t>
      </w:r>
      <w:r>
        <w:rPr>
          <w:rFonts w:ascii="Times New Roman" w:cs="Times New Roman" w:eastAsia="Times New Roman" w:hAnsi="Times New Roman"/>
          <w:sz w:val="18"/>
          <w:szCs w:val="18"/>
          <w:u w:val="single" w:color="auto"/>
          <w:color w:val="auto"/>
        </w:rPr>
        <w:t>Class B Trust</w:t>
      </w:r>
      <w:r>
        <w:rPr>
          <w:rFonts w:ascii="Times New Roman" w:cs="Times New Roman" w:eastAsia="Times New Roman" w:hAnsi="Times New Roman"/>
          <w:sz w:val="18"/>
          <w:szCs w:val="18"/>
          <w:color w:val="auto"/>
        </w:rPr>
        <w:t>”) and the Class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Certificates will represent interests in the Company’s 2026-1A Pass Through Trust (the “</w:t>
      </w:r>
      <w:r>
        <w:rPr>
          <w:rFonts w:ascii="Times New Roman" w:cs="Times New Roman" w:eastAsia="Times New Roman" w:hAnsi="Times New Roman"/>
          <w:sz w:val="18"/>
          <w:szCs w:val="18"/>
          <w:u w:val="single" w:color="auto"/>
          <w:color w:val="auto"/>
        </w:rPr>
        <w:t>Class A Trust</w:t>
      </w:r>
      <w:r>
        <w:rPr>
          <w:rFonts w:ascii="Times New Roman" w:cs="Times New Roman" w:eastAsia="Times New Roman" w:hAnsi="Times New Roman"/>
          <w:sz w:val="18"/>
          <w:szCs w:val="18"/>
          <w:color w:val="auto"/>
        </w:rPr>
        <w:t>” and, together with the Class B Trust,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Trusts</w:t>
      </w:r>
      <w:r>
        <w:rPr>
          <w:rFonts w:ascii="Times New Roman" w:cs="Times New Roman" w:eastAsia="Times New Roman" w:hAnsi="Times New Roman"/>
          <w:sz w:val="18"/>
          <w:szCs w:val="18"/>
          <w:color w:val="auto"/>
        </w:rPr>
        <w:t>”), each established pursuant to the applicable Trust Agreement to fund the purchase of equipment notes (the “</w:t>
      </w:r>
      <w:r>
        <w:rPr>
          <w:rFonts w:ascii="Times New Roman" w:cs="Times New Roman" w:eastAsia="Times New Roman" w:hAnsi="Times New Roman"/>
          <w:sz w:val="18"/>
          <w:szCs w:val="18"/>
          <w:u w:val="single" w:color="auto"/>
          <w:color w:val="auto"/>
        </w:rPr>
        <w:t>Equipment Notes</w:t>
      </w:r>
      <w:r>
        <w:rPr>
          <w:rFonts w:ascii="Times New Roman" w:cs="Times New Roman" w:eastAsia="Times New Roman" w:hAnsi="Times New Roman"/>
          <w:sz w:val="18"/>
          <w:szCs w:val="18"/>
          <w:color w:val="auto"/>
        </w:rPr>
        <w:t>”) to be issued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 connection with the financing of (a) eleven newly manufactured Boeing 737 MAX 8 aircraft, currently scheduled for delivery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during the period from January 2026 to April 2026, (b) six newly manufactured Airbus A321 XLR aircraft, currently scheduled for delivery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during the period from July 2025 to July 2026, (c) twelve Airbus A321-200 aircraft, currently scheduled for delivery to the Company 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Airways, Inc. (which was merged with the Company in 2013) during the period from October 2013 to November 2015 and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43" w:name="page44"/>
    <w:bookmarkEnd w:id="43"/>
    <w:p>
      <w:pPr>
        <w:ind w:left="4" w:right="160" w:hanging="4"/>
        <w:spacing w:after="0" w:line="258" w:lineRule="auto"/>
        <w:tabs>
          <w:tab w:leader="none" w:pos="2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three Boeing 777-300ER aircraft, currently scheduled for delivery to the Company during the period from April 2013 to June 2013 (each such aircraft, an “</w:t>
      </w:r>
      <w:r>
        <w:rPr>
          <w:rFonts w:ascii="Times New Roman" w:cs="Times New Roman" w:eastAsia="Times New Roman" w:hAnsi="Times New Roman"/>
          <w:sz w:val="18"/>
          <w:szCs w:val="18"/>
          <w:u w:val="single" w:color="auto"/>
          <w:color w:val="auto"/>
        </w:rPr>
        <w:t>Aircraft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Aircraft</w:t>
      </w:r>
      <w:r>
        <w:rPr>
          <w:rFonts w:ascii="Times New Roman" w:cs="Times New Roman" w:eastAsia="Times New Roman" w:hAnsi="Times New Roman"/>
          <w:sz w:val="18"/>
          <w:szCs w:val="18"/>
          <w:color w:val="auto"/>
        </w:rPr>
        <w:t>”). Subject to the terms and conditions of the Note Purchase Agreement (as defined below) and the relevant participation agreement between the Company and WTC, as Trustee, Loan Trustee and Subordination Agent (each, a “</w:t>
      </w: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Equipment Notes will be issued initially in two series under 32 separate Indenture and Security Agreements between WTC, as Loan Trustee (the “Loan Trustee”), and the Company (each, including any supplements thereto, an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Indentures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cash proceeds from the sale of the applicable Certificates by each Trust will be paid to Wilmington Trust, National Association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WTNA</w:t>
      </w:r>
      <w:r>
        <w:rPr>
          <w:rFonts w:ascii="Times New Roman" w:cs="Times New Roman" w:eastAsia="Times New Roman" w:hAnsi="Times New Roman"/>
          <w:sz w:val="18"/>
          <w:szCs w:val="18"/>
          <w:color w:val="auto"/>
        </w:rPr>
        <w:t>”), acting as escrow agent (the “</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under separate Escrow and Paying Agent Agreements, to be dated as of the Closing Date (as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defined below), among the Escrow Agent, the Representatives, on behalf of the Underwriters, the Trustee of such Trust and WTC, as paying agent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for the benefit of the holders of the Certificates issued by such Trust (each, an “</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Escrow</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The Escrow Agent will deposit such cash proceeds (the “</w:t>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to the extent required pursuant to the Deposit Agreement (as defined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below), with Sumitomo Mitsui Banking Corporation, acting through its New York Branch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in accordance with separate deposit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agreements, to be dated as of the Closing Date, between the Escrow Agent and the Depositary relating to each Trust (each, a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Deposit Agreements</w:t>
      </w:r>
      <w:r>
        <w:rPr>
          <w:rFonts w:ascii="Times New Roman" w:cs="Times New Roman" w:eastAsia="Times New Roman" w:hAnsi="Times New Roman"/>
          <w:sz w:val="18"/>
          <w:szCs w:val="18"/>
          <w:color w:val="auto"/>
        </w:rPr>
        <w:t>”), and will withdraw Deposits upon request to allow the Trustee of such Trust to purchase Equipment Notes 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respect of the Aircraft from time to time pursuant to a Note Purchase Agreement, to be dated as of the Closing Date, among the Company, the Trustee,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the Subordination Agent (as defined below), the Escrow Agent and the Paying Agent (the “</w:t>
      </w:r>
      <w:r>
        <w:rPr>
          <w:rFonts w:ascii="Times New Roman" w:cs="Times New Roman" w:eastAsia="Times New Roman" w:hAnsi="Times New Roman"/>
          <w:sz w:val="17"/>
          <w:szCs w:val="17"/>
          <w:u w:val="single" w:color="auto"/>
          <w:color w:val="auto"/>
        </w:rPr>
        <w:t>Note Purchase Agreement</w:t>
      </w:r>
      <w:r>
        <w:rPr>
          <w:rFonts w:ascii="Times New Roman" w:cs="Times New Roman" w:eastAsia="Times New Roman" w:hAnsi="Times New Roman"/>
          <w:sz w:val="17"/>
          <w:szCs w:val="17"/>
          <w:color w:val="auto"/>
        </w:rPr>
        <w:t>”). With respect to each Certificate,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applicable Escrow Agent will issue a receipt to be attached to such Certificate (each an “</w:t>
      </w:r>
      <w:r>
        <w:rPr>
          <w:rFonts w:ascii="Times New Roman" w:cs="Times New Roman" w:eastAsia="Times New Roman" w:hAnsi="Times New Roman"/>
          <w:sz w:val="18"/>
          <w:szCs w:val="18"/>
          <w:u w:val="single" w:color="auto"/>
          <w:color w:val="auto"/>
        </w:rPr>
        <w:t>Escrow Receipt</w:t>
      </w:r>
      <w:r>
        <w:rPr>
          <w:rFonts w:ascii="Times New Roman" w:cs="Times New Roman" w:eastAsia="Times New Roman" w:hAnsi="Times New Roman"/>
          <w:sz w:val="18"/>
          <w:szCs w:val="18"/>
          <w:color w:val="auto"/>
        </w:rPr>
        <w:t>”) representing a fractional undivided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interest of the holder of such Certificate in amounts deposited with the Depositary on behalf of such Escrow Agent and will pay to such holders through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applicable Paying Agent interest accrued on the Deposits and received by such Paying Agent pursuant to the applicable Deposit Agreement at a rate per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annum equal to the interest rate applicable to such Certificate.</w:t>
      </w:r>
    </w:p>
    <w:p>
      <w:pPr>
        <w:spacing w:after="0" w:line="207"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Certain amounts of interest payable on the applicable Certificates issued by each Trust will be entitled to the benefits of separate liquidity facilities. Natixis, acting through its New York Branch (the “</w:t>
      </w:r>
      <w:r>
        <w:rPr>
          <w:rFonts w:ascii="Times New Roman" w:cs="Times New Roman" w:eastAsia="Times New Roman" w:hAnsi="Times New Roman"/>
          <w:sz w:val="18"/>
          <w:szCs w:val="18"/>
          <w:u w:val="single" w:color="auto"/>
          <w:color w:val="auto"/>
        </w:rPr>
        <w:t>Liquidity Provider</w:t>
      </w:r>
      <w:r>
        <w:rPr>
          <w:rFonts w:ascii="Times New Roman" w:cs="Times New Roman" w:eastAsia="Times New Roman" w:hAnsi="Times New Roman"/>
          <w:sz w:val="18"/>
          <w:szCs w:val="18"/>
          <w:color w:val="auto"/>
        </w:rPr>
        <w:t>”) and the Subordination Agent will enter into separate revolving credit agreements with respect to each Trust (each, a “</w:t>
      </w:r>
      <w:r>
        <w:rPr>
          <w:rFonts w:ascii="Times New Roman" w:cs="Times New Roman" w:eastAsia="Times New Roman" w:hAnsi="Times New Roman"/>
          <w:sz w:val="18"/>
          <w:szCs w:val="18"/>
          <w:u w:val="single" w:color="auto"/>
          <w:color w:val="auto"/>
        </w:rPr>
        <w:t>Liquidity Facility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Liquidity Facilities</w:t>
      </w:r>
      <w:r>
        <w:rPr>
          <w:rFonts w:ascii="Times New Roman" w:cs="Times New Roman" w:eastAsia="Times New Roman" w:hAnsi="Times New Roman"/>
          <w:sz w:val="18"/>
          <w:szCs w:val="18"/>
          <w:color w:val="auto"/>
        </w:rPr>
        <w:t>”) to be dated as of the Closing Date, for the benefit of the holders of applicable Certificates. The Liquidity Provider and the holders of the Certificates will be entitled to the benefits of an Intercreditor Agreement, to be dated as of the Closing Date (the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among the Trustee, the Liquidity Provider and WTC, as subordination agent and trustee thereunder (the “</w:t>
      </w:r>
      <w:r>
        <w:rPr>
          <w:rFonts w:ascii="Times New Roman" w:cs="Times New Roman" w:eastAsia="Times New Roman" w:hAnsi="Times New Roman"/>
          <w:sz w:val="18"/>
          <w:szCs w:val="18"/>
          <w:u w:val="single" w:color="auto"/>
          <w:color w:val="auto"/>
        </w:rPr>
        <w:t>Subordination Agent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As used herein, unless the context otherwise requires, the term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shall mean the firms named as Underwriters in Schedule I hereto, and the terms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shall mean Goldman Sachs &amp; Co. LLC (“</w:t>
      </w:r>
      <w:r>
        <w:rPr>
          <w:rFonts w:ascii="Times New Roman" w:cs="Times New Roman" w:eastAsia="Times New Roman" w:hAnsi="Times New Roman"/>
          <w:sz w:val="18"/>
          <w:szCs w:val="18"/>
          <w:u w:val="single" w:color="auto"/>
          <w:color w:val="auto"/>
        </w:rPr>
        <w:t>Goldman</w:t>
      </w:r>
      <w:r>
        <w:rPr>
          <w:rFonts w:ascii="Times New Roman" w:cs="Times New Roman" w:eastAsia="Times New Roman" w:hAnsi="Times New Roman"/>
          <w:sz w:val="18"/>
          <w:szCs w:val="18"/>
          <w:color w:val="auto"/>
        </w:rPr>
        <w:t>”) and MUFG Securities Americas Inc. (“</w:t>
      </w:r>
      <w:r>
        <w:rPr>
          <w:rFonts w:ascii="Times New Roman" w:cs="Times New Roman" w:eastAsia="Times New Roman" w:hAnsi="Times New Roman"/>
          <w:sz w:val="18"/>
          <w:szCs w:val="18"/>
          <w:u w:val="single" w:color="auto"/>
          <w:color w:val="auto"/>
        </w:rPr>
        <w:t>MUFG</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44" w:name="page45"/>
    <w:bookmarkEnd w:id="44"/>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Capitalized terms not otherwise defined in this underwriting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shall have the meanings specified therefor in the Trust Agreements or the Intercreditor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used in this Agreement, the term “</w:t>
      </w:r>
      <w:r>
        <w:rPr>
          <w:rFonts w:ascii="Times New Roman" w:cs="Times New Roman" w:eastAsia="Times New Roman" w:hAnsi="Times New Roman"/>
          <w:sz w:val="18"/>
          <w:szCs w:val="18"/>
          <w:u w:val="single" w:color="auto"/>
          <w:color w:val="auto"/>
        </w:rPr>
        <w:t>Operative Documents</w:t>
      </w:r>
      <w:r>
        <w:rPr>
          <w:rFonts w:ascii="Times New Roman" w:cs="Times New Roman" w:eastAsia="Times New Roman" w:hAnsi="Times New Roman"/>
          <w:sz w:val="18"/>
          <w:szCs w:val="18"/>
          <w:color w:val="auto"/>
        </w:rPr>
        <w:t>” shall mean the Intercreditor Agreement, the Liquidity Facilities, the Participation Agreements, the Indentures, the Trust Agreements, the Escrow Agreements, the Deposit Agreements and the Note Purchase Agreement.</w:t>
      </w:r>
    </w:p>
    <w:p>
      <w:pPr>
        <w:spacing w:after="0" w:line="180" w:lineRule="exact"/>
        <w:rPr>
          <w:sz w:val="20"/>
          <w:szCs w:val="20"/>
          <w:color w:val="auto"/>
        </w:rPr>
      </w:pPr>
    </w:p>
    <w:p>
      <w:pPr>
        <w:ind w:right="60" w:firstLine="991"/>
        <w:spacing w:after="0" w:line="269" w:lineRule="auto"/>
        <w:rPr>
          <w:sz w:val="20"/>
          <w:szCs w:val="20"/>
          <w:color w:val="auto"/>
        </w:rPr>
      </w:pPr>
      <w:r>
        <w:rPr>
          <w:rFonts w:ascii="Times New Roman" w:cs="Times New Roman" w:eastAsia="Times New Roman" w:hAnsi="Times New Roman"/>
          <w:sz w:val="17"/>
          <w:szCs w:val="17"/>
          <w:color w:val="auto"/>
        </w:rPr>
        <w:t>The Company has prepared and filed with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a registration statement on Form S-3 (File No. 333- 293649) relating to the Company’s pass through certificates (including the Class B Certificates) and other securities (collectively, the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and the offering thereof from time to time in accordance with Rule 415 under the Securities Act of 1933, as amended (the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Such registration statement, at any given time, including the amendments thereto to such time, the exhibits and any schedules thereto at such time, the documents incorporated by reference therein pursuant to Item 12 of Form S-3 under the Securities Act at such time and the documents otherwise deemed to be a part thereof or included therein by the rules and regulations under the Securities Act, is herein called the “</w:t>
      </w:r>
      <w:r>
        <w:rPr>
          <w:rFonts w:ascii="Times New Roman" w:cs="Times New Roman" w:eastAsia="Times New Roman" w:hAnsi="Times New Roman"/>
          <w:sz w:val="17"/>
          <w:szCs w:val="17"/>
          <w:u w:val="single" w:color="auto"/>
          <w:color w:val="auto"/>
        </w:rPr>
        <w:t>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Statement</w:t>
      </w:r>
      <w:r>
        <w:rPr>
          <w:rFonts w:ascii="Times New Roman" w:cs="Times New Roman" w:eastAsia="Times New Roman" w:hAnsi="Times New Roman"/>
          <w:sz w:val="17"/>
          <w:szCs w:val="17"/>
          <w:color w:val="auto"/>
        </w:rPr>
        <w:t>.” The Registration Statement at the time it originally became effective is herein called the “</w:t>
      </w:r>
      <w:r>
        <w:rPr>
          <w:rFonts w:ascii="Times New Roman" w:cs="Times New Roman" w:eastAsia="Times New Roman" w:hAnsi="Times New Roman"/>
          <w:sz w:val="17"/>
          <w:szCs w:val="17"/>
          <w:u w:val="single" w:color="auto"/>
          <w:color w:val="auto"/>
        </w:rPr>
        <w:t>Original Registration Statement</w:t>
      </w:r>
      <w:r>
        <w:rPr>
          <w:rFonts w:ascii="Times New Roman" w:cs="Times New Roman" w:eastAsia="Times New Roman" w:hAnsi="Times New Roman"/>
          <w:sz w:val="17"/>
          <w:szCs w:val="17"/>
          <w:color w:val="auto"/>
        </w:rPr>
        <w:t>.” As provided in Section 3(a) hereof, promptly after execution and delivery of this Agreement, the Company will prepare and file a final prospectus relating to the Class B Certificates in accordance with the provisions of Rule 430B under the Securities Act (“</w:t>
      </w:r>
      <w:r>
        <w:rPr>
          <w:rFonts w:ascii="Times New Roman" w:cs="Times New Roman" w:eastAsia="Times New Roman" w:hAnsi="Times New Roman"/>
          <w:sz w:val="17"/>
          <w:szCs w:val="17"/>
          <w:u w:val="single" w:color="auto"/>
          <w:color w:val="auto"/>
        </w:rPr>
        <w:t>Rule 430B</w:t>
      </w:r>
      <w:r>
        <w:rPr>
          <w:rFonts w:ascii="Times New Roman" w:cs="Times New Roman" w:eastAsia="Times New Roman" w:hAnsi="Times New Roman"/>
          <w:sz w:val="17"/>
          <w:szCs w:val="17"/>
          <w:color w:val="auto"/>
        </w:rPr>
        <w:t>”) and paragraph (b) of Rule 424 under the Securities Act (“</w:t>
      </w:r>
      <w:r>
        <w:rPr>
          <w:rFonts w:ascii="Times New Roman" w:cs="Times New Roman" w:eastAsia="Times New Roman" w:hAnsi="Times New Roman"/>
          <w:sz w:val="17"/>
          <w:szCs w:val="17"/>
          <w:u w:val="single" w:color="auto"/>
          <w:color w:val="auto"/>
        </w:rPr>
        <w:t>Rule 424</w:t>
      </w:r>
      <w:r>
        <w:rPr>
          <w:rFonts w:ascii="Times New Roman" w:cs="Times New Roman" w:eastAsia="Times New Roman" w:hAnsi="Times New Roman"/>
          <w:sz w:val="17"/>
          <w:szCs w:val="17"/>
          <w:color w:val="auto"/>
        </w:rPr>
        <w:t>”). Any information included in such final prospectus that was omitted from the Original Registration Statement but that is deemed to be part of and included in such registration statement pursuant to Rule 430B(f) is referred to as the “</w:t>
      </w:r>
      <w:r>
        <w:rPr>
          <w:rFonts w:ascii="Times New Roman" w:cs="Times New Roman" w:eastAsia="Times New Roman" w:hAnsi="Times New Roman"/>
          <w:sz w:val="17"/>
          <w:szCs w:val="17"/>
          <w:u w:val="single" w:color="auto"/>
          <w:color w:val="auto"/>
        </w:rPr>
        <w:t>Rule 430B Information</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Statutory Prospectus</w:t>
      </w:r>
      <w:r>
        <w:rPr>
          <w:rFonts w:ascii="Times New Roman" w:cs="Times New Roman" w:eastAsia="Times New Roman" w:hAnsi="Times New Roman"/>
          <w:sz w:val="18"/>
          <w:szCs w:val="18"/>
          <w:color w:val="auto"/>
        </w:rPr>
        <w:t>” means the preliminary prospectus supplement relating to the Class B Certificates that omits Rule 430B Information, together with the base prospectus included in the Original Registration Statement, and including the documents incorporated by reference therein pursuant to Item 12 of Form S-3 under the Securities Act immediately prior to the Applicable Time (as defined below).</w:t>
      </w:r>
    </w:p>
    <w:p>
      <w:pPr>
        <w:spacing w:after="0" w:line="176"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Final Prospectus</w:t>
      </w:r>
      <w:r>
        <w:rPr>
          <w:rFonts w:ascii="Times New Roman" w:cs="Times New Roman" w:eastAsia="Times New Roman" w:hAnsi="Times New Roman"/>
          <w:sz w:val="18"/>
          <w:szCs w:val="18"/>
          <w:color w:val="auto"/>
        </w:rPr>
        <w:t>” means the final prospectus supplement relating to the Class B Certificates and the base prospectus, collectively, in the form first filed pursuant to Rule 424(b) after the execution of this Agreement, which includes the Rule 430B Information, including the documents incorporated by reference therein pursuant to Item 12 of Form S-3 under the Securities Act.</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Any reference to any amendment or supplement to the Final Prospectus shall be deemed to refer to and include any document incorporated by reference after the date of such Final Prospectus. Any reference to any amendment to the Registration Statement shall be deemed to include any document incorporated by reference after the effective time of such Registration Statement.</w:t>
      </w:r>
    </w:p>
    <w:p>
      <w:pPr>
        <w:spacing w:after="0" w:line="176"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means any “issuer free writing prospectus,” as defined in Rule 433 under the Securities Act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relating to the public offering of the Class B Certificates.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5" w:name="page46"/>
    <w:bookmarkEnd w:id="4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 “</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shall mean 5:15 p.m. (New York Time) on April 27, 2026.</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The terms of the public offering of the Class B Certificates are set forth in the General Disclosure Package relating thereto and the Final Prospectus. The term “</w:t>
      </w:r>
      <w:r>
        <w:rPr>
          <w:rFonts w:ascii="Times New Roman" w:cs="Times New Roman" w:eastAsia="Times New Roman" w:hAnsi="Times New Roman"/>
          <w:sz w:val="18"/>
          <w:szCs w:val="18"/>
          <w:u w:val="single" w:color="auto"/>
          <w:color w:val="auto"/>
        </w:rPr>
        <w:t>General Disclosure Package</w:t>
      </w:r>
      <w:r>
        <w:rPr>
          <w:rFonts w:ascii="Times New Roman" w:cs="Times New Roman" w:eastAsia="Times New Roman" w:hAnsi="Times New Roman"/>
          <w:sz w:val="18"/>
          <w:szCs w:val="18"/>
          <w:color w:val="auto"/>
        </w:rPr>
        <w:t>” means the Statutory Prospectus and the Issuer Free Writing Prospectuses identified in items 1 and 2 of Schedule A hereto, all considered together.</w:t>
      </w:r>
    </w:p>
    <w:p>
      <w:pPr>
        <w:spacing w:after="0" w:line="176" w:lineRule="exact"/>
        <w:rPr>
          <w:sz w:val="20"/>
          <w:szCs w:val="20"/>
          <w:color w:val="auto"/>
        </w:rPr>
      </w:pPr>
    </w:p>
    <w:p>
      <w:pPr>
        <w:ind w:left="1160" w:hanging="173"/>
        <w:spacing w:after="0"/>
        <w:tabs>
          <w:tab w:leader="none" w:pos="1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 The Company represents and warrants to, and agrees with, each Underwriter that:</w:t>
      </w:r>
    </w:p>
    <w:p>
      <w:pPr>
        <w:spacing w:after="0" w:line="11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Form S-3 Eligibility</w:t>
      </w:r>
      <w:r>
        <w:rPr>
          <w:rFonts w:ascii="Times New Roman" w:cs="Times New Roman" w:eastAsia="Times New Roman" w:hAnsi="Times New Roman"/>
          <w:sz w:val="18"/>
          <w:szCs w:val="18"/>
          <w:color w:val="auto"/>
        </w:rPr>
        <w:t>. The Company meets the requirements for use of Form S-3 under the Securities Act.</w:t>
      </w:r>
    </w:p>
    <w:p>
      <w:pPr>
        <w:spacing w:after="0" w:line="117" w:lineRule="exact"/>
        <w:rPr>
          <w:sz w:val="20"/>
          <w:szCs w:val="20"/>
          <w:color w:val="auto"/>
        </w:rPr>
      </w:pPr>
    </w:p>
    <w:p>
      <w:pPr>
        <w:ind w:left="540" w:firstLine="425"/>
        <w:spacing w:after="0" w:line="251" w:lineRule="auto"/>
        <w:tabs>
          <w:tab w:leader="none" w:pos="122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Registration Statement</w:t>
      </w:r>
      <w:r>
        <w:rPr>
          <w:rFonts w:ascii="Times New Roman" w:cs="Times New Roman" w:eastAsia="Times New Roman" w:hAnsi="Times New Roman"/>
          <w:sz w:val="18"/>
          <w:szCs w:val="18"/>
          <w:color w:val="auto"/>
        </w:rPr>
        <w:t>. The Company is a well-known seasoned issuer (as defined in Rule 405 under the Securities Act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eligible to use the Registration Statement as an automatic shelf registration statement; the Registration Statement has been filed with the Commission, became effective upon filing under Rule 462(e) under the Securities Act and is an “automatic shelf registration statement” as defined in Rule 405; the Company has not received from the Commission any notice pursuant to Rule 401(g)(2) under the Securities Act objecting to the use of the automatic shelf registration statement form; no stop order suspending the effectiveness of the Registration Statement has been issued and no proceeding for that purpose has been initiated or threatened by the Commission; no order preventing or suspending the use of the Statutory Prospectus, the Final Prospectus or any Issuer Free Writing Prospectus has been issued by the Commission; any request on the part of the Commission for additional information has been complied with to the reasonable satisfaction of counsel to the Underwriters, and the Final Prospectus containing the Rule 430B Information shall be filed with the Commission in the manner and within the time period required by Rule 424(b) without reliance on Rule 424(b)(8) (or a post-effective amendment providing such information shall have been filed and become effective in accordance with the requirements of Rule 430B). At the respective times the Original Registration Statement and each amendment thereto became effective, at any deemed effective date pursuant to Rule 430B(f)(2) and at the Closing Time (as defined below), the Registration Statement complied and will comply in all material respects with the requirements of the Securities Act and the rules and regulations under the Securities Act (the “</w:t>
      </w:r>
      <w:r>
        <w:rPr>
          <w:rFonts w:ascii="Times New Roman" w:cs="Times New Roman" w:eastAsia="Times New Roman" w:hAnsi="Times New Roman"/>
          <w:sz w:val="18"/>
          <w:szCs w:val="18"/>
          <w:u w:val="single" w:color="auto"/>
          <w:color w:val="auto"/>
        </w:rPr>
        <w:t>Securities Act Regulations</w:t>
      </w:r>
      <w:r>
        <w:rPr>
          <w:rFonts w:ascii="Times New Roman" w:cs="Times New Roman" w:eastAsia="Times New Roman" w:hAnsi="Times New Roman"/>
          <w:sz w:val="18"/>
          <w:szCs w:val="18"/>
          <w:color w:val="auto"/>
        </w:rPr>
        <w:t>”) and the Trust Indenture Act of 1939, as amended (the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xml:space="preserve">”), and the rules and regulations under the TIA. At the deemed effective date, pursuant to Rule 430B(f)(2), the Registration Statement did not contain an untrue statement of a material fact or omit to state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representations and warranties in this Section 1(a)(ii) shall not apply to statements in or omissions from the Registration Statement, the General Disclosure Package, the Final Prospectus or any Issuer Free Writing Prospectus made in reliance upon and in conformity with written information furnished to the Company by the Underwriters expressly for use therein (the “Underwriter Information”) or to those parts of the Registration Statement constituting a Statement of Eligibility and Qualification under the TIA (Form T-1) of a trustee pursuant to an indenture. For purposes of this Agreement, the only Underwriter Information shall be the statements with respect to the offering of the Class B Certificates by</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46" w:name="page47"/>
    <w:bookmarkEnd w:id="4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Underwriters set forth in the third sentence of the second full paragraph and the fourth full paragraph under the caption “Underwriting” in the Statutory Prospectus and the Final Prospectus, the statements with respect to marketing activities by the Underwriters for the Class B Certificates set forth in the first and second sentences of the sixth full paragraph under the caption “Underwriting” in the Statutory Prospectus and the Final Prospectus and the statements with respect to stabilization and over-allotment of the Class B Certificates by the Underwriters (with respect to themselves only) set forth in the eleventh and twelfth full paragraphs under the caption “Underwriting” in the Statutory Prospectus and the Final Prospectus.</w:t>
      </w:r>
    </w:p>
    <w:p>
      <w:pPr>
        <w:spacing w:after="0" w:line="79" w:lineRule="exact"/>
        <w:rPr>
          <w:sz w:val="20"/>
          <w:szCs w:val="20"/>
          <w:color w:val="auto"/>
        </w:rPr>
      </w:pPr>
    </w:p>
    <w:p>
      <w:pPr>
        <w:ind w:right="20" w:firstLine="425"/>
        <w:spacing w:after="0" w:line="252" w:lineRule="auto"/>
        <w:tabs>
          <w:tab w:leader="none" w:pos="73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Prospectus and General Disclosure Package</w:t>
      </w:r>
      <w:r>
        <w:rPr>
          <w:rFonts w:ascii="Times New Roman" w:cs="Times New Roman" w:eastAsia="Times New Roman" w:hAnsi="Times New Roman"/>
          <w:sz w:val="18"/>
          <w:szCs w:val="18"/>
          <w:color w:val="auto"/>
        </w:rPr>
        <w:t>. Neither the Final Prospectus nor any amendments or supplements thereto, at the time the Final Prospectus or any such amendment or supplement is issued and at the Closing Time, will include an untrue statement of a material fact or will omit to state a material fact necessary in order to make the statements therein, in the light of the circumstances under which they were made, not misleading; the Final Prospectus will comply when filed with the Commission in all material respects with the Securities Act Regulations and each of the Statutory Prospectus and the Final Prospectus delivered to the Underwriters for use in connection with this offering was or will be, as the case may be, identical to the electronically transmitted copies thereof filed with the Commission’s Electronic Data Gathering Analysis and Retrieval 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xml:space="preserve">”), except to the extent permitted by Regulation S-T or required under Rule 424(e) under the Securities Act; the General Disclosure Package,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does not include any information that conflicts with the information contained in the Registration Statement or the Statutory Prospectus or that will conflict with the information contained in the Final Prospectus that has not been superseded or modified;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representations and warranties in this Section 1(a)(iii) shall not apply to statements in or omissions from the Registration Statement, the General Disclosure Package, the Final Prospectus or any Issuer Free Writing Prospectus made in reliance upon and in conformity with the Underwriter Information or to those parts of the Registration Statement constituting a Statement of Eligibility and Qualification under the TIA (Form T-1) of a trustee pursuant to an indenture.</w:t>
      </w:r>
    </w:p>
    <w:p>
      <w:pPr>
        <w:spacing w:after="0" w:line="88" w:lineRule="exact"/>
        <w:rPr>
          <w:rFonts w:ascii="Times New Roman" w:cs="Times New Roman" w:eastAsia="Times New Roman" w:hAnsi="Times New Roman"/>
          <w:sz w:val="18"/>
          <w:szCs w:val="18"/>
          <w:color w:val="auto"/>
        </w:rPr>
      </w:pPr>
    </w:p>
    <w:p>
      <w:pPr>
        <w:ind w:firstLine="425"/>
        <w:spacing w:after="0" w:line="261" w:lineRule="auto"/>
        <w:tabs>
          <w:tab w:leader="none" w:pos="72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General Disclosure Package and the Final Prospectus as delivered from time to time shall incorporate by reference (A) the most recent Annual Report on Form 10-K for the year ended December 31, 2025, filed by the Company with the Commission,</w:t>
      </w:r>
    </w:p>
    <w:p>
      <w:pPr>
        <w:ind w:right="20" w:firstLine="7"/>
        <w:spacing w:after="0" w:line="252" w:lineRule="auto"/>
        <w:tabs>
          <w:tab w:leader="none" w:pos="2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March 31, 2026, filed by the Company with the Commission, (C) each Current Report on Form 8-K filed (not furnished) by the Company with the Commission on or after January 1, 2026 and (D) such other reports as are specifically incorporated by reference in the General Disclosure Package and the Final Prospectus (the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Incorporated Documents filed on or before the date hereof or hereafter are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The Incorporated Documents at the time they were or hereafter are filed with the Commission, or if amended, as so amended, complied and will comply in all material respects with the requirements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applicable rules and regulations of the Commission thereunder (the “</w:t>
      </w:r>
      <w:r>
        <w:rPr>
          <w:rFonts w:ascii="Times New Roman" w:cs="Times New Roman" w:eastAsia="Times New Roman" w:hAnsi="Times New Roman"/>
          <w:sz w:val="18"/>
          <w:szCs w:val="18"/>
          <w:u w:val="single" w:color="auto"/>
          <w:color w:val="auto"/>
        </w:rPr>
        <w:t>Exchange Act Regulations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60"/>
          </w:cols>
          <w:pgMar w:left="980" w:top="270" w:right="459" w:bottom="1440" w:gutter="0" w:footer="0" w:header="0"/>
        </w:sectPr>
      </w:pPr>
    </w:p>
    <w:bookmarkStart w:id="47" w:name="page48"/>
    <w:bookmarkEnd w:id="47"/>
    <w:p>
      <w:pPr>
        <w:ind w:right="40" w:firstLine="425"/>
        <w:spacing w:after="0" w:line="253" w:lineRule="auto"/>
        <w:tabs>
          <w:tab w:leader="none" w:pos="67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Statements</w:t>
      </w:r>
      <w:r>
        <w:rPr>
          <w:rFonts w:ascii="Times New Roman" w:cs="Times New Roman" w:eastAsia="Times New Roman" w:hAnsi="Times New Roman"/>
          <w:sz w:val="18"/>
          <w:szCs w:val="18"/>
          <w:color w:val="auto"/>
        </w:rPr>
        <w:t>. The consolidated financial statements of the Company, together with the related schedules and notes, included in the SEC Reports and incorporated by reference in the Registration Statement and the Statutory Prospectus and to be incorporated by reference in the Final Prospectus, present fairly, in all material respects, the consolidated financial position of the Company and its consolidated subsidiaries at the dates indicated and the statement of operations, comprehensive income, cash flows and stockholders’ equity of the Company and its consolidated subsidiaries throughout the periods specified; and said financial statements have been or will be prepared in conformity with generally accepted accounting principles as in effect in the United States of America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during the periods involved (except as indicated in the footnotes to such financial statements). The supporting schedules included in the SEC Reports and incorporated by reference in the General Disclosure Package and to be incorporated by reference in the Final Prospectus present fairly in accordance with GAAP the information required to be stated therein. The interactive data in eXtensible Business Reporting Language incorporated by reference in the General Disclosure Package and to be incorporated by reference in the Final Prospectus fairly presents the information called for in all material respects and is or will be prepared in accordance with the Commission’s rules and guidelines applicable thereto.</w:t>
      </w:r>
    </w:p>
    <w:p>
      <w:pPr>
        <w:spacing w:after="0" w:line="81" w:lineRule="exact"/>
        <w:rPr>
          <w:rFonts w:ascii="Times New Roman" w:cs="Times New Roman" w:eastAsia="Times New Roman" w:hAnsi="Times New Roman"/>
          <w:sz w:val="18"/>
          <w:szCs w:val="18"/>
          <w:color w:val="auto"/>
        </w:rPr>
      </w:pPr>
    </w:p>
    <w:p>
      <w:pPr>
        <w:ind w:right="20" w:firstLine="425"/>
        <w:spacing w:after="0" w:line="261" w:lineRule="auto"/>
        <w:tabs>
          <w:tab w:leader="none" w:pos="7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KPMG LLP, who audited the annual consolidated financial statements of the Company for each of the fiscal years ended December 31, 2025, 2024 and 2023 that are incorporated by reference in the General Disclosure Package and the Final Prospectus, is an independent registered public accounting firm as required by the Securities Act, the Securities Act Regulations and the Public Company Accounting Oversight Board.</w:t>
      </w:r>
    </w:p>
    <w:p>
      <w:pPr>
        <w:spacing w:after="0" w:line="71" w:lineRule="exact"/>
        <w:rPr>
          <w:rFonts w:ascii="Times New Roman" w:cs="Times New Roman" w:eastAsia="Times New Roman" w:hAnsi="Times New Roman"/>
          <w:sz w:val="18"/>
          <w:szCs w:val="18"/>
          <w:color w:val="auto"/>
        </w:rPr>
      </w:pPr>
    </w:p>
    <w:p>
      <w:pPr>
        <w:ind w:right="40" w:firstLine="425"/>
        <w:spacing w:after="0" w:line="256" w:lineRule="auto"/>
        <w:tabs>
          <w:tab w:leader="none" w:pos="77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Since the respective dates as of which information is given in the Registration Statement, the General Disclosure Package or the Final Prospectus, except as otherwise stated therein or contemplated thereby, (A) there has been no material adverse change in the condition, financial or otherwise, or the earnings, results of operations or general affairs of the Company and its subsidiaries taken as a whole, whether or not arising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(B) there have been no transactions entered into by the Company or any of its subsidiaries other than those in the ordinary course of business, which are material with respect to the Company and its subsidiaries taken as a whole.</w:t>
      </w:r>
    </w:p>
    <w:p>
      <w:pPr>
        <w:spacing w:after="0" w:line="79" w:lineRule="exact"/>
        <w:rPr>
          <w:rFonts w:ascii="Times New Roman" w:cs="Times New Roman" w:eastAsia="Times New Roman" w:hAnsi="Times New Roman"/>
          <w:sz w:val="18"/>
          <w:szCs w:val="18"/>
          <w:color w:val="auto"/>
        </w:rPr>
      </w:pPr>
    </w:p>
    <w:p>
      <w:pPr>
        <w:ind w:firstLine="425"/>
        <w:spacing w:after="0" w:line="255" w:lineRule="auto"/>
        <w:tabs>
          <w:tab w:leader="none" w:pos="8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w:t>
      </w:r>
      <w:r>
        <w:rPr>
          <w:rFonts w:ascii="Times New Roman" w:cs="Times New Roman" w:eastAsia="Times New Roman" w:hAnsi="Times New Roman"/>
          <w:sz w:val="18"/>
          <w:szCs w:val="18"/>
          <w:color w:val="auto"/>
        </w:rPr>
        <w:t>. The Company is a corporation duly incorporated and validly existing in good standing under the laws of the State of Delaware and has corporate power and authority to own, lease and operate its properties and conduct its business as described in the General Disclosure Package and the Final Prospectus and to enter into and perform its obligations under, or as contemplated by, this Agreement. The Company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Effect. The Company has no “significant subsidiaries” (as such term is defined in Rule 1-02 of Regulation S-X).</w:t>
      </w:r>
    </w:p>
    <w:p>
      <w:pPr>
        <w:spacing w:after="0" w:line="12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60"/>
          </w:cols>
          <w:pgMar w:left="980" w:top="270" w:right="459" w:bottom="1440" w:gutter="0" w:footer="0" w:header="0"/>
        </w:sectPr>
      </w:pPr>
    </w:p>
    <w:bookmarkStart w:id="48" w:name="page49"/>
    <w:bookmarkEnd w:id="48"/>
    <w:p>
      <w:pPr>
        <w:ind w:firstLine="425"/>
        <w:spacing w:after="0" w:line="266" w:lineRule="auto"/>
        <w:tabs>
          <w:tab w:leader="none" w:pos="7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w:t>
      </w:r>
      <w:r>
        <w:rPr>
          <w:rFonts w:ascii="Times New Roman" w:cs="Times New Roman" w:eastAsia="Times New Roman" w:hAnsi="Times New Roman"/>
          <w:sz w:val="18"/>
          <w:szCs w:val="18"/>
          <w:color w:val="auto"/>
        </w:rPr>
        <w:t>. All of the issued and outstanding capital stock of the Company has been duly authorized and validly issued, is fully paid and non-assessable and is owned by American Airlines Group Inc. (“</w:t>
      </w:r>
      <w:r>
        <w:rPr>
          <w:rFonts w:ascii="Times New Roman" w:cs="Times New Roman" w:eastAsia="Times New Roman" w:hAnsi="Times New Roman"/>
          <w:sz w:val="18"/>
          <w:szCs w:val="18"/>
          <w:u w:val="single" w:color="auto"/>
          <w:color w:val="auto"/>
        </w:rPr>
        <w:t>AAG</w:t>
      </w:r>
      <w:r>
        <w:rPr>
          <w:rFonts w:ascii="Times New Roman" w:cs="Times New Roman" w:eastAsia="Times New Roman" w:hAnsi="Times New Roman"/>
          <w:sz w:val="18"/>
          <w:szCs w:val="18"/>
          <w:color w:val="auto"/>
        </w:rPr>
        <w:t>”) free and clear of any recorded liens, encumbrances, equities or claims.</w:t>
      </w:r>
    </w:p>
    <w:p>
      <w:pPr>
        <w:spacing w:after="0" w:line="67" w:lineRule="exact"/>
        <w:rPr>
          <w:rFonts w:ascii="Times New Roman" w:cs="Times New Roman" w:eastAsia="Times New Roman" w:hAnsi="Times New Roman"/>
          <w:sz w:val="18"/>
          <w:szCs w:val="18"/>
          <w:color w:val="auto"/>
        </w:rPr>
      </w:pPr>
    </w:p>
    <w:p>
      <w:pPr>
        <w:jc w:val="both"/>
        <w:ind w:right="140" w:firstLine="425"/>
        <w:spacing w:after="0" w:line="261" w:lineRule="auto"/>
        <w:tabs>
          <w:tab w:leader="none" w:pos="6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Air Carrier Certification</w:t>
      </w:r>
      <w:r>
        <w:rPr>
          <w:rFonts w:ascii="Times New Roman" w:cs="Times New Roman" w:eastAsia="Times New Roman" w:hAnsi="Times New Roman"/>
          <w:sz w:val="18"/>
          <w:szCs w:val="18"/>
          <w:color w:val="auto"/>
        </w:rPr>
        <w:t>. The Company (A) is an “air carrier” within the meaning of 49 U.S.C. Section 40102(a)(2), (B) holds an air carrier operating certificate issued by the Secretary of Transportation pursuant to Chapter 447 of Title 49 of the United States Code for aircraft capable of carrying 10 or more individuals or 6,000 pounds or more of cargo and (C) is a “citizen of the United States” as defined in 49 U.S.C. Section 40102(a)(15).</w:t>
      </w:r>
    </w:p>
    <w:p>
      <w:pPr>
        <w:spacing w:after="0" w:line="71" w:lineRule="exact"/>
        <w:rPr>
          <w:rFonts w:ascii="Times New Roman" w:cs="Times New Roman" w:eastAsia="Times New Roman" w:hAnsi="Times New Roman"/>
          <w:sz w:val="18"/>
          <w:szCs w:val="18"/>
          <w:color w:val="auto"/>
        </w:rPr>
      </w:pPr>
    </w:p>
    <w:p>
      <w:pPr>
        <w:ind w:right="40" w:firstLine="425"/>
        <w:spacing w:after="0" w:line="252" w:lineRule="auto"/>
        <w:tabs>
          <w:tab w:leader="none" w:pos="7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Agreements; Binding Obligations</w:t>
      </w:r>
      <w:r>
        <w:rPr>
          <w:rFonts w:ascii="Times New Roman" w:cs="Times New Roman" w:eastAsia="Times New Roman" w:hAnsi="Times New Roman"/>
          <w:sz w:val="18"/>
          <w:szCs w:val="18"/>
          <w:color w:val="auto"/>
        </w:rPr>
        <w:t>. This Agreement, the Equipment Notes and the Operative Documents to which the Company is, or is to be, a party have been duly authorized by the Company. This Agreement has been duly executed and delivered by the Company and each Operative Document (subject to the satisfaction of conditions precedent set forth in the Note Purchase Agreement and the Participation Agreements) to which the Company is to be a party will be at or prior to the applicable Closing Date (as defined in the applicable Participation Agreement) duly executed and delivered by the Company. The Equipment Notes will be (subject to the satisfaction of conditions precedent set forth in the Note Purchase Agreement and the Participation Agreements) duly executed and delivered by the Company at or prior to the applicable Closing Date (as defined in the applicable Participation Agreement). Each Operative Document to which the Company is, or is to be, a party, when duly executed and delivered by the Company, assuming that such document constitutes the legal, valid and binding obligation of each other party thereto, constitutes or will constitute, as the case may be, a valid and binding obligation of the Company, enforceable against the Company in accordance with its terms, except as may be limited by bankruptcy, insolvency, reorganization, moratorium or other similar laws affecting enforcement of creditors’ rights generally and by general principles of equity. When executed, authenticated, issued and delivered in the manner provided for in the Escrow Agreement, the Escrow Receipt will be legally and validly issued and will be entitled to the benefits of the Escrow Agreement, except as may be limited by bankruptcy, insolvency, reorganization, moratorium or other similar laws affecting enforcement of creditors’ rights generally and by general principles of equity. The Class B Certificates, the Equipment Notes, the Escrow Receipt and the Operative Documents will conform in all material respects to the descriptions thereof in the General Disclosure Package and the Final Prospectus.</w:t>
      </w:r>
    </w:p>
    <w:p>
      <w:pPr>
        <w:spacing w:after="0" w:line="86" w:lineRule="exact"/>
        <w:rPr>
          <w:rFonts w:ascii="Times New Roman" w:cs="Times New Roman" w:eastAsia="Times New Roman" w:hAnsi="Times New Roman"/>
          <w:sz w:val="18"/>
          <w:szCs w:val="18"/>
          <w:color w:val="auto"/>
        </w:rPr>
      </w:pPr>
    </w:p>
    <w:p>
      <w:pPr>
        <w:ind w:right="60" w:firstLine="425"/>
        <w:spacing w:after="0" w:line="266" w:lineRule="auto"/>
        <w:tabs>
          <w:tab w:leader="none" w:pos="7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B Certificates are Valid and Binding Obligations</w:t>
      </w:r>
      <w:r>
        <w:rPr>
          <w:rFonts w:ascii="Times New Roman" w:cs="Times New Roman" w:eastAsia="Times New Roman" w:hAnsi="Times New Roman"/>
          <w:sz w:val="18"/>
          <w:szCs w:val="18"/>
          <w:color w:val="auto"/>
        </w:rPr>
        <w:t>. When duly executed, authenticated and delivered by the Class B Trustee in accordance with the terms of the Trust Agreement relating to the Class B Trust and sold and paid for as provided in this Agreement, the Class B Certificates will be validly issued pursuant to the Trust Agreement</w:t>
      </w:r>
    </w:p>
    <w:p>
      <w:pPr>
        <w:spacing w:after="0" w:line="10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20"/>
          </w:cols>
          <w:pgMar w:left="980" w:top="270" w:right="499" w:bottom="1440" w:gutter="0" w:footer="0" w:header="0"/>
        </w:sectPr>
      </w:pPr>
    </w:p>
    <w:bookmarkStart w:id="49" w:name="page50"/>
    <w:bookmarkEnd w:id="49"/>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relating to the Class B Trust and will constitute valid and binding obligations of the Class B Trustee, enforceable against the Class B Trustee in accordance with its terms, except as may be limited by bankruptcy, insolvency, reorganization, moratorium or other similar laws affecting enforcement of creditors’ rights generally and by general principles of equity; and the holders of the Class B Certificates will be entitled to the benefits of the Trust Agreement relating to the Class B Trust.</w:t>
      </w:r>
    </w:p>
    <w:p>
      <w:pPr>
        <w:spacing w:after="0" w:line="72" w:lineRule="exact"/>
        <w:rPr>
          <w:sz w:val="20"/>
          <w:szCs w:val="20"/>
          <w:color w:val="auto"/>
        </w:rPr>
      </w:pPr>
    </w:p>
    <w:p>
      <w:pPr>
        <w:ind w:firstLine="425"/>
        <w:spacing w:after="0" w:line="258" w:lineRule="auto"/>
        <w:tabs>
          <w:tab w:leader="none" w:pos="82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Equipment Notes are Valid and Binding Obligations</w:t>
      </w:r>
      <w:r>
        <w:rPr>
          <w:rFonts w:ascii="Times New Roman" w:cs="Times New Roman" w:eastAsia="Times New Roman" w:hAnsi="Times New Roman"/>
          <w:sz w:val="18"/>
          <w:szCs w:val="18"/>
          <w:color w:val="auto"/>
        </w:rPr>
        <w:t>. The Equipment Notes, when duly executed and delivered by the Company and when duly authenticated by the Loan Trustee in accordance with the terms of the applicable Indenture, will be duly issued under such Indenture and will constitute valid and binding obligations of the Company, enforceable against the Company in accordance with their terms; and the holders thereof will be entitled to the benefits of such Indenture, except as may be limited by bankruptcy, insolvency, reorganization, moratorium or other similar laws affecting enforcement of creditors’ rights generally and by general principles of equity.</w:t>
      </w:r>
    </w:p>
    <w:p>
      <w:pPr>
        <w:spacing w:after="0" w:line="75" w:lineRule="exact"/>
        <w:rPr>
          <w:rFonts w:ascii="Times New Roman" w:cs="Times New Roman" w:eastAsia="Times New Roman" w:hAnsi="Times New Roman"/>
          <w:sz w:val="18"/>
          <w:szCs w:val="18"/>
          <w:color w:val="auto"/>
        </w:rPr>
      </w:pPr>
    </w:p>
    <w:p>
      <w:pPr>
        <w:ind w:firstLine="425"/>
        <w:spacing w:after="0" w:line="252" w:lineRule="auto"/>
        <w:tabs>
          <w:tab w:leader="none" w:pos="81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Defaults and Conflicts</w:t>
      </w:r>
      <w:r>
        <w:rPr>
          <w:rFonts w:ascii="Times New Roman" w:cs="Times New Roman" w:eastAsia="Times New Roman" w:hAnsi="Times New Roman"/>
          <w:sz w:val="18"/>
          <w:szCs w:val="18"/>
          <w:color w:val="auto"/>
        </w:rPr>
        <w:t>. The Company is not in violation of its charter or by-laws or other constituting or organizational document or in default in the performance or observance of any obligation, agreement, covenant or condition contained in any agreement or other instrument binding upon the Company or to which any of the property or assets of the Company is subject, except for such defaults that would not reasonably be expected to result in a Material Adverse Effect and that would not affect the validity of the Equipment Notes or the Class B Certificates; and the execution and delivery by the Company of this Agreement, the Equipment Notes and the Operative Documents to which it is, or is to be, a party, the consummation by the Company of the transactions herein and therein contemplated, and the compliance by the Company with its obligations hereunder and thereunder and the terms hereof and thereof do not and will not, whether with or without the giving of notice or passage of time or both, (i) conflict with or constitute a breach of, or default or a Repayment Event (as defined below) under, or result in the creation or imposition of any lien, charge or encumbrance upon any property or assets of the Company pursuant to, any agreement or other instrument binding upon the Company (except for such conflicts, breaches, defaults or Repayment Events or liens, charges or encumbrances that, singly or in the aggregate, would not reasonably be expected to result in a Material Adverse Effect and that would not affect the validity of the Equipment Notes or the Class B Certificates), (ii) result in a violation of the provisions of the certificate of incorporation or by-laws, as amended, or other constituting or organizational document of the Company, or (iii) result in a violation of any applicable law, statute, rule, regulation, judgment, order, writ or decree of any government, governmental instrumentality or court, domestic or foreign, having jurisdiction over the Company or any of its assets, properties or operations, except, in each case of this clause (iii), for such violations or defaults, that, singly or in the aggregate, would not reasonably be expected to result in a Material Adverse Effect and that would not affect the validity of the Equipment Notes or the Class B Certificates. As used herein, “</w:t>
      </w:r>
      <w:r>
        <w:rPr>
          <w:rFonts w:ascii="Times New Roman" w:cs="Times New Roman" w:eastAsia="Times New Roman" w:hAnsi="Times New Roman"/>
          <w:sz w:val="18"/>
          <w:szCs w:val="18"/>
          <w:u w:val="single" w:color="auto"/>
          <w:color w:val="auto"/>
        </w:rPr>
        <w:t>Repayment Event</w:t>
      </w:r>
      <w:r>
        <w:rPr>
          <w:rFonts w:ascii="Times New Roman" w:cs="Times New Roman" w:eastAsia="Times New Roman" w:hAnsi="Times New Roman"/>
          <w:sz w:val="18"/>
          <w:szCs w:val="18"/>
          <w:color w:val="auto"/>
        </w:rPr>
        <w:t>” means any event or condition which gives the holder of any note, debenture or other evidence of indebtedness (or any person acting on such holder’s behalf) the right to require the repurchase, redemption or repayment prior to the stated maturity or date of mandatory redemption or repayment thereof of all or a portion of such indebtedness by the Company.</w:t>
      </w:r>
    </w:p>
    <w:p>
      <w:pPr>
        <w:spacing w:after="0" w:line="12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460"/>
          </w:cols>
          <w:pgMar w:left="980" w:top="270" w:right="459" w:bottom="1440" w:gutter="0" w:footer="0" w:header="0"/>
        </w:sectPr>
      </w:pPr>
    </w:p>
    <w:bookmarkStart w:id="50" w:name="page51"/>
    <w:bookmarkEnd w:id="50"/>
    <w:p>
      <w:pPr>
        <w:ind w:firstLine="425"/>
        <w:spacing w:after="0" w:line="266" w:lineRule="auto"/>
        <w:tabs>
          <w:tab w:leader="none" w:pos="7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Labor Dispute</w:t>
      </w:r>
      <w:r>
        <w:rPr>
          <w:rFonts w:ascii="Times New Roman" w:cs="Times New Roman" w:eastAsia="Times New Roman" w:hAnsi="Times New Roman"/>
          <w:sz w:val="18"/>
          <w:szCs w:val="18"/>
          <w:color w:val="auto"/>
        </w:rPr>
        <w:t>. Other than as described in the General Disclosure Package and the Final Prospectus, no labor dispute with the employees of the Company or any of its subsidiaries exists or, to the knowledge of the Company, is imminent, which the Company expects to have a Material Adverse Effect.</w:t>
      </w:r>
    </w:p>
    <w:p>
      <w:pPr>
        <w:spacing w:after="0" w:line="67" w:lineRule="exact"/>
        <w:rPr>
          <w:rFonts w:ascii="Times New Roman" w:cs="Times New Roman" w:eastAsia="Times New Roman" w:hAnsi="Times New Roman"/>
          <w:sz w:val="18"/>
          <w:szCs w:val="18"/>
          <w:color w:val="auto"/>
        </w:rPr>
      </w:pPr>
    </w:p>
    <w:p>
      <w:pPr>
        <w:ind w:right="240" w:firstLine="425"/>
        <w:spacing w:after="0" w:line="282" w:lineRule="auto"/>
        <w:tabs>
          <w:tab w:leader="none" w:pos="8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the Deposits</w:t>
      </w:r>
      <w:r>
        <w:rPr>
          <w:rFonts w:ascii="Times New Roman" w:cs="Times New Roman" w:eastAsia="Times New Roman" w:hAnsi="Times New Roman"/>
          <w:sz w:val="18"/>
          <w:szCs w:val="18"/>
          <w:color w:val="auto"/>
        </w:rPr>
        <w:t>. Payments of interest and principal in respect of the Deposits are not subject under the laws of the U.S. or any political subdivision thereof to any withholdings or similar charges or deductions.</w:t>
      </w:r>
    </w:p>
    <w:p>
      <w:pPr>
        <w:spacing w:after="0" w:line="53" w:lineRule="exact"/>
        <w:rPr>
          <w:rFonts w:ascii="Times New Roman" w:cs="Times New Roman" w:eastAsia="Times New Roman" w:hAnsi="Times New Roman"/>
          <w:sz w:val="18"/>
          <w:szCs w:val="18"/>
          <w:color w:val="auto"/>
        </w:rPr>
      </w:pPr>
    </w:p>
    <w:p>
      <w:pPr>
        <w:jc w:val="both"/>
        <w:ind w:right="480" w:firstLine="425"/>
        <w:spacing w:after="0" w:line="261" w:lineRule="auto"/>
        <w:tabs>
          <w:tab w:leader="none" w:pos="8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Other than as set forth in the General Disclosure Package and the Final Prospectus, if any, there is no action, suit, proceeding, inquiry or investigation before or brought by any court or governmental agency or body, domestic or foreign, now pending, or, to the knowledge of the Company, threatened, against the Company or any of its subsidiaries which, in the judgment of the Company, is likely to result in a Material Adverse Effect.</w:t>
      </w:r>
    </w:p>
    <w:p>
      <w:pPr>
        <w:spacing w:after="0" w:line="71" w:lineRule="exact"/>
        <w:rPr>
          <w:rFonts w:ascii="Times New Roman" w:cs="Times New Roman" w:eastAsia="Times New Roman" w:hAnsi="Times New Roman"/>
          <w:sz w:val="18"/>
          <w:szCs w:val="18"/>
          <w:color w:val="auto"/>
        </w:rPr>
      </w:pPr>
    </w:p>
    <w:p>
      <w:pPr>
        <w:ind w:right="180" w:firstLine="425"/>
        <w:spacing w:after="0" w:line="254" w:lineRule="auto"/>
        <w:tabs>
          <w:tab w:leader="none" w:pos="9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consent, approval, authorization, order or license of, or filing with or notice to, any government, governmental instrumentality, regulatory body or authority or court, domestic or foreign, is required for the valid authorization, issuance and delivery of the Class B Certificates and the Equipment Notes, for the valid authorization, execution, delivery and performance by the Company of this Agreement, the Equipment Notes and the Operative Documents to which the Company is, or is to be, a party or for the consummation by the Company of the transactions contemplated by this Agreement, the Equipment Notes and the Operative Documents to which the Company is, or is to be, a party, except (A) such as has been already obtained or made, (B) such as are required under the Securities Act or the Securities Act Regulations or state securities or similar foreign laws in connection with the Registration Statement, (C) filings or recordings with respect to the Aircraft with the Federal Aviation Administration and registration with the International Registry and under the Uniform Commercial Code as in effect in Delaware and (D) as are disclosed in the General Disclosure Package and the Final Prospectus.</w:t>
      </w:r>
    </w:p>
    <w:p>
      <w:pPr>
        <w:spacing w:after="0" w:line="80" w:lineRule="exact"/>
        <w:rPr>
          <w:rFonts w:ascii="Times New Roman" w:cs="Times New Roman" w:eastAsia="Times New Roman" w:hAnsi="Times New Roman"/>
          <w:sz w:val="18"/>
          <w:szCs w:val="18"/>
          <w:color w:val="auto"/>
        </w:rPr>
      </w:pPr>
    </w:p>
    <w:p>
      <w:pPr>
        <w:ind w:right="20" w:firstLine="425"/>
        <w:spacing w:after="0" w:line="255" w:lineRule="auto"/>
        <w:tabs>
          <w:tab w:leader="none" w:pos="8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nor upon the issuance and sale of the Class B Certificates as contemplated by this Agreement and the application of the net proceeds therefrom as described in the General Disclosure Package and the Final Prospectus will be, an “investment company” or an entity “controlled” by an “investment company,” as such terms are defined in the Investment Company Act of 1940, as amended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nor will any of the Trusts or the escrow arrangements relating to any Trust contemplated by the Escrow Agreements be required to register as an “investment company” as defined in the 1940 Act. In making the foregoing determination, the Trusts are relying upon the exemption from registration set forth in Rule 3a-7 under the 1940 Act, although additional exemptions or exclusions may be available to the Trusts.</w:t>
      </w:r>
    </w:p>
    <w:p>
      <w:pPr>
        <w:spacing w:after="0" w:line="12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460"/>
          </w:cols>
          <w:pgMar w:left="980" w:top="270" w:right="459" w:bottom="1440" w:gutter="0" w:footer="0" w:header="0"/>
        </w:sectPr>
      </w:pPr>
    </w:p>
    <w:bookmarkStart w:id="51" w:name="page52"/>
    <w:bookmarkEnd w:id="51"/>
    <w:p>
      <w:pPr>
        <w:ind w:firstLine="425"/>
        <w:spacing w:after="0" w:line="252" w:lineRule="auto"/>
        <w:tabs>
          <w:tab w:leader="none" w:pos="76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Environmental Laws</w:t>
      </w:r>
      <w:r>
        <w:rPr>
          <w:rFonts w:ascii="Times New Roman" w:cs="Times New Roman" w:eastAsia="Times New Roman" w:hAnsi="Times New Roman"/>
          <w:sz w:val="18"/>
          <w:szCs w:val="18"/>
          <w:color w:val="auto"/>
        </w:rPr>
        <w:t>. There has been no storage, disposal, generation, manufacture, refinement, transportation, handling or treatment of toxic wastes, medical wastes, hazardous wastes or hazardous substances by the Company (or, to the knowledge of the Company, any of its predecessors in interest), or at, upon or from any of the property now or previously owned or leased by the Company in violation of, and the Company has no liability under, any applicable law, ordinance, rule, regulation, order, judgment, decree or permit or which would require remedial action under any applicable law, ordinance, rule, regulation, order, judgment, decree or permit applicable to the Company, except for any violation, liability or remedial action which would not have, or could not be reasonably likely to have, singularly or in the aggregate with all such violations, liabilities and remedial actions, a Material Adverse Effect; there has been no spill, discharge, leak, emission, injection, escape, dumping or release of any kind by the Company onto such property or into the environment surrounding such property of any toxic wastes, medical wastes, solid wastes, hazardous wastes or hazardous substances due to or caused by the Company or with respect to which the Company has knowledge, except for any such spill, discharge, leak, emission, injection, escape, dumping or release which would not have or would not be reasonably likely to have, singularly or in the aggregate with all such spills, discharges, leaks, emissions, injections, escapes, dumpings and releases, a Material Adverse Effect. The terms “hazardous wastes,” “toxic wastes,” “hazardous substances” and “medical wastes” shall have the meanings specified in any applicable local, state, federal and foreign laws or regulations with respect to environmental protection or human health. In the ordinary course of its business, the Company conducts a periodic review of the effect of any and all applicable foreign, federal, state and local laws and regulations relating to the protection of human health and safety, the environment, and hazardous and toxic substances and wastes, pollutants and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on the business, operations and properties of the Company,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have not had and would not, singularly or in the aggregate, reasonably be expected to have a Material Adverse Effect.</w:t>
      </w:r>
    </w:p>
    <w:p>
      <w:pPr>
        <w:spacing w:after="0" w:line="81" w:lineRule="exact"/>
        <w:rPr>
          <w:rFonts w:ascii="Times New Roman" w:cs="Times New Roman" w:eastAsia="Times New Roman" w:hAnsi="Times New Roman"/>
          <w:sz w:val="18"/>
          <w:szCs w:val="18"/>
          <w:color w:val="auto"/>
        </w:rPr>
      </w:pPr>
    </w:p>
    <w:p>
      <w:pPr>
        <w:ind w:right="140" w:firstLine="425"/>
        <w:spacing w:after="0" w:line="282" w:lineRule="auto"/>
        <w:tabs>
          <w:tab w:leader="none" w:pos="81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carries, or is covered by, insurance in such amounts and covering such risks as is adequate for the conduct of its business and the value of its properties.</w:t>
      </w:r>
    </w:p>
    <w:p>
      <w:pPr>
        <w:spacing w:after="0" w:line="53" w:lineRule="exact"/>
        <w:rPr>
          <w:rFonts w:ascii="Times New Roman" w:cs="Times New Roman" w:eastAsia="Times New Roman" w:hAnsi="Times New Roman"/>
          <w:sz w:val="18"/>
          <w:szCs w:val="18"/>
          <w:color w:val="auto"/>
        </w:rPr>
      </w:pPr>
    </w:p>
    <w:p>
      <w:pPr>
        <w:ind w:right="20" w:firstLine="425"/>
        <w:spacing w:after="0" w:line="254" w:lineRule="auto"/>
        <w:tabs>
          <w:tab w:leader="none" w:pos="86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 The Company maintains internal accounting controls which pertain to the maintenance of records that in reasonable detail accurately and fairly reflect the transactions and dispositions of its assets and that provide reasonable assurance (i) that transactions are executed in accordance with management’s authorization in all material respects, (ii) that transactions are recorded as necessary to permit preparation of its financial statements in conformity with GAAP and to maintain accountability for its assets, (iii) regarding prevention or timely detection of unauthorized acquisition, use or disposition of its assets that could have a material effect on the financial statements, and</w:t>
      </w:r>
    </w:p>
    <w:p>
      <w:pPr>
        <w:spacing w:after="0" w:line="3" w:lineRule="exact"/>
        <w:rPr>
          <w:rFonts w:ascii="Times New Roman" w:cs="Times New Roman" w:eastAsia="Times New Roman" w:hAnsi="Times New Roman"/>
          <w:sz w:val="18"/>
          <w:szCs w:val="18"/>
          <w:color w:val="auto"/>
        </w:rPr>
      </w:pPr>
    </w:p>
    <w:p>
      <w:pPr>
        <w:ind w:right="40" w:firstLine="7"/>
        <w:spacing w:after="0" w:line="253" w:lineRule="auto"/>
        <w:tabs>
          <w:tab w:leader="none" w:pos="30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interactive data in eXtensible Business Reporting Language incorporated by reference in each of the General Disclosure Package and the Final Prospectus is prepared in accordance with the Commission’s rules and guidelines applicable thereto. The Company is not aware of any material weakness in its internal control over financial reporting that is reasonably likely to adversely affect its ability to record, process, summarize and report financial information.</w:t>
      </w:r>
    </w:p>
    <w:p>
      <w:pPr>
        <w:spacing w:after="0" w:line="12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40"/>
          </w:cols>
          <w:pgMar w:left="980" w:top="270" w:right="479" w:bottom="1440" w:gutter="0" w:footer="0" w:header="0"/>
        </w:sectPr>
      </w:pPr>
    </w:p>
    <w:bookmarkStart w:id="52" w:name="page53"/>
    <w:bookmarkEnd w:id="52"/>
    <w:p>
      <w:pPr>
        <w:ind w:right="380" w:firstLine="425"/>
        <w:spacing w:after="0" w:line="261" w:lineRule="auto"/>
        <w:tabs>
          <w:tab w:leader="none" w:pos="91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 Controls and Procedures</w:t>
      </w:r>
      <w:r>
        <w:rPr>
          <w:rFonts w:ascii="Times New Roman" w:cs="Times New Roman" w:eastAsia="Times New Roman" w:hAnsi="Times New Roman"/>
          <w:sz w:val="18"/>
          <w:szCs w:val="18"/>
          <w:color w:val="auto"/>
        </w:rPr>
        <w:t>. The Company maintains “disclosure controls and procedures” (as such term is defined in Rule 13a-15(e) of the Exchange Act) that have been designed to ensure that material information relating to the Company, including its consolidated subsidiaries, is made known to the Company’s principal executive officer and principal financial officer by others within those entities; such disclosure controls and procedures are effective.</w:t>
      </w:r>
    </w:p>
    <w:p>
      <w:pPr>
        <w:spacing w:after="0" w:line="71" w:lineRule="exact"/>
        <w:rPr>
          <w:rFonts w:ascii="Times New Roman" w:cs="Times New Roman" w:eastAsia="Times New Roman" w:hAnsi="Times New Roman"/>
          <w:sz w:val="18"/>
          <w:szCs w:val="18"/>
          <w:color w:val="auto"/>
        </w:rPr>
      </w:pPr>
    </w:p>
    <w:p>
      <w:pPr>
        <w:ind w:firstLine="425"/>
        <w:spacing w:after="0" w:line="253" w:lineRule="auto"/>
        <w:tabs>
          <w:tab w:leader="none" w:pos="9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Payments</w:t>
      </w:r>
      <w:r>
        <w:rPr>
          <w:rFonts w:ascii="Times New Roman" w:cs="Times New Roman" w:eastAsia="Times New Roman" w:hAnsi="Times New Roman"/>
          <w:sz w:val="18"/>
          <w:szCs w:val="18"/>
          <w:color w:val="auto"/>
        </w:rPr>
        <w:t>. Neither the Company nor any of its subsidiaries nor, to the knowledge of the Company, any director, officer, agent, employee or other person associated with or acting on behalf of the Company or any of its subsidiaries has materially violated in the past five years or is in material violation of (1) laws relating to the use of any corporate funds for unlawful contributions, gifts, entertainment or other unlawful expenses relating to political activity, (2) laws relating to direct or indirect unlawful payments to any foreign or domestic government official or employee from corporate funds, (3) the Foreign Corrupt Practices Act of 1977, as amended, or the rules and regulations thereunder or (4) laws relating to bribes, rebates, payoffs, influence payments, kickbacks or other unlawful payments. The Company has implemented compliance programs for purposes of (a) informing the appropriate officers and employees of the Company and its subsidiaries of the Company’s policies to ensure compliance with the laws described under (1) through (4) above, and (b) requiring such officers and employees to report to the Company any knowledge they may have of violations of the Company’s policies referred to above and no such reports have been made.</w:t>
      </w:r>
    </w:p>
    <w:p>
      <w:pPr>
        <w:spacing w:after="0" w:line="86" w:lineRule="exact"/>
        <w:rPr>
          <w:rFonts w:ascii="Times New Roman" w:cs="Times New Roman" w:eastAsia="Times New Roman" w:hAnsi="Times New Roman"/>
          <w:sz w:val="18"/>
          <w:szCs w:val="18"/>
          <w:color w:val="auto"/>
        </w:rPr>
      </w:pPr>
    </w:p>
    <w:p>
      <w:pPr>
        <w:ind w:right="340" w:firstLine="425"/>
        <w:spacing w:after="0" w:line="266" w:lineRule="auto"/>
        <w:tabs>
          <w:tab w:leader="none" w:pos="85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Brokerage Commission; Finder’s Fee</w:t>
      </w:r>
      <w:r>
        <w:rPr>
          <w:rFonts w:ascii="Times New Roman" w:cs="Times New Roman" w:eastAsia="Times New Roman" w:hAnsi="Times New Roman"/>
          <w:sz w:val="18"/>
          <w:szCs w:val="18"/>
          <w:color w:val="auto"/>
        </w:rPr>
        <w:t>. To the best of the Company’s knowledge after due inquiry, there are no contracts, agreements or understandings between the Company and any person that would give rise to a valid claim against the Company or any of the Underwriters for a brokerage commission, finder’s fee or other like payment in connection with this offering.</w:t>
      </w:r>
    </w:p>
    <w:p>
      <w:pPr>
        <w:spacing w:after="0" w:line="67" w:lineRule="exact"/>
        <w:rPr>
          <w:rFonts w:ascii="Times New Roman" w:cs="Times New Roman" w:eastAsia="Times New Roman" w:hAnsi="Times New Roman"/>
          <w:sz w:val="18"/>
          <w:szCs w:val="18"/>
          <w:color w:val="auto"/>
        </w:rPr>
      </w:pPr>
    </w:p>
    <w:p>
      <w:pPr>
        <w:ind w:left="900" w:hanging="475"/>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Company</w:t>
      </w:r>
      <w:r>
        <w:rPr>
          <w:rFonts w:ascii="Times New Roman" w:cs="Times New Roman" w:eastAsia="Times New Roman" w:hAnsi="Times New Roman"/>
          <w:sz w:val="18"/>
          <w:szCs w:val="18"/>
          <w:color w:val="auto"/>
        </w:rPr>
        <w:t>. The Company is subject to the reporting requirements of Section 13 or Section 15(d) of the Exchange Act.</w:t>
      </w:r>
    </w:p>
    <w:p>
      <w:pPr>
        <w:spacing w:after="0" w:line="117" w:lineRule="exact"/>
        <w:rPr>
          <w:rFonts w:ascii="Times New Roman" w:cs="Times New Roman" w:eastAsia="Times New Roman" w:hAnsi="Times New Roman"/>
          <w:sz w:val="18"/>
          <w:szCs w:val="18"/>
          <w:color w:val="auto"/>
        </w:rPr>
      </w:pPr>
    </w:p>
    <w:p>
      <w:pPr>
        <w:ind w:right="80" w:firstLine="425"/>
        <w:spacing w:after="0" w:line="256" w:lineRule="auto"/>
        <w:tabs>
          <w:tab w:leader="none" w:pos="95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Well-Known Seasoned Issuer</w:t>
      </w:r>
      <w:r>
        <w:rPr>
          <w:rFonts w:ascii="Times New Roman" w:cs="Times New Roman" w:eastAsia="Times New Roman" w:hAnsi="Times New Roman"/>
          <w:sz w:val="18"/>
          <w:szCs w:val="18"/>
          <w:color w:val="auto"/>
        </w:rPr>
        <w:t>. (A)(i) At the time of filing the Registration Statement, (ii) at the time of the most recent amendment thereto for the purposes of complying with Section 10(a)(3) of the Securities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Securities Act) made any offer relating to the Securities in reliance on the exemption provided by Rule 163 under the Securities Act, the Company was a “well-known seasoned issuer” as defined in Rule 405, including not having been an “ineligible issuer” as defined in Rule 405;</w:t>
      </w:r>
    </w:p>
    <w:p>
      <w:pPr>
        <w:spacing w:after="0" w:line="12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40"/>
          </w:cols>
          <w:pgMar w:left="980" w:top="270" w:right="479" w:bottom="1440" w:gutter="0" w:footer="0" w:header="0"/>
        </w:sectPr>
      </w:pPr>
    </w:p>
    <w:bookmarkStart w:id="53" w:name="page54"/>
    <w:bookmarkEnd w:id="5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(B) at the time of filing the Original Registration Statement, at the earliest time thereafter that the Company or another offering participant made a bona fide offer (within the meaning of Rule 164(h)(2) under the Securities Act) of the Securities and at the date hereof, the Company was not and is not an “ineligible issuer” as defined in Rule 405.</w:t>
      </w:r>
    </w:p>
    <w:p>
      <w:pPr>
        <w:spacing w:after="0" w:line="68" w:lineRule="exact"/>
        <w:rPr>
          <w:sz w:val="20"/>
          <w:szCs w:val="20"/>
          <w:color w:val="auto"/>
        </w:rPr>
      </w:pPr>
    </w:p>
    <w:p>
      <w:pPr>
        <w:ind w:right="60" w:firstLine="425"/>
        <w:spacing w:after="0" w:line="254" w:lineRule="auto"/>
        <w:tabs>
          <w:tab w:leader="none" w:pos="100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The Company possesses such permits, licenses, approvals, consents and other authorizations (collectively, “</w:t>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 issued by the appropriate federal, state, local or foreign regulatory agencies or bodies and third parties, governmental or otherwise necessary to conduct the business now operated by it as described in the General Disclosure Package and the Final Prospectus, except for such failures to possess Licenses as would not, singly or in the aggregate, result in a Material Adverse Effect; the Company is in compliance with the terms and conditions of all such Licenses, except where the failure so to comply would not, singly or in the aggregate, have a Material Adverse Effect; all of the Licenses are valid and in full force and effect, except where the invalidity of such Licenses or the failure of such Licenses to be in full force and effect would not, singly or in the aggregate, result in a Material Adverse Effect; and the Company has not received any notice of proceedings relating to the revocation or modification of any such Licenses which, singly or in the aggregate, if the subject of an unfavorable decision, ruling or finding, would result in a Material Adverse Effect.</w:t>
      </w:r>
    </w:p>
    <w:p>
      <w:pPr>
        <w:spacing w:after="0" w:line="80" w:lineRule="exact"/>
        <w:rPr>
          <w:rFonts w:ascii="Times New Roman" w:cs="Times New Roman" w:eastAsia="Times New Roman" w:hAnsi="Times New Roman"/>
          <w:sz w:val="18"/>
          <w:szCs w:val="18"/>
          <w:color w:val="auto"/>
        </w:rPr>
      </w:pPr>
    </w:p>
    <w:p>
      <w:pPr>
        <w:ind w:firstLine="425"/>
        <w:spacing w:after="0" w:line="254" w:lineRule="auto"/>
        <w:tabs>
          <w:tab w:leader="none" w:pos="90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Anti-Money Laundering Laws</w:t>
      </w:r>
      <w:r>
        <w:rPr>
          <w:rFonts w:ascii="Times New Roman" w:cs="Times New Roman" w:eastAsia="Times New Roman" w:hAnsi="Times New Roman"/>
          <w:sz w:val="18"/>
          <w:szCs w:val="18"/>
          <w:color w:val="auto"/>
        </w:rPr>
        <w:t>. 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83" w:lineRule="exact"/>
        <w:rPr>
          <w:rFonts w:ascii="Times New Roman" w:cs="Times New Roman" w:eastAsia="Times New Roman" w:hAnsi="Times New Roman"/>
          <w:sz w:val="18"/>
          <w:szCs w:val="18"/>
          <w:color w:val="auto"/>
        </w:rPr>
      </w:pPr>
    </w:p>
    <w:p>
      <w:pPr>
        <w:ind w:right="40" w:firstLine="425"/>
        <w:spacing w:after="0" w:line="256" w:lineRule="auto"/>
        <w:tabs>
          <w:tab w:leader="none" w:pos="85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None of the Company, any of its subsidiaries or, to the knowledge of the Company, any director, officer, agent, employee, affiliate or other person acting on behalf of the Company or any of its subsidiaries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the Company will not directly or indirectly use the proceeds of the sale of the Class B Certificates hereunder, or lend, contribute or otherwise make available such proceeds to any of its subsidiaries, joint venture partners or any other person or entity, for the purpose of financing the activities of any person, that at the time of such financing, is subject to any U.S. sanctions administered by OFAC.</w:t>
      </w:r>
    </w:p>
    <w:p>
      <w:pPr>
        <w:spacing w:after="0" w:line="79" w:lineRule="exact"/>
        <w:rPr>
          <w:rFonts w:ascii="Times New Roman" w:cs="Times New Roman" w:eastAsia="Times New Roman" w:hAnsi="Times New Roman"/>
          <w:sz w:val="18"/>
          <w:szCs w:val="18"/>
          <w:color w:val="auto"/>
        </w:rPr>
      </w:pPr>
    </w:p>
    <w:p>
      <w:pPr>
        <w:ind w:firstLine="425"/>
        <w:spacing w:after="0" w:line="258" w:lineRule="auto"/>
        <w:tabs>
          <w:tab w:leader="none" w:pos="90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Appraiser Independence</w:t>
      </w:r>
      <w:r>
        <w:rPr>
          <w:rFonts w:ascii="Times New Roman" w:cs="Times New Roman" w:eastAsia="Times New Roman" w:hAnsi="Times New Roman"/>
          <w:sz w:val="18"/>
          <w:szCs w:val="18"/>
          <w:color w:val="auto"/>
        </w:rPr>
        <w:t>. None of Aircraft Information Services, Inc., BK Associates Inc. and Morten Beyer &amp; Agnew, Inc. (each, an “</w:t>
      </w:r>
      <w:r>
        <w:rPr>
          <w:rFonts w:ascii="Times New Roman" w:cs="Times New Roman" w:eastAsia="Times New Roman" w:hAnsi="Times New Roman"/>
          <w:sz w:val="18"/>
          <w:szCs w:val="18"/>
          <w:u w:val="single" w:color="auto"/>
          <w:color w:val="auto"/>
        </w:rPr>
        <w:t>Appraiser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Appraisers</w:t>
      </w:r>
      <w:r>
        <w:rPr>
          <w:rFonts w:ascii="Times New Roman" w:cs="Times New Roman" w:eastAsia="Times New Roman" w:hAnsi="Times New Roman"/>
          <w:sz w:val="18"/>
          <w:szCs w:val="18"/>
          <w:color w:val="auto"/>
        </w:rPr>
        <w:t>”) is an affiliate of the Company or, to the knowledge of the Company, has a substantial interest, direct or indirect, in the Company. To the knowledge of the Company, none of the officers and directors of any of such Appraisers is connected to the Company or any of its affiliates as an officer, employee, promoter, underwriter, trustee, partner, director or person performing similar functions.</w:t>
      </w:r>
    </w:p>
    <w:p>
      <w:pPr>
        <w:spacing w:after="0" w:line="1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460"/>
          </w:cols>
          <w:pgMar w:left="980" w:top="270" w:right="459" w:bottom="1440" w:gutter="0" w:footer="0" w:header="0"/>
        </w:sectPr>
      </w:pPr>
    </w:p>
    <w:bookmarkStart w:id="54" w:name="page55"/>
    <w:bookmarkEnd w:id="54"/>
    <w:p>
      <w:pPr>
        <w:ind w:left="700" w:hanging="253"/>
        <w:spacing w:after="0"/>
        <w:tabs>
          <w:tab w:leader="none" w:pos="70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Depositary represents and warrants to, and agrees with, each Underwriter and the Company that:</w:t>
      </w:r>
    </w:p>
    <w:p>
      <w:pPr>
        <w:spacing w:after="0" w:line="117" w:lineRule="exact"/>
        <w:rPr>
          <w:rFonts w:ascii="Times New Roman" w:cs="Times New Roman" w:eastAsia="Times New Roman" w:hAnsi="Times New Roman"/>
          <w:sz w:val="18"/>
          <w:szCs w:val="18"/>
          <w:color w:val="auto"/>
        </w:rPr>
      </w:pPr>
    </w:p>
    <w:p>
      <w:pPr>
        <w:ind w:right="220" w:firstLine="425"/>
        <w:spacing w:after="0" w:line="266" w:lineRule="auto"/>
        <w:tabs>
          <w:tab w:leader="none" w:pos="63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The information pertaining to the Depositary set forth under the caption “Description of the Deposit Agreement—Depositary” (collectively, the “</w:t>
      </w:r>
      <w:r>
        <w:rPr>
          <w:rFonts w:ascii="Times New Roman" w:cs="Times New Roman" w:eastAsia="Times New Roman" w:hAnsi="Times New Roman"/>
          <w:sz w:val="18"/>
          <w:szCs w:val="18"/>
          <w:u w:val="single" w:color="auto"/>
          <w:color w:val="auto"/>
        </w:rPr>
        <w:t>Depositary Information</w:t>
      </w:r>
      <w:r>
        <w:rPr>
          <w:rFonts w:ascii="Times New Roman" w:cs="Times New Roman" w:eastAsia="Times New Roman" w:hAnsi="Times New Roman"/>
          <w:sz w:val="18"/>
          <w:szCs w:val="18"/>
          <w:color w:val="auto"/>
        </w:rPr>
        <w:t>”) in the General Disclosure Package and the Final Prospectus, as amended and supplemented, does not contain any untrue statement of a material fact.</w:t>
      </w:r>
    </w:p>
    <w:p>
      <w:pPr>
        <w:spacing w:after="0" w:line="67" w:lineRule="exact"/>
        <w:rPr>
          <w:rFonts w:ascii="Times New Roman" w:cs="Times New Roman" w:eastAsia="Times New Roman" w:hAnsi="Times New Roman"/>
          <w:sz w:val="18"/>
          <w:szCs w:val="18"/>
          <w:color w:val="auto"/>
        </w:rPr>
      </w:pPr>
    </w:p>
    <w:p>
      <w:pPr>
        <w:ind w:right="20" w:firstLine="425"/>
        <w:spacing w:after="0" w:line="261" w:lineRule="auto"/>
        <w:tabs>
          <w:tab w:leader="none" w:pos="68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Corporate Power and Authority</w:t>
      </w:r>
      <w:r>
        <w:rPr>
          <w:rFonts w:ascii="Times New Roman" w:cs="Times New Roman" w:eastAsia="Times New Roman" w:hAnsi="Times New Roman"/>
          <w:sz w:val="18"/>
          <w:szCs w:val="18"/>
          <w:color w:val="auto"/>
        </w:rPr>
        <w:t>. The Depositary has been duly organized and is validly existing under the laws of Japan and is duly licensed to conduct banking business in the State of New York through its New York Branch, with corporate power and authority and legal right to own, lease and operate its property, to conduct its business as described in the Depositary Information and to enter into and perform its obligations under this Agreement and the Deposit Agreement.</w:t>
      </w:r>
    </w:p>
    <w:p>
      <w:pPr>
        <w:spacing w:after="0" w:line="71" w:lineRule="exact"/>
        <w:rPr>
          <w:rFonts w:ascii="Times New Roman" w:cs="Times New Roman" w:eastAsia="Times New Roman" w:hAnsi="Times New Roman"/>
          <w:sz w:val="18"/>
          <w:szCs w:val="18"/>
          <w:color w:val="auto"/>
        </w:rPr>
      </w:pPr>
    </w:p>
    <w:p>
      <w:pPr>
        <w:jc w:val="both"/>
        <w:ind w:firstLine="425"/>
        <w:spacing w:after="0" w:line="266" w:lineRule="auto"/>
        <w:tabs>
          <w:tab w:leader="none" w:pos="73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consent, approval, authorization, or order of, or filing with any governmental agency or body or any court is required for the valid authorization, execution and delivery by the Depositary of this Agreement and the Deposit Agreements and for the consummation of the transactions contemplated herein and therein, except such as have been obtained.</w:t>
      </w:r>
    </w:p>
    <w:p>
      <w:pPr>
        <w:spacing w:after="0" w:line="67" w:lineRule="exact"/>
        <w:rPr>
          <w:rFonts w:ascii="Times New Roman" w:cs="Times New Roman" w:eastAsia="Times New Roman" w:hAnsi="Times New Roman"/>
          <w:sz w:val="18"/>
          <w:szCs w:val="18"/>
          <w:color w:val="auto"/>
        </w:rPr>
      </w:pPr>
    </w:p>
    <w:p>
      <w:pPr>
        <w:ind w:right="320" w:firstLine="425"/>
        <w:spacing w:after="0" w:line="281" w:lineRule="auto"/>
        <w:tabs>
          <w:tab w:leader="none" w:pos="723"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Due Authorization</w:t>
      </w:r>
      <w:r>
        <w:rPr>
          <w:rFonts w:ascii="Times New Roman" w:cs="Times New Roman" w:eastAsia="Times New Roman" w:hAnsi="Times New Roman"/>
          <w:sz w:val="17"/>
          <w:szCs w:val="17"/>
          <w:color w:val="auto"/>
        </w:rPr>
        <w:t>. The execution and delivery by the Depositary of this Agreement and the Deposit Agreements and the consummation of the transactions contemplated herein and therein have been duly authorized by the Depositary and will not violate any law, governmental rule or regulation or any of its organizational documents or any order, writ, injunction or decree of any court or governmental agency against it or the provisions of any indenture, loan agreement, contract or other instrument to which it is a party or is bound.</w:t>
      </w:r>
    </w:p>
    <w:p>
      <w:pPr>
        <w:spacing w:after="0" w:line="56" w:lineRule="exact"/>
        <w:rPr>
          <w:rFonts w:ascii="Times New Roman" w:cs="Times New Roman" w:eastAsia="Times New Roman" w:hAnsi="Times New Roman"/>
          <w:sz w:val="17"/>
          <w:szCs w:val="17"/>
          <w:color w:val="auto"/>
        </w:rPr>
      </w:pPr>
    </w:p>
    <w:p>
      <w:pPr>
        <w:ind w:right="100" w:firstLine="425"/>
        <w:spacing w:after="0" w:line="282" w:lineRule="auto"/>
        <w:tabs>
          <w:tab w:leader="none" w:pos="67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Delivery</w:t>
      </w:r>
      <w:r>
        <w:rPr>
          <w:rFonts w:ascii="Times New Roman" w:cs="Times New Roman" w:eastAsia="Times New Roman" w:hAnsi="Times New Roman"/>
          <w:sz w:val="18"/>
          <w:szCs w:val="18"/>
          <w:color w:val="auto"/>
        </w:rPr>
        <w:t>. This Agreement has been duly executed and delivered by the Depositary, and the Deposit Agreements will be duly authorized, executed and delivered by the Depositary on or prior to the Closing Time.</w:t>
      </w:r>
    </w:p>
    <w:p>
      <w:pPr>
        <w:spacing w:after="0" w:line="53" w:lineRule="exact"/>
        <w:rPr>
          <w:rFonts w:ascii="Times New Roman" w:cs="Times New Roman" w:eastAsia="Times New Roman" w:hAnsi="Times New Roman"/>
          <w:sz w:val="18"/>
          <w:szCs w:val="18"/>
          <w:color w:val="auto"/>
        </w:rPr>
      </w:pPr>
    </w:p>
    <w:p>
      <w:pPr>
        <w:ind w:right="40" w:firstLine="425"/>
        <w:spacing w:after="0" w:line="254" w:lineRule="auto"/>
        <w:tabs>
          <w:tab w:leader="none" w:pos="72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Delivery of Deposit Agreement</w:t>
      </w:r>
      <w:r>
        <w:rPr>
          <w:rFonts w:ascii="Times New Roman" w:cs="Times New Roman" w:eastAsia="Times New Roman" w:hAnsi="Times New Roman"/>
          <w:sz w:val="18"/>
          <w:szCs w:val="18"/>
          <w:color w:val="auto"/>
        </w:rPr>
        <w:t>. The Deposit Agreement, when duly authorized, executed and delivered by the Depositary, assuming that the Deposit Agreement has been duly authorized, executed and delivered by, and constitutes the legal, valid and binding obligation of, the Escrow Agent, will constitute the legal, valid and binding obligation of the Depositary, enforceable in accordance with its terms, except (x) as enforcement thereof may be limited by bankruptcy, insolvency (including, without limitation, all laws relating to fraudulent transfers), reorganization, moratorium or other similar laws now or hereinafter in effect relating to creditors’ rights generally and</w:t>
      </w:r>
    </w:p>
    <w:p>
      <w:pPr>
        <w:spacing w:after="0" w:line="3" w:lineRule="exact"/>
        <w:rPr>
          <w:rFonts w:ascii="Times New Roman" w:cs="Times New Roman" w:eastAsia="Times New Roman" w:hAnsi="Times New Roman"/>
          <w:sz w:val="18"/>
          <w:szCs w:val="18"/>
          <w:color w:val="auto"/>
        </w:rPr>
      </w:pPr>
    </w:p>
    <w:p>
      <w:pPr>
        <w:ind w:right="20" w:firstLine="7"/>
        <w:spacing w:after="0" w:line="260" w:lineRule="auto"/>
        <w:tabs>
          <w:tab w:leader="none" w:pos="2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enforcement thereof is subject to general principles of equity (regardless of whether enforcement is considered in a proceeding in equity or at law).</w:t>
      </w:r>
    </w:p>
    <w:p>
      <w:pPr>
        <w:spacing w:after="0" w:line="11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460"/>
          </w:cols>
          <w:pgMar w:left="980" w:top="270" w:right="459" w:bottom="1440" w:gutter="0" w:footer="0" w:header="0"/>
        </w:sectPr>
      </w:pPr>
    </w:p>
    <w:bookmarkStart w:id="55" w:name="page56"/>
    <w:bookmarkEnd w:id="55"/>
    <w:p>
      <w:pPr>
        <w:jc w:val="both"/>
        <w:ind w:left="540" w:right="320" w:firstLine="425"/>
        <w:spacing w:after="0" w:line="272" w:lineRule="auto"/>
        <w:tabs>
          <w:tab w:leader="none" w:pos="1313"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Proceedings</w:t>
      </w:r>
      <w:r>
        <w:rPr>
          <w:rFonts w:ascii="Times New Roman" w:cs="Times New Roman" w:eastAsia="Times New Roman" w:hAnsi="Times New Roman"/>
          <w:sz w:val="17"/>
          <w:szCs w:val="17"/>
          <w:color w:val="auto"/>
        </w:rPr>
        <w:t>. There are no pending or, to the knowledge of the Depositary, threatened actions, suits, investigations or proceedings (whether or not purportedly on behalf of it) against or affecting it or any of its property before or by any court or administrative agency which, if adversely determined, (i) would adversely affect the ability of it to perform its obligations under the Deposit Agreements or</w:t>
      </w:r>
    </w:p>
    <w:p>
      <w:pPr>
        <w:spacing w:after="0" w:line="1" w:lineRule="exact"/>
        <w:rPr>
          <w:rFonts w:ascii="Times New Roman" w:cs="Times New Roman" w:eastAsia="Times New Roman" w:hAnsi="Times New Roman"/>
          <w:sz w:val="17"/>
          <w:szCs w:val="17"/>
          <w:color w:val="auto"/>
        </w:rPr>
      </w:pPr>
    </w:p>
    <w:p>
      <w:pPr>
        <w:ind w:left="540" w:right="180" w:firstLine="7"/>
        <w:spacing w:after="0" w:line="255" w:lineRule="auto"/>
        <w:tabs>
          <w:tab w:leader="none" w:pos="80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call into question or challenge the validity of the Deposit Agreements or the enforceability of the Deposit Agreements in accordance with the terms thereof, nor is it in default with respect to any order of any court, governmental authority, arbitration board or administrative agency so as to adversely affect its ability to perform its obligations under the Deposit Agreements.</w:t>
      </w:r>
    </w:p>
    <w:p>
      <w:pPr>
        <w:spacing w:after="0" w:line="78" w:lineRule="exact"/>
        <w:rPr>
          <w:sz w:val="20"/>
          <w:szCs w:val="20"/>
          <w:color w:val="auto"/>
        </w:rPr>
      </w:pPr>
    </w:p>
    <w:p>
      <w:pPr>
        <w:ind w:right="40" w:firstLine="987"/>
        <w:spacing w:after="0" w:line="266"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any certificate signed by any officer of the Company delivered to the Underwriters or to counsel for the Underwriters pursuant to or in connection with this Agreement shall be deemed a representation and warranty by the Company to the Underwriters as to the matters covered thereby as of the date or dates indicated in such certificate.</w:t>
      </w:r>
    </w:p>
    <w:p>
      <w:pPr>
        <w:spacing w:after="0" w:line="68" w:lineRule="exact"/>
        <w:rPr>
          <w:sz w:val="20"/>
          <w:szCs w:val="20"/>
          <w:color w:val="auto"/>
        </w:rPr>
      </w:pPr>
    </w:p>
    <w:p>
      <w:pPr>
        <w:ind w:firstLine="987"/>
        <w:spacing w:after="0" w:line="256" w:lineRule="auto"/>
        <w:tabs>
          <w:tab w:leader="none" w:pos="117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Closing</w:t>
      </w:r>
      <w:r>
        <w:rPr>
          <w:rFonts w:ascii="Times New Roman" w:cs="Times New Roman" w:eastAsia="Times New Roman" w:hAnsi="Times New Roman"/>
          <w:sz w:val="18"/>
          <w:szCs w:val="18"/>
          <w:color w:val="auto"/>
        </w:rPr>
        <w:t>. (a) On the basis of the representations, warranties and agreements herein contained and subject to the terms and conditions herein set forth, the Company agrees to cause the Trustee to sell to each Underwriter, and each Underwriter agrees, severally and not jointly, to purchase from the Trustee, at a purchase price of 100% of the face amount thereof, the aggregate face amount of Class B Certificates set forth opposite the name of such Underwriter in Schedule I hereto. Concurrently with the issuance of the Class B Certificates, the Escrow Agent shall issue and deliver to the Trustee the Escrow Receipt in accordance with the terms of the Escrow Agreement relating to the Class B Trust, which Escrow Receipt shall be attached to the related Class B Certificates.</w:t>
      </w:r>
    </w:p>
    <w:p>
      <w:pPr>
        <w:spacing w:after="0" w:line="79" w:lineRule="exact"/>
        <w:rPr>
          <w:sz w:val="20"/>
          <w:szCs w:val="20"/>
          <w:color w:val="auto"/>
        </w:rPr>
      </w:pPr>
    </w:p>
    <w:p>
      <w:pPr>
        <w:ind w:firstLine="987"/>
        <w:spacing w:after="0" w:line="254"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purchase price for, and delivery of, the Class B Certificates (with attached Escrow Receipt) shall be made at the date, time and location or locations specified in Schedule II hereto, or at such other date, time or location or locations as shall be agreed upon by the Company and the Representatives, or as shall otherwise be provided in Section 7 hereof (such date being herein called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and such time being herein called the “</w:t>
      </w:r>
      <w:r>
        <w:rPr>
          <w:rFonts w:ascii="Times New Roman" w:cs="Times New Roman" w:eastAsia="Times New Roman" w:hAnsi="Times New Roman"/>
          <w:sz w:val="18"/>
          <w:szCs w:val="18"/>
          <w:u w:val="single" w:color="auto"/>
          <w:color w:val="auto"/>
        </w:rPr>
        <w:t>Closing Time</w:t>
      </w:r>
      <w:r>
        <w:rPr>
          <w:rFonts w:ascii="Times New Roman" w:cs="Times New Roman" w:eastAsia="Times New Roman" w:hAnsi="Times New Roman"/>
          <w:sz w:val="18"/>
          <w:szCs w:val="18"/>
          <w:color w:val="auto"/>
        </w:rPr>
        <w:t>”). Payment shall be made to or upon the order of the Trustee by federal funds wire transfer or transfer of other immediately available funds against delivery to the account of Goldman at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for the respective accounts of the several Underwriters of the Class B Certificates. Such Class B Certificates (with attached Escrow Receipt) shall be registered in the name of Cede &amp; Co. or in such other names, and in such authorized denominations as the Representatives may request in writing at least two full business days before the Closing Time.</w:t>
      </w:r>
    </w:p>
    <w:p>
      <w:pPr>
        <w:spacing w:after="0" w:line="83" w:lineRule="exact"/>
        <w:rPr>
          <w:rFonts w:ascii="Times New Roman" w:cs="Times New Roman" w:eastAsia="Times New Roman" w:hAnsi="Times New Roman"/>
          <w:sz w:val="18"/>
          <w:szCs w:val="18"/>
          <w:color w:val="auto"/>
        </w:rPr>
      </w:pPr>
    </w:p>
    <w:p>
      <w:pPr>
        <w:ind w:right="500" w:firstLine="987"/>
        <w:spacing w:after="0" w:line="266"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to Goldman at the Closing Time for the accounts of the Underwriters any fee, commission or other compensation which is specified in Schedule II hereto. Such payment will be made by federal funds wire transfer or transfer of other immediately available funds.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56" w:name="page57"/>
    <w:bookmarkEnd w:id="56"/>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The Company covenants with each Underwriter as follows:</w:t>
      </w:r>
    </w:p>
    <w:p>
      <w:pPr>
        <w:spacing w:after="0" w:line="117" w:lineRule="exact"/>
        <w:rPr>
          <w:sz w:val="20"/>
          <w:szCs w:val="20"/>
          <w:color w:val="auto"/>
        </w:rPr>
      </w:pPr>
    </w:p>
    <w:p>
      <w:pPr>
        <w:ind w:left="-20" w:firstLine="987"/>
        <w:spacing w:after="0" w:line="253" w:lineRule="auto"/>
        <w:tabs>
          <w:tab w:leader="none" w:pos="121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execution of this Agreement, the Company will (x) prepare the Final Prospectus that complies with the Securities Act and the Securities Act Regulations and which sets forth the aggregate face amount of the Class B Certificates and their terms not otherwise specified in the base prospectus relating to all offerings of pass through certificates under the Registration Statement, the name of each Underwriter participating in the offering and the aggregate face amount of the Class B Certificates that each severally has agreed to purchase, the name of each Underwriter, if any, acting as representative of the Underwriters in connection with the offering, the price at which the Class B Certificates are to be purchased by the Underwriters from the Trustee, any initial public offering price, any selling concession and reallowance, and such other information as you and the Company deem appropriate in connection with the offering of the Class B Certificates and (y) file all material required to be filed by the Company with the Commission pursuant to Rule 433(d) within the time required by such rule. The Company will promptly transmit copies of the Final Prospectus to the Commission for filing pursuant to Rule 424 and will furnish to the Underwriters as many copies of the Final Prospectus as you shall reasonably request.</w:t>
      </w:r>
    </w:p>
    <w:p>
      <w:pPr>
        <w:spacing w:after="0" w:line="86"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when a prospectus (or in lieu thereof, a notice referred to in Rule 173(a) under the Securities Act (“</w:t>
      </w:r>
      <w:r>
        <w:rPr>
          <w:rFonts w:ascii="Times New Roman" w:cs="Times New Roman" w:eastAsia="Times New Roman" w:hAnsi="Times New Roman"/>
          <w:sz w:val="18"/>
          <w:szCs w:val="18"/>
          <w:u w:val="single" w:color="auto"/>
          <w:color w:val="auto"/>
        </w:rPr>
        <w:t>Rule 173(a)</w:t>
      </w:r>
      <w:r>
        <w:rPr>
          <w:rFonts w:ascii="Times New Roman" w:cs="Times New Roman" w:eastAsia="Times New Roman" w:hAnsi="Times New Roman"/>
          <w:sz w:val="18"/>
          <w:szCs w:val="18"/>
          <w:color w:val="auto"/>
        </w:rPr>
        <w:t>”)) relating to the Class B Certificates is required to be delivered under the Securities Act or the Securities Act Regulations, the Company will promptly advise you of (i) the effectiveness of any amendment to the Registration Statement, (ii) the transmittal to the Commission for filing of any supplement to the Final Prospectus or any document that would as a result thereof be incorporated by reference in the Final Prospectus, (iii) any request by the Commission for any amendment of the Registration Statement or any amendment or supplement to the Final Prospectus or for any additional information relating thereto or to any document incorporated by reference therein, (iv) the issuance by the Commission of any stop order suspending the effectiveness of the Registration Statement or the institution or threatening of any proceeding for that purpose, and (v) the receipt by the Company of any notification with respect to the suspension of the qualification of the Class B Certificates for sale in any jurisdiction or the institution or threatening of any proceeding for such purpose. The Company will use its best efforts to prevent the issuance of any such stop order or suspension and, if issued, to obtain as soon as possible the withdrawal thereof.</w:t>
      </w:r>
    </w:p>
    <w:p>
      <w:pPr>
        <w:spacing w:after="0" w:line="86" w:lineRule="exact"/>
        <w:rPr>
          <w:rFonts w:ascii="Times New Roman" w:cs="Times New Roman" w:eastAsia="Times New Roman" w:hAnsi="Times New Roman"/>
          <w:sz w:val="18"/>
          <w:szCs w:val="18"/>
          <w:color w:val="auto"/>
        </w:rPr>
      </w:pPr>
    </w:p>
    <w:p>
      <w:pPr>
        <w:ind w:left="-20" w:right="40" w:firstLine="987"/>
        <w:spacing w:after="0" w:line="253" w:lineRule="auto"/>
        <w:tabs>
          <w:tab w:leader="none" w:pos="121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when a prospectus (or in lieu thereof, a notice referred to in Rule 173(a)) relating to the Class B Certificates is required to be delivered under the Securities Act or the Securities Act Regulations, any event occurs as a result of which the Final Prospectus as then amended or supplemented would include any untrue statement of a material fact or omit to state any material fact necessary to make the statements therein, in light of the circumstances under which they were made, not misleading, or if it shall be necessary to amend or supplement the Final Prospectus to comply with the Securities Act or the Securities Act Regulations, the Company will promptly prepare and file with the Commission, subject to paragraph (d) of this Section 3, an amendment or supplement which will correct such statement or omission or an amendment or supplement which will effect such compliance and the Company will use its reasonable efforts to have any such amendment to the Registration Statement or new registration statement declared effective as soon as practicable (if it is not an automatic shelf registration statement with respect to the Class B Certificates). Neither the Representatives’ consent to, nor the Underwriters’ delivery of, any such amendment or supplement shall constitute a waiver of any of the conditions set forth in Section 4 hereof.</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60" w:top="270" w:right="459" w:bottom="1440" w:gutter="0" w:footer="0" w:header="0"/>
        </w:sectPr>
      </w:pPr>
    </w:p>
    <w:bookmarkStart w:id="57" w:name="page58"/>
    <w:bookmarkEnd w:id="57"/>
    <w:p>
      <w:pPr>
        <w:ind w:firstLine="987"/>
        <w:spacing w:after="0" w:line="258" w:lineRule="auto"/>
        <w:tabs>
          <w:tab w:leader="none" w:pos="1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any time when a prospectus (or in lieu thereof, a notice referred to in Rule 173(a)) relating to the Class B Certificates is required to be delivered under the Securities Act or the Securities Act Regulations, the Company will give you notice of its intention to file any amendment to the Registration Statement or any amendment or supplement to the Final Prospectus, whether pursuant to the Exchange Act, the Securities Act or otherwise, will furnish you with copies of any such amendment or supplement or other documents proposed to be filed within a reasonable time in advance of filing, and will not file any such amendment or supplement or other documents in a form to which you shall reasonably object.</w:t>
      </w:r>
    </w:p>
    <w:p>
      <w:pPr>
        <w:spacing w:after="0" w:line="75" w:lineRule="exact"/>
        <w:rPr>
          <w:rFonts w:ascii="Times New Roman" w:cs="Times New Roman" w:eastAsia="Times New Roman" w:hAnsi="Times New Roman"/>
          <w:sz w:val="18"/>
          <w:szCs w:val="18"/>
          <w:color w:val="auto"/>
        </w:rPr>
      </w:pPr>
    </w:p>
    <w:p>
      <w:pPr>
        <w:ind w:right="20" w:firstLine="987"/>
        <w:spacing w:after="0" w:line="269" w:lineRule="auto"/>
        <w:tabs>
          <w:tab w:leader="none" w:pos="123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furnished or will furnish, if requested, to the Representatives and their counsel, without charge, conformed copies of the Original Registration Statement and of all amendments thereto, whether filed before or after such Registration Statement originally became effective (including exhibits thereto and the documents incorporated therein by reference) and the copies of the Original Registration Statement and each amendment thereto furnished to the Underwriters will be identical to the electronically transmitted copies thereof filed with the Commission pursuant to EDGAR, except to the extent permitted by Regulation S-T. So long as delivery of a Final Prospectus (or in lieu thereof, a notice referred to in</w:t>
      </w:r>
    </w:p>
    <w:p>
      <w:pPr>
        <w:spacing w:after="0" w:line="2" w:lineRule="exact"/>
        <w:rPr>
          <w:rFonts w:ascii="Times New Roman" w:cs="Times New Roman" w:eastAsia="Times New Roman" w:hAnsi="Times New Roman"/>
          <w:sz w:val="17"/>
          <w:szCs w:val="17"/>
          <w:color w:val="auto"/>
        </w:rPr>
      </w:pPr>
    </w:p>
    <w:p>
      <w:pPr>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Rule 173(a)) by the Underwriters may be required by the Securities Act, the Company will furnish as many copies of any Statutory Prospectus, the Final Prospectus and any amendments thereof and supplements thereto as the Representatives may reasonably request and the Final Prospectus and any amendments or supplements thereto furnished to each Underwriter will be identical to the electronically transmitted copies thereof filed with the Commission pursuant to EDGAR, except to the extent permitted by Regulation S-T or required under Rule 424(e).</w:t>
      </w:r>
    </w:p>
    <w:p>
      <w:pPr>
        <w:spacing w:after="0" w:line="80" w:lineRule="exact"/>
        <w:rPr>
          <w:rFonts w:ascii="Times New Roman" w:cs="Times New Roman" w:eastAsia="Times New Roman" w:hAnsi="Times New Roman"/>
          <w:sz w:val="17"/>
          <w:szCs w:val="17"/>
          <w:color w:val="auto"/>
        </w:rPr>
      </w:pPr>
    </w:p>
    <w:p>
      <w:pPr>
        <w:ind w:right="20" w:firstLine="987"/>
        <w:spacing w:after="0" w:line="258" w:lineRule="auto"/>
        <w:tabs>
          <w:tab w:leader="none" w:pos="121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reasonable efforts, in cooperation with the Underwriters, to qualify the Class B Certificates for offering and sale under the applicable securities laws of such states in the United States as the Underwriters may reasonably designate and will maintain such qualifications in effect so long as required in connection with the distribution of the Class B Certificates;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such jurisdiction in which it is not otherwise so subject.</w:t>
      </w:r>
    </w:p>
    <w:p>
      <w:pPr>
        <w:spacing w:after="0" w:line="75"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the proceeds received by it from the sale of the Equipment Notes in the manner to be indicated in the Final Prospectus under “Use of Proceeds.”</w:t>
      </w:r>
    </w:p>
    <w:p>
      <w:pPr>
        <w:spacing w:after="0" w:line="53"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cooperate with the Underwriters and use its reasonable efforts to permit the Class B Certificates to be eligible for clearance and settlement through the facilities of DTC.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58" w:name="page59"/>
    <w:bookmarkEnd w:id="5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The Company, during the period when a Final Prospectus (or in lieu thereof, the notice referred to in Rule 173(a)) relating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Certificates is required to be delivered, will file promptly all documents required to be filed with the Commission pursuant to the Exchange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time periods required by the Exchange Act and the Exchange Act Regulations.</w:t>
      </w:r>
    </w:p>
    <w:p>
      <w:pPr>
        <w:spacing w:after="0" w:line="99" w:lineRule="exact"/>
        <w:rPr>
          <w:sz w:val="20"/>
          <w:szCs w:val="20"/>
          <w:color w:val="auto"/>
        </w:rPr>
      </w:pPr>
    </w:p>
    <w:p>
      <w:pPr>
        <w:ind w:right="100" w:firstLine="987"/>
        <w:spacing w:after="0" w:line="255" w:lineRule="auto"/>
        <w:tabs>
          <w:tab w:leader="none" w:pos="12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agrees that, unless it obtains the prior consent of each Underwriter, and each Underwriter represents and agrees that, unless it obtains the prior consent of the Company, it has not made and will not make any offer relating to the Class B Certificates that would constitute an “issuer free writing prospectus,” as defined in Rule 433 or that would otherwise constitute a “free writing prospectus” as defined in Rule 405. Any such free writing prospectus consented to by the Company and the Underwriters is hereinafter referred to as a “</w:t>
      </w:r>
      <w:r>
        <w:rPr>
          <w:rFonts w:ascii="Times New Roman" w:cs="Times New Roman" w:eastAsia="Times New Roman" w:hAnsi="Times New Roman"/>
          <w:sz w:val="18"/>
          <w:szCs w:val="18"/>
          <w:u w:val="single" w:color="auto"/>
          <w:color w:val="auto"/>
        </w:rPr>
        <w:t>Permitted 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Company represents that it has treated or agrees that it will treat each Permitted Free Writing Prospectus as an “issuer free writing prospectus,” as defined in Rule 433, and has complied and will comply with the requirements of Rule 433 as applicable to any Permitted Free Writing Prospectus, including timely filing with the Commission where required, legending and record keeping.</w:t>
      </w:r>
    </w:p>
    <w:p>
      <w:pPr>
        <w:spacing w:after="0" w:line="80"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date of this Agreement and the Closing Time, the Company will not, without the Representatives’ prior consent, offer, sell or enter into any agreement to sell any public debt securities registered under the Securities Act (other than the Class B Certificates and any Class A Certificates, if any) or any debt securities which may be sold in a transaction exempt from the registration requirements of the Securities Act in reliance on Rule 144A under the Securities Act and which are marketed through the use of a disclosure document containing substantially the same information as a prospectus for similar debt securities registered under the Securities Act.</w:t>
      </w:r>
    </w:p>
    <w:p>
      <w:pPr>
        <w:spacing w:after="0" w:line="75" w:lineRule="exact"/>
        <w:rPr>
          <w:rFonts w:ascii="Times New Roman" w:cs="Times New Roman" w:eastAsia="Times New Roman" w:hAnsi="Times New Roman"/>
          <w:sz w:val="18"/>
          <w:szCs w:val="18"/>
          <w:color w:val="auto"/>
        </w:rPr>
      </w:pPr>
    </w:p>
    <w:p>
      <w:pPr>
        <w:ind w:right="20" w:firstLine="987"/>
        <w:spacing w:after="0" w:line="254" w:lineRule="auto"/>
        <w:tabs>
          <w:tab w:leader="none" w:pos="12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the third anniversary (the “</w:t>
      </w:r>
      <w:r>
        <w:rPr>
          <w:rFonts w:ascii="Times New Roman" w:cs="Times New Roman" w:eastAsia="Times New Roman" w:hAnsi="Times New Roman"/>
          <w:sz w:val="18"/>
          <w:szCs w:val="18"/>
          <w:u w:val="single" w:color="auto"/>
          <w:color w:val="auto"/>
        </w:rPr>
        <w:t>Renewal Deadline</w:t>
      </w:r>
      <w:r>
        <w:rPr>
          <w:rFonts w:ascii="Times New Roman" w:cs="Times New Roman" w:eastAsia="Times New Roman" w:hAnsi="Times New Roman"/>
          <w:sz w:val="18"/>
          <w:szCs w:val="18"/>
          <w:color w:val="auto"/>
        </w:rPr>
        <w:t>”) of the initial effective date of the Original Registration Statement, any of the Class B Certificates remain unsold by the Underwriters, the Company will use its best efforts to file, if it has not already done so and is eligible to do so, a new automatic shelf registration statement relating to the Class B Certificates, in a form satisfactory to the Representatives. If at the Renewal Deadline the Company is no longer eligible to file an automatic shelf registration statement, the Company will, if it has not already done so, use its best efforts to file a new shelf registration statement relating to the Class B Certificates, in a form satisfactory to the Representatives and will use its best efforts to cause such registration statement to be declared effective within 180 days after the Renewal Deadline. The Company will take all other action necessary or appropriate to permit the public offering and sale of the Class B Certificates to continue as contemplated in the expired registration statement relating to the Class B Certificates. References herein to the Registration Statement shall include such new automatic shelf registration statement or such new shelf registration statement, as the case may be.</w:t>
      </w:r>
    </w:p>
    <w:p>
      <w:pPr>
        <w:spacing w:after="0" w:line="188"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Representatives agree that in the aggregate, the Class B Certificates will be widely offered. Each Underwriter and each other member of the underwriting group that offers or sells Class B Certificates agree that the Class B Certificates offered by such Underwriter and such other member of the underwriting group will be primarily offered in the United States to United States persons. The term “</w:t>
      </w:r>
      <w:r>
        <w:rPr>
          <w:rFonts w:ascii="Times New Roman" w:cs="Times New Roman" w:eastAsia="Times New Roman" w:hAnsi="Times New Roman"/>
          <w:sz w:val="18"/>
          <w:szCs w:val="18"/>
          <w:u w:val="single" w:color="auto"/>
          <w:color w:val="auto"/>
        </w:rPr>
        <w:t>United States person</w:t>
      </w:r>
      <w:r>
        <w:rPr>
          <w:rFonts w:ascii="Times New Roman" w:cs="Times New Roman" w:eastAsia="Times New Roman" w:hAnsi="Times New Roman"/>
          <w:sz w:val="18"/>
          <w:szCs w:val="18"/>
          <w:color w:val="auto"/>
        </w:rPr>
        <w:t>” shall have the meaning set forth in section 7701(a)(30) of the Internal Revenue Code of 1986, as amended.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59" w:name="page60"/>
    <w:bookmarkEnd w:id="59"/>
    <w:p>
      <w:pPr>
        <w:jc w:val="both"/>
        <w:ind w:left="-20" w:firstLine="987"/>
        <w:spacing w:after="0" w:line="281" w:lineRule="auto"/>
        <w:tabs>
          <w:tab w:leader="none" w:pos="1151"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to the Obligations of the Underwriters</w:t>
      </w:r>
      <w:r>
        <w:rPr>
          <w:rFonts w:ascii="Times New Roman" w:cs="Times New Roman" w:eastAsia="Times New Roman" w:hAnsi="Times New Roman"/>
          <w:sz w:val="17"/>
          <w:szCs w:val="17"/>
          <w:color w:val="auto"/>
        </w:rPr>
        <w:t>. The obligations of the Underwriters to purchase and pay for the Class B Certificates pursuant to this Agreement shall be subject to the accuracy of and compliance with the representations and warranties of the Company contained herein as of the date hereof and as of the Closing Time, to the accuracy of the statements of the Company’s officers made in any certificates furnished pursuant to the provisions hereof, to the performance by the Company of its covenants and other obligations hereunder and to the following additional conditions:</w:t>
      </w:r>
    </w:p>
    <w:p>
      <w:pPr>
        <w:spacing w:after="0" w:line="56" w:lineRule="exact"/>
        <w:rPr>
          <w:sz w:val="20"/>
          <w:szCs w:val="20"/>
          <w:color w:val="auto"/>
        </w:rPr>
      </w:pPr>
    </w:p>
    <w:p>
      <w:pPr>
        <w:ind w:left="-20" w:right="640" w:firstLine="987"/>
        <w:spacing w:after="0" w:line="282" w:lineRule="auto"/>
        <w:tabs>
          <w:tab w:leader="none" w:pos="121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Time, no stop order suspending the effectiveness of the Registration Statement shall have been issued under the Securities Act and no proceedings therefor shall have been instituted or threatened by the Commission.</w:t>
      </w:r>
    </w:p>
    <w:p>
      <w:pPr>
        <w:spacing w:after="0" w:line="53"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Time, the Underwriters shall have received:</w:t>
      </w:r>
    </w:p>
    <w:p>
      <w:pPr>
        <w:spacing w:after="0" w:line="117" w:lineRule="exact"/>
        <w:rPr>
          <w:rFonts w:ascii="Times New Roman" w:cs="Times New Roman" w:eastAsia="Times New Roman" w:hAnsi="Times New Roman"/>
          <w:sz w:val="18"/>
          <w:szCs w:val="18"/>
          <w:color w:val="auto"/>
        </w:rPr>
      </w:pPr>
    </w:p>
    <w:p>
      <w:pPr>
        <w:ind w:left="960" w:right="620" w:firstLine="408"/>
        <w:spacing w:after="0" w:line="282" w:lineRule="auto"/>
        <w:tabs>
          <w:tab w:leader="none" w:pos="161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and a negative assurance letter, each dated as of the Closing Date, of Latham &amp; Watkins LLP, as counsel for the Company, each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left="960" w:right="140" w:firstLine="408"/>
        <w:spacing w:after="0" w:line="312" w:lineRule="auto"/>
        <w:tabs>
          <w:tab w:leader="none" w:pos="1616"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opinion, dated as of the Closing Date, from Morris James LLP, counsel for (i) WTC, individually, and as Subordination Agent, Trustee and Loan Trustee and (ii) WTNA, as Escrow Agent, in form and substance reasonably satisfactory to the Representatives.</w:t>
      </w:r>
    </w:p>
    <w:p>
      <w:pPr>
        <w:spacing w:after="0" w:line="31" w:lineRule="exact"/>
        <w:rPr>
          <w:rFonts w:ascii="Times New Roman" w:cs="Times New Roman" w:eastAsia="Times New Roman" w:hAnsi="Times New Roman"/>
          <w:sz w:val="17"/>
          <w:szCs w:val="17"/>
          <w:color w:val="auto"/>
        </w:rPr>
      </w:pPr>
    </w:p>
    <w:p>
      <w:pPr>
        <w:ind w:left="960" w:right="680" w:firstLine="408"/>
        <w:spacing w:after="0" w:line="282" w:lineRule="auto"/>
        <w:tabs>
          <w:tab w:leader="none" w:pos="161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dated as of the Closing Date, from Pillsbury Winthrop Shaw Pittman LLP, special New York counsel for the Liquidity Provider,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left="960" w:right="180" w:firstLine="408"/>
        <w:spacing w:after="0" w:line="266" w:lineRule="auto"/>
        <w:tabs>
          <w:tab w:leader="none" w:pos="161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dated as of the Closing Date, from the chief legal officer of the Liquidity Provider or other counsel to the Liquidity Provider satisfactory to the Representatives and counsel to the Representatives, in form and substance reasonably satisfactory to the Representatives.</w:t>
      </w:r>
    </w:p>
    <w:p>
      <w:pPr>
        <w:spacing w:after="0" w:line="67" w:lineRule="exact"/>
        <w:rPr>
          <w:rFonts w:ascii="Times New Roman" w:cs="Times New Roman" w:eastAsia="Times New Roman" w:hAnsi="Times New Roman"/>
          <w:sz w:val="18"/>
          <w:szCs w:val="18"/>
          <w:color w:val="auto"/>
        </w:rPr>
      </w:pPr>
    </w:p>
    <w:p>
      <w:pPr>
        <w:ind w:left="960" w:right="680" w:firstLine="408"/>
        <w:spacing w:after="0" w:line="282" w:lineRule="auto"/>
        <w:tabs>
          <w:tab w:leader="none" w:pos="161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dated as of the Closing Date, from Pillsbury Winthrop Shaw Pittman LLP, special New York counsel for the Depositary,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left="960" w:right="260" w:firstLine="408"/>
        <w:spacing w:after="0" w:line="282" w:lineRule="auto"/>
        <w:tabs>
          <w:tab w:leader="none" w:pos="161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dated as of the Closing Date, from Yumoto, Ota &amp; Miyazaki, special Japanese counsel for the Depositary,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left="960" w:right="180" w:firstLine="408"/>
        <w:spacing w:after="0" w:line="282" w:lineRule="auto"/>
        <w:tabs>
          <w:tab w:leader="none" w:pos="161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a negative assurance letter, each dated as of the Closing Date, from Milbank LLP, counsel for the Underwriters, each in form and substance reasonably satisfactory to the Representatives.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60" w:top="270" w:right="459" w:bottom="1440" w:gutter="0" w:footer="0" w:header="0"/>
        </w:sectPr>
      </w:pPr>
    </w:p>
    <w:bookmarkStart w:id="60" w:name="page61"/>
    <w:bookmarkEnd w:id="60"/>
    <w:p>
      <w:pPr>
        <w:ind w:left="4" w:right="100" w:firstLine="987"/>
        <w:spacing w:after="0" w:line="254" w:lineRule="auto"/>
        <w:tabs>
          <w:tab w:leader="none" w:pos="12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Closing Date, there shall not have been, since the respective dates as of which information is given in the General Disclosure Package and the Final Prospectus, any material adverse change in the condition, financial or otherwise, of the Company and its subsidiaries considered as one enterprise, or in the earnings, business affairs or business prospects of the Company and its subsidiaries considered as one enterprise, whether or not arising in the ordinary course of business, and you shall have received a certificate of the President, an Executive Vice President, a Senior Vice President or a Vice President of the Company, dated as of such Closing Time, to the effect that (i) there has been no such material adverse change,</w:t>
      </w:r>
    </w:p>
    <w:p>
      <w:pPr>
        <w:spacing w:after="0" w:line="3" w:lineRule="exact"/>
        <w:rPr>
          <w:rFonts w:ascii="Times New Roman" w:cs="Times New Roman" w:eastAsia="Times New Roman" w:hAnsi="Times New Roman"/>
          <w:sz w:val="18"/>
          <w:szCs w:val="18"/>
          <w:color w:val="auto"/>
        </w:rPr>
      </w:pPr>
    </w:p>
    <w:p>
      <w:pPr>
        <w:ind w:left="4" w:right="180" w:hanging="4"/>
        <w:spacing w:after="0" w:line="255" w:lineRule="auto"/>
        <w:tabs>
          <w:tab w:leader="none" w:pos="26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Section 1(a) hereof are true and correct with the same force and effect as though made at such Closing Time and (iii) the Company has complied in all material respects with all of the agreements applicable to it contemplated herein and satisfied in all material respects all of the conditions on its part to be performed or satisfied hereunder on or before the Closing Date.</w:t>
      </w:r>
    </w:p>
    <w:p>
      <w:pPr>
        <w:spacing w:after="0" w:line="77"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Time, neither S&amp;P Global Ratings, a Standard &amp; Poor’s Financial Services LLC business nor Moody’s Investors Service, Inc. shall have downgraded the rating accorded any of the Company’s securities (except for any pass through certificates) or announced that any probable downgrading of such rating is about to occur in the near future.</w:t>
      </w:r>
    </w:p>
    <w:p>
      <w:pPr>
        <w:spacing w:after="0" w:line="67"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2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execution of this Agreement and also at the Closing Time, the Underwriters shall have received from KPMG LLP a letter or letters, dated as of the respective dates of delivery thereof, in form and substance reasonably satisfactory to the Representatives, containing statements and information of the type ordinarily included in accountants’ “comfort letters” to underwriters with respect to certain financial statements and certain financial information contained or incorporated by reference in the General Disclosure Package and the Final Prospectus.</w:t>
      </w:r>
    </w:p>
    <w:p>
      <w:pPr>
        <w:spacing w:after="0" w:line="71"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Time, each of the Intercreditor Agreement, the Liquidity Facilities, the Trust Agreements, the Escrow Agreements, the Deposit Agreements and the Note Purchase Agreement shall have been executed and delivered by each party thereto; the representations and warranties of the Company contained in such agreements shall be accurate as of the Closing Time and the Underwriters shall have received a certificate of the President, an Executive Vice President, a Senior Vice President or a Vice President of the Company, dated as of the Closing Date, to such effect.</w:t>
      </w:r>
    </w:p>
    <w:p>
      <w:pPr>
        <w:spacing w:after="0" w:line="71" w:lineRule="exact"/>
        <w:rPr>
          <w:rFonts w:ascii="Times New Roman" w:cs="Times New Roman" w:eastAsia="Times New Roman" w:hAnsi="Times New Roman"/>
          <w:sz w:val="18"/>
          <w:szCs w:val="18"/>
          <w:color w:val="auto"/>
        </w:rPr>
      </w:pPr>
    </w:p>
    <w:p>
      <w:pPr>
        <w:ind w:left="4" w:right="140" w:firstLine="987"/>
        <w:spacing w:after="0" w:line="258" w:lineRule="auto"/>
        <w:tabs>
          <w:tab w:leader="none" w:pos="125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execution of this Agreement and also at the Closing Time, each of the Appraisers shall have furnished to the Underwriters a letter from such Appraiser, addressed to the Company and dated the respective date of delivery thereof, confirming that such Appraiser and each of its directors and officers (i) is not an affiliate of the Company or any of its affiliates, (ii) does not have any substantial interest, direct or indirect, in the Company or any of its affiliates and (iii) is not connected with the Company or any of its affiliates as an officer, employee, promoter, underwriter, trustee, partner, director or person performing similar functions.</w:t>
      </w:r>
    </w:p>
    <w:p>
      <w:pPr>
        <w:spacing w:after="0" w:line="75" w:lineRule="exact"/>
        <w:rPr>
          <w:rFonts w:ascii="Times New Roman" w:cs="Times New Roman" w:eastAsia="Times New Roman" w:hAnsi="Times New Roman"/>
          <w:sz w:val="18"/>
          <w:szCs w:val="18"/>
          <w:color w:val="auto"/>
        </w:rPr>
      </w:pPr>
    </w:p>
    <w:p>
      <w:pPr>
        <w:ind w:left="4" w:right="540" w:firstLine="987"/>
        <w:spacing w:after="0" w:line="282" w:lineRule="auto"/>
        <w:tabs>
          <w:tab w:leader="none" w:pos="125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Certificates shall have received ratings equal to or higher than the ratings indicated in the free writing prospectuses identified as Item 2 in Schedule A hereto from the nationally recognized statistical rating organizations named therein.</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70" w:right="479" w:bottom="1440" w:gutter="0" w:footer="0" w:header="0"/>
        </w:sectPr>
      </w:pPr>
    </w:p>
    <w:bookmarkStart w:id="61" w:name="page62"/>
    <w:bookmarkEnd w:id="61"/>
    <w:p>
      <w:pPr>
        <w:ind w:left="4" w:right="40" w:firstLine="987"/>
        <w:spacing w:after="0" w:line="266" w:lineRule="auto"/>
        <w:tabs>
          <w:tab w:leader="none" w:pos="121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Closing Date, the Depositary shall have furnished to the Underwriters a certificate of the Depositary, signed by an officer of the Depositary, dated as of the applicable date, to the effect that the representations and warranties of the Depositary contained in Section 1(b) hereof are true and correct with the same force and effect as though made on such Closing Date.</w:t>
      </w:r>
    </w:p>
    <w:p>
      <w:pPr>
        <w:spacing w:after="0" w:line="67" w:lineRule="exact"/>
        <w:rPr>
          <w:rFonts w:ascii="Times New Roman" w:cs="Times New Roman" w:eastAsia="Times New Roman" w:hAnsi="Times New Roman"/>
          <w:sz w:val="18"/>
          <w:szCs w:val="18"/>
          <w:color w:val="auto"/>
        </w:rPr>
      </w:pPr>
    </w:p>
    <w:p>
      <w:pPr>
        <w:ind w:left="4" w:right="60" w:firstLine="987"/>
        <w:spacing w:after="0" w:line="281" w:lineRule="auto"/>
        <w:tabs>
          <w:tab w:leader="none" w:pos="121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furnished to the Underwriters and their counsel, in form and substance satisfactory to them, such other documents, certificates and opinions as such counsel may reasonably request for the purpose of enabling such counsel to pass upon the matters referred to in subsection (b)(7) of this Section 4 and in order to evidence the accuracy and completeness of any of the representations, warranties or statements, the performance of any covenant by the Company theretofore to be performed, or the compliance with any of the conditions herein contained.</w:t>
      </w:r>
    </w:p>
    <w:p>
      <w:pPr>
        <w:spacing w:after="0" w:line="56"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Class A Certificates shall have been duly issued.</w:t>
      </w:r>
    </w:p>
    <w:p>
      <w:pPr>
        <w:spacing w:after="0" w:line="225"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All such opinions, certificates, letters and documents shall be deemed to be in compliance with the provisions hereof only if they are in all respects satisfactory to the Underwriters and their counsel.</w:t>
      </w:r>
    </w:p>
    <w:p>
      <w:pPr>
        <w:spacing w:after="0" w:line="162"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If any condition specified in this Section 4 shall not have been fulfilled when and as required to be fulfilled, other than by reason of any default by any Underwriter, such failure to fulfill a condition may be waived by the Underwriters, or this Agreement may be terminated by the Underwriters by notice to the Company at any time at or prior to the Closing Time, and such termination shall be without liability of any party to any other party, except as provided in Sections 5, 6 and 8 hereof, which provisions shall remain in effect notwithstanding such termination.</w:t>
      </w:r>
    </w:p>
    <w:p>
      <w:pPr>
        <w:spacing w:after="0" w:line="72" w:lineRule="exact"/>
        <w:rPr>
          <w:sz w:val="20"/>
          <w:szCs w:val="20"/>
          <w:color w:val="auto"/>
        </w:rPr>
      </w:pPr>
    </w:p>
    <w:p>
      <w:pPr>
        <w:ind w:left="4" w:right="360" w:firstLine="987"/>
        <w:spacing w:after="0" w:line="257" w:lineRule="auto"/>
        <w:tabs>
          <w:tab w:leader="none" w:pos="117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shall, upon demand, pay or cause to be paid all expenses incident to the performance of its obligations under this Agreement, including (i) expenses relating to the preparation, printing, filing and distribution of the Statutory Prospectus, the Final Prospectus, the Registration Statement and each Permitted Free Writing Prospectus and any amendments thereof or supplements thereto,</w:t>
      </w:r>
    </w:p>
    <w:p>
      <w:pPr>
        <w:spacing w:after="0" w:line="1" w:lineRule="exact"/>
        <w:rPr>
          <w:rFonts w:ascii="Times New Roman" w:cs="Times New Roman" w:eastAsia="Times New Roman" w:hAnsi="Times New Roman"/>
          <w:sz w:val="18"/>
          <w:szCs w:val="18"/>
          <w:color w:val="auto"/>
        </w:rPr>
      </w:pPr>
    </w:p>
    <w:p>
      <w:pPr>
        <w:ind w:left="4" w:right="360" w:hanging="4"/>
        <w:spacing w:after="0" w:line="265" w:lineRule="auto"/>
        <w:tabs>
          <w:tab w:leader="none" w:pos="26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relating to the preparation, printing and distribution of this Agreement, the Class B Certificates, the Equipment Notes, the Operative Documents, any Underwriter’s Questionnaire or related matters, the blue sky survey and any legal investment survey by the Underwriters’ counsel,</w:t>
      </w:r>
    </w:p>
    <w:p>
      <w:pPr>
        <w:ind w:left="4" w:hanging="4"/>
        <w:spacing w:after="0" w:line="265" w:lineRule="auto"/>
        <w:tabs>
          <w:tab w:leader="none" w:pos="31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relating to the issuance and delivery of the Class B Certificates to the Underwriters, (iv) the fees and disbursements of the Company’s counsel and accountants, (v) expenses of qualifying the Class B Certificates under state securities laws in accordance with Section 3(f) hereof, including filing fees and fees and disbursements of counsel for the Underwriters in connection therewith and in connection with the blue sky survey and any legal investment survey, (vi) the fees and expenses of the Trustee, the Subordination Agent, the Loan Trustee, the Escrow Agent, the Paying Agent and the Depositary, and the fees and disbursements of their respective counsel, (vii) any fees charged by rating agencies for rating the Class B Certificates,</w:t>
      </w:r>
    </w:p>
    <w:p>
      <w:pPr>
        <w:ind w:left="4" w:right="80" w:hanging="4"/>
        <w:spacing w:after="0" w:line="255" w:lineRule="auto"/>
        <w:tabs>
          <w:tab w:leader="none" w:pos="40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and expenses related to review by the Financial Industry Regulatory Authority, Inc. of the Class B Certificates (including filing fees and the fees and expenses of counsel for the Underwriters relating to review), (ix) any costs and expenses of the Company relating to investor presentations on any</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4"/>
          </w:cols>
          <w:pgMar w:left="436" w:top="270" w:right="499" w:bottom="1440" w:gutter="0" w:footer="0" w:header="0"/>
        </w:sectPr>
      </w:pPr>
    </w:p>
    <w:bookmarkStart w:id="62" w:name="page63"/>
    <w:bookmarkEnd w:id="62"/>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“road show” undertaken in connection with the marketing of the Class B Certificates, (x) certain reasonable fees and expenses of counsel for the Underwriters, and (xi) the fees and expenses, if any, incurred in connection with the listing of the Class B Certificates on any securities exchange. The Company will also cause to be paid all expenses incident to the performance of its obligations under the Equipment Notes and the Operative Documents and each of the other agreements and instruments referred to therein.</w:t>
      </w:r>
    </w:p>
    <w:p>
      <w:pPr>
        <w:spacing w:after="0" w:line="180" w:lineRule="exact"/>
        <w:rPr>
          <w:sz w:val="20"/>
          <w:szCs w:val="20"/>
          <w:color w:val="auto"/>
        </w:rPr>
      </w:pPr>
    </w:p>
    <w:p>
      <w:pPr>
        <w:ind w:left="4" w:right="360" w:firstLine="991"/>
        <w:spacing w:after="0" w:line="266" w:lineRule="auto"/>
        <w:rPr>
          <w:sz w:val="20"/>
          <w:szCs w:val="20"/>
          <w:color w:val="auto"/>
        </w:rPr>
      </w:pPr>
      <w:r>
        <w:rPr>
          <w:rFonts w:ascii="Times New Roman" w:cs="Times New Roman" w:eastAsia="Times New Roman" w:hAnsi="Times New Roman"/>
          <w:sz w:val="18"/>
          <w:szCs w:val="18"/>
          <w:color w:val="auto"/>
        </w:rPr>
        <w:t>If this Agreement is terminated by you in accordance with the provisions of Section 4 or Section 9(i) hereof, the Company shall, upon demand, reimburse the Underwriters for all of their out-of-pocket expenses, including the reasonable fees and disbursements of counsel for the Underwriters, incurred by them in connection with the offering contemplated by this Agreement.</w:t>
      </w:r>
    </w:p>
    <w:p>
      <w:pPr>
        <w:spacing w:after="0" w:line="68" w:lineRule="exact"/>
        <w:rPr>
          <w:sz w:val="20"/>
          <w:szCs w:val="20"/>
          <w:color w:val="auto"/>
        </w:rPr>
      </w:pPr>
    </w:p>
    <w:p>
      <w:pPr>
        <w:ind w:left="4" w:right="40" w:firstLine="987"/>
        <w:spacing w:after="0" w:line="267" w:lineRule="auto"/>
        <w:tabs>
          <w:tab w:leader="none" w:pos="1175"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and Contribution</w:t>
      </w:r>
      <w:r>
        <w:rPr>
          <w:rFonts w:ascii="Times New Roman" w:cs="Times New Roman" w:eastAsia="Times New Roman" w:hAnsi="Times New Roman"/>
          <w:sz w:val="17"/>
          <w:szCs w:val="17"/>
          <w:color w:val="auto"/>
        </w:rPr>
        <w:t xml:space="preserve">. (a) The Company agrees to indemnify and hold harmless each Underwriter, its affiliates and their respective directors and officers, and each person who controls any Underwriter within the meaning of either Section 15 of the Securities Act or Section 20 of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(1) arise out of or are based upon any untrue statement or alleged untrue statement of a material fact contained in the Registration Statement (or any amendment to the Registration Statement), or arise out of or are based upon the omission or alleged omission therefrom of a material fact required to be stated therein or necessary to make the statements therein not misleading, or (2) arise out of or are based upon any untrue statement or alleged untrue statement of a material fact contained in the General Disclosure Package or in the Final Prospectus or in any amendment thereof or supplement thereto or in any Issuer Free Writing Prospectus or any amendment thereof, or arise out of or are based upon the omission or alleged omission therefrom of a material fact necessary in order to make the statements therein, in light of the circumstances under which they were made, not misleading, and, in each case, agrees to reimburse each such indemnified party for any legal or other expenses reasonably incurred by them in connection with investigating or defending any such loss, claim, damage, liability or 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w:t>
      </w:r>
    </w:p>
    <w:p>
      <w:pPr>
        <w:ind w:left="4" w:hanging="4"/>
        <w:spacing w:after="0" w:line="251" w:lineRule="auto"/>
        <w:tabs>
          <w:tab w:leader="none" w:pos="21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liable in any such case to the extent that any such loss, claim, damage, or liability arises out of or is based upon any such untrue statement or alleged untrue statement or omission or alleged omission (a) made therein in reliance upon, and in conformity with, written information relating to any Underwriter furnished to the Company by or on behalf of such Underwriter specifically for use in the Registration Statement (or any amendment thereto) or any Issuer Free Writing Prospectus (or any amendment thereto) or the General Disclosure Package or the Final Prospectus (or any amendment or supplement thereto) or (b) made in those parts of the Registration Statement constituting a Statement of Eligibility under the TIA of a trustee on Form T-1, and (ii) the Company shall not be liable for any loss, liability or expense of any settlement or compromise of or consent to entry of judgment with respect to, any pending or threatened litigation or any pending or threatened governmental agency investigation or proceeding if such settlement or compromise of or consent to entry of judgment with respect thereto is effected without the prior written consent of the Company (which consent shall not be unreasonably withheld), except to the extent that such consent is not required pursuant to Section 6(d) hereof. This indemnity agreement will be in addition to any liability that the Company may otherwise have.</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63" w:name="page64"/>
    <w:bookmarkEnd w:id="63"/>
    <w:p>
      <w:pPr>
        <w:ind w:right="40" w:firstLine="987"/>
        <w:spacing w:after="0" w:line="253"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Underwriter severally agrees to indemnify and hold harmless the Company, each of its directors, each of its officers who signed the Registration Statement, and each person who controls the Company within the meaning of either Section 15 of the Securities Act or Section 20 of the Exchange Act, against any and all losses, claims, damages, liabilities and expenses described in the indemnity contained in Section 6(a) hereof, but only with respect to untrue statements or alleged untrue statements or omissions or alleged omissions made in the Registration Statement (or any amendment thereto), any Permitted Free Writing Prospectus, the General Disclosure Package, or the Final Prospectus (or any amendment or supplement thereto) in reliance upon and in conformity with the Underwriter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Underwriters shall not be liable for any loss, liability or expense of any settlement or compromise of or consent to entry of judgment with respect to, any pending or threatened litigation or any pending or threatened governmental agency investigation or proceeding if such settlement or compromise of or consent to entry of judgment with respect thereto is effected without the prior written consent of the Underwriters (which consent shall not be unreasonably withheld), except to the extent that such consent is not required pursuant to Section 6(d) hereof. This indemnity agreement will be in addition to any liability that any Underwriter may otherwise have.</w:t>
      </w:r>
    </w:p>
    <w:p>
      <w:pPr>
        <w:spacing w:after="0" w:line="83"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Section 6(a) or (b) hereof of notice of the commencement of any action, such indemnified party will, if a claim in respect thereof is to be made against the indemnifying party under Section 6(a) or (b) hereof, notify the indemnifying party or parties in writing of the commencement thereof; but the omission so to notify the indemnifying party or parties will not relieve it from any liability which it may have to any indemnified party otherwise than under Section 6(a) or (b) hereof. In case any such action is brought against any indemnified party and it notifies the indemnifying party or parties of the commencement thereof, the indemnifying party or parties will be entitled to participate therein, and to the extent that such indemnifying party or parties may elect, by written notice delivered to such indemnified party promptly after receiving the aforesaid notice from such indemnified party, to assume the defense thereof, with counsel satisfactory to such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in the reasonable judgment of such indemnified party, a conflict of interest exists where it is advisable for such indemnified party to be represented by separate counsel, the indemnified party shall have the right to employ separate counsel in any such action, in which event the fees and expenses of such separate counsel shall be borne by the indemnifying party or parties. Upon receipt of notice from the indemnifying party or parties to such indemnified party of the election so to assume the defense of such action and approval by the indemnified party of counsel, the indemnifying party or parties will not be liable to such indemnified party under this Section 6 for any legal or other expenses subsequently incurred by such indemnified party in connection with the defense thereof unless (i) the indemnified party shall have employed separate counsel in accordance with the proviso to the next preceding sentence (it being understood, however, that the indemnifying party or parties shall not be liable for the expenses of more than one such separate counsel representing the indemnified parties under subparagraph (a) or (b), as applicable) of this Section 6 who are parties to such action in addition to one local counsel in each jurisdiction, (ii) the indemnifying party or parties shall not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64" w:name="page65"/>
    <w:bookmarkEnd w:id="64"/>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have employed counsel satisfactory to the indemnified party to represent the indemnified party within a reasonable time after notice of commencement of the action or (iii) the indemnifying party or parties have authorized the employment of counsel for the indemnified party at the expense of the indemnifying party or parties; and except that, if clause (i) or (iii) is applicable, such liability shall be only in respect of the counsel referred to in such clause (i) or (iii). It is understood that all such fees and expenses of counsel for the indemnified party for which the indemnifying party is liable shall be reimbursed as they are incurred. No indemnifying party shall, without the prior written consent of the indemnified party (which consent shall not be unreasonably withheld), effect any settlement or compromise of, or consent to entry of judgment with respect to, any pending or threatened proceeding in respect of which any indemnified party is or could have been a party and indemnity could have been sought hereunder by such indemnified party, unless such settlement or compromise of, or consent to entry of judgment with respect to, includes an unconditional release of such indemnified party from all liability on claims that are the subject matter of such proceeding and does not include a statement as to or an admission of fault, culpability or failure to act by or on behalf of any indemnified party.</w:t>
      </w:r>
    </w:p>
    <w:p>
      <w:pPr>
        <w:spacing w:after="0" w:line="86" w:lineRule="exact"/>
        <w:rPr>
          <w:sz w:val="20"/>
          <w:szCs w:val="20"/>
          <w:color w:val="auto"/>
        </w:rPr>
      </w:pPr>
    </w:p>
    <w:p>
      <w:pPr>
        <w:ind w:right="20" w:firstLine="987"/>
        <w:spacing w:after="0" w:line="273" w:lineRule="auto"/>
        <w:tabs>
          <w:tab w:leader="none" w:pos="124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an indemnified party shall have requested an indemnifying party to reimburse the indemnified party for fees and expenses of counsel payable pursuant to this Section 6, such indemnifying party agrees that it shall be liable for any settlement, compromise or consent to entry of judgment of the nature contemplated by clause (ii) of the proviso in Section 6(a) hereof and the proviso in Section 6(b) hereof effected without its written consent if (i) such settlement, compromise or consent to entry of judgment is entered into more than 45 days after receipt by such indemnifying party of the aforesaid notice of request, (ii) such indemnifying party shall have received notice of the terms of such settlement, compromise or consent to entry of judgment at least 30 days prior to such settlement being entered into, and (iii) such indemnifying party shall not have reimbursed such indemnified party in accordance with such request prior to the date of such settlement, compromise or consent to entry of judgment.</w:t>
      </w:r>
    </w:p>
    <w:p>
      <w:pPr>
        <w:spacing w:after="0" w:line="63" w:lineRule="exact"/>
        <w:rPr>
          <w:rFonts w:ascii="Times New Roman" w:cs="Times New Roman" w:eastAsia="Times New Roman" w:hAnsi="Times New Roman"/>
          <w:sz w:val="17"/>
          <w:szCs w:val="17"/>
          <w:color w:val="auto"/>
        </w:rPr>
      </w:pPr>
    </w:p>
    <w:p>
      <w:pPr>
        <w:ind w:firstLine="987"/>
        <w:spacing w:after="0" w:line="253"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paragraph (a) or (b) of this Section 6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(i) in such proportion as is appropriate to reflect the relative benefits received by the Company on the one hand and the Underwriters on the other hand from the offering of the Class B Certificates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 The relative benefits received by the Company on the one hand and the Underwriters on the other hand in connection with the offering of the Class B Certificates pursuant to this Agreement shall be deemed to be in the same proportion as the total proceeds from the offering of the Class B Certificates pursuant to this Agreement (net of underwriting discounts and commissions paid to the Underwriters but before deducting expenses) received by the Company and the total underwriting discounts and</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40" w:top="270" w:right="499" w:bottom="1440" w:gutter="0" w:footer="0" w:header="0"/>
        </w:sectPr>
      </w:pPr>
    </w:p>
    <w:bookmarkStart w:id="65" w:name="page66"/>
    <w:bookmarkEnd w:id="6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commissions received by the Underwriters in each case as set forth on the cover of the Final Prospectus, bears to the aggregate initial public offering price of the Class B Certificates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 The Company and the Underwriters agree that it would not be just and equitable if contribution pursuant to this Section 6 were determined by pro rata allocation or by any other method of allocation which does not take account of the equitable considerations referred to above in this Section 6. The aggregate amount of losses, liabilities, claims, damages and expenses incurred by an indemnified party and referred to above in this Section 6 shall be deemed to include any legal or other expenses reasonably incurred by such indemnified party in investigating, preparing or defending against any such action or claim. Notwithstanding the provisions of this Section 6, no Underwriter shall be required to contribute any amount in excess of the amount by which the total price at which the Class B Certificates underwritten by it and distributed to the public were offered to the public exceeds the amount of any damages which such Underwriter has otherwise been required to pay by reason of any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Section 6, each person, if any, who controls any Underwriter within the meaning of Section 15 of the Securities Act or Section 20 of the Exchange Act shall have the same rights to contribution as such Underwriter, and each director of the Company, each officer of the Company who signed the Registration Statement, and each person, if any, who controls the Company within the meaning of Section 15 of the Securities Act or Section 20 of the Exchange Act shall have the same rights to contribution as the Company. The Underwriters’ respective obligations to contribute pursuant to this Section 6 are several in proportion to the face amount of Class B Certificates set forth opposite their respective names in Schedule I hereto and not joint.</w:t>
      </w:r>
    </w:p>
    <w:p>
      <w:pPr>
        <w:spacing w:after="0" w:line="83" w:lineRule="exact"/>
        <w:rPr>
          <w:sz w:val="20"/>
          <w:szCs w:val="20"/>
          <w:color w:val="auto"/>
        </w:rPr>
      </w:pPr>
    </w:p>
    <w:p>
      <w:pPr>
        <w:ind w:right="20" w:firstLine="987"/>
        <w:spacing w:after="0" w:line="253" w:lineRule="auto"/>
        <w:tabs>
          <w:tab w:leader="none" w:pos="117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xml:space="preserve">. If any one or more Underwriters shall fail at the Closing Time to purchase and pay for any of the Class B Certificates agreed to be purchased by such Underwriter or Underwriters pursuant to this Agreement and such failure to purchase shall constitute a default in the performance of its or their obligations under this Agreement, the remaining Underwriters shall be obligated severally to take up and pay for (in the respective proportions which the aggregate face amount of Class B Certificates specified to be purchased by each of them in Schedule I hereto bears to the aggregate face amount of Class B Certificates to be purchased by all the remaining Underwriters) the Class B Certificates which the defaulting Underwriter or Underwriters agreed but failed to 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aggregate face amount of Class B Certificates that the defaulting Underwriter or Underwriters agreed but failed to purchase shall exceed 10% of the aggregate face amount of Class B Certificates to be purchased pursuant to this Agreement, the remaining Underwriters shall have the right, but not the obligation within 24 hours thereafter, to make arrangements to purchase all, but not less than all, of such Class B Certificates, and if such nondefaulting Underwriters do not complete such arrangements within such 24 hour period, then this Agreement will terminate without liability to any nondefaulting Underwriters or the Company. In the event of any such</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66" w:name="page67"/>
    <w:bookmarkEnd w:id="66"/>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the provisions of Sections 5, 6 and 8 hereof shall remain in effect. In the event of a default by any Underwriter as set forth in this Section 7 that does not result in a termination of this Agreement, the Closing Time shall be postponed for such period, not exceeding seven days, as the nondefaulting Underwriters or the Company shall determine in order that the required changes in the General Disclosure Package and the Final Prospectus or in any other documents or arrangements may be effected. Nothing contained in this Agreement shall relieve any defaulting Underwriter of its liability, if any, to the Company and to any nondefaulting Underwriters for damages occasioned by its default hereunder.</w:t>
      </w:r>
    </w:p>
    <w:p>
      <w:pPr>
        <w:spacing w:after="0" w:line="183" w:lineRule="exact"/>
        <w:rPr>
          <w:sz w:val="20"/>
          <w:szCs w:val="20"/>
          <w:color w:val="auto"/>
        </w:rPr>
      </w:pPr>
    </w:p>
    <w:p>
      <w:pPr>
        <w:ind w:left="4" w:right="40" w:firstLine="436"/>
        <w:spacing w:after="0" w:line="261" w:lineRule="auto"/>
        <w:tabs>
          <w:tab w:leader="none" w:pos="62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Covenants, Indemnities and Agreements to Survive Delivery</w:t>
      </w:r>
      <w:r>
        <w:rPr>
          <w:rFonts w:ascii="Times New Roman" w:cs="Times New Roman" w:eastAsia="Times New Roman" w:hAnsi="Times New Roman"/>
          <w:sz w:val="18"/>
          <w:szCs w:val="18"/>
          <w:color w:val="auto"/>
        </w:rPr>
        <w:t>. All representations, warranties, covenants, indemnities and agreements contained in this Agreement, or contained in certificates of officers of the Company submitted pursuant hereto, shall remain operative and in full force and effect, regardless of any investigation made by or on behalf of the Company or any Underwriter, its affiliates, their respective directors and officers or any controlling person of either and shall survive delivery of any Class B Certificates to the Underwriters.</w:t>
      </w:r>
    </w:p>
    <w:p>
      <w:pPr>
        <w:spacing w:after="0" w:line="179"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immediately upon notice from you to the Company at any time at or prior to the Closing Time</w:t>
      </w:r>
    </w:p>
    <w:p>
      <w:pPr>
        <w:spacing w:after="0" w:line="27" w:lineRule="exact"/>
        <w:rPr>
          <w:rFonts w:ascii="Times New Roman" w:cs="Times New Roman" w:eastAsia="Times New Roman" w:hAnsi="Times New Roman"/>
          <w:sz w:val="18"/>
          <w:szCs w:val="18"/>
          <w:color w:val="auto"/>
        </w:rPr>
      </w:pPr>
    </w:p>
    <w:p>
      <w:pPr>
        <w:ind w:left="4" w:right="60" w:hanging="4"/>
        <w:spacing w:after="0" w:line="251" w:lineRule="auto"/>
        <w:tabs>
          <w:tab w:leader="none" w:pos="21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has been, since the respective dates as of which information is given in the Registration Statement and the Final Prospectus (exclusive of any amendments or supplements thereto subsequent to the date of this Agreement), any material adverse change in the condition, financial or otherwise, of the Company and its subsidiaries considered as one enterprise, or in the earnings, business affairs or business prospects of the Company and its subsidiaries considered as one enterprise, whether or not arising in the ordinary course of business, or (ii) if there has occurred any outbreak or escalation of hostilities or any material adverse change in the financial markets in the United States or in the international financial markets or any other calamity or crisis the effect of any of which on the financial markets is such as to make it, in your judgment, impracticable to market the Class B Certificates or enforce contracts for the sale of the Class B Certificates, or (iii) if trading in the securities of AAG or the Company has been suspended by the Commission or the New York Stock Exchange, or if trading generally on the New York Stock Exchange has been suspended, or minimum or maximum prices for trading have been fixed, or maximum ranges for prices for securities have been required, by said exchange or by order of the Commission or any other governmental authority, or (iv) if a banking moratorium has been declared by either Federal or New York authorities. In the event of any such termination, the provisions of Sections 5, 6 and 8 hereof shall remain in effect.</w:t>
      </w:r>
    </w:p>
    <w:p>
      <w:pPr>
        <w:spacing w:after="0" w:line="192" w:lineRule="exact"/>
        <w:rPr>
          <w:rFonts w:ascii="Times New Roman" w:cs="Times New Roman" w:eastAsia="Times New Roman" w:hAnsi="Times New Roman"/>
          <w:sz w:val="18"/>
          <w:szCs w:val="18"/>
          <w:color w:val="auto"/>
        </w:rPr>
      </w:pPr>
    </w:p>
    <w:p>
      <w:pPr>
        <w:ind w:left="4" w:firstLine="436"/>
        <w:spacing w:after="0" w:line="233" w:lineRule="auto"/>
        <w:tabs>
          <w:tab w:leader="none" w:pos="71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effective only upon receipt, and, (a) if sent to the Representatives on behalf of the Underwriters, will be mailed or transmitted by any standard form of telecommunication to Goldman Sachs &amp; Co. LLC, 200 West Street, New York, New York 10282, Attention: Registration Department with a copy to: MUFG Securities Americas Inc. at 1221 Avenue of the Americas,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10020, Attention: Capital Markets Group, and (b) if sent to the Company, will be mailed or transmitted by any standard form of telecommunication to the Company at 1 Skyview Drive, Fort Worth, Texas 76155, attention of the Treasurer.</w:t>
      </w:r>
    </w:p>
    <w:p>
      <w:pPr>
        <w:spacing w:after="0" w:line="20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67" w:name="page68"/>
    <w:bookmarkEnd w:id="67"/>
    <w:p>
      <w:pPr>
        <w:ind w:right="20" w:firstLine="436"/>
        <w:spacing w:after="0" w:line="273" w:lineRule="auto"/>
        <w:tabs>
          <w:tab w:leader="none" w:pos="71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Parties</w:t>
      </w:r>
      <w:r>
        <w:rPr>
          <w:rFonts w:ascii="Times New Roman" w:cs="Times New Roman" w:eastAsia="Times New Roman" w:hAnsi="Times New Roman"/>
          <w:sz w:val="17"/>
          <w:szCs w:val="17"/>
          <w:color w:val="auto"/>
        </w:rPr>
        <w:t>. This Agreement shall inure to the benefit of and be binding upon the Underwriters and the Company and their respective successors. Nothing expressed or mentioned in this Agreement is intended or shall be construed to give any person, firm or corporation, other than the parties hereto and their respective successors and the controlling persons and officers and directors referred to in Section 6 hereof and their successors, heirs and legal representatives, any legal or equitable right, remedy or claim under or in respect of this Agreement or any provision herein contained. This Agreement and all conditions and provisions hereof are intended to be for the sole and exclusive benefit of the parties and their respective successors and said controlling persons, affiliates and officers and directors and their successors, heirs and legal representatives, and for the benefit of no other person, firm or corporation. No purchaser of Class B Certificates from any Underwriter shall be deemed to be a successor by reason merely of such purchase.</w:t>
      </w:r>
    </w:p>
    <w:p>
      <w:pPr>
        <w:spacing w:after="0" w:line="171" w:lineRule="exact"/>
        <w:rPr>
          <w:rFonts w:ascii="Times New Roman" w:cs="Times New Roman" w:eastAsia="Times New Roman" w:hAnsi="Times New Roman"/>
          <w:sz w:val="17"/>
          <w:szCs w:val="17"/>
          <w:color w:val="auto"/>
        </w:rPr>
      </w:pPr>
    </w:p>
    <w:p>
      <w:pPr>
        <w:ind w:right="680" w:firstLine="436"/>
        <w:spacing w:after="0" w:line="272" w:lineRule="auto"/>
        <w:tabs>
          <w:tab w:leader="none" w:pos="71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Fiduciary Duty</w:t>
      </w:r>
      <w:r>
        <w:rPr>
          <w:rFonts w:ascii="Times New Roman" w:cs="Times New Roman" w:eastAsia="Times New Roman" w:hAnsi="Times New Roman"/>
          <w:sz w:val="17"/>
          <w:szCs w:val="17"/>
          <w:color w:val="auto"/>
        </w:rPr>
        <w:t>. The Company acknowledges and agrees that each Underwriter is acting solely in the capacity of an arm’s length contractual counterparty to the Company with respect to the offering of Class B Certificates contemplated hereby (including in connection with determining the terms of such offering) and not as a financial advisor or a fiduciary to, or an agent of, the Company or any of its subsidiaries.</w:t>
      </w:r>
    </w:p>
    <w:p>
      <w:pPr>
        <w:spacing w:after="0" w:line="1" w:lineRule="exact"/>
        <w:rPr>
          <w:rFonts w:ascii="Times New Roman" w:cs="Times New Roman" w:eastAsia="Times New Roman" w:hAnsi="Times New Roman"/>
          <w:sz w:val="17"/>
          <w:szCs w:val="17"/>
          <w:color w:val="auto"/>
        </w:rPr>
      </w:pP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Additionally, no Underwriter is advising the Company or any of its subsidiaries as to any legal, tax, investment, accounting or regulatory matters in any jurisdiction with respect to the offering of the Class B Certificates or the process leading thereto (irrespective of whether the Underwriter has advised or is advising AAG or the Company on other matters). Each Underwriter advises that it and its affiliates are engaged in a broad range of securities and financial services and that it and its affiliates may enter into contractual relationships with purchasers or potential purchasers of the securities of the Company or its affiliates and that some of these services or relationships may involve interests that differ from those of the Company and need not be disclosed to the Company, unless otherwise required by law. The Company has consulted with its own advisors concerning such matters and shall be responsible for making its own independent investigation and appraisal of the transactions contemplated hereby, and no Underwriter shall have any responsibility or liability to the Company or any of its subsidiaries or affiliates with respect thereto. Any review by any Underwriter of the Company, the transactions contemplated hereby or other matters relating to such transactions will be performed solely for the benefit of such Underwriter and shall not be on behalf of the Company. The Company waives, to the fullest extent permitted by law, any claims it may have against each Underwriter for breach of fiduciary duty or alleged breach of fiduciary duty and agrees that no Underwriter shall have any liability (whether direct or indirect) to the Company in respect of such a fiduciary duty claim.</w:t>
      </w:r>
    </w:p>
    <w:p>
      <w:pPr>
        <w:spacing w:after="0" w:line="192" w:lineRule="exact"/>
        <w:rPr>
          <w:rFonts w:ascii="Times New Roman" w:cs="Times New Roman" w:eastAsia="Times New Roman" w:hAnsi="Times New Roman"/>
          <w:sz w:val="17"/>
          <w:szCs w:val="17"/>
          <w:color w:val="auto"/>
        </w:rPr>
      </w:pPr>
    </w:p>
    <w:p>
      <w:pPr>
        <w:ind w:right="280" w:firstLine="436"/>
        <w:spacing w:after="0" w:line="282" w:lineRule="auto"/>
        <w:tabs>
          <w:tab w:leader="none" w:pos="71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THE LAWS OF THE STATE OF NEW YORK.</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 Venue;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8"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any suit or proceeding arising in respect of this Agreement or the Underwriters’ engagement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 Each of the parties to this Agreement agrees that a final action in any such suit or proceeding shall be conclusive and may be enforced in other jurisdictions by suit on the judgment or in any other lawful manner.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68" w:name="page69"/>
    <w:bookmarkEnd w:id="68"/>
    <w:p>
      <w:pPr>
        <w:ind w:right="100" w:firstLine="436"/>
        <w:spacing w:after="0" w:line="266" w:lineRule="auto"/>
        <w:tabs>
          <w:tab w:leader="none" w:pos="6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 hereto hereby irrevocably waives, to the fullest extent permitted by applicable law, and agrees not to assert, by stay of motion, as a defense, or otherwise, in any legal action or proceeding brought hereunder in any of the above-named courts, that such action or proceeding is brought in an inconvenient forum, or that venue for the action or proceeding is improper.</w:t>
      </w:r>
    </w:p>
    <w:p>
      <w:pPr>
        <w:spacing w:after="0" w:line="175" w:lineRule="exact"/>
        <w:rPr>
          <w:rFonts w:ascii="Times New Roman" w:cs="Times New Roman" w:eastAsia="Times New Roman" w:hAnsi="Times New Roman"/>
          <w:sz w:val="18"/>
          <w:szCs w:val="18"/>
          <w:color w:val="auto"/>
        </w:rPr>
      </w:pPr>
    </w:p>
    <w:p>
      <w:pPr>
        <w:ind w:right="360" w:firstLine="436"/>
        <w:spacing w:after="0" w:line="282" w:lineRule="auto"/>
        <w:tabs>
          <w:tab w:leader="none" w:pos="6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waives, to the fullest extent permitted by applicable law, any and all right to trial by jury in any legal proceeding arising out of or relating to this Agreement or the transactions contemplated hereby.</w:t>
      </w:r>
    </w:p>
    <w:p>
      <w:pPr>
        <w:spacing w:after="0" w:line="162" w:lineRule="exact"/>
        <w:rPr>
          <w:sz w:val="20"/>
          <w:szCs w:val="20"/>
          <w:color w:val="auto"/>
        </w:rPr>
      </w:pPr>
    </w:p>
    <w:p>
      <w:pPr>
        <w:ind w:firstLine="436"/>
        <w:spacing w:after="0" w:line="261" w:lineRule="auto"/>
        <w:tabs>
          <w:tab w:leader="none" w:pos="71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Resolutions Regimes.</w:t>
      </w:r>
    </w:p>
    <w:p>
      <w:pPr>
        <w:spacing w:after="0" w:line="225" w:lineRule="exact"/>
        <w:rPr>
          <w:sz w:val="20"/>
          <w:szCs w:val="20"/>
          <w:color w:val="auto"/>
        </w:rPr>
      </w:pPr>
    </w:p>
    <w:p>
      <w:pPr>
        <w:ind w:right="80" w:firstLine="436"/>
        <w:spacing w:after="0" w:line="261" w:lineRule="auto"/>
        <w:tabs>
          <w:tab w:leader="none" w:pos="6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For purposes of this section,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69" w:name="page70"/>
    <w:bookmarkEnd w:id="69"/>
    <w:p>
      <w:pPr>
        <w:ind w:left="660" w:hanging="264"/>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40" w:firstLine="436"/>
        <w:spacing w:after="0" w:line="256" w:lineRule="auto"/>
        <w:tabs>
          <w:tab w:leader="none" w:pos="67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This Agreement may be executed in one or more counterparts and when a counterpart has been executed by each party hereto all such counterparts taken together shall constitute one and the same agreement. Delivery of an executed counterpart of a signature page to this Agreement by telecopier, facsimile or other electronic transmission (i.e., a “pdf” or “tif”) shall be effective as delivery of a manually executed counterpart thereof.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187" w:lineRule="exact"/>
        <w:rPr>
          <w:rFonts w:ascii="Times New Roman" w:cs="Times New Roman" w:eastAsia="Times New Roman" w:hAnsi="Times New Roman"/>
          <w:sz w:val="18"/>
          <w:szCs w:val="18"/>
          <w:color w:val="auto"/>
        </w:rPr>
      </w:pPr>
    </w:p>
    <w:p>
      <w:pPr>
        <w:ind w:left="-40" w:right="260" w:firstLine="436"/>
        <w:spacing w:after="0" w:line="266" w:lineRule="auto"/>
        <w:tabs>
          <w:tab w:leader="none" w:pos="67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any contemporaneous written agreements and prior written agreements (to the extent not superseded by this Agreement) that relate to the offering of the Class B Certificates, represents the entire agreement among the Company and the Underwriters with respect to the subject matter 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480" w:top="270" w:right="479" w:bottom="1440" w:gutter="0" w:footer="0" w:header="0"/>
        </w:sectPr>
      </w:pPr>
    </w:p>
    <w:bookmarkStart w:id="70" w:name="page71"/>
    <w:bookmarkEnd w:id="7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us a counterpart hereof, whereupon this instrument will become a binding agreement between the Company and each Underwriter in accordance with its terms.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Clemens Metz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Clemens Metz</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i w:val="1"/>
          <w:iCs w:val="1"/>
          <w:color w:val="auto"/>
        </w:rPr>
        <w:t>Underwriting Agreement Signature Page</w:t>
      </w:r>
    </w:p>
    <w:p>
      <w:pPr>
        <w:sectPr>
          <w:pgSz w:w="11900" w:h="16838" w:orient="portrait"/>
          <w:cols w:equalWidth="0" w:num="1">
            <w:col w:w="10580"/>
          </w:cols>
          <w:pgMar w:left="440" w:top="270" w:right="8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hereby confirmed and accepted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above written: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individually and as Representative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Underwriters 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Douglas C. Buffone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Douglas C. Buffone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i w:val="1"/>
          <w:iCs w:val="1"/>
          <w:color w:val="auto"/>
        </w:rPr>
        <w:t>Underwriting Agreement Signature Page</w:t>
      </w:r>
    </w:p>
    <w:p>
      <w:pPr>
        <w:sectPr>
          <w:pgSz w:w="11900" w:h="16838" w:orient="portrait"/>
          <w:cols w:equalWidth="0" w:num="1">
            <w:col w:w="10019"/>
          </w:cols>
          <w:pgMar w:left="440" w:top="270"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MUFG SECURITIES AMERICAS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individually and as Representative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Underwriters 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Yezdan Badrakhan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Yezdan Badrakhan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i w:val="1"/>
          <w:iCs w:val="1"/>
          <w:color w:val="auto"/>
        </w:rPr>
        <w:t>Underwriting Agreement Signature Page</w:t>
      </w:r>
    </w:p>
    <w:p>
      <w:pPr>
        <w:sectPr>
          <w:pgSz w:w="11900" w:h="16838" w:orient="portrait"/>
          <w:cols w:equalWidth="0" w:num="1">
            <w:col w:w="10019"/>
          </w:cols>
          <w:pgMar w:left="440" w:top="486" w:right="1440" w:bottom="1440" w:gutter="0" w:footer="0" w:header="0"/>
        </w:sectPr>
      </w:pPr>
    </w:p>
    <w:bookmarkStart w:id="73" w:name="page74"/>
    <w:bookmarkEnd w:id="7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SUMITOMO MITSUI BANKING CORPORATION,</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acting through its New York Branch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Depositary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Brian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Brian Reed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i w:val="1"/>
          <w:iCs w:val="1"/>
          <w:color w:val="auto"/>
        </w:rPr>
        <w:t>Underwriting Agreement Signature Page</w:t>
      </w:r>
    </w:p>
    <w:p>
      <w:pPr>
        <w:sectPr>
          <w:pgSz w:w="11900" w:h="16838" w:orient="portrait"/>
          <w:cols w:equalWidth="0" w:num="1">
            <w:col w:w="9480"/>
          </w:cols>
          <w:pgMar w:left="1440" w:top="270" w:right="97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Underwriting</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Agreement</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Schedule of Issuer Free Writing Prospectuses</w:t>
      </w:r>
    </w:p>
    <w:p>
      <w:pPr>
        <w:spacing w:after="0" w:line="252" w:lineRule="exact"/>
        <w:rPr>
          <w:sz w:val="20"/>
          <w:szCs w:val="20"/>
          <w:color w:val="auto"/>
        </w:rPr>
      </w:pPr>
    </w:p>
    <w:p>
      <w:pPr>
        <w:ind w:left="424" w:hanging="424"/>
        <w:spacing w:after="0"/>
        <w:tabs>
          <w:tab w:leader="none" w:pos="42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Issuer Free Writing Prospectus, used on April 24, 2026, containing the investor presentation of the Company.</w:t>
      </w:r>
    </w:p>
    <w:p>
      <w:pPr>
        <w:spacing w:after="0" w:line="130" w:lineRule="exact"/>
        <w:rPr>
          <w:rFonts w:ascii="Times New Roman" w:cs="Times New Roman" w:eastAsia="Times New Roman" w:hAnsi="Times New Roman"/>
          <w:sz w:val="18"/>
          <w:szCs w:val="18"/>
          <w:color w:val="auto"/>
        </w:rPr>
      </w:pPr>
    </w:p>
    <w:p>
      <w:pPr>
        <w:ind w:left="424" w:right="540" w:hanging="424"/>
        <w:spacing w:after="0" w:line="282" w:lineRule="auto"/>
        <w:tabs>
          <w:tab w:leader="none" w:pos="42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Issuer Free Writing Prospectus, dated April 27, 2026, containing the terms of the Class B Certificates (substantially in the form of Schedule C hereto).</w:t>
      </w:r>
    </w:p>
    <w:p>
      <w:pPr>
        <w:sectPr>
          <w:pgSz w:w="11900" w:h="16838" w:orient="portrait"/>
          <w:cols w:equalWidth="0" w:num="1">
            <w:col w:w="11024"/>
          </w:cols>
          <w:pgMar w:left="436" w:top="270" w:right="4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SCHEDULE B</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Underwriting</w:t>
            </w: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Agreement</w:t>
            </w:r>
          </w:p>
        </w:tc>
        <w:tc>
          <w:tcPr>
            <w:tcW w:w="0" w:type="dxa"/>
            <w:vAlign w:val="bottom"/>
          </w:tcPr>
          <w:p>
            <w:pPr>
              <w:spacing w:after="0"/>
              <w:rPr>
                <w:sz w:val="1"/>
                <w:szCs w:val="1"/>
                <w:color w:val="auto"/>
              </w:rPr>
            </w:pPr>
          </w:p>
        </w:tc>
      </w:tr>
      <w:tr>
        <w:trPr>
          <w:trHeight w:val="369"/>
        </w:trPr>
        <w:tc>
          <w:tcPr>
            <w:tcW w:w="20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color w:val="auto"/>
              </w:rPr>
              <w:t>Aggregate Face</w:t>
            </w: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Final Expected</w:t>
            </w:r>
          </w:p>
        </w:tc>
        <w:tc>
          <w:tcPr>
            <w:tcW w:w="0" w:type="dxa"/>
            <w:vAlign w:val="bottom"/>
          </w:tcPr>
          <w:p>
            <w:pPr>
              <w:spacing w:after="0"/>
              <w:rPr>
                <w:sz w:val="1"/>
                <w:szCs w:val="1"/>
                <w:color w:val="auto"/>
              </w:rPr>
            </w:pPr>
          </w:p>
        </w:tc>
      </w:tr>
      <w:tr>
        <w:trPr>
          <w:trHeight w:val="148"/>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Class of Pass Through Certificates</w:t>
            </w:r>
          </w:p>
        </w:tc>
        <w:tc>
          <w:tcPr>
            <w:tcW w:w="5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color w:val="auto"/>
              </w:rPr>
              <w:t>Interest Rate</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Distribution</w:t>
            </w:r>
          </w:p>
        </w:tc>
        <w:tc>
          <w:tcPr>
            <w:tcW w:w="0" w:type="dxa"/>
            <w:vAlign w:val="bottom"/>
          </w:tcPr>
          <w:p>
            <w:pPr>
              <w:spacing w:after="0"/>
              <w:rPr>
                <w:sz w:val="1"/>
                <w:szCs w:val="1"/>
                <w:color w:val="auto"/>
              </w:rPr>
            </w:pPr>
          </w:p>
        </w:tc>
      </w:tr>
      <w:tr>
        <w:trPr>
          <w:trHeight w:val="163"/>
        </w:trPr>
        <w:tc>
          <w:tcPr>
            <w:tcW w:w="2000" w:type="dxa"/>
            <w:vAlign w:val="bottom"/>
            <w:tcBorders>
              <w:bottom w:val="single" w:sz="8" w:color="auto"/>
            </w:tcBorders>
            <w:vMerge w:val="continue"/>
          </w:tcPr>
          <w:p>
            <w:pPr>
              <w:spacing w:after="0"/>
              <w:rPr>
                <w:sz w:val="13"/>
                <w:szCs w:val="13"/>
                <w:color w:val="auto"/>
              </w:rPr>
            </w:pPr>
          </w:p>
        </w:tc>
        <w:tc>
          <w:tcPr>
            <w:tcW w:w="528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color w:val="auto"/>
              </w:rPr>
              <w:t>Amount</w:t>
            </w:r>
          </w:p>
        </w:tc>
        <w:tc>
          <w:tcPr>
            <w:tcW w:w="1260" w:type="dxa"/>
            <w:vAlign w:val="bottom"/>
            <w:gridSpan w:val="2"/>
            <w:vMerge w:val="continue"/>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Date</w:t>
            </w: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Certificates</w:t>
            </w:r>
          </w:p>
        </w:tc>
        <w:tc>
          <w:tcPr>
            <w:tcW w:w="52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0" w:type="dxa"/>
            <w:vAlign w:val="bottom"/>
            <w:vMerge w:val="continue"/>
            <w:shd w:val="clear" w:color="auto" w:fill="CCEEFF"/>
          </w:tcPr>
          <w:p>
            <w:pPr>
              <w:spacing w:after="0"/>
              <w:rPr>
                <w:sz w:val="17"/>
                <w:szCs w:val="17"/>
                <w:color w:val="auto"/>
              </w:rPr>
            </w:pPr>
          </w:p>
        </w:tc>
        <w:tc>
          <w:tcPr>
            <w:tcW w:w="5280" w:type="dxa"/>
            <w:vAlign w:val="bottom"/>
            <w:vMerge w:val="continue"/>
            <w:shd w:val="clear" w:color="auto" w:fill="CCEEFF"/>
          </w:tcPr>
          <w:p>
            <w:pPr>
              <w:spacing w:after="0"/>
              <w:rPr>
                <w:sz w:val="17"/>
                <w:szCs w:val="17"/>
                <w:color w:val="auto"/>
              </w:rPr>
            </w:pPr>
          </w:p>
        </w:tc>
        <w:tc>
          <w:tcPr>
            <w:tcW w:w="10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$235,765,000</w:t>
            </w:r>
          </w:p>
        </w:tc>
        <w:tc>
          <w:tcPr>
            <w:tcW w:w="36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3" w:lineRule="exact"/>
              <w:rPr>
                <w:sz w:val="20"/>
                <w:szCs w:val="20"/>
                <w:color w:val="auto"/>
              </w:rPr>
            </w:pPr>
            <w:r>
              <w:rPr>
                <w:rFonts w:ascii="Times New Roman" w:cs="Times New Roman" w:eastAsia="Times New Roman" w:hAnsi="Times New Roman"/>
                <w:sz w:val="18"/>
                <w:szCs w:val="18"/>
                <w:color w:val="auto"/>
              </w:rPr>
              <w:t>5.75%</w:t>
            </w:r>
          </w:p>
        </w:tc>
        <w:tc>
          <w:tcPr>
            <w:tcW w:w="112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May 10, 2035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Underwriting</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Agreement</w:t>
      </w: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American Airlines,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$235,765,000 Pass Through Certificates, Series 2026-1B</w:t>
      </w:r>
    </w:p>
    <w:p>
      <w:pPr>
        <w:spacing w:after="0" w:line="207"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Pricing Term Sheet, dated April 27, 2026 to the preliminary prospectus supplement dated April 27, 2026 (as supplemented, the “Preliminary Prospectus Supplement”) of American Airlines, Inc. (“American”).</w:t>
      </w:r>
    </w:p>
    <w:p>
      <w:pPr>
        <w:spacing w:after="0" w:line="162"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The information herein supplements the Preliminary Prospectus Supplement and supersedes the information in the Preliminary Prospectus Supplement to the extent inconsistent with the information in the Preliminary Prospectus Supplement.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Unless otherwise indicated, terms used but not defined herein have the meanings assigned to such terms in the Preliminary Prospectus Supplement.</w:t>
      </w:r>
    </w:p>
    <w:p>
      <w:pPr>
        <w:spacing w:after="0" w:line="26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376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Pass Through Certificates,</w:t>
            </w:r>
          </w:p>
        </w:tc>
      </w:tr>
      <w:tr>
        <w:trPr>
          <w:trHeight w:val="216"/>
        </w:trPr>
        <w:tc>
          <w:tcPr>
            <w:tcW w:w="7260" w:type="dxa"/>
            <w:vAlign w:val="bottom"/>
            <w:shd w:val="clear" w:color="auto" w:fill="CCEEFF"/>
          </w:tcPr>
          <w:p>
            <w:pPr>
              <w:spacing w:after="0"/>
              <w:rPr>
                <w:sz w:val="18"/>
                <w:szCs w:val="18"/>
                <w:color w:val="auto"/>
              </w:rPr>
            </w:pPr>
          </w:p>
        </w:tc>
        <w:tc>
          <w:tcPr>
            <w:tcW w:w="3760" w:type="dxa"/>
            <w:vAlign w:val="bottom"/>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rPr>
              <w:t>Series 2026-1B</w:t>
            </w:r>
          </w:p>
        </w:tc>
      </w:tr>
      <w:tr>
        <w:trPr>
          <w:trHeight w:val="248"/>
        </w:trPr>
        <w:tc>
          <w:tcPr>
            <w:tcW w:w="7260" w:type="dxa"/>
            <w:vAlign w:val="bottom"/>
            <w:shd w:val="clear" w:color="auto" w:fill="CCEEFF"/>
          </w:tcPr>
          <w:p>
            <w:pPr>
              <w:spacing w:after="0"/>
              <w:rPr>
                <w:sz w:val="21"/>
                <w:szCs w:val="21"/>
                <w:color w:val="auto"/>
              </w:rPr>
            </w:pPr>
          </w:p>
        </w:tc>
        <w:tc>
          <w:tcPr>
            <w:tcW w:w="3760" w:type="dxa"/>
            <w:vAlign w:val="bottom"/>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rPr>
              <w:t>(“Class B Certificates”)</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76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rPr>
              <w:t>$235,765,000</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Price to Public:</w:t>
            </w:r>
          </w:p>
        </w:tc>
        <w:tc>
          <w:tcPr>
            <w:tcW w:w="376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w:t>
            </w:r>
          </w:p>
        </w:tc>
        <w:tc>
          <w:tcPr>
            <w:tcW w:w="376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8"/>
              </w:rPr>
              <w:t>02380K AA9</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ISIN:</w:t>
            </w:r>
          </w:p>
        </w:tc>
        <w:tc>
          <w:tcPr>
            <w:tcW w:w="3760" w:type="dxa"/>
            <w:vAlign w:val="bottom"/>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9"/>
              </w:rPr>
              <w:t>US02380KAA97</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Coupon/Stated Interest Rate:</w:t>
            </w:r>
          </w:p>
        </w:tc>
        <w:tc>
          <w:tcPr>
            <w:tcW w:w="376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Make-Whole Spread Over Treasuries:</w:t>
            </w:r>
          </w:p>
        </w:tc>
        <w:tc>
          <w:tcPr>
            <w:tcW w:w="3760" w:type="dxa"/>
            <w:vAlign w:val="bottom"/>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rPr>
              <w:t>0.30%</w:t>
            </w:r>
          </w:p>
        </w:tc>
      </w:tr>
      <w:tr>
        <w:trPr>
          <w:trHeight w:val="216"/>
        </w:trPr>
        <w:tc>
          <w:tcPr>
            <w:tcW w:w="726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Available Amount under the Liquidity Facilities at November 10, 2026</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7"/>
                <w:szCs w:val="17"/>
                <w:b w:val="1"/>
                <w:bCs w:val="1"/>
                <w:color w:val="auto"/>
              </w:rPr>
              <w:t>:</w:t>
            </w:r>
          </w:p>
        </w:tc>
        <w:tc>
          <w:tcPr>
            <w:tcW w:w="37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$20,334,732</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Initial “Maximum Commitment” under the Liquidity Facilities:</w:t>
            </w:r>
          </w:p>
        </w:tc>
        <w:tc>
          <w:tcPr>
            <w:tcW w:w="376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$20,334,732</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Underwriters’ Purchase Commitments:</w:t>
            </w:r>
          </w:p>
        </w:tc>
        <w:tc>
          <w:tcPr>
            <w:tcW w:w="376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376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$49,510,000</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37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$42,438,000</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376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$23,577,000</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37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$10,798,000</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376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$10,798,000</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37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$10,798,000</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376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$10,798,000</w:t>
            </w:r>
          </w:p>
        </w:tc>
      </w:t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Credit Agricole Securities (USA), Inc.</w:t>
            </w:r>
          </w:p>
        </w:tc>
        <w:tc>
          <w:tcPr>
            <w:tcW w:w="37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$10,798,000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jc w:val="both"/>
        <w:ind w:left="424" w:right="140" w:hanging="424"/>
        <w:spacing w:after="0" w:line="220" w:lineRule="auto"/>
        <w:tabs>
          <w:tab w:leader="none" w:pos="424" w:val="left"/>
        </w:tabs>
        <w:numPr>
          <w:ilvl w:val="0"/>
          <w:numId w:val="9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first Regular Distribution Date that occurs after the currently scheduled delivery month of the last New Aircraft to be delivered to American, assuming that all Aircraft have been financed in accordance with the terms and conditions of the Note Purchase Agreement prior to such Regular Distribution Date and that all interest and principal due on or prior to such Regular Distribution Date have been paid.</w:t>
      </w:r>
    </w:p>
    <w:p>
      <w:pPr>
        <w:sectPr>
          <w:pgSz w:w="11900" w:h="16838" w:orient="portrait"/>
          <w:cols w:equalWidth="0" w:num="1">
            <w:col w:w="11024"/>
          </w:cols>
          <w:pgMar w:left="436" w:top="270" w:right="439" w:bottom="1440" w:gutter="0" w:footer="0" w:header="0"/>
        </w:sectPr>
      </w:pPr>
    </w:p>
    <w:bookmarkStart w:id="77" w:name="page78"/>
    <w:bookmarkEnd w:id="77"/>
    <w:tbl>
      <w:tblPr>
        <w:tblLayout w:type="fixed"/>
        <w:tblInd w:w="4"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6620" w:type="dxa"/>
            <w:vAlign w:val="bottom"/>
            <w:shd w:val="clear" w:color="auto" w:fill="CCEEFF"/>
          </w:tcPr>
          <w:p>
            <w:pPr>
              <w:jc w:val="center"/>
              <w:ind w:left="5590"/>
              <w:spacing w:after="0"/>
              <w:rPr>
                <w:sz w:val="20"/>
                <w:szCs w:val="20"/>
                <w:color w:val="auto"/>
              </w:rPr>
            </w:pPr>
            <w:r>
              <w:rPr>
                <w:rFonts w:ascii="Times New Roman" w:cs="Times New Roman" w:eastAsia="Times New Roman" w:hAnsi="Times New Roman"/>
                <w:sz w:val="18"/>
                <w:szCs w:val="18"/>
                <w:color w:val="auto"/>
                <w:w w:val="99"/>
              </w:rPr>
              <w:t>$10,798,000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6620" w:type="dxa"/>
            <w:vAlign w:val="bottom"/>
          </w:tcPr>
          <w:p>
            <w:pPr>
              <w:jc w:val="center"/>
              <w:ind w:left="5590"/>
              <w:spacing w:after="0"/>
              <w:rPr>
                <w:sz w:val="20"/>
                <w:szCs w:val="20"/>
                <w:color w:val="auto"/>
              </w:rPr>
            </w:pPr>
            <w:r>
              <w:rPr>
                <w:rFonts w:ascii="Times New Roman" w:cs="Times New Roman" w:eastAsia="Times New Roman" w:hAnsi="Times New Roman"/>
                <w:sz w:val="18"/>
                <w:szCs w:val="18"/>
                <w:color w:val="auto"/>
                <w:w w:val="99"/>
              </w:rPr>
              <w:t>$10,798,000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6620" w:type="dxa"/>
            <w:vAlign w:val="bottom"/>
            <w:shd w:val="clear" w:color="auto" w:fill="CCEEFF"/>
          </w:tcPr>
          <w:p>
            <w:pPr>
              <w:jc w:val="center"/>
              <w:ind w:left="5590"/>
              <w:spacing w:after="0"/>
              <w:rPr>
                <w:sz w:val="20"/>
                <w:szCs w:val="20"/>
                <w:color w:val="auto"/>
              </w:rPr>
            </w:pPr>
            <w:r>
              <w:rPr>
                <w:rFonts w:ascii="Times New Roman" w:cs="Times New Roman" w:eastAsia="Times New Roman" w:hAnsi="Times New Roman"/>
                <w:sz w:val="18"/>
                <w:szCs w:val="18"/>
                <w:color w:val="auto"/>
                <w:w w:val="99"/>
              </w:rPr>
              <w:t>$10,798,000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6620" w:type="dxa"/>
            <w:vAlign w:val="bottom"/>
          </w:tcPr>
          <w:p>
            <w:pPr>
              <w:jc w:val="center"/>
              <w:ind w:left="5610"/>
              <w:spacing w:after="0"/>
              <w:rPr>
                <w:sz w:val="20"/>
                <w:szCs w:val="20"/>
                <w:color w:val="auto"/>
              </w:rPr>
            </w:pPr>
            <w:r>
              <w:rPr>
                <w:rFonts w:ascii="Times New Roman" w:cs="Times New Roman" w:eastAsia="Times New Roman" w:hAnsi="Times New Roman"/>
                <w:sz w:val="18"/>
                <w:szCs w:val="18"/>
                <w:color w:val="auto"/>
                <w:w w:val="98"/>
              </w:rPr>
              <w:t>$5,399,000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6620" w:type="dxa"/>
            <w:vAlign w:val="bottom"/>
            <w:shd w:val="clear" w:color="auto" w:fill="CCEEFF"/>
          </w:tcPr>
          <w:p>
            <w:pPr>
              <w:jc w:val="center"/>
              <w:ind w:left="5610"/>
              <w:spacing w:after="0"/>
              <w:rPr>
                <w:sz w:val="20"/>
                <w:szCs w:val="20"/>
                <w:color w:val="auto"/>
              </w:rPr>
            </w:pPr>
            <w:r>
              <w:rPr>
                <w:rFonts w:ascii="Times New Roman" w:cs="Times New Roman" w:eastAsia="Times New Roman" w:hAnsi="Times New Roman"/>
                <w:sz w:val="18"/>
                <w:szCs w:val="18"/>
                <w:color w:val="auto"/>
                <w:w w:val="98"/>
              </w:rPr>
              <w:t>$5,399,000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ICBC Standard Bank Plc</w:t>
            </w:r>
          </w:p>
        </w:tc>
        <w:tc>
          <w:tcPr>
            <w:tcW w:w="6620" w:type="dxa"/>
            <w:vAlign w:val="bottom"/>
          </w:tcPr>
          <w:p>
            <w:pPr>
              <w:jc w:val="center"/>
              <w:ind w:left="5610"/>
              <w:spacing w:after="0"/>
              <w:rPr>
                <w:sz w:val="20"/>
                <w:szCs w:val="20"/>
                <w:color w:val="auto"/>
              </w:rPr>
            </w:pPr>
            <w:r>
              <w:rPr>
                <w:rFonts w:ascii="Times New Roman" w:cs="Times New Roman" w:eastAsia="Times New Roman" w:hAnsi="Times New Roman"/>
                <w:sz w:val="18"/>
                <w:szCs w:val="18"/>
                <w:color w:val="auto"/>
                <w:w w:val="98"/>
              </w:rPr>
              <w:t>$5,399,000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6620" w:type="dxa"/>
            <w:vAlign w:val="bottom"/>
            <w:shd w:val="clear" w:color="auto" w:fill="CCEEFF"/>
          </w:tcPr>
          <w:p>
            <w:pPr>
              <w:jc w:val="center"/>
              <w:ind w:left="5610"/>
              <w:spacing w:after="0"/>
              <w:rPr>
                <w:sz w:val="20"/>
                <w:szCs w:val="20"/>
                <w:color w:val="auto"/>
              </w:rPr>
            </w:pPr>
            <w:r>
              <w:rPr>
                <w:rFonts w:ascii="Times New Roman" w:cs="Times New Roman" w:eastAsia="Times New Roman" w:hAnsi="Times New Roman"/>
                <w:sz w:val="18"/>
                <w:szCs w:val="18"/>
                <w:color w:val="auto"/>
                <w:w w:val="98"/>
              </w:rPr>
              <w:t>$5,399,000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Natixis Securities Americas LLC</w:t>
            </w:r>
          </w:p>
        </w:tc>
        <w:tc>
          <w:tcPr>
            <w:tcW w:w="6620" w:type="dxa"/>
            <w:vAlign w:val="bottom"/>
          </w:tcPr>
          <w:p>
            <w:pPr>
              <w:jc w:val="center"/>
              <w:ind w:left="5610"/>
              <w:spacing w:after="0"/>
              <w:rPr>
                <w:sz w:val="20"/>
                <w:szCs w:val="20"/>
                <w:color w:val="auto"/>
              </w:rPr>
            </w:pPr>
            <w:r>
              <w:rPr>
                <w:rFonts w:ascii="Times New Roman" w:cs="Times New Roman" w:eastAsia="Times New Roman" w:hAnsi="Times New Roman"/>
                <w:sz w:val="18"/>
                <w:szCs w:val="18"/>
                <w:color w:val="auto"/>
                <w:w w:val="98"/>
              </w:rPr>
              <w:t>$5,399,000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NatWest Markets Securities Inc.</w:t>
            </w:r>
          </w:p>
        </w:tc>
        <w:tc>
          <w:tcPr>
            <w:tcW w:w="6620" w:type="dxa"/>
            <w:vAlign w:val="bottom"/>
            <w:shd w:val="clear" w:color="auto" w:fill="CCEEFF"/>
          </w:tcPr>
          <w:p>
            <w:pPr>
              <w:jc w:val="center"/>
              <w:ind w:left="5610"/>
              <w:spacing w:after="0"/>
              <w:rPr>
                <w:sz w:val="20"/>
                <w:szCs w:val="20"/>
                <w:color w:val="auto"/>
              </w:rPr>
            </w:pPr>
            <w:r>
              <w:rPr>
                <w:rFonts w:ascii="Times New Roman" w:cs="Times New Roman" w:eastAsia="Times New Roman" w:hAnsi="Times New Roman"/>
                <w:sz w:val="18"/>
                <w:szCs w:val="18"/>
                <w:color w:val="auto"/>
                <w:w w:val="98"/>
              </w:rPr>
              <w:t>$3,183,000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6620" w:type="dxa"/>
            <w:vAlign w:val="bottom"/>
          </w:tcPr>
          <w:p>
            <w:pPr>
              <w:jc w:val="center"/>
              <w:ind w:left="5610"/>
              <w:spacing w:after="0"/>
              <w:rPr>
                <w:sz w:val="20"/>
                <w:szCs w:val="20"/>
                <w:color w:val="auto"/>
              </w:rPr>
            </w:pPr>
            <w:r>
              <w:rPr>
                <w:rFonts w:ascii="Times New Roman" w:cs="Times New Roman" w:eastAsia="Times New Roman" w:hAnsi="Times New Roman"/>
                <w:sz w:val="18"/>
                <w:szCs w:val="18"/>
                <w:color w:val="auto"/>
                <w:w w:val="98"/>
              </w:rPr>
              <w:t>$2,452,000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BOK Financial Securities, Inc.</w:t>
            </w:r>
          </w:p>
        </w:tc>
        <w:tc>
          <w:tcPr>
            <w:tcW w:w="6620" w:type="dxa"/>
            <w:vAlign w:val="bottom"/>
            <w:shd w:val="clear" w:color="auto" w:fill="CCEEFF"/>
          </w:tcPr>
          <w:p>
            <w:pPr>
              <w:jc w:val="center"/>
              <w:ind w:left="5610"/>
              <w:spacing w:after="0"/>
              <w:rPr>
                <w:sz w:val="20"/>
                <w:szCs w:val="20"/>
                <w:color w:val="auto"/>
              </w:rPr>
            </w:pPr>
            <w:r>
              <w:rPr>
                <w:rFonts w:ascii="Times New Roman" w:cs="Times New Roman" w:eastAsia="Times New Roman" w:hAnsi="Times New Roman"/>
                <w:sz w:val="18"/>
                <w:szCs w:val="18"/>
                <w:color w:val="auto"/>
                <w:w w:val="98"/>
              </w:rPr>
              <w:t>$1,226,000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Underwriting Commission:</w:t>
            </w:r>
          </w:p>
        </w:tc>
        <w:tc>
          <w:tcPr>
            <w:tcW w:w="66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$2,357,650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Percentage Concession to Underwriters:</w:t>
            </w:r>
          </w:p>
        </w:tc>
        <w:tc>
          <w:tcPr>
            <w:tcW w:w="66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Discount to Brokers/Dealers:</w:t>
            </w:r>
          </w:p>
        </w:tc>
        <w:tc>
          <w:tcPr>
            <w:tcW w:w="66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66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May 11, 2026 (T+10), the tenth business day after the date hereof</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right="140"/>
        <w:spacing w:after="0" w:line="257"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and a related prospectus supplement with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them by calling Goldman Sachs &amp; Co. LLC toll free at (866) 471-2526 or MUFG Securities Americas Inc. toll-free at (877) 649-6848.</w:t>
      </w:r>
    </w:p>
    <w:p>
      <w:pPr>
        <w:spacing w:after="0" w:line="88" w:lineRule="exact"/>
        <w:rPr>
          <w:sz w:val="20"/>
          <w:szCs w:val="20"/>
          <w:color w:val="auto"/>
        </w:rPr>
      </w:pPr>
    </w:p>
    <w:p>
      <w:pPr>
        <w:ind w:left="424" w:right="20" w:hanging="424"/>
        <w:spacing w:after="0" w:line="256" w:lineRule="auto"/>
        <w:tabs>
          <w:tab w:leader="none" w:pos="424"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It is expected that delivery of the Class B Certificates will be made against payment therefore on or about May 11, 2026, which is the tenth business day following the date hereof (such settlement cycle being referred to as “T+10”). Under Rule 15c6-1 under the Securities Exchange Act of 1934, as amended, trades in the secondary market generally are required to settle in one business day unless the parties to any such trade expressly agree otherwise. Accordingly, purchasers who wish to trade the Class B Certificates on any date prior to their date of initial delivery of such Class B Certificates will be required, by virtue of the fact that the Class B Certificates initially will settle in T+10, to specify an alternative settlement cycle at the time of any such trade to prevent a failed settlement and should consult their own advisors.</w:t>
      </w:r>
    </w:p>
    <w:p>
      <w:pPr>
        <w:sectPr>
          <w:pgSz w:w="11900" w:h="16838" w:orient="portrait"/>
          <w:cols w:equalWidth="0" w:num="1">
            <w:col w:w="11024"/>
          </w:cols>
          <w:pgMar w:left="436" w:top="288" w:right="4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SCHEDULE I</w:t>
            </w:r>
          </w:p>
        </w:tc>
      </w:tr>
      <w:tr>
        <w:trPr>
          <w:trHeight w:val="216"/>
        </w:trPr>
        <w:tc>
          <w:tcPr>
            <w:tcW w:w="35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w:t>
            </w:r>
          </w:p>
        </w:tc>
      </w:tr>
      <w:tr>
        <w:trPr>
          <w:trHeight w:val="216"/>
        </w:trPr>
        <w:tc>
          <w:tcPr>
            <w:tcW w:w="35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Underwriting</w:t>
            </w:r>
          </w:p>
        </w:tc>
      </w:tr>
      <w:tr>
        <w:trPr>
          <w:trHeight w:val="234"/>
        </w:trPr>
        <w:tc>
          <w:tcPr>
            <w:tcW w:w="3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Agreement</w:t>
            </w:r>
          </w:p>
        </w:tc>
      </w:tr>
      <w:tr>
        <w:trPr>
          <w:trHeight w:val="432"/>
        </w:trPr>
        <w:tc>
          <w:tcPr>
            <w:tcW w:w="3580" w:type="dxa"/>
            <w:vAlign w:val="bottom"/>
          </w:tcPr>
          <w:p>
            <w:pPr>
              <w:spacing w:after="0"/>
              <w:rPr>
                <w:sz w:val="24"/>
                <w:szCs w:val="24"/>
                <w:color w:val="auto"/>
              </w:rPr>
            </w:pPr>
          </w:p>
        </w:tc>
        <w:tc>
          <w:tcPr>
            <w:tcW w:w="64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AMERICAN AIRLINES, INC.</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35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Face amount of</w:t>
            </w:r>
          </w:p>
        </w:tc>
      </w:tr>
      <w:tr>
        <w:trPr>
          <w:trHeight w:val="149"/>
        </w:trPr>
        <w:tc>
          <w:tcPr>
            <w:tcW w:w="35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Class B</w:t>
            </w:r>
          </w:p>
        </w:tc>
      </w:tr>
      <w:tr>
        <w:trPr>
          <w:trHeight w:val="171"/>
        </w:trPr>
        <w:tc>
          <w:tcPr>
            <w:tcW w:w="35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Certificates</w:t>
            </w: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6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6480" w:type="dxa"/>
            <w:vAlign w:val="bottom"/>
            <w:gridSpan w:val="2"/>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42,438,000</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6480" w:type="dxa"/>
            <w:vAlign w:val="bottom"/>
            <w:gridSpan w:val="2"/>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23,577,000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6480" w:type="dxa"/>
            <w:vAlign w:val="bottom"/>
            <w:gridSpan w:val="2"/>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10,798,000</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6480" w:type="dxa"/>
            <w:vAlign w:val="bottom"/>
            <w:gridSpan w:val="2"/>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10,798,000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6480" w:type="dxa"/>
            <w:vAlign w:val="bottom"/>
            <w:gridSpan w:val="2"/>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10,798,000</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6480" w:type="dxa"/>
            <w:vAlign w:val="bottom"/>
            <w:gridSpan w:val="2"/>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10,798,000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Credit Agricole Securities (USA), Inc.</w:t>
            </w:r>
          </w:p>
        </w:tc>
        <w:tc>
          <w:tcPr>
            <w:tcW w:w="6480" w:type="dxa"/>
            <w:vAlign w:val="bottom"/>
            <w:gridSpan w:val="2"/>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10,798,000</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6480" w:type="dxa"/>
            <w:vAlign w:val="bottom"/>
            <w:gridSpan w:val="2"/>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10,798,000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6480" w:type="dxa"/>
            <w:vAlign w:val="bottom"/>
            <w:gridSpan w:val="2"/>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10,798,000</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6480" w:type="dxa"/>
            <w:vAlign w:val="bottom"/>
            <w:gridSpan w:val="2"/>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10,798,000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6480" w:type="dxa"/>
            <w:vAlign w:val="bottom"/>
            <w:gridSpan w:val="2"/>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5,399,000</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6480" w:type="dxa"/>
            <w:vAlign w:val="bottom"/>
            <w:gridSpan w:val="2"/>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5,399,000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ICBC Standard Bank Plc</w:t>
            </w:r>
          </w:p>
        </w:tc>
        <w:tc>
          <w:tcPr>
            <w:tcW w:w="6480" w:type="dxa"/>
            <w:vAlign w:val="bottom"/>
            <w:gridSpan w:val="2"/>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5,399,000</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6480" w:type="dxa"/>
            <w:vAlign w:val="bottom"/>
            <w:gridSpan w:val="2"/>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5,399,000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Natixis Securities Americas LLC</w:t>
            </w:r>
          </w:p>
        </w:tc>
        <w:tc>
          <w:tcPr>
            <w:tcW w:w="6480" w:type="dxa"/>
            <w:vAlign w:val="bottom"/>
            <w:gridSpan w:val="2"/>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5,399,000</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NatWest Markets Securities Inc.</w:t>
            </w:r>
          </w:p>
        </w:tc>
        <w:tc>
          <w:tcPr>
            <w:tcW w:w="6480" w:type="dxa"/>
            <w:vAlign w:val="bottom"/>
            <w:gridSpan w:val="2"/>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3,183,000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6480" w:type="dxa"/>
            <w:vAlign w:val="bottom"/>
            <w:gridSpan w:val="2"/>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2,452,000</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BOK Financial Securities, Inc.</w:t>
            </w:r>
          </w:p>
        </w:tc>
        <w:tc>
          <w:tcPr>
            <w:tcW w:w="6480" w:type="dxa"/>
            <w:vAlign w:val="bottom"/>
            <w:gridSpan w:val="2"/>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1,226,000</w:t>
            </w:r>
          </w:p>
        </w:tc>
      </w:tr>
      <w:tr>
        <w:trPr>
          <w:trHeight w:val="232"/>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3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235,765,000</w:t>
            </w:r>
          </w:p>
        </w:tc>
        <w:tc>
          <w:tcPr>
            <w:tcW w:w="60" w:type="dxa"/>
            <w:vAlign w:val="bottom"/>
          </w:tcPr>
          <w:p>
            <w:pPr>
              <w:spacing w:after="0"/>
              <w:rPr>
                <w:sz w:val="20"/>
                <w:szCs w:val="20"/>
                <w:color w:val="auto"/>
              </w:rPr>
            </w:pPr>
          </w:p>
        </w:tc>
      </w:tr>
    </w:tbl>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All notices to the Underwriters shall be sent to the Representatives as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MUFG Securities Americas Inc.</w:t>
      </w:r>
    </w:p>
    <w:p>
      <w:pPr>
        <w:ind w:left="440"/>
        <w:spacing w:after="0" w:line="196" w:lineRule="auto"/>
        <w:rPr>
          <w:sz w:val="20"/>
          <w:szCs w:val="20"/>
          <w:color w:val="auto"/>
        </w:rPr>
      </w:pPr>
      <w:r>
        <w:rPr>
          <w:rFonts w:ascii="Times New Roman" w:cs="Times New Roman" w:eastAsia="Times New Roman" w:hAnsi="Times New Roman"/>
          <w:sz w:val="18"/>
          <w:szCs w:val="18"/>
          <w:color w:val="auto"/>
        </w:rPr>
        <w:t>1221 Avenue of the Americas,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10020</w:t>
      </w:r>
    </w:p>
    <w:p>
      <w:pPr>
        <w:sectPr>
          <w:pgSz w:w="11900" w:h="16838" w:orient="portrait"/>
          <w:cols w:equalWidth="0" w:num="1">
            <w:col w:w="11020"/>
          </w:cols>
          <w:pgMar w:left="440" w:top="270" w:right="4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Underwriting</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fees, discounts, commissions or other compensation: $2,357,650</w:t>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Closing date, time and location: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10:00 A.M. on May 11, 2026, at the offices of Latham &amp; Watkins LLP, 1271 Avenue of the Americas New York, NY 10020</w:t>
      </w:r>
    </w:p>
    <w:p>
      <w:pPr>
        <w:sectPr>
          <w:pgSz w:w="11900" w:h="16838" w:orient="portrait"/>
          <w:cols w:equalWidth="0" w:num="2">
            <w:col w:w="2800" w:space="720"/>
            <w:col w:w="7500"/>
          </w:cols>
          <w:pgMar w:left="440" w:top="270" w:right="439" w:bottom="1440" w:gutter="0" w:footer="0" w:header="0"/>
          <w:type w:val="continuous"/>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Skyview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Texas 76155</w:t>
      </w:r>
    </w:p>
    <w:p>
      <w:pPr>
        <w:spacing w:after="0" w:line="112" w:lineRule="exact"/>
        <w:rPr>
          <w:sz w:val="20"/>
          <w:szCs w:val="20"/>
          <w:color w:val="auto"/>
        </w:rPr>
      </w:pPr>
    </w:p>
    <w:p>
      <w:pPr>
        <w:ind w:left="960" w:right="500" w:hanging="539"/>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Re:</w:t>
        <w:tab/>
        <w:t>American Airlines, Inc. (the “Company”) Up to Eleven Boeing 737 MAX 8 Aircraft, Six Airbus A321 XLR Aircraft, Twelve Airbus A321-200 Aircraft and Three Boeing 777-300ER Aircraft Appraisals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hereby consent to (i) the use of the report prepared by us with respect to the aircraft referred to above, (ii) the summary of such report under the headings (a) “Prospectus Supplement Summary—Summary of Terms of Certificates,” (b) “Prospectus Supplement Summary—Equipment Notes and the Aircraft,” (c) “Prospectus Supplement Summary—Loan to Aircraft Value Ratios,” (d) “Risk Factors—Risks Relating to the Class A Certificates and the Offering,” (e) “Description of the Aircraft and the Appraisals—The Appraisals,” (f) “Description of the Equipment Notes—Loan to Value Ratios of Equipment Notes,” and (g) “Appendix IV—Loan to Value Ratio Tables” and (iii) references to our firm under the headings “Prospectus Supplement Summary— Equipment Notes and the Aircraft,” “Risk Factors—Risks Relating to the Class A Certificates and the Offering,” “Description of the Aircraft and the Appraisals—The Appraisals” and “Appraisals” in the Company’s preliminary Prospectus Supplement, expected to be dated on or about April 27, 2026, and the Company’s final Prospectus Supplement, in each case relating to the offering of American Airlines, Inc. Pass Through Certificates, Series 2026-1, Class A.</w:t>
      </w:r>
    </w:p>
    <w:p>
      <w:pPr>
        <w:spacing w:after="0" w:line="21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AIRCRAFT INFORMATION SERVICES,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Dave A. Miller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DAVE A. MILLER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CEO</w:t>
            </w:r>
          </w:p>
        </w:tc>
      </w:tr>
    </w:tbl>
    <w:p>
      <w:pPr>
        <w:sectPr>
          <w:pgSz w:w="11900" w:h="16838" w:orient="portrait"/>
          <w:cols w:equalWidth="0" w:num="1">
            <w:col w:w="11020"/>
          </w:cols>
          <w:pgMar w:left="440" w:top="117" w:right="4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Skyview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Texas 76155</w:t>
      </w:r>
    </w:p>
    <w:p>
      <w:pPr>
        <w:spacing w:after="0" w:line="112" w:lineRule="exact"/>
        <w:rPr>
          <w:sz w:val="20"/>
          <w:szCs w:val="20"/>
          <w:color w:val="auto"/>
        </w:rPr>
      </w:pPr>
    </w:p>
    <w:p>
      <w:pPr>
        <w:ind w:left="960" w:right="500" w:hanging="539"/>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Re:</w:t>
        <w:tab/>
        <w:t>American Airlines, Inc. (the “Company”) Up to Eleven Boeing 737 MAX 8 Aircraft, Six Airbus A321 XLR Aircraft, Twelve Airbus A321-200 Aircraft and Three Boeing 777-300ER Aircraft Appraisals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hereby consent to (i) the use of the report prepared by us with respect to the aircraft referred to above, (ii) the summary of such report under the headings (a) “Prospectus Supplement Summary—Summary of Terms of Certificates,” (b) “Prospectus Supplement Summary—Equipment Notes and the Aircraft,” (c) “Prospectus Supplement Summary—Loan to Aircraft Value Ratios,” (d) “Risk Factors—Risks Relating to the Class A Certificates and the Offering,” (e) “Description of the Aircraft and the Appraisals—The Appraisals,” (f) “Description of the Equipment Notes—Loan to Value Ratios of Equipment Notes,” and (g) “Appendix IV—Loan to Value Ratio Tables” and (iii) references to our firm under the headings “Prospectus Supplement Summary— Equipment Notes and the Aircraft,” “Risk Factors—Risks Relating to the Class A Certificates and the Offering,” “Description of the Aircraft and the Appraisals—The Appraisals” and “Appraisals” in the Company’s preliminary Prospectus Supplement, expected to be dated on or about April 27, 2026, and the Company’s final Prospectus Supplement, in each case relating to the offering of American Airlines, Inc. Pass Through Certificates, Series 2026-1, Class A.</w:t>
      </w:r>
    </w:p>
    <w:p>
      <w:pPr>
        <w:spacing w:after="0" w:line="21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BK ASSOCIATES,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Pooja Gardemal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Pooja Gardemal, CPA/ABV</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ISTAT Certified Appraiser</w:t>
      </w:r>
    </w:p>
    <w:p>
      <w:pPr>
        <w:sectPr>
          <w:pgSz w:w="11900" w:h="16838" w:orient="portrait"/>
          <w:cols w:equalWidth="0" w:num="1">
            <w:col w:w="11020"/>
          </w:cols>
          <w:pgMar w:left="440" w:top="117" w:right="4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3752215</wp:posOffset>
            </wp:positionH>
            <wp:positionV relativeFrom="paragraph">
              <wp:posOffset>173990</wp:posOffset>
            </wp:positionV>
            <wp:extent cx="3240405" cy="6172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4040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Skyview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Texas 76155</w:t>
      </w:r>
    </w:p>
    <w:p>
      <w:pPr>
        <w:spacing w:after="0" w:line="112" w:lineRule="exact"/>
        <w:rPr>
          <w:sz w:val="20"/>
          <w:szCs w:val="20"/>
          <w:color w:val="auto"/>
        </w:rPr>
      </w:pPr>
    </w:p>
    <w:p>
      <w:pPr>
        <w:ind w:left="960" w:right="500" w:hanging="539"/>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Re:</w:t>
        <w:tab/>
        <w:t>American Airlines, Inc. (the “Company”) Up to Eleven Boeing 737 MAX 8 Aircraft, Six Airbus A321 XLR Aircraft, Twelve Airbus A321-200 Aircraft and Three Boeing 777-300ER Aircraft Appraisals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hereby consent to (i) the use of the report prepared by us with respect to the aircraft referred to above, (ii) the summary of such report under the headings (a) “Prospectus Supplement Summary—Summary of Terms of Certificates,” (b) “Prospectus Supplement Summary—Equipment Notes and the Aircraft,” (c) “Prospectus Supplement Summary—Loan to Aircraft Value Ratios,” (d) “Risk Factors—Risks Relating to the Class A Certificates and the Offering,” (e) “Description of the Aircraft and the Appraisals—The Appraisals,” (f) “Description of the Equipment Notes—Loan to Value Ratios of Equipment Notes,” and (g) “Appendix IV—Loan to Value Ratio Tables” and (iii) references to our firm under the headings “Prospectus Supplement Summary— Equipment Notes and the Aircraft,” “Risk Factors—Risks Relating to the Class A Certificates and the Offering,” “Description of the Aircraft and the Appraisals—The Appraisals” and “Appraisals” in the Company’s preliminary Prospectus Supplement, expected to be dated on or about April 27, 2026, and the Company’s final Prospectus Supplement, in each case relating to the offering of American Airlines, Inc. Pass Through Certificates, Series 2026-1, Class A.</w:t>
      </w:r>
    </w:p>
    <w:p>
      <w:pPr>
        <w:spacing w:after="0" w:line="188" w:lineRule="exact"/>
        <w:rPr>
          <w:sz w:val="20"/>
          <w:szCs w:val="20"/>
          <w:color w:val="auto"/>
        </w:rPr>
      </w:pPr>
    </w:p>
    <w:p>
      <w:pPr>
        <w:jc w:val="center"/>
        <w:ind w:right="20"/>
        <w:spacing w:after="0" w:line="275" w:lineRule="auto"/>
        <w:rPr>
          <w:sz w:val="20"/>
          <w:szCs w:val="20"/>
          <w:color w:val="auto"/>
        </w:rPr>
      </w:pPr>
      <w:r>
        <w:rPr>
          <w:rFonts w:ascii="Times New Roman" w:cs="Times New Roman" w:eastAsia="Times New Roman" w:hAnsi="Times New Roman"/>
          <w:sz w:val="18"/>
          <w:szCs w:val="18"/>
          <w:color w:val="auto"/>
        </w:rPr>
        <w:t>2 1 0 1 W I L S O N B O U L E V A R D | S U I T E 1 0 0 1 | A R L I N G T O N, V I R G I N I A 2 2 2 0 1 P H O N E : 1 7 0 3 2 7 6 3 2 0 0 | F A X : 1 7 0 3 2 7 6 3 2 0 1 W W W . M B A . A E R O</w:t>
      </w:r>
    </w:p>
    <w:p>
      <w:pPr>
        <w:spacing w:after="0" w:line="200" w:lineRule="exact"/>
        <w:rPr>
          <w:sz w:val="20"/>
          <w:szCs w:val="20"/>
          <w:color w:val="auto"/>
        </w:rPr>
      </w:pPr>
    </w:p>
    <w:p>
      <w:pPr>
        <w:spacing w:after="0" w:line="2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MBA AVIATION</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Tokoph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Tokoph</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 &amp; CEO</w:t>
      </w:r>
    </w:p>
    <w:p>
      <w:pPr>
        <w:sectPr>
          <w:pgSz w:w="11900" w:h="16838" w:orient="portrait"/>
          <w:cols w:equalWidth="0" w:num="1">
            <w:col w:w="11020"/>
          </w:cols>
          <w:pgMar w:left="440" w:top="117" w:right="4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Skyview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Texas 76155</w:t>
      </w:r>
    </w:p>
    <w:p>
      <w:pPr>
        <w:spacing w:after="0" w:line="112" w:lineRule="exact"/>
        <w:rPr>
          <w:sz w:val="20"/>
          <w:szCs w:val="20"/>
          <w:color w:val="auto"/>
        </w:rPr>
      </w:pPr>
    </w:p>
    <w:p>
      <w:pPr>
        <w:ind w:left="960" w:right="500" w:hanging="539"/>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Re:</w:t>
        <w:tab/>
        <w:t>American Airlines, Inc. (the “Company”) Up to Eleven Boeing 737 MAX 8 Aircraft, Six Airbus A321 XLR Aircraft, Twelve Airbus A321-200 Aircraft and Three Boeing 777-300ER Aircraft Appraisals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hereby consent to (i) the use of the report prepared by us with respect to the aircraft referred to above, (ii) the summary of such report under the headings (a) “Prospectus Supplement Summary—Summary of Terms of Certificates,” (b) “Prospectus Supplement Summary—Equipment Notes and the Aircraft,” (c) “Prospectus Supplement Summary—Loan to Aircraft Value Ratios,” (d) “Risk Factors—Risks Relating to the Class B Certificates and the Offering,” (e) “Description of the Aircraft and the Appraisals—The Appraisals,” (f) “Description of the Equipment Notes—Loan to Value Ratios of Equipment Notes,” and (g) “Appendix IV—Loan to Value Ratio Tables” and (iii) references to our firm under the headings “Prospectus Supplement Summary— Equipment Notes and the Aircraft,” “Risk Factors—Risks Relating to the Class B Certificates and the Offering,” “Description of the Aircraft and the Appraisals—The Appraisals” and “Appraisals” in the Company’s preliminary Prospectus Supplement, expected to be dated on or about April 27, 2026, and the Company’s final Prospectus Supplement, in each case relating to the offering of American Airlines, Inc. Pass Through Certificates, Series 2026-1, Class B.</w:t>
      </w:r>
    </w:p>
    <w:p>
      <w:pPr>
        <w:spacing w:after="0" w:line="21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AIRCRAFT INFORMATION SERVICES,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Dave A. Miller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DAVE A. MILLER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CEO</w:t>
            </w:r>
          </w:p>
        </w:tc>
      </w:tr>
    </w:tbl>
    <w:p>
      <w:pPr>
        <w:sectPr>
          <w:pgSz w:w="11900" w:h="16838" w:orient="portrait"/>
          <w:cols w:equalWidth="0" w:num="1">
            <w:col w:w="11020"/>
          </w:cols>
          <w:pgMar w:left="440" w:top="117" w:right="4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23.5</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Skyview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Texas 76155</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 American Airlines, Inc. (the “Company”) Up to Eleven Boeing 737 MAX 8 Aircraft, Six Airbus A321 XLR Aircraft, Twelve Airbus A321-200 Aircraft and Three Boeing 777-300ER Aircraft Appraisals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hereby consent to (i) the use of the report prepared by us with respect to the aircraft referred to above, (ii) the summary of such report under the headings (a) “Prospectus Supplement Summary—Summary of Terms of Certificates,” (b) “Prospectus Supplement Summary—Equipment Notes and the Aircraft,” (c) “Prospectus Supplement Summary—Loan to Aircraft Value Ratios,” (d) “Risk Factors—Risks Relating to the Class B Certificates and the Offering,” (e) “Description of the Aircraft and the Appraisals—The Appraisals,” (f) “Description of the Equipment Notes—Loan to Value Ratios of Equipment Notes,” and (g) “Appendix IV—Loan to Value Ratio Tables” and (iii) references to our firm under the headings “Prospectus Supplement Summary— Equipment Notes and the Aircraft,” “Risk Factors—Risks Relating to the Class B Certificates and the Offering,” “Description of the Aircraft and the Appraisals—The Appraisals” and “Appraisals” in the Company’s preliminary Prospectus Supplement, expected to be dated on or about April 27, 2026, and the Company’s final Prospectus Supplement, in each case relating to the offering of American Airlines, Inc. Pass Through Certificates, Series 2026-1, Class B.</w:t>
      </w:r>
    </w:p>
    <w:p>
      <w:pPr>
        <w:spacing w:after="0" w:line="21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BK ASSOCIATES,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Pooja Gardemal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Pooja Gardemal, CPA/ABV</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ISTAT Certified Appraiser</w:t>
      </w:r>
    </w:p>
    <w:p>
      <w:pPr>
        <w:sectPr>
          <w:pgSz w:w="11900" w:h="16838" w:orient="portrait"/>
          <w:cols w:equalWidth="0" w:num="1">
            <w:col w:w="11020"/>
          </w:cols>
          <w:pgMar w:left="440" w:top="117" w:right="4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3752215</wp:posOffset>
            </wp:positionH>
            <wp:positionV relativeFrom="paragraph">
              <wp:posOffset>173990</wp:posOffset>
            </wp:positionV>
            <wp:extent cx="3240405" cy="6172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4040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Skyview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Texas 76155</w:t>
      </w:r>
    </w:p>
    <w:p>
      <w:pPr>
        <w:spacing w:after="0" w:line="112" w:lineRule="exact"/>
        <w:rPr>
          <w:sz w:val="20"/>
          <w:szCs w:val="20"/>
          <w:color w:val="auto"/>
        </w:rPr>
      </w:pPr>
    </w:p>
    <w:p>
      <w:pPr>
        <w:ind w:left="960" w:right="500" w:hanging="539"/>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Re:</w:t>
        <w:tab/>
        <w:t>American Airlines, Inc. (the “Company”) Up to Eleven Boeing 737 MAX 8 Aircraft, Six Airbus A321 XLR Aircraft, Twelve Airbus A321-200 Aircraft and Three Boeing 777-300ER Aircraft Appraisals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hereby consent to (i) the use of the report prepared by us with respect to the aircraft referred to above, (ii) the summary of such report under the headings (a) “Prospectus Supplement Summary—Summary of Terms of Certificates,” (b) “Prospectus Supplement Summary—Equipment Notes and the Aircraft,” (c) “Prospectus Supplement Summary—Loan to Aircraft Value Ratios,” (d) “Risk Factors—Risks Relating to the Class B Certificates and the Offering,” (e) “Description of the Aircraft and the Appraisals—The Appraisals,” (f) “Description of the Equipment Notes—Loan to Value Ratios of Equipment Notes,” and (g) “Appendix IV—Loan to Value Ratio Tables” and (iii) references to our firm under the headings “Prospectus Supplement Summary— Equipment Notes and the Aircraft,” “Risk Factors—Risks Relating to the Class B Certificates and the Offering,” “Description of the Aircraft and the Appraisals—The Appraisals” and “Appraisals” in the Company’s preliminary Prospectus Supplement, expected to be dated on or about April 27, 2026, and the Company’s final Prospectus Supplement, in each case relating to the offering of American Airlines, Inc. Pass Through Certificates, Series 2026-1, Class B.</w:t>
      </w:r>
    </w:p>
    <w:p>
      <w:pPr>
        <w:spacing w:after="0" w:line="188" w:lineRule="exact"/>
        <w:rPr>
          <w:sz w:val="20"/>
          <w:szCs w:val="20"/>
          <w:color w:val="auto"/>
        </w:rPr>
      </w:pPr>
    </w:p>
    <w:p>
      <w:pPr>
        <w:jc w:val="center"/>
        <w:ind w:right="20"/>
        <w:spacing w:after="0" w:line="275" w:lineRule="auto"/>
        <w:rPr>
          <w:sz w:val="20"/>
          <w:szCs w:val="20"/>
          <w:color w:val="auto"/>
        </w:rPr>
      </w:pPr>
      <w:r>
        <w:rPr>
          <w:rFonts w:ascii="Times New Roman" w:cs="Times New Roman" w:eastAsia="Times New Roman" w:hAnsi="Times New Roman"/>
          <w:sz w:val="18"/>
          <w:szCs w:val="18"/>
          <w:color w:val="auto"/>
        </w:rPr>
        <w:t>2 1 0 1 W I L S O N B O U L E V A R D | S U I T E 1 0 0 1 | A R L I N G T O N, V I R G I N I A 2 2 2 0 1 P H O N E : 1 7 0 3 2 7 6 3 2 0 0 | F A X : 1 7 0 3 2 7 6 3 2 0 1 W W W . M B A . A E R O</w:t>
      </w:r>
    </w:p>
    <w:p>
      <w:pPr>
        <w:spacing w:after="0" w:line="200" w:lineRule="exact"/>
        <w:rPr>
          <w:sz w:val="20"/>
          <w:szCs w:val="20"/>
          <w:color w:val="auto"/>
        </w:rPr>
      </w:pPr>
    </w:p>
    <w:p>
      <w:pPr>
        <w:spacing w:after="0" w:line="2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MBA AVIATION</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Tokoph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Tokoph</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 &amp; CEO</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1)"/>
      <w:numFmt w:val="lowerLetter"/>
      <w:start w:val="1"/>
    </w:lvl>
  </w:abstractNum>
  <w:abstractNum w:abstractNumId="2">
    <w:nsid w:val="579478FE"/>
    <w:multiLevelType w:val="hybridMultilevel"/>
    <w:lvl w:ilvl="0">
      <w:lvlJc w:val="left"/>
      <w:lvlText w:val="%1."/>
      <w:numFmt w:val="decimal"/>
      <w:start w:val="1"/>
    </w:lvl>
  </w:abstractNum>
  <w:abstractNum w:abstractNumId="3">
    <w:nsid w:val="749ABB43"/>
    <w:multiLevelType w:val="hybridMultilevel"/>
    <w:lvl w:ilvl="0">
      <w:lvlJc w:val="left"/>
      <w:lvlText w:val="(%1)"/>
      <w:numFmt w:val="lowerRoman"/>
      <w:start w:val="2"/>
    </w:lvl>
  </w:abstractNum>
  <w:abstractNum w:abstractNumId="4">
    <w:nsid w:val="3DC240FB"/>
    <w:multiLevelType w:val="hybridMultilevel"/>
    <w:lvl w:ilvl="0">
      <w:lvlJc w:val="left"/>
      <w:lvlText w:val="%1"/>
      <w:numFmt w:val="upperLetter"/>
      <w:start w:val="1"/>
    </w:lvl>
    <w:lvl w:ilvl="1">
      <w:lvlJc w:val="left"/>
      <w:lvlText w:val="(%2)"/>
      <w:numFmt w:val="lowerRoman"/>
      <w:start w:val="3"/>
    </w:lvl>
  </w:abstractNum>
  <w:abstractNum w:abstractNumId="5">
    <w:nsid w:val="1BA026FA"/>
    <w:multiLevelType w:val="hybridMultilevel"/>
    <w:lvl w:ilvl="0">
      <w:lvlJc w:val="left"/>
      <w:lvlText w:val="(%1)"/>
      <w:numFmt w:val="upperLetter"/>
      <w:start w:val="2"/>
    </w:lvl>
    <w:lvl w:ilvl="1">
      <w:lvlJc w:val="left"/>
      <w:lvlText w:val="(%2)"/>
      <w:numFmt w:val="lowerRoman"/>
      <w:start w:val="5"/>
    </w:lvl>
  </w:abstractNum>
  <w:abstractNum w:abstractNumId="6">
    <w:nsid w:val="79A1DEAA"/>
    <w:multiLevelType w:val="hybridMultilevel"/>
    <w:lvl w:ilvl="0">
      <w:lvlJc w:val="left"/>
      <w:lvlText w:val="(%1)"/>
      <w:numFmt w:val="lowerRoman"/>
      <w:start w:val="6"/>
    </w:lvl>
  </w:abstractNum>
  <w:abstractNum w:abstractNumId="7">
    <w:nsid w:val="75C6C33A"/>
    <w:multiLevelType w:val="hybridMultilevel"/>
    <w:lvl w:ilvl="0">
      <w:lvlJc w:val="left"/>
      <w:lvlText w:val="(%1)"/>
      <w:numFmt w:val="lowerRoman"/>
      <w:start w:val="10"/>
    </w:lvl>
  </w:abstractNum>
  <w:abstractNum w:abstractNumId="8">
    <w:nsid w:val="12E685FB"/>
    <w:multiLevelType w:val="hybridMultilevel"/>
    <w:lvl w:ilvl="0">
      <w:lvlJc w:val="left"/>
      <w:lvlText w:val="(%1)"/>
      <w:numFmt w:val="lowerRoman"/>
      <w:start w:val="13"/>
    </w:lvl>
  </w:abstractNum>
  <w:abstractNum w:abstractNumId="9">
    <w:nsid w:val="70C6A529"/>
    <w:multiLevelType w:val="hybridMultilevel"/>
    <w:lvl w:ilvl="0">
      <w:lvlJc w:val="left"/>
      <w:lvlText w:val="(%1)"/>
      <w:numFmt w:val="lowerRoman"/>
      <w:start w:val="17"/>
    </w:lvl>
  </w:abstractNum>
  <w:abstractNum w:abstractNumId="10">
    <w:nsid w:val="520EEDD1"/>
    <w:multiLevelType w:val="hybridMultilevel"/>
    <w:lvl w:ilvl="0">
      <w:lvlJc w:val="left"/>
      <w:lvlText w:val="%1"/>
      <w:numFmt w:val="lowerRoman"/>
      <w:start w:val="1"/>
    </w:lvl>
    <w:lvl w:ilvl="1">
      <w:lvlJc w:val="left"/>
      <w:lvlText w:val="(%2)"/>
      <w:numFmt w:val="lowerRoman"/>
      <w:start w:val="21"/>
    </w:lvl>
  </w:abstractNum>
  <w:abstractNum w:abstractNumId="11">
    <w:nsid w:val="374A3FE6"/>
    <w:multiLevelType w:val="hybridMultilevel"/>
    <w:lvl w:ilvl="0">
      <w:lvlJc w:val="left"/>
      <w:lvlText w:val="(%1)"/>
      <w:numFmt w:val="lowerRoman"/>
      <w:start w:val="4"/>
    </w:lvl>
    <w:lvl w:ilvl="1">
      <w:lvlJc w:val="left"/>
      <w:lvlText w:val="(%2)"/>
      <w:numFmt w:val="lowerRoman"/>
      <w:start w:val="23"/>
    </w:lvl>
  </w:abstractNum>
  <w:abstractNum w:abstractNumId="12">
    <w:nsid w:val="4F4EF005"/>
    <w:multiLevelType w:val="hybridMultilevel"/>
    <w:lvl w:ilvl="0">
      <w:lvlJc w:val="left"/>
      <w:lvlText w:val="(%1)"/>
      <w:numFmt w:val="lowerRoman"/>
      <w:start w:val="24"/>
    </w:lvl>
  </w:abstractNum>
  <w:abstractNum w:abstractNumId="13">
    <w:nsid w:val="23F9C13C"/>
    <w:multiLevelType w:val="hybridMultilevel"/>
    <w:lvl w:ilvl="0">
      <w:lvlJc w:val="left"/>
      <w:lvlText w:val="(%1)"/>
      <w:numFmt w:val="lowerRoman"/>
      <w:start w:val="29"/>
    </w:lvl>
    <w:lvl w:ilvl="1">
      <w:lvlJc w:val="left"/>
      <w:lvlText w:val="(%2)"/>
      <w:numFmt w:val="lowerLetter"/>
      <w:start w:val="2"/>
    </w:lvl>
  </w:abstractNum>
  <w:abstractNum w:abstractNumId="14">
    <w:nsid w:val="649BB77C"/>
    <w:multiLevelType w:val="hybridMultilevel"/>
    <w:lvl w:ilvl="0">
      <w:lvlJc w:val="left"/>
      <w:lvlText w:val="(%1)"/>
      <w:numFmt w:val="lowerRoman"/>
      <w:start w:val="1"/>
    </w:lvl>
  </w:abstractNum>
  <w:abstractNum w:abstractNumId="15">
    <w:nsid w:val="275AC794"/>
    <w:multiLevelType w:val="hybridMultilevel"/>
    <w:lvl w:ilvl="0">
      <w:lvlJc w:val="left"/>
      <w:lvlText w:val="%1"/>
      <w:numFmt w:val="lowerLetter"/>
      <w:start w:val="1"/>
    </w:lvl>
    <w:lvl w:ilvl="1">
      <w:lvlJc w:val="left"/>
      <w:lvlText w:val="(%2)"/>
      <w:numFmt w:val="lowerRoman"/>
      <w:start w:val="2"/>
    </w:lvl>
  </w:abstractNum>
  <w:abstractNum w:abstractNumId="16">
    <w:nsid w:val="39386575"/>
    <w:multiLevelType w:val="hybridMultilevel"/>
    <w:lvl w:ilvl="0">
      <w:lvlJc w:val="left"/>
      <w:lvlText w:val="(%1)"/>
      <w:numFmt w:val="lowerLetter"/>
      <w:start w:val="25"/>
    </w:lvl>
    <w:lvl w:ilvl="1">
      <w:lvlJc w:val="left"/>
      <w:lvlText w:val="(%2)"/>
      <w:numFmt w:val="lowerRoman"/>
      <w:start w:val="7"/>
    </w:lvl>
  </w:abstractNum>
  <w:abstractNum w:abstractNumId="17">
    <w:nsid w:val="1CF10FD8"/>
    <w:multiLevelType w:val="hybridMultilevel"/>
    <w:lvl w:ilvl="0">
      <w:lvlJc w:val="left"/>
      <w:lvlText w:val="(%1)"/>
      <w:numFmt w:val="lowerLetter"/>
      <w:start w:val="35"/>
    </w:lvl>
    <w:lvl w:ilvl="1">
      <w:lvlJc w:val="left"/>
      <w:lvlText w:val="%2"/>
      <w:numFmt w:val="lowerRoman"/>
      <w:start w:val="1"/>
    </w:lvl>
  </w:abstractNum>
  <w:abstractNum w:abstractNumId="18">
    <w:nsid w:val="180115BE"/>
    <w:multiLevelType w:val="hybridMultilevel"/>
    <w:lvl w:ilvl="0">
      <w:lvlJc w:val="left"/>
      <w:lvlText w:val="(%1)"/>
      <w:numFmt w:val="lowerLetter"/>
      <w:start w:val="3"/>
    </w:lvl>
  </w:abstractNum>
  <w:abstractNum w:abstractNumId="19">
    <w:nsid w:val="235BA861"/>
    <w:multiLevelType w:val="hybridMultilevel"/>
    <w:lvl w:ilvl="0">
      <w:lvlJc w:val="left"/>
      <w:lvlText w:val="%1."/>
      <w:numFmt w:val="decimal"/>
      <w:start w:val="2"/>
    </w:lvl>
  </w:abstractNum>
  <w:abstractNum w:abstractNumId="20">
    <w:nsid w:val="47398C89"/>
    <w:multiLevelType w:val="hybridMultilevel"/>
    <w:lvl w:ilvl="0">
      <w:lvlJc w:val="left"/>
      <w:lvlText w:val="(%1)"/>
      <w:numFmt w:val="lowerLetter"/>
      <w:start w:val="2"/>
    </w:lvl>
  </w:abstractNum>
  <w:abstractNum w:abstractNumId="21">
    <w:nsid w:val="354FE9F9"/>
    <w:multiLevelType w:val="hybridMultilevel"/>
    <w:lvl w:ilvl="0">
      <w:lvlJc w:val="left"/>
      <w:lvlText w:val="(%1)"/>
      <w:numFmt w:val="lowerLetter"/>
      <w:start w:val="1"/>
    </w:lvl>
  </w:abstractNum>
  <w:abstractNum w:abstractNumId="22">
    <w:nsid w:val="15B5AF5C"/>
    <w:multiLevelType w:val="hybridMultilevel"/>
    <w:lvl w:ilvl="0">
      <w:lvlJc w:val="left"/>
      <w:lvlText w:val="(%1)"/>
      <w:numFmt w:val="lowerLetter"/>
      <w:start w:val="2"/>
    </w:lvl>
  </w:abstractNum>
  <w:abstractNum w:abstractNumId="23">
    <w:nsid w:val="741226BB"/>
    <w:multiLevelType w:val="hybridMultilevel"/>
    <w:lvl w:ilvl="0">
      <w:lvlJc w:val="left"/>
      <w:lvlText w:val="(%1)"/>
      <w:numFmt w:val="lowerLetter"/>
      <w:start w:val="5"/>
    </w:lvl>
  </w:abstractNum>
  <w:abstractNum w:abstractNumId="24">
    <w:nsid w:val="D34B6A8"/>
    <w:multiLevelType w:val="hybridMultilevel"/>
    <w:lvl w:ilvl="0">
      <w:lvlJc w:val="left"/>
      <w:lvlText w:val="(%1)"/>
      <w:numFmt w:val="lowerLetter"/>
      <w:start w:val="11"/>
    </w:lvl>
  </w:abstractNum>
  <w:abstractNum w:abstractNumId="25">
    <w:nsid w:val="10233C99"/>
    <w:multiLevelType w:val="hybridMultilevel"/>
    <w:lvl w:ilvl="0">
      <w:lvlJc w:val="left"/>
      <w:lvlText w:val="%1."/>
      <w:numFmt w:val="decimal"/>
      <w:start w:val="4"/>
    </w:lvl>
  </w:abstractNum>
  <w:abstractNum w:abstractNumId="26">
    <w:nsid w:val="3F6AB60F"/>
    <w:multiLevelType w:val="hybridMultilevel"/>
    <w:lvl w:ilvl="0">
      <w:lvlJc w:val="left"/>
      <w:lvlText w:val="(%1)"/>
      <w:numFmt w:val="lowerLetter"/>
      <w:start w:val="1"/>
    </w:lvl>
    <w:lvl w:ilvl="1">
      <w:lvlJc w:val="left"/>
      <w:lvlText w:val="(%2)"/>
      <w:numFmt w:val="decimal"/>
      <w:start w:val="1"/>
    </w:lvl>
  </w:abstractNum>
  <w:abstractNum w:abstractNumId="27">
    <w:nsid w:val="61574095"/>
    <w:multiLevelType w:val="hybridMultilevel"/>
    <w:lvl w:ilvl="0">
      <w:lvlJc w:val="left"/>
      <w:lvlText w:val="%1"/>
      <w:numFmt w:val="lowerLetter"/>
      <w:start w:val="1"/>
    </w:lvl>
    <w:lvl w:ilvl="1">
      <w:lvlJc w:val="left"/>
      <w:lvlText w:val="(%2)"/>
      <w:numFmt w:val="decimal"/>
      <w:start w:val="2"/>
    </w:lvl>
  </w:abstractNum>
  <w:abstractNum w:abstractNumId="28">
    <w:nsid w:val="7E0C57B1"/>
    <w:multiLevelType w:val="hybridMultilevel"/>
    <w:lvl w:ilvl="0">
      <w:lvlJc w:val="left"/>
      <w:lvlText w:val="(%1)"/>
      <w:numFmt w:val="lowerLetter"/>
      <w:start w:val="3"/>
    </w:lvl>
    <w:lvl w:ilvl="1">
      <w:lvlJc w:val="left"/>
      <w:lvlText w:val="%2"/>
      <w:numFmt w:val="decimal"/>
      <w:start w:val="1"/>
    </w:lvl>
  </w:abstractNum>
  <w:abstractNum w:abstractNumId="29">
    <w:nsid w:val="77AE35EB"/>
    <w:multiLevelType w:val="hybridMultilevel"/>
    <w:lvl w:ilvl="0">
      <w:lvlJc w:val="left"/>
      <w:lvlText w:val="(%1)"/>
      <w:numFmt w:val="lowerLetter"/>
      <w:start w:val="5"/>
    </w:lvl>
  </w:abstractNum>
  <w:abstractNum w:abstractNumId="30">
    <w:nsid w:val="579BE4F1"/>
    <w:multiLevelType w:val="hybridMultilevel"/>
    <w:lvl w:ilvl="0">
      <w:lvlJc w:val="left"/>
      <w:lvlText w:val="%1"/>
      <w:numFmt w:val="lowerRoman"/>
      <w:start w:val="1"/>
    </w:lvl>
    <w:lvl w:ilvl="1">
      <w:lvlJc w:val="left"/>
      <w:lvlText w:val="%2."/>
      <w:numFmt w:val="decimal"/>
      <w:start w:val="5"/>
    </w:lvl>
  </w:abstractNum>
  <w:abstractNum w:abstractNumId="31">
    <w:nsid w:val="310C50B3"/>
    <w:multiLevelType w:val="hybridMultilevel"/>
    <w:lvl w:ilvl="0">
      <w:lvlJc w:val="left"/>
      <w:lvlText w:val="(%1)"/>
      <w:numFmt w:val="lowerRoman"/>
      <w:start w:val="2"/>
    </w:lvl>
    <w:lvl w:ilvl="1">
      <w:lvlJc w:val="left"/>
      <w:lvlText w:val="%2"/>
      <w:numFmt w:val="decimal"/>
      <w:start w:val="1"/>
    </w:lvl>
  </w:abstractNum>
  <w:abstractNum w:abstractNumId="32">
    <w:nsid w:val="5FF87E05"/>
    <w:multiLevelType w:val="hybridMultilevel"/>
    <w:lvl w:ilvl="0">
      <w:lvlJc w:val="left"/>
      <w:lvlText w:val="(%1)"/>
      <w:numFmt w:val="lowerRoman"/>
      <w:start w:val="5"/>
    </w:lvl>
    <w:lvl w:ilvl="1">
      <w:lvlJc w:val="left"/>
      <w:lvlText w:val="%2"/>
      <w:numFmt w:val="decimal"/>
      <w:start w:val="1"/>
    </w:lvl>
  </w:abstractNum>
  <w:abstractNum w:abstractNumId="33">
    <w:nsid w:val="2F305DEF"/>
    <w:multiLevelType w:val="hybridMultilevel"/>
    <w:lvl w:ilvl="0">
      <w:lvlJc w:val="left"/>
      <w:lvlText w:val="%1."/>
      <w:numFmt w:val="decimal"/>
      <w:start w:val="6"/>
    </w:lvl>
  </w:abstractNum>
  <w:abstractNum w:abstractNumId="34">
    <w:nsid w:val="25A70BF7"/>
    <w:multiLevelType w:val="hybridMultilevel"/>
    <w:lvl w:ilvl="0">
      <w:lvlJc w:val="left"/>
      <w:lvlText w:val="(%1)"/>
      <w:numFmt w:val="lowerLetter"/>
      <w:start w:val="2"/>
    </w:lvl>
  </w:abstractNum>
  <w:abstractNum w:abstractNumId="35">
    <w:nsid w:val="1DBABF00"/>
    <w:multiLevelType w:val="hybridMultilevel"/>
    <w:lvl w:ilvl="0">
      <w:lvlJc w:val="left"/>
      <w:lvlText w:val="(%1)"/>
      <w:numFmt w:val="lowerLetter"/>
      <w:start w:val="3"/>
    </w:lvl>
  </w:abstractNum>
  <w:abstractNum w:abstractNumId="36">
    <w:nsid w:val="4AD084E9"/>
    <w:multiLevelType w:val="hybridMultilevel"/>
    <w:lvl w:ilvl="0">
      <w:lvlJc w:val="left"/>
      <w:lvlText w:val="(%1)"/>
      <w:numFmt w:val="lowerLetter"/>
      <w:start w:val="9"/>
    </w:lvl>
    <w:lvl w:ilvl="1">
      <w:lvlJc w:val="left"/>
      <w:lvlText w:val="(%2)"/>
      <w:numFmt w:val="lowerLetter"/>
      <w:start w:val="5"/>
    </w:lvl>
  </w:abstractNum>
  <w:abstractNum w:abstractNumId="37">
    <w:nsid w:val="1F48EAA1"/>
    <w:multiLevelType w:val="hybridMultilevel"/>
    <w:lvl w:ilvl="0">
      <w:lvlJc w:val="left"/>
      <w:lvlText w:val="%1."/>
      <w:numFmt w:val="decimal"/>
      <w:start w:val="7"/>
    </w:lvl>
  </w:abstractNum>
  <w:abstractNum w:abstractNumId="38">
    <w:nsid w:val="1381823A"/>
    <w:multiLevelType w:val="hybridMultilevel"/>
    <w:lvl w:ilvl="0">
      <w:lvlJc w:val="left"/>
      <w:lvlText w:val="%1."/>
      <w:numFmt w:val="decimal"/>
      <w:start w:val="10"/>
    </w:lvl>
  </w:abstractNum>
  <w:abstractNum w:abstractNumId="39">
    <w:nsid w:val="5DB70AE5"/>
    <w:multiLevelType w:val="hybridMultilevel"/>
    <w:lvl w:ilvl="0">
      <w:lvlJc w:val="left"/>
      <w:lvlText w:val="%1."/>
      <w:numFmt w:val="decimal"/>
      <w:start w:val="14"/>
    </w:lvl>
  </w:abstractNum>
  <w:abstractNum w:abstractNumId="40">
    <w:nsid w:val="100F8FCA"/>
    <w:multiLevelType w:val="hybridMultilevel"/>
    <w:lvl w:ilvl="0">
      <w:lvlJc w:val="left"/>
      <w:lvlText w:val="(%1)"/>
      <w:numFmt w:val="lowerLetter"/>
      <w:start w:val="1"/>
    </w:lvl>
  </w:abstractNum>
  <w:abstractNum w:abstractNumId="41">
    <w:nsid w:val="6590700B"/>
    <w:multiLevelType w:val="hybridMultilevel"/>
    <w:lvl w:ilvl="0">
      <w:lvlJc w:val="left"/>
      <w:lvlText w:val="%1."/>
      <w:numFmt w:val="decimal"/>
      <w:start w:val="16"/>
    </w:lvl>
  </w:abstractNum>
  <w:abstractNum w:abstractNumId="42">
    <w:nsid w:val="15014ACB"/>
    <w:multiLevelType w:val="hybridMultilevel"/>
    <w:lvl w:ilvl="0">
      <w:lvlJc w:val="left"/>
      <w:lvlText w:val="%1."/>
      <w:numFmt w:val="decimal"/>
      <w:start w:val="17"/>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lowerRoman"/>
      <w:start w:val="1"/>
    </w:lvl>
    <w:lvl w:ilvl="1">
      <w:lvlJc w:val="left"/>
      <w:lvlText w:val="%2."/>
      <w:numFmt w:val="decimal"/>
      <w:start w:val="18"/>
    </w:lvl>
  </w:abstractNum>
  <w:abstractNum w:abstractNumId="45">
    <w:nsid w:val="799D0247"/>
    <w:multiLevelType w:val="hybridMultilevel"/>
    <w:lvl w:ilvl="0">
      <w:lvlJc w:val="left"/>
      <w:lvlText w:val="%1."/>
      <w:numFmt w:val="decimal"/>
      <w:start w:val="1"/>
    </w:lvl>
  </w:abstractNum>
  <w:abstractNum w:abstractNumId="46">
    <w:nsid w:val="6B94764"/>
    <w:multiLevelType w:val="hybridMultilevel"/>
    <w:lvl w:ilvl="0">
      <w:lvlJc w:val="left"/>
      <w:lvlText w:val="1"/>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1)"/>
      <w:numFmt w:val="lowerLetter"/>
      <w:start w:val="4"/>
    </w:lvl>
  </w:abstractNum>
  <w:abstractNum w:abstractNumId="49">
    <w:nsid w:val="1EBA5D23"/>
    <w:multiLevelType w:val="hybridMultilevel"/>
    <w:lvl w:ilvl="0">
      <w:lvlJc w:val="left"/>
      <w:lvlText w:val="%1."/>
      <w:numFmt w:val="decimal"/>
      <w:start w:val="1"/>
    </w:lvl>
  </w:abstractNum>
  <w:abstractNum w:abstractNumId="50">
    <w:nsid w:val="661E3F1E"/>
    <w:multiLevelType w:val="hybridMultilevel"/>
    <w:lvl w:ilvl="0">
      <w:lvlJc w:val="left"/>
      <w:lvlText w:val="(%1)"/>
      <w:numFmt w:val="lowerRoman"/>
      <w:start w:val="2"/>
    </w:lvl>
  </w:abstractNum>
  <w:abstractNum w:abstractNumId="51">
    <w:nsid w:val="5DC79EA8"/>
    <w:multiLevelType w:val="hybridMultilevel"/>
    <w:lvl w:ilvl="0">
      <w:lvlJc w:val="left"/>
      <w:lvlText w:val="%1"/>
      <w:numFmt w:val="upperLetter"/>
      <w:start w:val="1"/>
    </w:lvl>
    <w:lvl w:ilvl="1">
      <w:lvlJc w:val="left"/>
      <w:lvlText w:val="(%2)"/>
      <w:numFmt w:val="lowerRoman"/>
      <w:start w:val="3"/>
    </w:lvl>
  </w:abstractNum>
  <w:abstractNum w:abstractNumId="52">
    <w:nsid w:val="540A471C"/>
    <w:multiLevelType w:val="hybridMultilevel"/>
    <w:lvl w:ilvl="0">
      <w:lvlJc w:val="left"/>
      <w:lvlText w:val="(%1)"/>
      <w:numFmt w:val="upperLetter"/>
      <w:start w:val="2"/>
    </w:lvl>
    <w:lvl w:ilvl="1">
      <w:lvlJc w:val="left"/>
      <w:lvlText w:val="%2"/>
      <w:numFmt w:val="lowerRoman"/>
      <w:start w:val="1"/>
    </w:lvl>
  </w:abstractNum>
  <w:abstractNum w:abstractNumId="53">
    <w:nsid w:val="7BD3EE7B"/>
    <w:multiLevelType w:val="hybridMultilevel"/>
    <w:lvl w:ilvl="0">
      <w:lvlJc w:val="left"/>
      <w:lvlText w:val="(%1)"/>
      <w:numFmt w:val="lowerRoman"/>
      <w:start w:val="5"/>
    </w:lvl>
  </w:abstractNum>
  <w:abstractNum w:abstractNumId="54">
    <w:nsid w:val="51D9C564"/>
    <w:multiLevelType w:val="hybridMultilevel"/>
    <w:lvl w:ilvl="0">
      <w:lvlJc w:val="left"/>
      <w:lvlText w:val="(%1)"/>
      <w:numFmt w:val="lowerRoman"/>
      <w:start w:val="9"/>
    </w:lvl>
  </w:abstractNum>
  <w:abstractNum w:abstractNumId="55">
    <w:nsid w:val="613EFDC5"/>
    <w:multiLevelType w:val="hybridMultilevel"/>
    <w:lvl w:ilvl="0">
      <w:lvlJc w:val="left"/>
      <w:lvlText w:val="(%1)"/>
      <w:numFmt w:val="lowerRoman"/>
      <w:start w:val="13"/>
    </w:lvl>
  </w:abstractNum>
  <w:abstractNum w:abstractNumId="56">
    <w:nsid w:val="BF72B14"/>
    <w:multiLevelType w:val="hybridMultilevel"/>
    <w:lvl w:ilvl="0">
      <w:lvlJc w:val="left"/>
      <w:lvlText w:val="(%1)"/>
      <w:numFmt w:val="lowerRoman"/>
      <w:start w:val="15"/>
    </w:lvl>
  </w:abstractNum>
  <w:abstractNum w:abstractNumId="57">
    <w:nsid w:val="11447B73"/>
    <w:multiLevelType w:val="hybridMultilevel"/>
    <w:lvl w:ilvl="0">
      <w:lvlJc w:val="left"/>
      <w:lvlText w:val="%1"/>
      <w:numFmt w:val="lowerRoman"/>
      <w:start w:val="1"/>
    </w:lvl>
    <w:lvl w:ilvl="1">
      <w:lvlJc w:val="left"/>
      <w:lvlText w:val="(%2)"/>
      <w:numFmt w:val="lowerRoman"/>
      <w:start w:val="20"/>
    </w:lvl>
  </w:abstractNum>
  <w:abstractNum w:abstractNumId="58">
    <w:nsid w:val="42963E5A"/>
    <w:multiLevelType w:val="hybridMultilevel"/>
    <w:lvl w:ilvl="0">
      <w:lvlJc w:val="left"/>
      <w:lvlText w:val="(%1)"/>
      <w:numFmt w:val="lowerRoman"/>
      <w:start w:val="4"/>
    </w:lvl>
    <w:lvl w:ilvl="1">
      <w:lvlJc w:val="left"/>
      <w:lvlText w:val="%2"/>
      <w:numFmt w:val="lowerRoman"/>
      <w:start w:val="1"/>
    </w:lvl>
  </w:abstractNum>
  <w:abstractNum w:abstractNumId="59">
    <w:nsid w:val="A0382C5"/>
    <w:multiLevelType w:val="hybridMultilevel"/>
    <w:lvl w:ilvl="0">
      <w:lvlJc w:val="left"/>
      <w:lvlText w:val="(%1)"/>
      <w:numFmt w:val="lowerRoman"/>
      <w:start w:val="23"/>
    </w:lvl>
  </w:abstractNum>
  <w:abstractNum w:abstractNumId="60">
    <w:nsid w:val="8F2B15E"/>
    <w:multiLevelType w:val="hybridMultilevel"/>
    <w:lvl w:ilvl="0">
      <w:lvlJc w:val="left"/>
      <w:lvlText w:val="(%1)"/>
      <w:numFmt w:val="lowerRoman"/>
      <w:start w:val="28"/>
    </w:lvl>
  </w:abstractNum>
  <w:abstractNum w:abstractNumId="61">
    <w:nsid w:val="1A32234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62">
    <w:nsid w:val="3B0FD37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63">
    <w:nsid w:val="68EB2F63"/>
    <w:multiLevelType w:val="hybridMultilevel"/>
    <w:lvl w:ilvl="0">
      <w:lvlJc w:val="left"/>
      <w:lvlText w:val="(%1)"/>
      <w:numFmt w:val="lowerLetter"/>
      <w:start w:val="25"/>
    </w:lvl>
    <w:lvl w:ilvl="1">
      <w:lvlJc w:val="left"/>
      <w:lvlText w:val="%2"/>
      <w:numFmt w:val="lowerRoman"/>
      <w:start w:val="1"/>
    </w:lvl>
    <w:lvl w:ilvl="2">
      <w:lvlJc w:val="left"/>
      <w:lvlText w:val="%3"/>
      <w:numFmt w:val="lowerLetter"/>
      <w:start w:val="1"/>
    </w:lvl>
  </w:abstractNum>
  <w:abstractNum w:abstractNumId="64">
    <w:nsid w:val="4962813B"/>
    <w:multiLevelType w:val="hybridMultilevel"/>
    <w:lvl w:ilvl="0">
      <w:lvlJc w:val="left"/>
      <w:lvlText w:val="%1"/>
      <w:numFmt w:val="lowerRoman"/>
      <w:start w:val="1"/>
    </w:lvl>
    <w:lvl w:ilvl="1">
      <w:lvlJc w:val="left"/>
      <w:lvlText w:val="(%2)"/>
      <w:numFmt w:val="lowerRoman"/>
      <w:start w:val="7"/>
    </w:lvl>
  </w:abstractNum>
  <w:abstractNum w:abstractNumId="65">
    <w:nsid w:val="60B6DF70"/>
    <w:multiLevelType w:val="hybridMultilevel"/>
    <w:lvl w:ilvl="0">
      <w:lvlJc w:val="left"/>
      <w:lvlText w:val="(%1)"/>
      <w:numFmt w:val="lowerRoman"/>
      <w:start w:val="2"/>
    </w:lvl>
    <w:lvl w:ilvl="1">
      <w:lvlJc w:val="left"/>
      <w:lvlText w:val="%2"/>
      <w:numFmt w:val="lowerRoman"/>
      <w:start w:val="1"/>
    </w:lvl>
  </w:abstractNum>
  <w:abstractNum w:abstractNumId="66">
    <w:nsid w:val="6A5EE64"/>
    <w:multiLevelType w:val="hybridMultilevel"/>
    <w:lvl w:ilvl="0">
      <w:lvlJc w:val="left"/>
      <w:lvlText w:val="(%1)"/>
      <w:numFmt w:val="lowerLetter"/>
      <w:start w:val="3"/>
    </w:lvl>
  </w:abstractNum>
  <w:abstractNum w:abstractNumId="67">
    <w:nsid w:val="14330624"/>
    <w:multiLevelType w:val="hybridMultilevel"/>
    <w:lvl w:ilvl="0">
      <w:lvlJc w:val="left"/>
      <w:lvlText w:val="%1."/>
      <w:numFmt w:val="decimal"/>
      <w:start w:val="2"/>
    </w:lvl>
  </w:abstractNum>
  <w:abstractNum w:abstractNumId="68">
    <w:nsid w:val="7FFFCA11"/>
    <w:multiLevelType w:val="hybridMultilevel"/>
    <w:lvl w:ilvl="0">
      <w:lvlJc w:val="left"/>
      <w:lvlText w:val="(%1)"/>
      <w:numFmt w:val="lowerLetter"/>
      <w:start w:val="2"/>
    </w:lvl>
  </w:abstractNum>
  <w:abstractNum w:abstractNumId="69">
    <w:nsid w:val="1A27709E"/>
    <w:multiLevelType w:val="hybridMultilevel"/>
    <w:lvl w:ilvl="0">
      <w:lvlJc w:val="left"/>
      <w:lvlText w:val="(%1)"/>
      <w:numFmt w:val="lowerLetter"/>
      <w:start w:val="1"/>
    </w:lvl>
  </w:abstractNum>
  <w:abstractNum w:abstractNumId="70">
    <w:nsid w:val="71EA1109"/>
    <w:multiLevelType w:val="hybridMultilevel"/>
    <w:lvl w:ilvl="0">
      <w:lvlJc w:val="left"/>
      <w:lvlText w:val="(%1)"/>
      <w:numFmt w:val="lowerLetter"/>
      <w:start w:val="4"/>
    </w:lvl>
  </w:abstractNum>
  <w:abstractNum w:abstractNumId="71">
    <w:nsid w:val="100F59DC"/>
    <w:multiLevelType w:val="hybridMultilevel"/>
    <w:lvl w:ilvl="0">
      <w:lvlJc w:val="left"/>
      <w:lvlText w:val="(%1)"/>
      <w:numFmt w:val="lowerLetter"/>
      <w:start w:val="10"/>
    </w:lvl>
  </w:abstractNum>
  <w:abstractNum w:abstractNumId="72">
    <w:nsid w:val="7FB7E0AA"/>
    <w:multiLevelType w:val="hybridMultilevel"/>
    <w:lvl w:ilvl="0">
      <w:lvlJc w:val="left"/>
      <w:lvlText w:val="%1."/>
      <w:numFmt w:val="decimal"/>
      <w:start w:val="4"/>
    </w:lvl>
  </w:abstractNum>
  <w:abstractNum w:abstractNumId="73">
    <w:nsid w:val="6EB5BD4"/>
    <w:multiLevelType w:val="hybridMultilevel"/>
    <w:lvl w:ilvl="0">
      <w:lvlJc w:val="left"/>
      <w:lvlText w:val="(%1)"/>
      <w:numFmt w:val="lowerLetter"/>
      <w:start w:val="1"/>
    </w:lvl>
    <w:lvl w:ilvl="1">
      <w:lvlJc w:val="left"/>
      <w:lvlText w:val="(%2)"/>
      <w:numFmt w:val="decimal"/>
      <w:start w:val="1"/>
    </w:lvl>
  </w:abstractNum>
  <w:abstractNum w:abstractNumId="74">
    <w:nsid w:val="6F6DD9AC"/>
    <w:multiLevelType w:val="hybridMultilevel"/>
    <w:lvl w:ilvl="0">
      <w:lvlJc w:val="left"/>
      <w:lvlText w:val="%1"/>
      <w:numFmt w:val="lowerLetter"/>
      <w:start w:val="1"/>
    </w:lvl>
    <w:lvl w:ilvl="1">
      <w:lvlJc w:val="left"/>
      <w:lvlText w:val="(%2)"/>
      <w:numFmt w:val="lowerLetter"/>
      <w:start w:val="3"/>
    </w:lvl>
  </w:abstractNum>
  <w:abstractNum w:abstractNumId="75">
    <w:nsid w:val="94211F2"/>
    <w:multiLevelType w:val="hybridMultilevel"/>
    <w:lvl w:ilvl="0">
      <w:lvlJc w:val="left"/>
      <w:lvlText w:val="(%1)"/>
      <w:numFmt w:val="lowerLetter"/>
      <w:start w:val="35"/>
    </w:lvl>
    <w:lvl w:ilvl="1">
      <w:lvlJc w:val="left"/>
      <w:lvlText w:val="(%2)"/>
      <w:numFmt w:val="lowerLetter"/>
      <w:start w:val="4"/>
    </w:lvl>
  </w:abstractNum>
  <w:abstractNum w:abstractNumId="76">
    <w:nsid w:val="885E1B"/>
    <w:multiLevelType w:val="hybridMultilevel"/>
    <w:lvl w:ilvl="0">
      <w:lvlJc w:val="left"/>
      <w:lvlText w:val="(%1)"/>
      <w:numFmt w:val="lowerLetter"/>
      <w:start w:val="9"/>
    </w:lvl>
  </w:abstractNum>
  <w:abstractNum w:abstractNumId="77">
    <w:nsid w:val="76272110"/>
    <w:multiLevelType w:val="hybridMultilevel"/>
    <w:lvl w:ilvl="0">
      <w:lvlJc w:val="left"/>
      <w:lvlText w:val="%1"/>
      <w:numFmt w:val="lowerRoman"/>
      <w:start w:val="1"/>
    </w:lvl>
    <w:lvl w:ilvl="1">
      <w:lvlJc w:val="left"/>
      <w:lvlText w:val="%2."/>
      <w:numFmt w:val="decimal"/>
      <w:start w:val="5"/>
    </w:lvl>
  </w:abstractNum>
  <w:abstractNum w:abstractNumId="78">
    <w:nsid w:val="4C04A8AF"/>
    <w:multiLevelType w:val="hybridMultilevel"/>
    <w:lvl w:ilvl="0">
      <w:lvlJc w:val="left"/>
      <w:lvlText w:val="(%1)"/>
      <w:numFmt w:val="lowerRoman"/>
      <w:start w:val="2"/>
    </w:lvl>
    <w:lvl w:ilvl="1">
      <w:lvlJc w:val="left"/>
      <w:lvlText w:val="%2"/>
      <w:numFmt w:val="decimal"/>
      <w:start w:val="1"/>
    </w:lvl>
  </w:abstractNum>
  <w:abstractNum w:abstractNumId="79">
    <w:nsid w:val="1716703B"/>
    <w:multiLevelType w:val="hybridMultilevel"/>
    <w:lvl w:ilvl="0">
      <w:lvlJc w:val="left"/>
      <w:lvlText w:val="(%1)"/>
      <w:numFmt w:val="lowerRoman"/>
      <w:start w:val="8"/>
    </w:lvl>
    <w:lvl w:ilvl="1">
      <w:lvlJc w:val="left"/>
      <w:lvlText w:val="%2"/>
      <w:numFmt w:val="decimal"/>
      <w:start w:val="1"/>
    </w:lvl>
  </w:abstractNum>
  <w:abstractNum w:abstractNumId="80">
    <w:nsid w:val="14E17E33"/>
    <w:multiLevelType w:val="hybridMultilevel"/>
    <w:lvl w:ilvl="0">
      <w:lvlJc w:val="left"/>
      <w:lvlText w:val="%1"/>
      <w:numFmt w:val="lowerRoman"/>
      <w:start w:val="1"/>
    </w:lvl>
    <w:lvl w:ilvl="1">
      <w:lvlJc w:val="left"/>
      <w:lvlText w:val="%2."/>
      <w:numFmt w:val="decimal"/>
      <w:start w:val="6"/>
    </w:lvl>
  </w:abstractNum>
  <w:abstractNum w:abstractNumId="81">
    <w:nsid w:val="3222E7CD"/>
    <w:multiLevelType w:val="hybridMultilevel"/>
    <w:lvl w:ilvl="0">
      <w:lvlJc w:val="left"/>
      <w:lvlText w:val="(%1)"/>
      <w:numFmt w:val="lowerRoman"/>
      <w:start w:val="1"/>
    </w:lvl>
    <w:lvl w:ilvl="1">
      <w:lvlJc w:val="left"/>
      <w:lvlText w:val="%2"/>
      <w:numFmt w:val="decimal"/>
      <w:start w:val="1"/>
    </w:lvl>
  </w:abstractNum>
  <w:abstractNum w:abstractNumId="82">
    <w:nsid w:val="74DE0EE3"/>
    <w:multiLevelType w:val="hybridMultilevel"/>
    <w:lvl w:ilvl="0">
      <w:lvlJc w:val="left"/>
      <w:lvlText w:val="(%1)"/>
      <w:numFmt w:val="lowerLetter"/>
      <w:start w:val="2"/>
    </w:lvl>
  </w:abstractNum>
  <w:abstractNum w:abstractNumId="83">
    <w:nsid w:val="68EBC550"/>
    <w:multiLevelType w:val="hybridMultilevel"/>
    <w:lvl w:ilvl="0">
      <w:lvlJc w:val="left"/>
      <w:lvlText w:val="(%1)"/>
      <w:numFmt w:val="lowerLetter"/>
      <w:start w:val="4"/>
    </w:lvl>
  </w:abstractNum>
  <w:abstractNum w:abstractNumId="84">
    <w:nsid w:val="2DF6D648"/>
    <w:multiLevelType w:val="hybridMultilevel"/>
    <w:lvl w:ilvl="0">
      <w:lvlJc w:val="left"/>
      <w:lvlText w:val="%1."/>
      <w:numFmt w:val="decimal"/>
      <w:start w:val="7"/>
    </w:lvl>
  </w:abstractNum>
  <w:abstractNum w:abstractNumId="85">
    <w:nsid w:val="46B7D447"/>
    <w:multiLevelType w:val="hybridMultilevel"/>
    <w:lvl w:ilvl="0">
      <w:lvlJc w:val="left"/>
      <w:lvlText w:val="%1"/>
      <w:numFmt w:val="lowerRoman"/>
      <w:start w:val="1"/>
    </w:lvl>
    <w:lvl w:ilvl="1">
      <w:lvlJc w:val="left"/>
      <w:lvlText w:val="%2."/>
      <w:numFmt w:val="decimal"/>
      <w:start w:val="8"/>
    </w:lvl>
  </w:abstractNum>
  <w:abstractNum w:abstractNumId="86">
    <w:nsid w:val="4A2AC315"/>
    <w:multiLevelType w:val="hybridMultilevel"/>
    <w:lvl w:ilvl="0">
      <w:lvlJc w:val="left"/>
      <w:lvlText w:val="(%1)"/>
      <w:numFmt w:val="lowerRoman"/>
      <w:start w:val="1"/>
    </w:lvl>
    <w:lvl w:ilvl="1">
      <w:lvlJc w:val="left"/>
      <w:lvlText w:val="%2."/>
      <w:numFmt w:val="decimal"/>
      <w:start w:val="10"/>
    </w:lvl>
  </w:abstractNum>
  <w:abstractNum w:abstractNumId="87">
    <w:nsid w:val="39EE015C"/>
    <w:multiLevelType w:val="hybridMultilevel"/>
    <w:lvl w:ilvl="0">
      <w:lvlJc w:val="left"/>
      <w:lvlText w:val="%1."/>
      <w:numFmt w:val="decimal"/>
      <w:start w:val="12"/>
    </w:lvl>
  </w:abstractNum>
  <w:abstractNum w:abstractNumId="88">
    <w:nsid w:val="57FC4FBB"/>
    <w:multiLevelType w:val="hybridMultilevel"/>
    <w:lvl w:ilvl="0">
      <w:lvlJc w:val="left"/>
      <w:lvlText w:val="(%1)"/>
      <w:numFmt w:val="lowerLetter"/>
      <w:start w:val="1"/>
    </w:lvl>
  </w:abstractNum>
  <w:abstractNum w:abstractNumId="89">
    <w:nsid w:val="CC1016F"/>
    <w:multiLevelType w:val="hybridMultilevel"/>
    <w:lvl w:ilvl="0">
      <w:lvlJc w:val="left"/>
      <w:lvlText w:val="(%1)"/>
      <w:numFmt w:val="lowerLetter"/>
      <w:start w:val="2"/>
    </w:lvl>
  </w:abstractNum>
  <w:abstractNum w:abstractNumId="90">
    <w:nsid w:val="43F18422"/>
    <w:multiLevelType w:val="hybridMultilevel"/>
    <w:lvl w:ilvl="0">
      <w:lvlJc w:val="left"/>
      <w:lvlText w:val="%1."/>
      <w:numFmt w:val="decimal"/>
      <w:start w:val="16"/>
    </w:lvl>
  </w:abstractNum>
  <w:abstractNum w:abstractNumId="91">
    <w:nsid w:val="60EF0119"/>
    <w:multiLevelType w:val="hybridMultilevel"/>
    <w:lvl w:ilvl="0">
      <w:lvlJc w:val="left"/>
      <w:lvlText w:val="(%1)"/>
      <w:numFmt w:val="lowerLetter"/>
      <w:start w:val="1"/>
    </w:lvl>
  </w:abstractNum>
  <w:abstractNum w:abstractNumId="92">
    <w:nsid w:val="26F324BA"/>
    <w:multiLevelType w:val="hybridMultilevel"/>
    <w:lvl w:ilvl="0">
      <w:lvlJc w:val="left"/>
      <w:lvlText w:val="%1."/>
      <w:numFmt w:val="decimal"/>
      <w:start w:val="18"/>
    </w:lvl>
  </w:abstractNum>
  <w:abstractNum w:abstractNumId="93">
    <w:nsid w:val="7F01579B"/>
    <w:multiLevelType w:val="hybridMultilevel"/>
    <w:lvl w:ilvl="0">
      <w:lvlJc w:val="left"/>
      <w:lvlText w:val="%1."/>
      <w:numFmt w:val="decimal"/>
      <w:start w:val="1"/>
    </w:lvl>
  </w:abstractNum>
  <w:abstractNum w:abstractNumId="94">
    <w:nsid w:val="49DA307D"/>
    <w:multiLevelType w:val="hybridMultilevel"/>
    <w:lvl w:ilvl="0">
      <w:lvlJc w:val="left"/>
      <w:lvlText w:val="1"/>
      <w:numFmt w:val="bullet"/>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2026-04-28T05:45:37Z</dcterms:created>
  <dcterms:modified xsi:type="dcterms:W3CDTF">2026-04-28T05:45:37Z</dcterms:modified>
</cp:coreProperties>
</file>