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174625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 SECURITIES AND EXCHANGE COMMISSION</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74930</wp:posOffset>
            </wp:positionV>
            <wp:extent cx="10890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0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10-Q</w:t>
      </w:r>
    </w:p>
    <w:p>
      <w:pPr>
        <w:spacing w:after="0" w:line="162" w:lineRule="exact"/>
        <w:rPr>
          <w:sz w:val="24"/>
          <w:szCs w:val="24"/>
          <w:color w:val="auto"/>
        </w:rPr>
      </w:pPr>
    </w:p>
    <w:p>
      <w:pPr>
        <w:ind w:left="3760" w:right="3460" w:hanging="3752"/>
        <w:spacing w:after="0" w:line="299" w:lineRule="auto"/>
        <w:tabs>
          <w:tab w:leader="none" w:pos="445"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-337820</wp:posOffset>
            </wp:positionV>
            <wp:extent cx="10890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4"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63" w:lineRule="exact"/>
        <w:rPr>
          <w:sz w:val="24"/>
          <w:szCs w:val="24"/>
          <w:color w:val="auto"/>
        </w:rPr>
      </w:pPr>
    </w:p>
    <w:p>
      <w:pPr>
        <w:jc w:val="center"/>
        <w:spacing w:after="0"/>
        <w:tabs>
          <w:tab w:leader="none" w:pos="10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1-8400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88900</wp:posOffset>
            </wp:positionV>
            <wp:extent cx="10890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2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American Airlines Group Inc.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74930</wp:posOffset>
            </wp:positionV>
            <wp:extent cx="10890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97" w:lineRule="exact"/>
        <w:rPr>
          <w:sz w:val="24"/>
          <w:szCs w:val="24"/>
          <w:color w:val="auto"/>
        </w:rPr>
      </w:pPr>
    </w:p>
    <w:tbl>
      <w:tblPr>
        <w:tblLayout w:type="fixed"/>
        <w:tblInd w:w="800" w:type="dxa"/>
        <w:tblCellMar>
          <w:top w:w="0" w:type="dxa"/>
          <w:left w:w="0" w:type="dxa"/>
          <w:bottom w:w="0" w:type="dxa"/>
          <w:right w:w="0" w:type="dxa"/>
        </w:tblCellMar>
      </w:tblPr>
      <w:tr>
        <w:trPr>
          <w:trHeight w:val="230"/>
        </w:trPr>
        <w:tc>
          <w:tcPr>
            <w:tcW w:w="5180" w:type="dxa"/>
            <w:vAlign w:val="bottom"/>
          </w:tcPr>
          <w:p>
            <w:pPr>
              <w:jc w:val="center"/>
              <w:ind w:right="919"/>
              <w:spacing w:after="0"/>
              <w:rPr>
                <w:sz w:val="20"/>
                <w:szCs w:val="20"/>
                <w:color w:val="auto"/>
              </w:rPr>
            </w:pPr>
            <w:r>
              <w:rPr>
                <w:rFonts w:ascii="Arial" w:cs="Arial" w:eastAsia="Arial" w:hAnsi="Arial"/>
                <w:sz w:val="18"/>
                <w:szCs w:val="18"/>
                <w:b w:val="1"/>
                <w:bCs w:val="1"/>
                <w:color w:val="auto"/>
                <w:w w:val="98"/>
              </w:rPr>
              <w:t>Delaware</w:t>
            </w:r>
          </w:p>
        </w:tc>
        <w:tc>
          <w:tcPr>
            <w:tcW w:w="4360" w:type="dxa"/>
            <w:vAlign w:val="bottom"/>
          </w:tcPr>
          <w:p>
            <w:pPr>
              <w:jc w:val="right"/>
              <w:ind w:right="1119"/>
              <w:spacing w:after="0"/>
              <w:rPr>
                <w:sz w:val="20"/>
                <w:szCs w:val="20"/>
                <w:color w:val="auto"/>
              </w:rPr>
            </w:pPr>
            <w:r>
              <w:rPr>
                <w:rFonts w:ascii="Arial" w:cs="Arial" w:eastAsia="Arial" w:hAnsi="Arial"/>
                <w:sz w:val="18"/>
                <w:szCs w:val="18"/>
                <w:b w:val="1"/>
                <w:bCs w:val="1"/>
                <w:color w:val="auto"/>
              </w:rPr>
              <w:t>75-1825172</w:t>
            </w:r>
          </w:p>
        </w:tc>
      </w:tr>
      <w:tr>
        <w:trPr>
          <w:trHeight w:val="134"/>
        </w:trPr>
        <w:tc>
          <w:tcPr>
            <w:tcW w:w="5180" w:type="dxa"/>
            <w:vAlign w:val="bottom"/>
          </w:tcPr>
          <w:p>
            <w:pPr>
              <w:jc w:val="center"/>
              <w:ind w:right="919"/>
              <w:spacing w:after="0" w:line="135" w:lineRule="exact"/>
              <w:rPr>
                <w:sz w:val="20"/>
                <w:szCs w:val="20"/>
                <w:color w:val="auto"/>
              </w:rPr>
            </w:pPr>
            <w:r>
              <w:rPr>
                <w:rFonts w:ascii="Arial" w:cs="Arial" w:eastAsia="Arial" w:hAnsi="Arial"/>
                <w:sz w:val="14"/>
                <w:szCs w:val="14"/>
                <w:color w:val="auto"/>
              </w:rPr>
              <w:t>(State or other jurisdiction of incorporation or organization)</w:t>
            </w:r>
          </w:p>
        </w:tc>
        <w:tc>
          <w:tcPr>
            <w:tcW w:w="4360" w:type="dxa"/>
            <w:vAlign w:val="bottom"/>
          </w:tcPr>
          <w:p>
            <w:pPr>
              <w:jc w:val="center"/>
              <w:ind w:left="899"/>
              <w:spacing w:after="0" w:line="135" w:lineRule="exact"/>
              <w:rPr>
                <w:sz w:val="20"/>
                <w:szCs w:val="20"/>
                <w:color w:val="auto"/>
              </w:rPr>
            </w:pPr>
            <w:r>
              <w:rPr>
                <w:rFonts w:ascii="Arial" w:cs="Arial" w:eastAsia="Arial" w:hAnsi="Arial"/>
                <w:sz w:val="14"/>
                <w:szCs w:val="14"/>
                <w:color w:val="auto"/>
              </w:rPr>
              <w:t>(I.R.S. Employer Identification No.)</w:t>
            </w:r>
          </w:p>
        </w:tc>
      </w:tr>
      <w:tr>
        <w:trPr>
          <w:trHeight w:val="230"/>
        </w:trPr>
        <w:tc>
          <w:tcPr>
            <w:tcW w:w="5180" w:type="dxa"/>
            <w:vAlign w:val="bottom"/>
          </w:tcPr>
          <w:p>
            <w:pPr>
              <w:jc w:val="center"/>
              <w:ind w:right="919"/>
              <w:spacing w:after="0"/>
              <w:rPr>
                <w:sz w:val="20"/>
                <w:szCs w:val="20"/>
                <w:color w:val="auto"/>
              </w:rPr>
            </w:pPr>
            <w:r>
              <w:rPr>
                <w:rFonts w:ascii="Arial" w:cs="Arial" w:eastAsia="Arial" w:hAnsi="Arial"/>
                <w:sz w:val="18"/>
                <w:szCs w:val="18"/>
                <w:b w:val="1"/>
                <w:bCs w:val="1"/>
                <w:color w:val="auto"/>
                <w:w w:val="99"/>
              </w:rPr>
              <w:t>4333 Amon Carter Blvd., Fort Worth, Texas 76155</w:t>
            </w:r>
          </w:p>
        </w:tc>
        <w:tc>
          <w:tcPr>
            <w:tcW w:w="4360" w:type="dxa"/>
            <w:vAlign w:val="bottom"/>
          </w:tcPr>
          <w:p>
            <w:pPr>
              <w:jc w:val="right"/>
              <w:ind w:right="999"/>
              <w:spacing w:after="0"/>
              <w:rPr>
                <w:sz w:val="20"/>
                <w:szCs w:val="20"/>
                <w:color w:val="auto"/>
              </w:rPr>
            </w:pPr>
            <w:r>
              <w:rPr>
                <w:rFonts w:ascii="Arial" w:cs="Arial" w:eastAsia="Arial" w:hAnsi="Arial"/>
                <w:sz w:val="18"/>
                <w:szCs w:val="18"/>
                <w:b w:val="1"/>
                <w:bCs w:val="1"/>
                <w:color w:val="auto"/>
              </w:rPr>
              <w:t>(817) 963-1234</w:t>
            </w:r>
          </w:p>
        </w:tc>
      </w:tr>
      <w:tr>
        <w:trPr>
          <w:trHeight w:val="172"/>
        </w:trPr>
        <w:tc>
          <w:tcPr>
            <w:tcW w:w="5180" w:type="dxa"/>
            <w:vAlign w:val="bottom"/>
          </w:tcPr>
          <w:p>
            <w:pPr>
              <w:jc w:val="center"/>
              <w:ind w:right="919"/>
              <w:spacing w:after="0"/>
              <w:rPr>
                <w:sz w:val="20"/>
                <w:szCs w:val="20"/>
                <w:color w:val="auto"/>
              </w:rPr>
            </w:pPr>
            <w:r>
              <w:rPr>
                <w:rFonts w:ascii="Arial" w:cs="Arial" w:eastAsia="Arial" w:hAnsi="Arial"/>
                <w:sz w:val="14"/>
                <w:szCs w:val="14"/>
                <w:color w:val="auto"/>
              </w:rPr>
              <w:t>(Address of principal executive offices, including zip code)</w:t>
            </w:r>
          </w:p>
        </w:tc>
        <w:tc>
          <w:tcPr>
            <w:tcW w:w="4360" w:type="dxa"/>
            <w:vAlign w:val="bottom"/>
          </w:tcPr>
          <w:p>
            <w:pPr>
              <w:jc w:val="center"/>
              <w:ind w:left="899"/>
              <w:spacing w:after="0"/>
              <w:rPr>
                <w:sz w:val="20"/>
                <w:szCs w:val="20"/>
                <w:color w:val="auto"/>
              </w:rPr>
            </w:pPr>
            <w:r>
              <w:rPr>
                <w:rFonts w:ascii="Arial" w:cs="Arial" w:eastAsia="Arial" w:hAnsi="Arial"/>
                <w:sz w:val="14"/>
                <w:szCs w:val="14"/>
                <w:color w:val="auto"/>
              </w:rPr>
              <w:t>(Registrant’s telephone number, including area code)</w:t>
            </w:r>
          </w:p>
        </w:tc>
      </w:tr>
    </w:tbl>
    <w:p>
      <w:pPr>
        <w:spacing w:after="0" w:line="7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1-2691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88900</wp:posOffset>
            </wp:positionV>
            <wp:extent cx="10890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2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American Airlines, Inc.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74930</wp:posOffset>
            </wp:positionV>
            <wp:extent cx="10890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97" w:lineRule="exact"/>
        <w:rPr>
          <w:sz w:val="24"/>
          <w:szCs w:val="24"/>
          <w:color w:val="auto"/>
        </w:rPr>
      </w:pPr>
    </w:p>
    <w:tbl>
      <w:tblPr>
        <w:tblLayout w:type="fixed"/>
        <w:tblInd w:w="800" w:type="dxa"/>
        <w:tblCellMar>
          <w:top w:w="0" w:type="dxa"/>
          <w:left w:w="0" w:type="dxa"/>
          <w:bottom w:w="0" w:type="dxa"/>
          <w:right w:w="0" w:type="dxa"/>
        </w:tblCellMar>
      </w:tblPr>
      <w:tr>
        <w:trPr>
          <w:trHeight w:val="230"/>
        </w:trPr>
        <w:tc>
          <w:tcPr>
            <w:tcW w:w="5180" w:type="dxa"/>
            <w:vAlign w:val="bottom"/>
          </w:tcPr>
          <w:p>
            <w:pPr>
              <w:jc w:val="center"/>
              <w:ind w:right="919"/>
              <w:spacing w:after="0"/>
              <w:rPr>
                <w:sz w:val="20"/>
                <w:szCs w:val="20"/>
                <w:color w:val="auto"/>
              </w:rPr>
            </w:pPr>
            <w:r>
              <w:rPr>
                <w:rFonts w:ascii="Arial" w:cs="Arial" w:eastAsia="Arial" w:hAnsi="Arial"/>
                <w:sz w:val="18"/>
                <w:szCs w:val="18"/>
                <w:b w:val="1"/>
                <w:bCs w:val="1"/>
                <w:color w:val="auto"/>
                <w:w w:val="98"/>
              </w:rPr>
              <w:t>Delaware</w:t>
            </w:r>
          </w:p>
        </w:tc>
        <w:tc>
          <w:tcPr>
            <w:tcW w:w="4360" w:type="dxa"/>
            <w:vAlign w:val="bottom"/>
          </w:tcPr>
          <w:p>
            <w:pPr>
              <w:jc w:val="right"/>
              <w:ind w:right="1119"/>
              <w:spacing w:after="0"/>
              <w:rPr>
                <w:sz w:val="20"/>
                <w:szCs w:val="20"/>
                <w:color w:val="auto"/>
              </w:rPr>
            </w:pPr>
            <w:r>
              <w:rPr>
                <w:rFonts w:ascii="Arial" w:cs="Arial" w:eastAsia="Arial" w:hAnsi="Arial"/>
                <w:sz w:val="18"/>
                <w:szCs w:val="18"/>
                <w:b w:val="1"/>
                <w:bCs w:val="1"/>
                <w:color w:val="auto"/>
              </w:rPr>
              <w:t>13-1502798</w:t>
            </w:r>
          </w:p>
        </w:tc>
      </w:tr>
      <w:tr>
        <w:trPr>
          <w:trHeight w:val="134"/>
        </w:trPr>
        <w:tc>
          <w:tcPr>
            <w:tcW w:w="5180" w:type="dxa"/>
            <w:vAlign w:val="bottom"/>
          </w:tcPr>
          <w:p>
            <w:pPr>
              <w:jc w:val="center"/>
              <w:ind w:right="919"/>
              <w:spacing w:after="0" w:line="135" w:lineRule="exact"/>
              <w:rPr>
                <w:sz w:val="20"/>
                <w:szCs w:val="20"/>
                <w:color w:val="auto"/>
              </w:rPr>
            </w:pPr>
            <w:r>
              <w:rPr>
                <w:rFonts w:ascii="Arial" w:cs="Arial" w:eastAsia="Arial" w:hAnsi="Arial"/>
                <w:sz w:val="14"/>
                <w:szCs w:val="14"/>
                <w:color w:val="auto"/>
              </w:rPr>
              <w:t>(State or other jurisdiction of incorporation or organization)</w:t>
            </w:r>
          </w:p>
        </w:tc>
        <w:tc>
          <w:tcPr>
            <w:tcW w:w="4360" w:type="dxa"/>
            <w:vAlign w:val="bottom"/>
          </w:tcPr>
          <w:p>
            <w:pPr>
              <w:jc w:val="center"/>
              <w:ind w:left="899"/>
              <w:spacing w:after="0" w:line="135" w:lineRule="exact"/>
              <w:rPr>
                <w:sz w:val="20"/>
                <w:szCs w:val="20"/>
                <w:color w:val="auto"/>
              </w:rPr>
            </w:pPr>
            <w:r>
              <w:rPr>
                <w:rFonts w:ascii="Arial" w:cs="Arial" w:eastAsia="Arial" w:hAnsi="Arial"/>
                <w:sz w:val="14"/>
                <w:szCs w:val="14"/>
                <w:color w:val="auto"/>
              </w:rPr>
              <w:t>(I.R.S. Employer Identification No.)</w:t>
            </w:r>
          </w:p>
        </w:tc>
      </w:tr>
      <w:tr>
        <w:trPr>
          <w:trHeight w:val="230"/>
        </w:trPr>
        <w:tc>
          <w:tcPr>
            <w:tcW w:w="5180" w:type="dxa"/>
            <w:vAlign w:val="bottom"/>
          </w:tcPr>
          <w:p>
            <w:pPr>
              <w:jc w:val="center"/>
              <w:ind w:right="919"/>
              <w:spacing w:after="0"/>
              <w:rPr>
                <w:sz w:val="20"/>
                <w:szCs w:val="20"/>
                <w:color w:val="auto"/>
              </w:rPr>
            </w:pPr>
            <w:r>
              <w:rPr>
                <w:rFonts w:ascii="Arial" w:cs="Arial" w:eastAsia="Arial" w:hAnsi="Arial"/>
                <w:sz w:val="18"/>
                <w:szCs w:val="18"/>
                <w:b w:val="1"/>
                <w:bCs w:val="1"/>
                <w:color w:val="auto"/>
                <w:w w:val="99"/>
              </w:rPr>
              <w:t>4333 Amon Carter Blvd., Fort Worth, Texas 76155</w:t>
            </w:r>
          </w:p>
        </w:tc>
        <w:tc>
          <w:tcPr>
            <w:tcW w:w="4360" w:type="dxa"/>
            <w:vAlign w:val="bottom"/>
          </w:tcPr>
          <w:p>
            <w:pPr>
              <w:jc w:val="right"/>
              <w:ind w:right="999"/>
              <w:spacing w:after="0"/>
              <w:rPr>
                <w:sz w:val="20"/>
                <w:szCs w:val="20"/>
                <w:color w:val="auto"/>
              </w:rPr>
            </w:pPr>
            <w:r>
              <w:rPr>
                <w:rFonts w:ascii="Arial" w:cs="Arial" w:eastAsia="Arial" w:hAnsi="Arial"/>
                <w:sz w:val="18"/>
                <w:szCs w:val="18"/>
                <w:b w:val="1"/>
                <w:bCs w:val="1"/>
                <w:color w:val="auto"/>
              </w:rPr>
              <w:t>(817) 963-1234</w:t>
            </w:r>
          </w:p>
        </w:tc>
      </w:tr>
      <w:tr>
        <w:trPr>
          <w:trHeight w:val="172"/>
        </w:trPr>
        <w:tc>
          <w:tcPr>
            <w:tcW w:w="5180" w:type="dxa"/>
            <w:vAlign w:val="bottom"/>
          </w:tcPr>
          <w:p>
            <w:pPr>
              <w:jc w:val="center"/>
              <w:ind w:right="919"/>
              <w:spacing w:after="0"/>
              <w:rPr>
                <w:sz w:val="20"/>
                <w:szCs w:val="20"/>
                <w:color w:val="auto"/>
              </w:rPr>
            </w:pPr>
            <w:r>
              <w:rPr>
                <w:rFonts w:ascii="Arial" w:cs="Arial" w:eastAsia="Arial" w:hAnsi="Arial"/>
                <w:sz w:val="14"/>
                <w:szCs w:val="14"/>
                <w:color w:val="auto"/>
              </w:rPr>
              <w:t>(Address of principal executive offices, including zip code)</w:t>
            </w:r>
          </w:p>
        </w:tc>
        <w:tc>
          <w:tcPr>
            <w:tcW w:w="4360" w:type="dxa"/>
            <w:vAlign w:val="bottom"/>
          </w:tcPr>
          <w:p>
            <w:pPr>
              <w:jc w:val="center"/>
              <w:ind w:left="899"/>
              <w:spacing w:after="0"/>
              <w:rPr>
                <w:sz w:val="20"/>
                <w:szCs w:val="20"/>
                <w:color w:val="auto"/>
              </w:rPr>
            </w:pPr>
            <w:r>
              <w:rPr>
                <w:rFonts w:ascii="Arial" w:cs="Arial" w:eastAsia="Arial" w:hAnsi="Arial"/>
                <w:sz w:val="14"/>
                <w:szCs w:val="14"/>
                <w:color w:val="auto"/>
              </w:rPr>
              <w:t>(Registrant’s telephone number, including area code)</w:t>
            </w:r>
          </w:p>
        </w:tc>
      </w:tr>
    </w:tbl>
    <w:p>
      <w:pPr>
        <w:spacing w:after="0" w:line="98" w:lineRule="exact"/>
        <w:rPr>
          <w:sz w:val="24"/>
          <w:szCs w:val="24"/>
          <w:color w:val="auto"/>
        </w:rPr>
      </w:pPr>
    </w:p>
    <w:p>
      <w:pPr>
        <w:ind w:left="360"/>
        <w:spacing w:after="0" w:line="258"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1420"/>
          </w:cols>
          <w:pgMar w:left="240" w:top="346" w:right="239" w:bottom="1440" w:gutter="0" w:footer="0" w:header="0"/>
        </w:sectPr>
      </w:pPr>
    </w:p>
    <w:p>
      <w:pPr>
        <w:spacing w:after="0" w:line="100" w:lineRule="exact"/>
        <w:rPr>
          <w:sz w:val="24"/>
          <w:szCs w:val="24"/>
          <w:color w:val="auto"/>
        </w:rPr>
      </w:pPr>
    </w:p>
    <w:p>
      <w:pPr>
        <w:spacing w:after="0"/>
        <w:rPr>
          <w:sz w:val="20"/>
          <w:szCs w:val="20"/>
          <w:color w:val="auto"/>
        </w:rPr>
      </w:pPr>
      <w:r>
        <w:rPr>
          <w:rFonts w:ascii="Arial" w:cs="Arial" w:eastAsia="Arial" w:hAnsi="Arial"/>
          <w:sz w:val="14"/>
          <w:szCs w:val="14"/>
          <w:color w:val="auto"/>
        </w:rPr>
        <w:t>American Airlines Group Inc.</w:t>
      </w:r>
    </w:p>
    <w:p>
      <w:pPr>
        <w:spacing w:after="0" w:line="15" w:lineRule="exact"/>
        <w:rPr>
          <w:sz w:val="24"/>
          <w:szCs w:val="24"/>
          <w:color w:val="auto"/>
        </w:rPr>
      </w:pPr>
    </w:p>
    <w:p>
      <w:pPr>
        <w:spacing w:after="0"/>
        <w:rPr>
          <w:sz w:val="20"/>
          <w:szCs w:val="20"/>
          <w:color w:val="auto"/>
        </w:rPr>
      </w:pPr>
      <w:r>
        <w:rPr>
          <w:rFonts w:ascii="Arial" w:cs="Arial" w:eastAsia="Arial" w:hAnsi="Arial"/>
          <w:sz w:val="14"/>
          <w:szCs w:val="14"/>
          <w:color w:val="auto"/>
        </w:rPr>
        <w:t>American Airlines, Inc.</w:t>
      </w:r>
    </w:p>
    <w:p>
      <w:pPr>
        <w:spacing w:after="0" w:line="20" w:lineRule="exact"/>
        <w:rPr>
          <w:sz w:val="24"/>
          <w:szCs w:val="24"/>
          <w:color w:val="auto"/>
        </w:rPr>
      </w:pPr>
      <w:r>
        <w:rPr>
          <w:sz w:val="24"/>
          <w:szCs w:val="24"/>
          <w:color w:val="auto"/>
        </w:rPr>
        <w:br w:type="column"/>
      </w:r>
    </w:p>
    <w:p>
      <w:pPr>
        <w:spacing w:after="0" w:line="42" w:lineRule="exact"/>
        <w:rPr>
          <w:sz w:val="24"/>
          <w:szCs w:val="24"/>
          <w:color w:val="auto"/>
        </w:rPr>
      </w:pPr>
    </w:p>
    <w:p>
      <w:pPr>
        <w:spacing w:after="0" w:line="150" w:lineRule="exact"/>
        <w:rPr>
          <w:sz w:val="20"/>
          <w:szCs w:val="20"/>
          <w:color w:val="auto"/>
        </w:rPr>
      </w:pPr>
      <w:r>
        <w:rPr>
          <w:rFonts w:ascii="MS PGothic" w:cs="MS PGothic" w:eastAsia="MS PGothic" w:hAnsi="MS PGothic"/>
          <w:sz w:val="13"/>
          <w:szCs w:val="13"/>
          <w:color w:val="auto"/>
        </w:rPr>
        <w:t>☒</w:t>
      </w:r>
      <w:r>
        <w:rPr>
          <w:rFonts w:ascii="Arial" w:cs="Arial" w:eastAsia="Arial" w:hAnsi="Arial"/>
          <w:sz w:val="13"/>
          <w:szCs w:val="13"/>
          <w:color w:val="auto"/>
        </w:rPr>
        <w:t xml:space="preserve"> Yes</w:t>
      </w:r>
    </w:p>
    <w:p>
      <w:pPr>
        <w:spacing w:after="0" w:line="76" w:lineRule="exact"/>
        <w:rPr>
          <w:sz w:val="24"/>
          <w:szCs w:val="24"/>
          <w:color w:val="auto"/>
        </w:rPr>
      </w:pPr>
    </w:p>
    <w:p>
      <w:pPr>
        <w:spacing w:after="0" w:line="150" w:lineRule="exact"/>
        <w:rPr>
          <w:sz w:val="20"/>
          <w:szCs w:val="20"/>
          <w:color w:val="auto"/>
        </w:rPr>
      </w:pPr>
      <w:r>
        <w:rPr>
          <w:rFonts w:ascii="MS PGothic" w:cs="MS PGothic" w:eastAsia="MS PGothic" w:hAnsi="MS PGothic"/>
          <w:sz w:val="13"/>
          <w:szCs w:val="13"/>
          <w:color w:val="auto"/>
        </w:rPr>
        <w:t>☒</w:t>
      </w:r>
      <w:r>
        <w:rPr>
          <w:rFonts w:ascii="Arial" w:cs="Arial" w:eastAsia="Arial" w:hAnsi="Arial"/>
          <w:sz w:val="13"/>
          <w:szCs w:val="13"/>
          <w:color w:val="auto"/>
        </w:rPr>
        <w:t xml:space="preserve"> Yes</w:t>
      </w:r>
    </w:p>
    <w:p>
      <w:pPr>
        <w:spacing w:after="0" w:line="20" w:lineRule="exact"/>
        <w:rPr>
          <w:sz w:val="24"/>
          <w:szCs w:val="24"/>
          <w:color w:val="auto"/>
        </w:rPr>
      </w:pPr>
      <w:r>
        <w:rPr>
          <w:sz w:val="24"/>
          <w:szCs w:val="24"/>
          <w:color w:val="auto"/>
        </w:rPr>
        <w:br w:type="column"/>
      </w:r>
    </w:p>
    <w:p>
      <w:pPr>
        <w:spacing w:after="0" w:line="42" w:lineRule="exact"/>
        <w:rPr>
          <w:sz w:val="24"/>
          <w:szCs w:val="24"/>
          <w:color w:val="auto"/>
        </w:rPr>
      </w:pPr>
    </w:p>
    <w:p>
      <w:pPr>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49" w:lineRule="exact"/>
        <w:rPr>
          <w:sz w:val="24"/>
          <w:szCs w:val="24"/>
          <w:color w:val="auto"/>
        </w:rPr>
      </w:pPr>
    </w:p>
    <w:p>
      <w:pPr>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125" w:lineRule="exact"/>
        <w:rPr>
          <w:sz w:val="24"/>
          <w:szCs w:val="24"/>
          <w:color w:val="auto"/>
        </w:rPr>
      </w:pPr>
    </w:p>
    <w:p>
      <w:pPr>
        <w:sectPr>
          <w:pgSz w:w="11900" w:h="16838" w:orient="portrait"/>
          <w:cols w:equalWidth="0" w:num="3">
            <w:col w:w="9500" w:space="720"/>
            <w:col w:w="420" w:space="380"/>
            <w:col w:w="400"/>
          </w:cols>
          <w:pgMar w:left="240" w:top="346" w:right="239" w:bottom="1440" w:gutter="0" w:footer="0" w:header="0"/>
          <w:type w:val="continuous"/>
        </w:sectPr>
      </w:pPr>
    </w:p>
    <w:p>
      <w:pPr>
        <w:jc w:val="both"/>
        <w:ind w:left="360"/>
        <w:spacing w:after="0" w:line="250" w:lineRule="auto"/>
        <w:rPr>
          <w:sz w:val="20"/>
          <w:szCs w:val="20"/>
          <w:color w:val="auto"/>
        </w:rPr>
      </w:pPr>
      <w:r>
        <w:rPr>
          <w:rFonts w:ascii="Arial" w:cs="Arial" w:eastAsia="Arial" w:hAnsi="Arial"/>
          <w:sz w:val="14"/>
          <w:szCs w:val="14"/>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ectPr>
          <w:pgSz w:w="11900" w:h="16838" w:orient="portrait"/>
          <w:cols w:equalWidth="0" w:num="1">
            <w:col w:w="11420"/>
          </w:cols>
          <w:pgMar w:left="240" w:top="346" w:right="239" w:bottom="1440" w:gutter="0" w:footer="0" w:header="0"/>
          <w:type w:val="continuous"/>
        </w:sectPr>
      </w:pP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American Airlines Group Inc.</w:t>
      </w:r>
    </w:p>
    <w:p>
      <w:pPr>
        <w:spacing w:after="0" w:line="15" w:lineRule="exact"/>
        <w:rPr>
          <w:sz w:val="24"/>
          <w:szCs w:val="24"/>
          <w:color w:val="auto"/>
        </w:rPr>
      </w:pPr>
    </w:p>
    <w:p>
      <w:pPr>
        <w:spacing w:after="0"/>
        <w:rPr>
          <w:sz w:val="20"/>
          <w:szCs w:val="20"/>
          <w:color w:val="auto"/>
        </w:rPr>
      </w:pPr>
      <w:r>
        <w:rPr>
          <w:rFonts w:ascii="Arial" w:cs="Arial" w:eastAsia="Arial" w:hAnsi="Arial"/>
          <w:sz w:val="14"/>
          <w:szCs w:val="14"/>
          <w:color w:val="auto"/>
        </w:rPr>
        <w:t>American Airlines, Inc.</w:t>
      </w:r>
    </w:p>
    <w:p>
      <w:pPr>
        <w:spacing w:after="0" w:line="20" w:lineRule="exact"/>
        <w:rPr>
          <w:sz w:val="24"/>
          <w:szCs w:val="24"/>
          <w:color w:val="auto"/>
        </w:rPr>
      </w:pPr>
      <w:r>
        <w:rPr>
          <w:sz w:val="24"/>
          <w:szCs w:val="24"/>
          <w:color w:val="auto"/>
        </w:rPr>
        <w:br w:type="column"/>
      </w:r>
    </w:p>
    <w:p>
      <w:pPr>
        <w:spacing w:after="0" w:line="47" w:lineRule="exact"/>
        <w:rPr>
          <w:sz w:val="24"/>
          <w:szCs w:val="24"/>
          <w:color w:val="auto"/>
        </w:rPr>
      </w:pPr>
    </w:p>
    <w:p>
      <w:pPr>
        <w:spacing w:after="0" w:line="150" w:lineRule="exact"/>
        <w:rPr>
          <w:sz w:val="20"/>
          <w:szCs w:val="20"/>
          <w:color w:val="auto"/>
        </w:rPr>
      </w:pPr>
      <w:r>
        <w:rPr>
          <w:rFonts w:ascii="MS PGothic" w:cs="MS PGothic" w:eastAsia="MS PGothic" w:hAnsi="MS PGothic"/>
          <w:sz w:val="13"/>
          <w:szCs w:val="13"/>
          <w:color w:val="auto"/>
        </w:rPr>
        <w:t>☒</w:t>
      </w:r>
      <w:r>
        <w:rPr>
          <w:rFonts w:ascii="Arial" w:cs="Arial" w:eastAsia="Arial" w:hAnsi="Arial"/>
          <w:sz w:val="13"/>
          <w:szCs w:val="13"/>
          <w:color w:val="auto"/>
        </w:rPr>
        <w:t xml:space="preserve"> Yes</w:t>
      </w:r>
    </w:p>
    <w:p>
      <w:pPr>
        <w:spacing w:after="0" w:line="76" w:lineRule="exact"/>
        <w:rPr>
          <w:sz w:val="24"/>
          <w:szCs w:val="24"/>
          <w:color w:val="auto"/>
        </w:rPr>
      </w:pPr>
    </w:p>
    <w:p>
      <w:pPr>
        <w:spacing w:after="0" w:line="150" w:lineRule="exact"/>
        <w:rPr>
          <w:sz w:val="20"/>
          <w:szCs w:val="20"/>
          <w:color w:val="auto"/>
        </w:rPr>
      </w:pPr>
      <w:r>
        <w:rPr>
          <w:rFonts w:ascii="MS PGothic" w:cs="MS PGothic" w:eastAsia="MS PGothic" w:hAnsi="MS PGothic"/>
          <w:sz w:val="13"/>
          <w:szCs w:val="13"/>
          <w:color w:val="auto"/>
        </w:rPr>
        <w:t>☒</w:t>
      </w:r>
      <w:r>
        <w:rPr>
          <w:rFonts w:ascii="Arial" w:cs="Arial" w:eastAsia="Arial" w:hAnsi="Arial"/>
          <w:sz w:val="13"/>
          <w:szCs w:val="13"/>
          <w:color w:val="auto"/>
        </w:rPr>
        <w:t xml:space="preserve"> Yes</w:t>
      </w:r>
    </w:p>
    <w:p>
      <w:pPr>
        <w:spacing w:after="0" w:line="20" w:lineRule="exact"/>
        <w:rPr>
          <w:sz w:val="24"/>
          <w:szCs w:val="24"/>
          <w:color w:val="auto"/>
        </w:rPr>
      </w:pPr>
      <w:r>
        <w:rPr>
          <w:sz w:val="24"/>
          <w:szCs w:val="24"/>
          <w:color w:val="auto"/>
        </w:rPr>
        <w:br w:type="column"/>
      </w:r>
    </w:p>
    <w:p>
      <w:pPr>
        <w:spacing w:after="0" w:line="47" w:lineRule="exact"/>
        <w:rPr>
          <w:sz w:val="24"/>
          <w:szCs w:val="24"/>
          <w:color w:val="auto"/>
        </w:rPr>
      </w:pPr>
    </w:p>
    <w:p>
      <w:pPr>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49" w:lineRule="exact"/>
        <w:rPr>
          <w:sz w:val="24"/>
          <w:szCs w:val="24"/>
          <w:color w:val="auto"/>
        </w:rPr>
      </w:pPr>
    </w:p>
    <w:p>
      <w:pPr>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125" w:lineRule="exact"/>
        <w:rPr>
          <w:sz w:val="24"/>
          <w:szCs w:val="24"/>
          <w:color w:val="auto"/>
        </w:rPr>
      </w:pPr>
    </w:p>
    <w:p>
      <w:pPr>
        <w:sectPr>
          <w:pgSz w:w="11900" w:h="16838" w:orient="portrait"/>
          <w:cols w:equalWidth="0" w:num="3">
            <w:col w:w="9500" w:space="720"/>
            <w:col w:w="420" w:space="380"/>
            <w:col w:w="400"/>
          </w:cols>
          <w:pgMar w:left="240" w:top="346" w:right="239" w:bottom="1440" w:gutter="0" w:footer="0" w:header="0"/>
          <w:type w:val="continuous"/>
        </w:sectPr>
      </w:pPr>
    </w:p>
    <w:p>
      <w:pPr>
        <w:ind w:left="360"/>
        <w:spacing w:after="0" w:line="25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pacing w:after="0" w:line="62" w:lineRule="exact"/>
        <w:rPr>
          <w:sz w:val="24"/>
          <w:szCs w:val="24"/>
          <w:color w:val="auto"/>
        </w:rPr>
      </w:pPr>
    </w:p>
    <w:tbl>
      <w:tblPr>
        <w:tblLayout w:type="fixed"/>
        <w:tblInd w:w="0" w:type="dxa"/>
        <w:tblCellMar>
          <w:top w:w="0" w:type="dxa"/>
          <w:left w:w="0" w:type="dxa"/>
          <w:bottom w:w="0" w:type="dxa"/>
          <w:right w:w="0" w:type="dxa"/>
        </w:tblCellMar>
      </w:tblPr>
      <w:tr>
        <w:trPr>
          <w:trHeight w:val="213"/>
        </w:trPr>
        <w:tc>
          <w:tcPr>
            <w:tcW w:w="2060" w:type="dxa"/>
            <w:vAlign w:val="bottom"/>
          </w:tcPr>
          <w:p>
            <w:pPr>
              <w:spacing w:after="0"/>
              <w:rPr>
                <w:sz w:val="20"/>
                <w:szCs w:val="20"/>
                <w:color w:val="auto"/>
              </w:rPr>
            </w:pPr>
            <w:r>
              <w:rPr>
                <w:rFonts w:ascii="Arial" w:cs="Arial" w:eastAsia="Arial" w:hAnsi="Arial"/>
                <w:sz w:val="14"/>
                <w:szCs w:val="14"/>
                <w:color w:val="auto"/>
              </w:rPr>
              <w:t>American Airlines Group Inc.</w:t>
            </w:r>
          </w:p>
        </w:tc>
        <w:tc>
          <w:tcPr>
            <w:tcW w:w="1940" w:type="dxa"/>
            <w:vAlign w:val="bottom"/>
          </w:tcPr>
          <w:p>
            <w:pPr>
              <w:ind w:left="22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Large Accelerated Filer</w:t>
            </w:r>
          </w:p>
        </w:tc>
        <w:tc>
          <w:tcPr>
            <w:tcW w:w="1460" w:type="dxa"/>
            <w:vAlign w:val="bottom"/>
          </w:tcPr>
          <w:p>
            <w:pPr>
              <w:ind w:left="6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Accelerated Filer</w:t>
            </w:r>
          </w:p>
        </w:tc>
        <w:tc>
          <w:tcPr>
            <w:tcW w:w="1860" w:type="dxa"/>
            <w:vAlign w:val="bottom"/>
          </w:tcPr>
          <w:p>
            <w:pPr>
              <w:ind w:left="14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Non-accelerated Filer</w:t>
            </w:r>
          </w:p>
        </w:tc>
        <w:tc>
          <w:tcPr>
            <w:tcW w:w="2360" w:type="dxa"/>
            <w:vAlign w:val="bottom"/>
          </w:tcPr>
          <w:p>
            <w:pPr>
              <w:ind w:left="18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Smaller Reporting Company</w:t>
            </w:r>
          </w:p>
        </w:tc>
        <w:tc>
          <w:tcPr>
            <w:tcW w:w="1500" w:type="dxa"/>
            <w:vAlign w:val="bottom"/>
          </w:tcPr>
          <w:p>
            <w:pPr>
              <w:ind w:left="220"/>
              <w:spacing w:after="0" w:line="161" w:lineRule="exact"/>
              <w:rPr>
                <w:sz w:val="20"/>
                <w:szCs w:val="20"/>
                <w:color w:val="auto"/>
              </w:rPr>
            </w:pPr>
            <w:r>
              <w:rPr>
                <w:rFonts w:ascii="MS PGothic" w:cs="MS PGothic" w:eastAsia="MS PGothic" w:hAnsi="MS PGothic"/>
                <w:sz w:val="14"/>
                <w:szCs w:val="14"/>
                <w:color w:val="auto"/>
                <w:w w:val="99"/>
              </w:rPr>
              <w:t>☐</w:t>
            </w:r>
            <w:r>
              <w:rPr>
                <w:rFonts w:ascii="Arial" w:cs="Arial" w:eastAsia="Arial" w:hAnsi="Arial"/>
                <w:sz w:val="14"/>
                <w:szCs w:val="14"/>
                <w:color w:val="auto"/>
                <w:w w:val="99"/>
              </w:rPr>
              <w:t xml:space="preserve"> Emerging Growth</w:t>
            </w:r>
          </w:p>
        </w:tc>
        <w:tc>
          <w:tcPr>
            <w:tcW w:w="0" w:type="dxa"/>
            <w:vAlign w:val="bottom"/>
          </w:tcPr>
          <w:p>
            <w:pPr>
              <w:spacing w:after="0"/>
              <w:rPr>
                <w:sz w:val="1"/>
                <w:szCs w:val="1"/>
                <w:color w:val="auto"/>
              </w:rPr>
            </w:pPr>
          </w:p>
        </w:tc>
      </w:tr>
      <w:tr>
        <w:trPr>
          <w:trHeight w:val="130"/>
        </w:trPr>
        <w:tc>
          <w:tcPr>
            <w:tcW w:w="2060" w:type="dxa"/>
            <w:vAlign w:val="bottom"/>
          </w:tcPr>
          <w:p>
            <w:pPr>
              <w:spacing w:after="0"/>
              <w:rPr>
                <w:sz w:val="11"/>
                <w:szCs w:val="11"/>
                <w:color w:val="auto"/>
              </w:rPr>
            </w:pPr>
          </w:p>
        </w:tc>
        <w:tc>
          <w:tcPr>
            <w:tcW w:w="1940" w:type="dxa"/>
            <w:vAlign w:val="bottom"/>
            <w:vMerge w:val="restart"/>
          </w:tcPr>
          <w:p>
            <w:pPr>
              <w:ind w:left="22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Large Accelerated Filer</w:t>
            </w:r>
          </w:p>
        </w:tc>
        <w:tc>
          <w:tcPr>
            <w:tcW w:w="1460" w:type="dxa"/>
            <w:vAlign w:val="bottom"/>
            <w:vMerge w:val="restart"/>
          </w:tcPr>
          <w:p>
            <w:pPr>
              <w:ind w:left="6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Accelerated Filer</w:t>
            </w:r>
          </w:p>
        </w:tc>
        <w:tc>
          <w:tcPr>
            <w:tcW w:w="1860" w:type="dxa"/>
            <w:vAlign w:val="bottom"/>
            <w:vMerge w:val="restart"/>
          </w:tcPr>
          <w:p>
            <w:pPr>
              <w:ind w:left="14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Non-accelerated Filer</w:t>
            </w:r>
          </w:p>
        </w:tc>
        <w:tc>
          <w:tcPr>
            <w:tcW w:w="2360" w:type="dxa"/>
            <w:vAlign w:val="bottom"/>
            <w:vMerge w:val="restart"/>
          </w:tcPr>
          <w:p>
            <w:pPr>
              <w:ind w:left="18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Smaller Reporting Company</w:t>
            </w:r>
          </w:p>
        </w:tc>
        <w:tc>
          <w:tcPr>
            <w:tcW w:w="1500" w:type="dxa"/>
            <w:vAlign w:val="bottom"/>
          </w:tcPr>
          <w:p>
            <w:pPr>
              <w:ind w:left="220"/>
              <w:spacing w:after="0" w:line="131" w:lineRule="exact"/>
              <w:rPr>
                <w:sz w:val="20"/>
                <w:szCs w:val="20"/>
                <w:color w:val="auto"/>
              </w:rPr>
            </w:pPr>
            <w:r>
              <w:rPr>
                <w:rFonts w:ascii="Arial" w:cs="Arial" w:eastAsia="Arial" w:hAnsi="Arial"/>
                <w:sz w:val="14"/>
                <w:szCs w:val="14"/>
                <w:color w:val="auto"/>
              </w:rPr>
              <w:t>Company</w:t>
            </w:r>
          </w:p>
        </w:tc>
        <w:tc>
          <w:tcPr>
            <w:tcW w:w="0" w:type="dxa"/>
            <w:vAlign w:val="bottom"/>
          </w:tcPr>
          <w:p>
            <w:pPr>
              <w:spacing w:after="0"/>
              <w:rPr>
                <w:sz w:val="1"/>
                <w:szCs w:val="1"/>
                <w:color w:val="auto"/>
              </w:rPr>
            </w:pPr>
          </w:p>
        </w:tc>
      </w:tr>
      <w:tr>
        <w:trPr>
          <w:trHeight w:val="207"/>
        </w:trPr>
        <w:tc>
          <w:tcPr>
            <w:tcW w:w="2060" w:type="dxa"/>
            <w:vAlign w:val="bottom"/>
          </w:tcPr>
          <w:p>
            <w:pPr>
              <w:spacing w:after="0"/>
              <w:rPr>
                <w:sz w:val="20"/>
                <w:szCs w:val="20"/>
                <w:color w:val="auto"/>
              </w:rPr>
            </w:pPr>
            <w:r>
              <w:rPr>
                <w:rFonts w:ascii="Arial" w:cs="Arial" w:eastAsia="Arial" w:hAnsi="Arial"/>
                <w:sz w:val="14"/>
                <w:szCs w:val="14"/>
                <w:color w:val="auto"/>
              </w:rPr>
              <w:t>American Airlines, Inc.</w:t>
            </w:r>
          </w:p>
        </w:tc>
        <w:tc>
          <w:tcPr>
            <w:tcW w:w="1940" w:type="dxa"/>
            <w:vAlign w:val="bottom"/>
            <w:vMerge w:val="continue"/>
          </w:tcPr>
          <w:p>
            <w:pPr>
              <w:spacing w:after="0"/>
              <w:rPr>
                <w:sz w:val="18"/>
                <w:szCs w:val="18"/>
                <w:color w:val="auto"/>
              </w:rPr>
            </w:pPr>
          </w:p>
        </w:tc>
        <w:tc>
          <w:tcPr>
            <w:tcW w:w="1460" w:type="dxa"/>
            <w:vAlign w:val="bottom"/>
            <w:vMerge w:val="continue"/>
          </w:tcPr>
          <w:p>
            <w:pPr>
              <w:spacing w:after="0"/>
              <w:rPr>
                <w:sz w:val="18"/>
                <w:szCs w:val="18"/>
                <w:color w:val="auto"/>
              </w:rPr>
            </w:pPr>
          </w:p>
        </w:tc>
        <w:tc>
          <w:tcPr>
            <w:tcW w:w="1860" w:type="dxa"/>
            <w:vAlign w:val="bottom"/>
            <w:vMerge w:val="continue"/>
          </w:tcPr>
          <w:p>
            <w:pPr>
              <w:spacing w:after="0"/>
              <w:rPr>
                <w:sz w:val="18"/>
                <w:szCs w:val="18"/>
                <w:color w:val="auto"/>
              </w:rPr>
            </w:pPr>
          </w:p>
        </w:tc>
        <w:tc>
          <w:tcPr>
            <w:tcW w:w="2360" w:type="dxa"/>
            <w:vAlign w:val="bottom"/>
            <w:vMerge w:val="continue"/>
          </w:tcPr>
          <w:p>
            <w:pPr>
              <w:spacing w:after="0"/>
              <w:rPr>
                <w:sz w:val="18"/>
                <w:szCs w:val="18"/>
                <w:color w:val="auto"/>
              </w:rPr>
            </w:pPr>
          </w:p>
        </w:tc>
        <w:tc>
          <w:tcPr>
            <w:tcW w:w="1500" w:type="dxa"/>
            <w:vAlign w:val="bottom"/>
          </w:tcPr>
          <w:p>
            <w:pPr>
              <w:ind w:left="220"/>
              <w:spacing w:after="0" w:line="161" w:lineRule="exact"/>
              <w:rPr>
                <w:sz w:val="20"/>
                <w:szCs w:val="20"/>
                <w:color w:val="auto"/>
              </w:rPr>
            </w:pPr>
            <w:r>
              <w:rPr>
                <w:rFonts w:ascii="MS PGothic" w:cs="MS PGothic" w:eastAsia="MS PGothic" w:hAnsi="MS PGothic"/>
                <w:sz w:val="14"/>
                <w:szCs w:val="14"/>
                <w:color w:val="auto"/>
                <w:w w:val="99"/>
              </w:rPr>
              <w:t>☐</w:t>
            </w:r>
            <w:r>
              <w:rPr>
                <w:rFonts w:ascii="Arial" w:cs="Arial" w:eastAsia="Arial" w:hAnsi="Arial"/>
                <w:sz w:val="14"/>
                <w:szCs w:val="14"/>
                <w:color w:val="auto"/>
                <w:w w:val="99"/>
              </w:rPr>
              <w:t xml:space="preserve"> Emerging Growth</w:t>
            </w:r>
          </w:p>
        </w:tc>
        <w:tc>
          <w:tcPr>
            <w:tcW w:w="0" w:type="dxa"/>
            <w:vAlign w:val="bottom"/>
          </w:tcPr>
          <w:p>
            <w:pPr>
              <w:spacing w:after="0"/>
              <w:rPr>
                <w:sz w:val="1"/>
                <w:szCs w:val="1"/>
                <w:color w:val="auto"/>
              </w:rPr>
            </w:pPr>
          </w:p>
        </w:tc>
      </w:tr>
      <w:tr>
        <w:trPr>
          <w:trHeight w:val="172"/>
        </w:trPr>
        <w:tc>
          <w:tcPr>
            <w:tcW w:w="20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500" w:type="dxa"/>
            <w:vAlign w:val="bottom"/>
          </w:tcPr>
          <w:p>
            <w:pPr>
              <w:ind w:left="220"/>
              <w:spacing w:after="0"/>
              <w:rPr>
                <w:sz w:val="20"/>
                <w:szCs w:val="20"/>
                <w:color w:val="auto"/>
              </w:rPr>
            </w:pPr>
            <w:r>
              <w:rPr>
                <w:rFonts w:ascii="Arial" w:cs="Arial" w:eastAsia="Arial" w:hAnsi="Arial"/>
                <w:sz w:val="14"/>
                <w:szCs w:val="14"/>
                <w:color w:val="auto"/>
              </w:rPr>
              <w:t>Company</w:t>
            </w:r>
          </w:p>
        </w:tc>
        <w:tc>
          <w:tcPr>
            <w:tcW w:w="0" w:type="dxa"/>
            <w:vAlign w:val="bottom"/>
          </w:tcPr>
          <w:p>
            <w:pPr>
              <w:spacing w:after="0"/>
              <w:rPr>
                <w:sz w:val="1"/>
                <w:szCs w:val="1"/>
                <w:color w:val="auto"/>
              </w:rPr>
            </w:pPr>
          </w:p>
        </w:tc>
      </w:tr>
    </w:tbl>
    <w:p>
      <w:pPr>
        <w:spacing w:after="0" w:line="98" w:lineRule="exact"/>
        <w:rPr>
          <w:sz w:val="24"/>
          <w:szCs w:val="24"/>
          <w:color w:val="auto"/>
        </w:rPr>
      </w:pPr>
    </w:p>
    <w:p>
      <w:pPr>
        <w:spacing w:after="0" w:line="258" w:lineRule="auto"/>
        <w:rPr>
          <w:sz w:val="20"/>
          <w:szCs w:val="20"/>
          <w:color w:val="auto"/>
        </w:rPr>
      </w:pPr>
      <w:r>
        <w:rPr>
          <w:rFonts w:ascii="Arial" w:cs="Arial" w:eastAsia="Arial" w:hAnsi="Arial"/>
          <w:sz w:val="14"/>
          <w:szCs w:val="14"/>
          <w:color w:val="auto"/>
        </w:rPr>
        <w:t>If an emerging growth company, indicate by checkmark if the registrant has elected not to use the extended transition period for complying with any new or revised financial accounting standards provided pursuant to Section 13(a) of the Exchange Act.</w:t>
      </w:r>
    </w:p>
    <w:p>
      <w:pPr>
        <w:sectPr>
          <w:pgSz w:w="11900" w:h="16838" w:orient="portrait"/>
          <w:cols w:equalWidth="0" w:num="1">
            <w:col w:w="11420"/>
          </w:cols>
          <w:pgMar w:left="240" w:top="346" w:right="239" w:bottom="1440" w:gutter="0" w:footer="0" w:header="0"/>
          <w:type w:val="continuous"/>
        </w:sectPr>
      </w:pPr>
    </w:p>
    <w:p>
      <w:pPr>
        <w:spacing w:after="0" w:line="100" w:lineRule="exact"/>
        <w:rPr>
          <w:sz w:val="24"/>
          <w:szCs w:val="24"/>
          <w:color w:val="auto"/>
        </w:rPr>
      </w:pPr>
    </w:p>
    <w:p>
      <w:pPr>
        <w:spacing w:after="0"/>
        <w:rPr>
          <w:sz w:val="20"/>
          <w:szCs w:val="20"/>
          <w:color w:val="auto"/>
        </w:rPr>
      </w:pPr>
      <w:r>
        <w:rPr>
          <w:rFonts w:ascii="Arial" w:cs="Arial" w:eastAsia="Arial" w:hAnsi="Arial"/>
          <w:sz w:val="14"/>
          <w:szCs w:val="14"/>
          <w:color w:val="auto"/>
        </w:rPr>
        <w:t>American Airlines Group Inc.</w:t>
      </w:r>
    </w:p>
    <w:p>
      <w:pPr>
        <w:spacing w:after="0" w:line="15" w:lineRule="exact"/>
        <w:rPr>
          <w:sz w:val="24"/>
          <w:szCs w:val="24"/>
          <w:color w:val="auto"/>
        </w:rPr>
      </w:pPr>
    </w:p>
    <w:p>
      <w:pPr>
        <w:spacing w:after="0"/>
        <w:rPr>
          <w:sz w:val="20"/>
          <w:szCs w:val="20"/>
          <w:color w:val="auto"/>
        </w:rPr>
      </w:pPr>
      <w:r>
        <w:rPr>
          <w:rFonts w:ascii="Arial" w:cs="Arial" w:eastAsia="Arial" w:hAnsi="Arial"/>
          <w:sz w:val="14"/>
          <w:szCs w:val="14"/>
          <w:color w:val="auto"/>
        </w:rPr>
        <w:t>American Airlines, Inc.</w:t>
      </w:r>
    </w:p>
    <w:p>
      <w:pPr>
        <w:spacing w:after="0" w:line="20" w:lineRule="exact"/>
        <w:rPr>
          <w:sz w:val="24"/>
          <w:szCs w:val="24"/>
          <w:color w:val="auto"/>
        </w:rPr>
      </w:pPr>
      <w:r>
        <w:rPr>
          <w:sz w:val="24"/>
          <w:szCs w:val="24"/>
          <w:color w:val="auto"/>
        </w:rPr>
        <w:br w:type="column"/>
      </w:r>
    </w:p>
    <w:p>
      <w:pPr>
        <w:spacing w:after="0" w:line="4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70"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47" w:lineRule="exact"/>
        <w:rPr>
          <w:sz w:val="24"/>
          <w:szCs w:val="24"/>
          <w:color w:val="auto"/>
        </w:rPr>
      </w:pPr>
    </w:p>
    <w:p>
      <w:pPr>
        <w:sectPr>
          <w:pgSz w:w="11900" w:h="16838" w:orient="portrait"/>
          <w:cols w:equalWidth="0" w:num="2">
            <w:col w:w="9320" w:space="720"/>
            <w:col w:w="1380"/>
          </w:cols>
          <w:pgMar w:left="240" w:top="346" w:right="239" w:bottom="1440" w:gutter="0" w:footer="0" w:header="0"/>
          <w:type w:val="continuous"/>
        </w:sectPr>
      </w:pPr>
    </w:p>
    <w:p>
      <w:pPr>
        <w:ind w:left="360"/>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p>
    <w:p>
      <w:pPr>
        <w:sectPr>
          <w:pgSz w:w="11900" w:h="16838" w:orient="portrait"/>
          <w:cols w:equalWidth="0" w:num="1">
            <w:col w:w="11420"/>
          </w:cols>
          <w:pgMar w:left="240" w:top="346" w:right="239" w:bottom="1440" w:gutter="0" w:footer="0" w:header="0"/>
          <w:type w:val="continuous"/>
        </w:sectPr>
      </w:pPr>
    </w:p>
    <w:p>
      <w:pPr>
        <w:spacing w:after="0" w:line="123" w:lineRule="exact"/>
        <w:rPr>
          <w:sz w:val="24"/>
          <w:szCs w:val="24"/>
          <w:color w:val="auto"/>
        </w:rPr>
      </w:pPr>
    </w:p>
    <w:p>
      <w:pPr>
        <w:spacing w:after="0"/>
        <w:rPr>
          <w:sz w:val="20"/>
          <w:szCs w:val="20"/>
          <w:color w:val="auto"/>
        </w:rPr>
      </w:pPr>
      <w:r>
        <w:rPr>
          <w:rFonts w:ascii="Arial" w:cs="Arial" w:eastAsia="Arial" w:hAnsi="Arial"/>
          <w:sz w:val="14"/>
          <w:szCs w:val="14"/>
          <w:color w:val="auto"/>
        </w:rPr>
        <w:t>American Airlines Group Inc.</w:t>
      </w:r>
    </w:p>
    <w:p>
      <w:pPr>
        <w:spacing w:after="0" w:line="15" w:lineRule="exact"/>
        <w:rPr>
          <w:sz w:val="24"/>
          <w:szCs w:val="24"/>
          <w:color w:val="auto"/>
        </w:rPr>
      </w:pPr>
    </w:p>
    <w:p>
      <w:pPr>
        <w:spacing w:after="0"/>
        <w:rPr>
          <w:sz w:val="20"/>
          <w:szCs w:val="20"/>
          <w:color w:val="auto"/>
        </w:rPr>
      </w:pPr>
      <w:r>
        <w:rPr>
          <w:rFonts w:ascii="Arial" w:cs="Arial" w:eastAsia="Arial" w:hAnsi="Arial"/>
          <w:sz w:val="14"/>
          <w:szCs w:val="14"/>
          <w:color w:val="auto"/>
        </w:rPr>
        <w:t>American Airlines, Inc.</w:t>
      </w:r>
    </w:p>
    <w:p>
      <w:pPr>
        <w:spacing w:after="0" w:line="20" w:lineRule="exact"/>
        <w:rPr>
          <w:sz w:val="24"/>
          <w:szCs w:val="24"/>
          <w:color w:val="auto"/>
        </w:rPr>
      </w:pPr>
      <w:r>
        <w:rPr>
          <w:sz w:val="24"/>
          <w:szCs w:val="24"/>
          <w:color w:val="auto"/>
        </w:rPr>
        <w:br w:type="column"/>
      </w:r>
    </w:p>
    <w:p>
      <w:pPr>
        <w:spacing w:after="0" w:line="65" w:lineRule="exact"/>
        <w:rPr>
          <w:sz w:val="24"/>
          <w:szCs w:val="24"/>
          <w:color w:val="auto"/>
        </w:rPr>
      </w:pPr>
    </w:p>
    <w:p>
      <w:pPr>
        <w:spacing w:after="0" w:line="150" w:lineRule="exact"/>
        <w:rPr>
          <w:sz w:val="20"/>
          <w:szCs w:val="20"/>
          <w:color w:val="auto"/>
        </w:rPr>
      </w:pPr>
      <w:r>
        <w:rPr>
          <w:rFonts w:ascii="MS PGothic" w:cs="MS PGothic" w:eastAsia="MS PGothic" w:hAnsi="MS PGothic"/>
          <w:sz w:val="13"/>
          <w:szCs w:val="13"/>
          <w:color w:val="auto"/>
        </w:rPr>
        <w:t>☐</w:t>
      </w:r>
      <w:r>
        <w:rPr>
          <w:rFonts w:ascii="Arial" w:cs="Arial" w:eastAsia="Arial" w:hAnsi="Arial"/>
          <w:sz w:val="13"/>
          <w:szCs w:val="13"/>
          <w:color w:val="auto"/>
        </w:rPr>
        <w:t xml:space="preserve"> Yes</w:t>
      </w:r>
    </w:p>
    <w:p>
      <w:pPr>
        <w:spacing w:after="0" w:line="76" w:lineRule="exact"/>
        <w:rPr>
          <w:sz w:val="24"/>
          <w:szCs w:val="24"/>
          <w:color w:val="auto"/>
        </w:rPr>
      </w:pPr>
    </w:p>
    <w:p>
      <w:pPr>
        <w:spacing w:after="0" w:line="150" w:lineRule="exact"/>
        <w:rPr>
          <w:sz w:val="20"/>
          <w:szCs w:val="20"/>
          <w:color w:val="auto"/>
        </w:rPr>
      </w:pPr>
      <w:r>
        <w:rPr>
          <w:rFonts w:ascii="MS PGothic" w:cs="MS PGothic" w:eastAsia="MS PGothic" w:hAnsi="MS PGothic"/>
          <w:sz w:val="13"/>
          <w:szCs w:val="13"/>
          <w:color w:val="auto"/>
        </w:rPr>
        <w:t>☐</w:t>
      </w:r>
      <w:r>
        <w:rPr>
          <w:rFonts w:ascii="Arial" w:cs="Arial" w:eastAsia="Arial" w:hAnsi="Arial"/>
          <w:sz w:val="13"/>
          <w:szCs w:val="13"/>
          <w:color w:val="auto"/>
        </w:rPr>
        <w:t xml:space="preserve"> Yes</w:t>
      </w:r>
    </w:p>
    <w:p>
      <w:pPr>
        <w:spacing w:after="0" w:line="20" w:lineRule="exact"/>
        <w:rPr>
          <w:sz w:val="24"/>
          <w:szCs w:val="24"/>
          <w:color w:val="auto"/>
        </w:rPr>
      </w:pPr>
      <w:r>
        <w:rPr>
          <w:sz w:val="24"/>
          <w:szCs w:val="24"/>
          <w:color w:val="auto"/>
        </w:rPr>
        <w:br w:type="column"/>
      </w:r>
    </w:p>
    <w:p>
      <w:pPr>
        <w:spacing w:after="0" w:line="65" w:lineRule="exact"/>
        <w:rPr>
          <w:sz w:val="24"/>
          <w:szCs w:val="24"/>
          <w:color w:val="auto"/>
        </w:rPr>
      </w:pPr>
    </w:p>
    <w:p>
      <w:pPr>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49" w:lineRule="exact"/>
        <w:rPr>
          <w:sz w:val="24"/>
          <w:szCs w:val="24"/>
          <w:color w:val="auto"/>
        </w:rPr>
      </w:pPr>
    </w:p>
    <w:p>
      <w:pPr>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125" w:lineRule="exact"/>
        <w:rPr>
          <w:sz w:val="24"/>
          <w:szCs w:val="24"/>
          <w:color w:val="auto"/>
        </w:rPr>
      </w:pPr>
    </w:p>
    <w:p>
      <w:pPr>
        <w:sectPr>
          <w:pgSz w:w="11900" w:h="16838" w:orient="portrait"/>
          <w:cols w:equalWidth="0" w:num="3">
            <w:col w:w="9500" w:space="720"/>
            <w:col w:w="420" w:space="380"/>
            <w:col w:w="400"/>
          </w:cols>
          <w:pgMar w:left="240" w:top="346" w:right="239" w:bottom="1440" w:gutter="0" w:footer="0" w:header="0"/>
          <w:type w:val="continuous"/>
        </w:sectPr>
      </w:pPr>
    </w:p>
    <w:p>
      <w:pPr>
        <w:ind w:left="360"/>
        <w:spacing w:after="0" w:line="258" w:lineRule="auto"/>
        <w:rPr>
          <w:sz w:val="20"/>
          <w:szCs w:val="20"/>
          <w:color w:val="auto"/>
        </w:rPr>
      </w:pPr>
      <w:r>
        <w:rPr>
          <w:rFonts w:ascii="Arial" w:cs="Arial" w:eastAsia="Arial" w:hAnsi="Arial"/>
          <w:sz w:val="14"/>
          <w:szCs w:val="14"/>
          <w:color w:val="auto"/>
        </w:rPr>
        <w:t>Indicate by check mark whether the registrant has filed all documents and reports required to be filed by Section 12, 13, or 15(d) of the Securities Exchange Act of 1934 subsequent to the distribution of securities under a plan confirmed by a court.</w:t>
      </w:r>
    </w:p>
    <w:p>
      <w:pPr>
        <w:spacing w:after="0" w:line="62" w:lineRule="exact"/>
        <w:rPr>
          <w:sz w:val="24"/>
          <w:szCs w:val="24"/>
          <w:color w:val="auto"/>
        </w:rPr>
      </w:pPr>
    </w:p>
    <w:tbl>
      <w:tblPr>
        <w:tblLayout w:type="fixed"/>
        <w:tblInd w:w="0" w:type="dxa"/>
        <w:tblCellMar>
          <w:top w:w="0" w:type="dxa"/>
          <w:left w:w="0" w:type="dxa"/>
          <w:bottom w:w="0" w:type="dxa"/>
          <w:right w:w="0" w:type="dxa"/>
        </w:tblCellMar>
      </w:tblPr>
      <w:tr>
        <w:trPr>
          <w:trHeight w:val="181"/>
        </w:trPr>
        <w:tc>
          <w:tcPr>
            <w:tcW w:w="10000" w:type="dxa"/>
            <w:vAlign w:val="bottom"/>
          </w:tcPr>
          <w:p>
            <w:pPr>
              <w:spacing w:after="0"/>
              <w:rPr>
                <w:sz w:val="20"/>
                <w:szCs w:val="20"/>
                <w:color w:val="auto"/>
              </w:rPr>
            </w:pPr>
            <w:r>
              <w:rPr>
                <w:rFonts w:ascii="Arial" w:cs="Arial" w:eastAsia="Arial" w:hAnsi="Arial"/>
                <w:sz w:val="14"/>
                <w:szCs w:val="14"/>
                <w:color w:val="auto"/>
              </w:rPr>
              <w:t>American Airlines Group Inc.</w:t>
            </w:r>
          </w:p>
        </w:tc>
        <w:tc>
          <w:tcPr>
            <w:tcW w:w="820" w:type="dxa"/>
            <w:vAlign w:val="bottom"/>
          </w:tcPr>
          <w:p>
            <w:pPr>
              <w:ind w:left="22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Yes</w:t>
            </w:r>
          </w:p>
        </w:tc>
        <w:tc>
          <w:tcPr>
            <w:tcW w:w="600" w:type="dxa"/>
            <w:vAlign w:val="bottom"/>
          </w:tcPr>
          <w:p>
            <w:pPr>
              <w:ind w:left="20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tc>
      </w:tr>
      <w:tr>
        <w:trPr>
          <w:trHeight w:val="226"/>
        </w:trPr>
        <w:tc>
          <w:tcPr>
            <w:tcW w:w="10000" w:type="dxa"/>
            <w:vAlign w:val="bottom"/>
          </w:tcPr>
          <w:p>
            <w:pPr>
              <w:spacing w:after="0"/>
              <w:rPr>
                <w:sz w:val="20"/>
                <w:szCs w:val="20"/>
                <w:color w:val="auto"/>
              </w:rPr>
            </w:pPr>
            <w:r>
              <w:rPr>
                <w:rFonts w:ascii="Arial" w:cs="Arial" w:eastAsia="Arial" w:hAnsi="Arial"/>
                <w:sz w:val="14"/>
                <w:szCs w:val="14"/>
                <w:color w:val="auto"/>
              </w:rPr>
              <w:t>American Airlines, Inc.</w:t>
            </w:r>
          </w:p>
        </w:tc>
        <w:tc>
          <w:tcPr>
            <w:tcW w:w="820" w:type="dxa"/>
            <w:vAlign w:val="bottom"/>
          </w:tcPr>
          <w:p>
            <w:pPr>
              <w:ind w:left="22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Yes</w:t>
            </w:r>
          </w:p>
        </w:tc>
        <w:tc>
          <w:tcPr>
            <w:tcW w:w="600" w:type="dxa"/>
            <w:vAlign w:val="bottom"/>
          </w:tcPr>
          <w:p>
            <w:pPr>
              <w:ind w:left="20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tc>
      </w:tr>
      <w:tr>
        <w:trPr>
          <w:trHeight w:val="262"/>
        </w:trPr>
        <w:tc>
          <w:tcPr>
            <w:tcW w:w="10000" w:type="dxa"/>
            <w:vAlign w:val="bottom"/>
          </w:tcPr>
          <w:p>
            <w:pPr>
              <w:spacing w:after="0"/>
              <w:rPr>
                <w:sz w:val="20"/>
                <w:szCs w:val="20"/>
                <w:color w:val="auto"/>
              </w:rPr>
            </w:pPr>
            <w:r>
              <w:rPr>
                <w:rFonts w:ascii="Arial" w:cs="Arial" w:eastAsia="Arial" w:hAnsi="Arial"/>
                <w:sz w:val="14"/>
                <w:szCs w:val="14"/>
                <w:color w:val="auto"/>
              </w:rPr>
              <w:t>As of July 21, 2017, there were 487,009,215 shares of American Airlines Group Inc. common stock outstanding.</w:t>
            </w:r>
          </w:p>
        </w:tc>
        <w:tc>
          <w:tcPr>
            <w:tcW w:w="820" w:type="dxa"/>
            <w:vAlign w:val="bottom"/>
          </w:tcPr>
          <w:p>
            <w:pPr>
              <w:spacing w:after="0"/>
              <w:rPr>
                <w:sz w:val="22"/>
                <w:szCs w:val="22"/>
                <w:color w:val="auto"/>
              </w:rPr>
            </w:pPr>
          </w:p>
        </w:tc>
        <w:tc>
          <w:tcPr>
            <w:tcW w:w="600" w:type="dxa"/>
            <w:vAlign w:val="bottom"/>
          </w:tcPr>
          <w:p>
            <w:pPr>
              <w:spacing w:after="0"/>
              <w:rPr>
                <w:sz w:val="22"/>
                <w:szCs w:val="22"/>
                <w:color w:val="auto"/>
              </w:rPr>
            </w:pPr>
          </w:p>
        </w:tc>
      </w:tr>
      <w:tr>
        <w:trPr>
          <w:trHeight w:val="276"/>
        </w:trPr>
        <w:tc>
          <w:tcPr>
            <w:tcW w:w="100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As of July 21, 2017, there were 1,000 shares of American Airlines, Inc. common stock outstanding, all of which were held by American Airlines Group Inc.</w:t>
            </w:r>
          </w:p>
        </w:tc>
        <w:tc>
          <w:tcPr>
            <w:tcW w:w="8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r>
      <w:tr>
        <w:trPr>
          <w:trHeight w:val="47"/>
        </w:trPr>
        <w:tc>
          <w:tcPr>
            <w:tcW w:w="100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346" w:right="239" w:bottom="1440" w:gutter="0" w:footer="0" w:header="0"/>
          <w:type w:val="continuous"/>
        </w:sectPr>
      </w:pPr>
    </w:p>
    <w:bookmarkStart w:id="1" w:name="page2"/>
    <w:bookmarkEnd w:id="1"/>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American Airlines Group Inc.</w:t>
      </w:r>
    </w:p>
    <w:p>
      <w:pPr>
        <w:spacing w:after="0" w:line="1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American Airlines, Inc.</w:t>
      </w:r>
    </w:p>
    <w:p>
      <w:pPr>
        <w:jc w:val="center"/>
        <w:ind w:right="-59"/>
        <w:spacing w:after="0" w:line="234" w:lineRule="auto"/>
        <w:rPr>
          <w:sz w:val="20"/>
          <w:szCs w:val="20"/>
          <w:color w:val="auto"/>
        </w:rPr>
      </w:pPr>
      <w:r>
        <w:rPr>
          <w:rFonts w:ascii="Arial" w:cs="Arial" w:eastAsia="Arial" w:hAnsi="Arial"/>
          <w:sz w:val="18"/>
          <w:szCs w:val="18"/>
          <w:b w:val="1"/>
          <w:bCs w:val="1"/>
          <w:color w:val="auto"/>
        </w:rPr>
        <w:t>Form 10-Q</w:t>
      </w:r>
    </w:p>
    <w:p>
      <w:pPr>
        <w:jc w:val="center"/>
        <w:ind w:right="-59"/>
        <w:spacing w:after="0" w:line="235" w:lineRule="auto"/>
        <w:rPr>
          <w:sz w:val="20"/>
          <w:szCs w:val="20"/>
          <w:color w:val="auto"/>
        </w:rPr>
      </w:pPr>
      <w:r>
        <w:rPr>
          <w:rFonts w:ascii="Arial" w:cs="Arial" w:eastAsia="Arial" w:hAnsi="Arial"/>
          <w:sz w:val="18"/>
          <w:szCs w:val="18"/>
          <w:b w:val="1"/>
          <w:bCs w:val="1"/>
          <w:color w:val="auto"/>
        </w:rPr>
        <w:t>Quarterly Period Ended June 30, 2017</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140" w:type="dxa"/>
            <w:vAlign w:val="bottom"/>
            <w:gridSpan w:val="11"/>
            <w:vMerge w:val="restart"/>
          </w:tcPr>
          <w:p>
            <w:pPr>
              <w:jc w:val="center"/>
              <w:ind w:right="2540"/>
              <w:spacing w:after="0"/>
              <w:rPr>
                <w:sz w:val="20"/>
                <w:szCs w:val="20"/>
                <w:color w:val="auto"/>
              </w:rPr>
            </w:pPr>
            <w:r>
              <w:rPr>
                <w:rFonts w:ascii="Arial" w:cs="Arial" w:eastAsia="Arial" w:hAnsi="Arial"/>
                <w:sz w:val="18"/>
                <w:szCs w:val="18"/>
                <w:b w:val="1"/>
                <w:bCs w:val="1"/>
                <w:color w:val="auto"/>
                <w:w w:val="98"/>
              </w:rPr>
              <w:t>PART I: FINANCIAL INFORMATION</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82"/>
        </w:trPr>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140" w:type="dxa"/>
            <w:vAlign w:val="bottom"/>
            <w:gridSpan w:val="11"/>
            <w:vMerge w:val="continue"/>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80" w:type="dxa"/>
            <w:vAlign w:val="bottom"/>
          </w:tcPr>
          <w:p>
            <w:pPr>
              <w:spacing w:after="0" w:line="176" w:lineRule="exact"/>
              <w:rPr>
                <w:sz w:val="20"/>
                <w:szCs w:val="20"/>
                <w:color w:val="auto"/>
              </w:rPr>
            </w:pPr>
            <w:r>
              <w:rPr>
                <w:rFonts w:ascii="Arial" w:cs="Arial" w:eastAsia="Arial" w:hAnsi="Arial"/>
                <w:sz w:val="18"/>
                <w:szCs w:val="18"/>
                <w:color w:val="auto"/>
              </w:rPr>
              <w:t>Item 1A.</w:t>
            </w:r>
          </w:p>
        </w:tc>
        <w:tc>
          <w:tcPr>
            <w:tcW w:w="6300" w:type="dxa"/>
            <w:vAlign w:val="bottom"/>
            <w:tcBorders>
              <w:bottom w:val="single" w:sz="8" w:color="0000EE"/>
            </w:tcBorders>
            <w:gridSpan w:val="14"/>
          </w:tcPr>
          <w:p>
            <w:pPr>
              <w:spacing w:after="0" w:line="176"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Condensed Consolidated Financial Statements of American Airlines Group Inc.</w:t>
              </w:r>
            </w:hyperlink>
          </w:p>
        </w:tc>
        <w:tc>
          <w:tcPr>
            <w:tcW w:w="3840" w:type="dxa"/>
            <w:vAlign w:val="bottom"/>
            <w:gridSpan w:val="2"/>
          </w:tcPr>
          <w:p>
            <w:pPr>
              <w:spacing w:after="0"/>
              <w:rPr>
                <w:sz w:val="15"/>
                <w:szCs w:val="15"/>
                <w:color w:val="auto"/>
              </w:rPr>
            </w:pPr>
          </w:p>
        </w:tc>
        <w:tc>
          <w:tcPr>
            <w:tcW w:w="340" w:type="dxa"/>
            <w:vAlign w:val="bottom"/>
          </w:tcPr>
          <w:p>
            <w:pPr>
              <w:jc w:val="right"/>
              <w:spacing w:after="0" w:line="17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3"/>
        </w:trPr>
        <w:tc>
          <w:tcPr>
            <w:tcW w:w="880" w:type="dxa"/>
            <w:vAlign w:val="bottom"/>
          </w:tcPr>
          <w:p>
            <w:pPr>
              <w:spacing w:after="0"/>
              <w:rPr>
                <w:sz w:val="15"/>
                <w:szCs w:val="15"/>
                <w:color w:val="auto"/>
              </w:rPr>
            </w:pPr>
          </w:p>
        </w:tc>
        <w:tc>
          <w:tcPr>
            <w:tcW w:w="4120" w:type="dxa"/>
            <w:vAlign w:val="bottom"/>
            <w:tcBorders>
              <w:bottom w:val="single" w:sz="8" w:color="0000EE"/>
            </w:tcBorders>
            <w:gridSpan w:val="7"/>
          </w:tcPr>
          <w:p>
            <w:pPr>
              <w:spacing w:after="0" w:line="182"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Condensed Consolidated Statements of Operations</w:t>
              </w:r>
            </w:hyperlink>
          </w:p>
        </w:tc>
        <w:tc>
          <w:tcPr>
            <w:tcW w:w="6020" w:type="dxa"/>
            <w:vAlign w:val="bottom"/>
            <w:gridSpan w:val="9"/>
          </w:tcPr>
          <w:p>
            <w:pPr>
              <w:spacing w:after="0"/>
              <w:rPr>
                <w:sz w:val="15"/>
                <w:szCs w:val="15"/>
                <w:color w:val="auto"/>
              </w:rPr>
            </w:pPr>
          </w:p>
        </w:tc>
        <w:tc>
          <w:tcPr>
            <w:tcW w:w="34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3"/>
        </w:trPr>
        <w:tc>
          <w:tcPr>
            <w:tcW w:w="880" w:type="dxa"/>
            <w:vAlign w:val="bottom"/>
          </w:tcPr>
          <w:p>
            <w:pPr>
              <w:spacing w:after="0"/>
              <w:rPr>
                <w:sz w:val="15"/>
                <w:szCs w:val="15"/>
                <w:color w:val="auto"/>
              </w:rPr>
            </w:pPr>
          </w:p>
        </w:tc>
        <w:tc>
          <w:tcPr>
            <w:tcW w:w="5140" w:type="dxa"/>
            <w:vAlign w:val="bottom"/>
            <w:tcBorders>
              <w:bottom w:val="single" w:sz="8" w:color="0000EE"/>
            </w:tcBorders>
            <w:gridSpan w:val="12"/>
          </w:tcPr>
          <w:p>
            <w:pPr>
              <w:spacing w:after="0" w:line="182" w:lineRule="exact"/>
              <w:rPr>
                <w:rFonts w:ascii="Arial" w:cs="Arial" w:eastAsia="Arial" w:hAnsi="Arial"/>
                <w:sz w:val="18"/>
                <w:szCs w:val="18"/>
                <w:color w:val="0000EE"/>
                <w:w w:val="99"/>
              </w:rPr>
            </w:pPr>
            <w:hyperlink w:anchor="page6">
              <w:r>
                <w:rPr>
                  <w:rFonts w:ascii="Arial" w:cs="Arial" w:eastAsia="Arial" w:hAnsi="Arial"/>
                  <w:sz w:val="18"/>
                  <w:szCs w:val="18"/>
                  <w:color w:val="0000EE"/>
                  <w:w w:val="99"/>
                </w:rPr>
                <w:t>Condensed Consolidated Statements of Comprehensive Income</w:t>
              </w:r>
            </w:hyperlink>
          </w:p>
        </w:tc>
        <w:tc>
          <w:tcPr>
            <w:tcW w:w="5000" w:type="dxa"/>
            <w:vAlign w:val="bottom"/>
            <w:gridSpan w:val="4"/>
          </w:tcPr>
          <w:p>
            <w:pPr>
              <w:spacing w:after="0"/>
              <w:rPr>
                <w:sz w:val="15"/>
                <w:szCs w:val="15"/>
                <w:color w:val="auto"/>
              </w:rPr>
            </w:pPr>
          </w:p>
        </w:tc>
        <w:tc>
          <w:tcPr>
            <w:tcW w:w="340" w:type="dxa"/>
            <w:vAlign w:val="bottom"/>
          </w:tcPr>
          <w:p>
            <w:pPr>
              <w:jc w:val="right"/>
              <w:spacing w:after="0" w:line="18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83"/>
        </w:trPr>
        <w:tc>
          <w:tcPr>
            <w:tcW w:w="880" w:type="dxa"/>
            <w:vAlign w:val="bottom"/>
          </w:tcPr>
          <w:p>
            <w:pPr>
              <w:spacing w:after="0"/>
              <w:rPr>
                <w:sz w:val="15"/>
                <w:szCs w:val="15"/>
                <w:color w:val="auto"/>
              </w:rPr>
            </w:pPr>
          </w:p>
        </w:tc>
        <w:tc>
          <w:tcPr>
            <w:tcW w:w="3340" w:type="dxa"/>
            <w:vAlign w:val="bottom"/>
            <w:tcBorders>
              <w:bottom w:val="single" w:sz="8" w:color="0000EE"/>
            </w:tcBorders>
            <w:gridSpan w:val="6"/>
          </w:tcPr>
          <w:p>
            <w:pPr>
              <w:spacing w:after="0" w:line="182" w:lineRule="exact"/>
              <w:rPr>
                <w:rFonts w:ascii="Arial" w:cs="Arial" w:eastAsia="Arial" w:hAnsi="Arial"/>
                <w:sz w:val="18"/>
                <w:szCs w:val="18"/>
                <w:color w:val="0000EE"/>
                <w:w w:val="99"/>
              </w:rPr>
            </w:pPr>
            <w:hyperlink w:anchor="page7">
              <w:r>
                <w:rPr>
                  <w:rFonts w:ascii="Arial" w:cs="Arial" w:eastAsia="Arial" w:hAnsi="Arial"/>
                  <w:sz w:val="18"/>
                  <w:szCs w:val="18"/>
                  <w:color w:val="0000EE"/>
                  <w:w w:val="99"/>
                </w:rPr>
                <w:t>Condensed Consolidated Balance Sheets</w:t>
              </w:r>
            </w:hyperlink>
          </w:p>
        </w:tc>
        <w:tc>
          <w:tcPr>
            <w:tcW w:w="6800" w:type="dxa"/>
            <w:vAlign w:val="bottom"/>
            <w:gridSpan w:val="10"/>
          </w:tcPr>
          <w:p>
            <w:pPr>
              <w:spacing w:after="0"/>
              <w:rPr>
                <w:sz w:val="15"/>
                <w:szCs w:val="15"/>
                <w:color w:val="auto"/>
              </w:rPr>
            </w:pPr>
          </w:p>
        </w:tc>
        <w:tc>
          <w:tcPr>
            <w:tcW w:w="34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83"/>
        </w:trPr>
        <w:tc>
          <w:tcPr>
            <w:tcW w:w="880" w:type="dxa"/>
            <w:vAlign w:val="bottom"/>
          </w:tcPr>
          <w:p>
            <w:pPr>
              <w:spacing w:after="0"/>
              <w:rPr>
                <w:sz w:val="15"/>
                <w:szCs w:val="15"/>
                <w:color w:val="auto"/>
              </w:rPr>
            </w:pPr>
          </w:p>
        </w:tc>
        <w:tc>
          <w:tcPr>
            <w:tcW w:w="4180" w:type="dxa"/>
            <w:vAlign w:val="bottom"/>
            <w:tcBorders>
              <w:bottom w:val="single" w:sz="8" w:color="0000EE"/>
            </w:tcBorders>
            <w:gridSpan w:val="8"/>
          </w:tcPr>
          <w:p>
            <w:pPr>
              <w:spacing w:after="0" w:line="182" w:lineRule="exact"/>
              <w:rPr>
                <w:rFonts w:ascii="Arial" w:cs="Arial" w:eastAsia="Arial" w:hAnsi="Arial"/>
                <w:sz w:val="18"/>
                <w:szCs w:val="18"/>
                <w:color w:val="0000EE"/>
                <w:w w:val="99"/>
              </w:rPr>
            </w:pPr>
            <w:hyperlink w:anchor="page8">
              <w:r>
                <w:rPr>
                  <w:rFonts w:ascii="Arial" w:cs="Arial" w:eastAsia="Arial" w:hAnsi="Arial"/>
                  <w:sz w:val="18"/>
                  <w:szCs w:val="18"/>
                  <w:color w:val="0000EE"/>
                  <w:w w:val="99"/>
                </w:rPr>
                <w:t>Condensed Consolidated Statements of Cash Flows</w:t>
              </w:r>
            </w:hyperlink>
          </w:p>
        </w:tc>
        <w:tc>
          <w:tcPr>
            <w:tcW w:w="5960" w:type="dxa"/>
            <w:vAlign w:val="bottom"/>
            <w:gridSpan w:val="8"/>
          </w:tcPr>
          <w:p>
            <w:pPr>
              <w:spacing w:after="0"/>
              <w:rPr>
                <w:sz w:val="15"/>
                <w:szCs w:val="15"/>
                <w:color w:val="auto"/>
              </w:rPr>
            </w:pPr>
          </w:p>
        </w:tc>
        <w:tc>
          <w:tcPr>
            <w:tcW w:w="340" w:type="dxa"/>
            <w:vAlign w:val="bottom"/>
          </w:tcPr>
          <w:p>
            <w:pPr>
              <w:jc w:val="right"/>
              <w:spacing w:after="0" w:line="18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83"/>
        </w:trPr>
        <w:tc>
          <w:tcPr>
            <w:tcW w:w="880" w:type="dxa"/>
            <w:vAlign w:val="bottom"/>
          </w:tcPr>
          <w:p>
            <w:pPr>
              <w:spacing w:after="0"/>
              <w:rPr>
                <w:sz w:val="15"/>
                <w:szCs w:val="15"/>
                <w:color w:val="auto"/>
              </w:rPr>
            </w:pPr>
          </w:p>
        </w:tc>
        <w:tc>
          <w:tcPr>
            <w:tcW w:w="4780" w:type="dxa"/>
            <w:vAlign w:val="bottom"/>
            <w:tcBorders>
              <w:bottom w:val="single" w:sz="8" w:color="0000EE"/>
            </w:tcBorders>
            <w:gridSpan w:val="10"/>
          </w:tcPr>
          <w:p>
            <w:pPr>
              <w:spacing w:after="0" w:line="182" w:lineRule="exact"/>
              <w:rPr>
                <w:rFonts w:ascii="Arial" w:cs="Arial" w:eastAsia="Arial" w:hAnsi="Arial"/>
                <w:sz w:val="18"/>
                <w:szCs w:val="18"/>
                <w:color w:val="0000EE"/>
                <w:w w:val="99"/>
              </w:rPr>
            </w:pPr>
            <w:hyperlink w:anchor="page9">
              <w:r>
                <w:rPr>
                  <w:rFonts w:ascii="Arial" w:cs="Arial" w:eastAsia="Arial" w:hAnsi="Arial"/>
                  <w:sz w:val="18"/>
                  <w:szCs w:val="18"/>
                  <w:color w:val="0000EE"/>
                  <w:w w:val="99"/>
                </w:rPr>
                <w:t>Notes to the Condensed Consolidated Financial Statements</w:t>
              </w:r>
            </w:hyperlink>
          </w:p>
        </w:tc>
        <w:tc>
          <w:tcPr>
            <w:tcW w:w="5360" w:type="dxa"/>
            <w:vAlign w:val="bottom"/>
            <w:gridSpan w:val="6"/>
          </w:tcPr>
          <w:p>
            <w:pPr>
              <w:spacing w:after="0"/>
              <w:rPr>
                <w:sz w:val="15"/>
                <w:szCs w:val="15"/>
                <w:color w:val="auto"/>
              </w:rPr>
            </w:pPr>
          </w:p>
        </w:tc>
        <w:tc>
          <w:tcPr>
            <w:tcW w:w="340" w:type="dxa"/>
            <w:vAlign w:val="bottom"/>
          </w:tcPr>
          <w:p>
            <w:pPr>
              <w:jc w:val="right"/>
              <w:spacing w:after="0" w:line="18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83"/>
        </w:trPr>
        <w:tc>
          <w:tcPr>
            <w:tcW w:w="880" w:type="dxa"/>
            <w:vAlign w:val="bottom"/>
          </w:tcPr>
          <w:p>
            <w:pPr>
              <w:spacing w:after="0" w:line="182" w:lineRule="exact"/>
              <w:rPr>
                <w:sz w:val="20"/>
                <w:szCs w:val="20"/>
                <w:color w:val="auto"/>
              </w:rPr>
            </w:pPr>
            <w:r>
              <w:rPr>
                <w:rFonts w:ascii="Arial" w:cs="Arial" w:eastAsia="Arial" w:hAnsi="Arial"/>
                <w:sz w:val="18"/>
                <w:szCs w:val="18"/>
                <w:color w:val="auto"/>
              </w:rPr>
              <w:t>Item 1B.</w:t>
            </w:r>
          </w:p>
        </w:tc>
        <w:tc>
          <w:tcPr>
            <w:tcW w:w="5800" w:type="dxa"/>
            <w:vAlign w:val="bottom"/>
            <w:tcBorders>
              <w:bottom w:val="single" w:sz="8" w:color="0000EE"/>
            </w:tcBorders>
            <w:gridSpan w:val="13"/>
          </w:tcPr>
          <w:p>
            <w:pPr>
              <w:spacing w:after="0" w:line="182" w:lineRule="exact"/>
              <w:rPr>
                <w:rFonts w:ascii="Arial" w:cs="Arial" w:eastAsia="Arial" w:hAnsi="Arial"/>
                <w:sz w:val="18"/>
                <w:szCs w:val="18"/>
                <w:color w:val="0000EE"/>
                <w:w w:val="99"/>
              </w:rPr>
            </w:pPr>
            <w:hyperlink w:anchor="page18">
              <w:r>
                <w:rPr>
                  <w:rFonts w:ascii="Arial" w:cs="Arial" w:eastAsia="Arial" w:hAnsi="Arial"/>
                  <w:sz w:val="18"/>
                  <w:szCs w:val="18"/>
                  <w:color w:val="0000EE"/>
                  <w:w w:val="99"/>
                </w:rPr>
                <w:t>Condensed Consolidated Financial Statements of American Airlines, Inc.</w:t>
              </w:r>
            </w:hyperlink>
          </w:p>
        </w:tc>
        <w:tc>
          <w:tcPr>
            <w:tcW w:w="4340" w:type="dxa"/>
            <w:vAlign w:val="bottom"/>
            <w:gridSpan w:val="3"/>
          </w:tcPr>
          <w:p>
            <w:pPr>
              <w:spacing w:after="0"/>
              <w:rPr>
                <w:sz w:val="15"/>
                <w:szCs w:val="15"/>
                <w:color w:val="auto"/>
              </w:rPr>
            </w:pPr>
          </w:p>
        </w:tc>
        <w:tc>
          <w:tcPr>
            <w:tcW w:w="340" w:type="dxa"/>
            <w:vAlign w:val="bottom"/>
          </w:tcPr>
          <w:p>
            <w:pPr>
              <w:jc w:val="right"/>
              <w:spacing w:after="0" w:line="182"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83"/>
        </w:trPr>
        <w:tc>
          <w:tcPr>
            <w:tcW w:w="880" w:type="dxa"/>
            <w:vAlign w:val="bottom"/>
          </w:tcPr>
          <w:p>
            <w:pPr>
              <w:spacing w:after="0"/>
              <w:rPr>
                <w:sz w:val="15"/>
                <w:szCs w:val="15"/>
                <w:color w:val="auto"/>
              </w:rPr>
            </w:pPr>
          </w:p>
        </w:tc>
        <w:tc>
          <w:tcPr>
            <w:tcW w:w="4120" w:type="dxa"/>
            <w:vAlign w:val="bottom"/>
            <w:tcBorders>
              <w:bottom w:val="single" w:sz="8" w:color="0000EE"/>
            </w:tcBorders>
            <w:gridSpan w:val="7"/>
          </w:tcPr>
          <w:p>
            <w:pPr>
              <w:spacing w:after="0" w:line="182" w:lineRule="exact"/>
              <w:rPr>
                <w:rFonts w:ascii="Arial" w:cs="Arial" w:eastAsia="Arial" w:hAnsi="Arial"/>
                <w:sz w:val="18"/>
                <w:szCs w:val="18"/>
                <w:color w:val="0000EE"/>
                <w:w w:val="99"/>
              </w:rPr>
            </w:pPr>
            <w:hyperlink w:anchor="page18">
              <w:r>
                <w:rPr>
                  <w:rFonts w:ascii="Arial" w:cs="Arial" w:eastAsia="Arial" w:hAnsi="Arial"/>
                  <w:sz w:val="18"/>
                  <w:szCs w:val="18"/>
                  <w:color w:val="0000EE"/>
                  <w:w w:val="99"/>
                </w:rPr>
                <w:t>Condensed Consolidated Statements of Operations</w:t>
              </w:r>
            </w:hyperlink>
          </w:p>
        </w:tc>
        <w:tc>
          <w:tcPr>
            <w:tcW w:w="6020" w:type="dxa"/>
            <w:vAlign w:val="bottom"/>
            <w:gridSpan w:val="9"/>
          </w:tcPr>
          <w:p>
            <w:pPr>
              <w:spacing w:after="0"/>
              <w:rPr>
                <w:sz w:val="15"/>
                <w:szCs w:val="15"/>
                <w:color w:val="auto"/>
              </w:rPr>
            </w:pPr>
          </w:p>
        </w:tc>
        <w:tc>
          <w:tcPr>
            <w:tcW w:w="340" w:type="dxa"/>
            <w:vAlign w:val="bottom"/>
          </w:tcPr>
          <w:p>
            <w:pPr>
              <w:jc w:val="right"/>
              <w:spacing w:after="0" w:line="182"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83"/>
        </w:trPr>
        <w:tc>
          <w:tcPr>
            <w:tcW w:w="880" w:type="dxa"/>
            <w:vAlign w:val="bottom"/>
          </w:tcPr>
          <w:p>
            <w:pPr>
              <w:spacing w:after="0"/>
              <w:rPr>
                <w:sz w:val="15"/>
                <w:szCs w:val="15"/>
                <w:color w:val="auto"/>
              </w:rPr>
            </w:pPr>
          </w:p>
        </w:tc>
        <w:tc>
          <w:tcPr>
            <w:tcW w:w="5140" w:type="dxa"/>
            <w:vAlign w:val="bottom"/>
            <w:tcBorders>
              <w:bottom w:val="single" w:sz="8" w:color="0000EE"/>
            </w:tcBorders>
            <w:gridSpan w:val="12"/>
          </w:tcPr>
          <w:p>
            <w:pPr>
              <w:spacing w:after="0" w:line="182" w:lineRule="exact"/>
              <w:rPr>
                <w:rFonts w:ascii="Arial" w:cs="Arial" w:eastAsia="Arial" w:hAnsi="Arial"/>
                <w:sz w:val="18"/>
                <w:szCs w:val="18"/>
                <w:color w:val="0000EE"/>
                <w:w w:val="99"/>
              </w:rPr>
            </w:pPr>
            <w:hyperlink w:anchor="page19">
              <w:r>
                <w:rPr>
                  <w:rFonts w:ascii="Arial" w:cs="Arial" w:eastAsia="Arial" w:hAnsi="Arial"/>
                  <w:sz w:val="18"/>
                  <w:szCs w:val="18"/>
                  <w:color w:val="0000EE"/>
                  <w:w w:val="99"/>
                </w:rPr>
                <w:t>Condensed Consolidated Statements of Comprehensive Income</w:t>
              </w:r>
            </w:hyperlink>
          </w:p>
        </w:tc>
        <w:tc>
          <w:tcPr>
            <w:tcW w:w="5000" w:type="dxa"/>
            <w:vAlign w:val="bottom"/>
            <w:gridSpan w:val="4"/>
          </w:tcPr>
          <w:p>
            <w:pPr>
              <w:spacing w:after="0"/>
              <w:rPr>
                <w:sz w:val="15"/>
                <w:szCs w:val="15"/>
                <w:color w:val="auto"/>
              </w:rPr>
            </w:pPr>
          </w:p>
        </w:tc>
        <w:tc>
          <w:tcPr>
            <w:tcW w:w="340" w:type="dxa"/>
            <w:vAlign w:val="bottom"/>
          </w:tcPr>
          <w:p>
            <w:pPr>
              <w:jc w:val="right"/>
              <w:spacing w:after="0" w:line="182"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83"/>
        </w:trPr>
        <w:tc>
          <w:tcPr>
            <w:tcW w:w="880" w:type="dxa"/>
            <w:vAlign w:val="bottom"/>
          </w:tcPr>
          <w:p>
            <w:pPr>
              <w:spacing w:after="0"/>
              <w:rPr>
                <w:sz w:val="15"/>
                <w:szCs w:val="15"/>
                <w:color w:val="auto"/>
              </w:rPr>
            </w:pPr>
          </w:p>
        </w:tc>
        <w:tc>
          <w:tcPr>
            <w:tcW w:w="3340" w:type="dxa"/>
            <w:vAlign w:val="bottom"/>
            <w:tcBorders>
              <w:bottom w:val="single" w:sz="8" w:color="0000EE"/>
            </w:tcBorders>
            <w:gridSpan w:val="6"/>
          </w:tcPr>
          <w:p>
            <w:pPr>
              <w:spacing w:after="0" w:line="182" w:lineRule="exact"/>
              <w:rPr>
                <w:rFonts w:ascii="Arial" w:cs="Arial" w:eastAsia="Arial" w:hAnsi="Arial"/>
                <w:sz w:val="18"/>
                <w:szCs w:val="18"/>
                <w:color w:val="0000EE"/>
                <w:w w:val="99"/>
              </w:rPr>
            </w:pPr>
            <w:hyperlink w:anchor="page20">
              <w:r>
                <w:rPr>
                  <w:rFonts w:ascii="Arial" w:cs="Arial" w:eastAsia="Arial" w:hAnsi="Arial"/>
                  <w:sz w:val="18"/>
                  <w:szCs w:val="18"/>
                  <w:color w:val="0000EE"/>
                  <w:w w:val="99"/>
                </w:rPr>
                <w:t>Condensed Consolidated Balance Sheets</w:t>
              </w:r>
            </w:hyperlink>
          </w:p>
        </w:tc>
        <w:tc>
          <w:tcPr>
            <w:tcW w:w="6800" w:type="dxa"/>
            <w:vAlign w:val="bottom"/>
            <w:gridSpan w:val="10"/>
          </w:tcPr>
          <w:p>
            <w:pPr>
              <w:spacing w:after="0"/>
              <w:rPr>
                <w:sz w:val="15"/>
                <w:szCs w:val="15"/>
                <w:color w:val="auto"/>
              </w:rPr>
            </w:pPr>
          </w:p>
        </w:tc>
        <w:tc>
          <w:tcPr>
            <w:tcW w:w="340" w:type="dxa"/>
            <w:vAlign w:val="bottom"/>
          </w:tcPr>
          <w:p>
            <w:pPr>
              <w:jc w:val="right"/>
              <w:spacing w:after="0" w:line="182"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83"/>
        </w:trPr>
        <w:tc>
          <w:tcPr>
            <w:tcW w:w="880" w:type="dxa"/>
            <w:vAlign w:val="bottom"/>
          </w:tcPr>
          <w:p>
            <w:pPr>
              <w:spacing w:after="0"/>
              <w:rPr>
                <w:sz w:val="15"/>
                <w:szCs w:val="15"/>
                <w:color w:val="auto"/>
              </w:rPr>
            </w:pPr>
          </w:p>
        </w:tc>
        <w:tc>
          <w:tcPr>
            <w:tcW w:w="4180" w:type="dxa"/>
            <w:vAlign w:val="bottom"/>
            <w:tcBorders>
              <w:bottom w:val="single" w:sz="8" w:color="0000EE"/>
            </w:tcBorders>
            <w:gridSpan w:val="8"/>
          </w:tcPr>
          <w:p>
            <w:pPr>
              <w:spacing w:after="0" w:line="182" w:lineRule="exact"/>
              <w:rPr>
                <w:rFonts w:ascii="Arial" w:cs="Arial" w:eastAsia="Arial" w:hAnsi="Arial"/>
                <w:sz w:val="18"/>
                <w:szCs w:val="18"/>
                <w:color w:val="0000EE"/>
                <w:w w:val="99"/>
              </w:rPr>
            </w:pPr>
            <w:hyperlink w:anchor="page21">
              <w:r>
                <w:rPr>
                  <w:rFonts w:ascii="Arial" w:cs="Arial" w:eastAsia="Arial" w:hAnsi="Arial"/>
                  <w:sz w:val="18"/>
                  <w:szCs w:val="18"/>
                  <w:color w:val="0000EE"/>
                  <w:w w:val="99"/>
                </w:rPr>
                <w:t>Condensed Consolidated Statements of Cash Flows</w:t>
              </w:r>
            </w:hyperlink>
          </w:p>
        </w:tc>
        <w:tc>
          <w:tcPr>
            <w:tcW w:w="5960" w:type="dxa"/>
            <w:vAlign w:val="bottom"/>
            <w:gridSpan w:val="8"/>
          </w:tcPr>
          <w:p>
            <w:pPr>
              <w:spacing w:after="0"/>
              <w:rPr>
                <w:sz w:val="15"/>
                <w:szCs w:val="15"/>
                <w:color w:val="auto"/>
              </w:rPr>
            </w:pPr>
          </w:p>
        </w:tc>
        <w:tc>
          <w:tcPr>
            <w:tcW w:w="340" w:type="dxa"/>
            <w:vAlign w:val="bottom"/>
          </w:tcPr>
          <w:p>
            <w:pPr>
              <w:jc w:val="right"/>
              <w:spacing w:after="0" w:line="182"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83"/>
        </w:trPr>
        <w:tc>
          <w:tcPr>
            <w:tcW w:w="880" w:type="dxa"/>
            <w:vAlign w:val="bottom"/>
          </w:tcPr>
          <w:p>
            <w:pPr>
              <w:spacing w:after="0"/>
              <w:rPr>
                <w:sz w:val="15"/>
                <w:szCs w:val="15"/>
                <w:color w:val="auto"/>
              </w:rPr>
            </w:pPr>
          </w:p>
        </w:tc>
        <w:tc>
          <w:tcPr>
            <w:tcW w:w="4780" w:type="dxa"/>
            <w:vAlign w:val="bottom"/>
            <w:tcBorders>
              <w:bottom w:val="single" w:sz="8" w:color="0000EE"/>
            </w:tcBorders>
            <w:gridSpan w:val="10"/>
          </w:tcPr>
          <w:p>
            <w:pPr>
              <w:spacing w:after="0" w:line="182" w:lineRule="exact"/>
              <w:rPr>
                <w:rFonts w:ascii="Arial" w:cs="Arial" w:eastAsia="Arial" w:hAnsi="Arial"/>
                <w:sz w:val="18"/>
                <w:szCs w:val="18"/>
                <w:color w:val="0000EE"/>
                <w:w w:val="99"/>
              </w:rPr>
            </w:pPr>
            <w:hyperlink w:anchor="page22">
              <w:r>
                <w:rPr>
                  <w:rFonts w:ascii="Arial" w:cs="Arial" w:eastAsia="Arial" w:hAnsi="Arial"/>
                  <w:sz w:val="18"/>
                  <w:szCs w:val="18"/>
                  <w:color w:val="0000EE"/>
                  <w:w w:val="99"/>
                </w:rPr>
                <w:t>Notes to the Condensed Consolidated Financial Statements</w:t>
              </w:r>
            </w:hyperlink>
          </w:p>
        </w:tc>
        <w:tc>
          <w:tcPr>
            <w:tcW w:w="5360" w:type="dxa"/>
            <w:vAlign w:val="bottom"/>
            <w:gridSpan w:val="6"/>
          </w:tcPr>
          <w:p>
            <w:pPr>
              <w:spacing w:after="0"/>
              <w:rPr>
                <w:sz w:val="15"/>
                <w:szCs w:val="15"/>
                <w:color w:val="auto"/>
              </w:rPr>
            </w:pPr>
          </w:p>
        </w:tc>
        <w:tc>
          <w:tcPr>
            <w:tcW w:w="340" w:type="dxa"/>
            <w:vAlign w:val="bottom"/>
          </w:tcPr>
          <w:p>
            <w:pPr>
              <w:jc w:val="right"/>
              <w:spacing w:after="0" w:line="182"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83"/>
        </w:trPr>
        <w:tc>
          <w:tcPr>
            <w:tcW w:w="880" w:type="dxa"/>
            <w:vAlign w:val="bottom"/>
          </w:tcPr>
          <w:p>
            <w:pPr>
              <w:spacing w:after="0" w:line="182" w:lineRule="exact"/>
              <w:rPr>
                <w:sz w:val="20"/>
                <w:szCs w:val="20"/>
                <w:color w:val="auto"/>
              </w:rPr>
            </w:pPr>
            <w:r>
              <w:rPr>
                <w:rFonts w:ascii="Arial" w:cs="Arial" w:eastAsia="Arial" w:hAnsi="Arial"/>
                <w:sz w:val="18"/>
                <w:szCs w:val="18"/>
                <w:color w:val="auto"/>
              </w:rPr>
              <w:t>Item 2.</w:t>
            </w:r>
          </w:p>
        </w:tc>
        <w:tc>
          <w:tcPr>
            <w:tcW w:w="10140" w:type="dxa"/>
            <w:vAlign w:val="bottom"/>
            <w:gridSpan w:val="16"/>
          </w:tcPr>
          <w:p>
            <w:pPr>
              <w:spacing w:after="0" w:line="182" w:lineRule="exact"/>
              <w:rPr>
                <w:rFonts w:ascii="Arial" w:cs="Arial" w:eastAsia="Arial" w:hAnsi="Arial"/>
                <w:sz w:val="18"/>
                <w:szCs w:val="18"/>
                <w:color w:val="0000EE"/>
              </w:rPr>
            </w:pPr>
            <w:hyperlink w:anchor="page30">
              <w:r>
                <w:rPr>
                  <w:rFonts w:ascii="Arial" w:cs="Arial" w:eastAsia="Arial" w:hAnsi="Arial"/>
                  <w:sz w:val="18"/>
                  <w:szCs w:val="18"/>
                  <w:color w:val="0000EE"/>
                </w:rPr>
                <w:t>Management’s Discussion and Analysis of Financial Condition and Results of Operations</w:t>
              </w:r>
            </w:hyperlink>
          </w:p>
        </w:tc>
        <w:tc>
          <w:tcPr>
            <w:tcW w:w="340" w:type="dxa"/>
            <w:vAlign w:val="bottom"/>
          </w:tcPr>
          <w:p>
            <w:pPr>
              <w:jc w:val="right"/>
              <w:spacing w:after="0" w:line="182"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83"/>
        </w:trPr>
        <w:tc>
          <w:tcPr>
            <w:tcW w:w="880" w:type="dxa"/>
            <w:vAlign w:val="bottom"/>
          </w:tcPr>
          <w:p>
            <w:pPr>
              <w:spacing w:after="0" w:line="182" w:lineRule="exact"/>
              <w:rPr>
                <w:sz w:val="20"/>
                <w:szCs w:val="20"/>
                <w:color w:val="auto"/>
              </w:rPr>
            </w:pPr>
            <w:r>
              <w:rPr>
                <w:rFonts w:ascii="Arial" w:cs="Arial" w:eastAsia="Arial" w:hAnsi="Arial"/>
                <w:sz w:val="18"/>
                <w:szCs w:val="18"/>
                <w:color w:val="auto"/>
              </w:rPr>
              <w:t>Item 3.</w:t>
            </w:r>
          </w:p>
        </w:tc>
        <w:tc>
          <w:tcPr>
            <w:tcW w:w="4720" w:type="dxa"/>
            <w:vAlign w:val="bottom"/>
            <w:tcBorders>
              <w:top w:val="single" w:sz="8" w:color="0000EE"/>
              <w:bottom w:val="single" w:sz="8" w:color="0000EE"/>
            </w:tcBorders>
            <w:gridSpan w:val="9"/>
          </w:tcPr>
          <w:p>
            <w:pPr>
              <w:spacing w:after="0" w:line="182" w:lineRule="exact"/>
              <w:rPr>
                <w:rFonts w:ascii="Arial" w:cs="Arial" w:eastAsia="Arial" w:hAnsi="Arial"/>
                <w:sz w:val="18"/>
                <w:szCs w:val="18"/>
                <w:color w:val="0000EE"/>
                <w:w w:val="99"/>
              </w:rPr>
            </w:pPr>
            <w:hyperlink w:anchor="page53">
              <w:r>
                <w:rPr>
                  <w:rFonts w:ascii="Arial" w:cs="Arial" w:eastAsia="Arial" w:hAnsi="Arial"/>
                  <w:sz w:val="18"/>
                  <w:szCs w:val="18"/>
                  <w:color w:val="0000EE"/>
                  <w:w w:val="99"/>
                </w:rPr>
                <w:t>Quantitative and Qualitative Disclosures About Market Risk</w:t>
              </w:r>
            </w:hyperlink>
          </w:p>
        </w:tc>
        <w:tc>
          <w:tcPr>
            <w:tcW w:w="2360" w:type="dxa"/>
            <w:vAlign w:val="bottom"/>
            <w:tcBorders>
              <w:top w:val="single" w:sz="8" w:color="0000EE"/>
            </w:tcBorders>
            <w:gridSpan w:val="6"/>
          </w:tcPr>
          <w:p>
            <w:pPr>
              <w:spacing w:after="0"/>
              <w:rPr>
                <w:sz w:val="15"/>
                <w:szCs w:val="15"/>
                <w:color w:val="auto"/>
              </w:rPr>
            </w:pPr>
          </w:p>
        </w:tc>
        <w:tc>
          <w:tcPr>
            <w:tcW w:w="3060" w:type="dxa"/>
            <w:vAlign w:val="bottom"/>
          </w:tcPr>
          <w:p>
            <w:pPr>
              <w:spacing w:after="0"/>
              <w:rPr>
                <w:sz w:val="15"/>
                <w:szCs w:val="15"/>
                <w:color w:val="auto"/>
              </w:rPr>
            </w:pPr>
          </w:p>
        </w:tc>
        <w:tc>
          <w:tcPr>
            <w:tcW w:w="340" w:type="dxa"/>
            <w:vAlign w:val="bottom"/>
          </w:tcPr>
          <w:p>
            <w:pPr>
              <w:jc w:val="right"/>
              <w:spacing w:after="0" w:line="182"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83"/>
        </w:trPr>
        <w:tc>
          <w:tcPr>
            <w:tcW w:w="880" w:type="dxa"/>
            <w:vAlign w:val="bottom"/>
          </w:tcPr>
          <w:p>
            <w:pPr>
              <w:spacing w:after="0" w:line="182" w:lineRule="exact"/>
              <w:rPr>
                <w:sz w:val="20"/>
                <w:szCs w:val="20"/>
                <w:color w:val="auto"/>
              </w:rPr>
            </w:pPr>
            <w:r>
              <w:rPr>
                <w:rFonts w:ascii="Arial" w:cs="Arial" w:eastAsia="Arial" w:hAnsi="Arial"/>
                <w:sz w:val="18"/>
                <w:szCs w:val="18"/>
                <w:color w:val="auto"/>
              </w:rPr>
              <w:t>Item 4.</w:t>
            </w:r>
          </w:p>
        </w:tc>
        <w:tc>
          <w:tcPr>
            <w:tcW w:w="10140" w:type="dxa"/>
            <w:vAlign w:val="bottom"/>
            <w:gridSpan w:val="16"/>
          </w:tcPr>
          <w:p>
            <w:pPr>
              <w:spacing w:after="0" w:line="182" w:lineRule="exact"/>
              <w:rPr>
                <w:rFonts w:ascii="Arial" w:cs="Arial" w:eastAsia="Arial" w:hAnsi="Arial"/>
                <w:sz w:val="18"/>
                <w:szCs w:val="18"/>
                <w:color w:val="0000EE"/>
              </w:rPr>
            </w:pPr>
            <w:hyperlink w:anchor="page54">
              <w:r>
                <w:rPr>
                  <w:rFonts w:ascii="Arial" w:cs="Arial" w:eastAsia="Arial" w:hAnsi="Arial"/>
                  <w:sz w:val="18"/>
                  <w:szCs w:val="18"/>
                  <w:color w:val="0000EE"/>
                </w:rPr>
                <w:t>Controls and Procedures</w:t>
              </w:r>
            </w:hyperlink>
          </w:p>
        </w:tc>
        <w:tc>
          <w:tcPr>
            <w:tcW w:w="340" w:type="dxa"/>
            <w:vAlign w:val="bottom"/>
          </w:tcPr>
          <w:p>
            <w:pPr>
              <w:jc w:val="right"/>
              <w:spacing w:after="0" w:line="182"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340" w:type="dxa"/>
            <w:vAlign w:val="bottom"/>
          </w:tcPr>
          <w:p>
            <w:pPr>
              <w:spacing w:after="0"/>
              <w:rPr>
                <w:sz w:val="18"/>
                <w:szCs w:val="18"/>
                <w:color w:val="auto"/>
              </w:rPr>
            </w:pPr>
          </w:p>
        </w:tc>
        <w:tc>
          <w:tcPr>
            <w:tcW w:w="6800" w:type="dxa"/>
            <w:vAlign w:val="bottom"/>
            <w:gridSpan w:val="10"/>
          </w:tcPr>
          <w:p>
            <w:pPr>
              <w:jc w:val="center"/>
              <w:ind w:right="3860"/>
              <w:spacing w:after="0"/>
              <w:rPr>
                <w:sz w:val="20"/>
                <w:szCs w:val="20"/>
                <w:color w:val="auto"/>
              </w:rPr>
            </w:pPr>
            <w:r>
              <w:rPr>
                <w:rFonts w:ascii="Arial" w:cs="Arial" w:eastAsia="Arial" w:hAnsi="Arial"/>
                <w:sz w:val="18"/>
                <w:szCs w:val="18"/>
                <w:b w:val="1"/>
                <w:bCs w:val="1"/>
                <w:color w:val="auto"/>
                <w:w w:val="98"/>
              </w:rPr>
              <w:t>PART II: OTHER INFORMATION</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880" w:type="dxa"/>
            <w:vAlign w:val="bottom"/>
          </w:tcPr>
          <w:p>
            <w:pPr>
              <w:spacing w:after="0" w:line="176" w:lineRule="exact"/>
              <w:rPr>
                <w:sz w:val="20"/>
                <w:szCs w:val="20"/>
                <w:color w:val="auto"/>
              </w:rPr>
            </w:pPr>
            <w:r>
              <w:rPr>
                <w:rFonts w:ascii="Arial" w:cs="Arial" w:eastAsia="Arial" w:hAnsi="Arial"/>
                <w:sz w:val="18"/>
                <w:szCs w:val="18"/>
                <w:color w:val="auto"/>
              </w:rPr>
              <w:t>Item 1.</w:t>
            </w:r>
          </w:p>
        </w:tc>
        <w:tc>
          <w:tcPr>
            <w:tcW w:w="1500" w:type="dxa"/>
            <w:vAlign w:val="bottom"/>
            <w:tcBorders>
              <w:bottom w:val="single" w:sz="8" w:color="0000EE"/>
            </w:tcBorders>
            <w:gridSpan w:val="4"/>
          </w:tcPr>
          <w:p>
            <w:pPr>
              <w:spacing w:after="0" w:line="176" w:lineRule="exact"/>
              <w:rPr>
                <w:rFonts w:ascii="Arial" w:cs="Arial" w:eastAsia="Arial" w:hAnsi="Arial"/>
                <w:sz w:val="18"/>
                <w:szCs w:val="18"/>
                <w:color w:val="0000EE"/>
                <w:w w:val="99"/>
              </w:rPr>
            </w:pPr>
            <w:hyperlink w:anchor="page55">
              <w:r>
                <w:rPr>
                  <w:rFonts w:ascii="Arial" w:cs="Arial" w:eastAsia="Arial" w:hAnsi="Arial"/>
                  <w:sz w:val="18"/>
                  <w:szCs w:val="18"/>
                  <w:color w:val="0000EE"/>
                  <w:w w:val="99"/>
                </w:rPr>
                <w:t>Legal Proceedings</w:t>
              </w:r>
            </w:hyperlink>
          </w:p>
        </w:tc>
        <w:tc>
          <w:tcPr>
            <w:tcW w:w="8640" w:type="dxa"/>
            <w:vAlign w:val="bottom"/>
            <w:gridSpan w:val="12"/>
          </w:tcPr>
          <w:p>
            <w:pPr>
              <w:spacing w:after="0"/>
              <w:rPr>
                <w:sz w:val="15"/>
                <w:szCs w:val="15"/>
                <w:color w:val="auto"/>
              </w:rPr>
            </w:pPr>
          </w:p>
        </w:tc>
        <w:tc>
          <w:tcPr>
            <w:tcW w:w="340" w:type="dxa"/>
            <w:vAlign w:val="bottom"/>
          </w:tcPr>
          <w:p>
            <w:pPr>
              <w:jc w:val="right"/>
              <w:spacing w:after="0" w:line="17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83"/>
        </w:trPr>
        <w:tc>
          <w:tcPr>
            <w:tcW w:w="880" w:type="dxa"/>
            <w:vAlign w:val="bottom"/>
          </w:tcPr>
          <w:p>
            <w:pPr>
              <w:spacing w:after="0" w:line="182" w:lineRule="exact"/>
              <w:rPr>
                <w:sz w:val="20"/>
                <w:szCs w:val="20"/>
                <w:color w:val="auto"/>
              </w:rPr>
            </w:pPr>
            <w:r>
              <w:rPr>
                <w:rFonts w:ascii="Arial" w:cs="Arial" w:eastAsia="Arial" w:hAnsi="Arial"/>
                <w:sz w:val="18"/>
                <w:szCs w:val="18"/>
                <w:color w:val="auto"/>
              </w:rPr>
              <w:t>Item 1A.</w:t>
            </w:r>
          </w:p>
        </w:tc>
        <w:tc>
          <w:tcPr>
            <w:tcW w:w="10140" w:type="dxa"/>
            <w:vAlign w:val="bottom"/>
            <w:gridSpan w:val="16"/>
          </w:tcPr>
          <w:p>
            <w:pPr>
              <w:spacing w:after="0" w:line="182" w:lineRule="exact"/>
              <w:rPr>
                <w:rFonts w:ascii="Arial" w:cs="Arial" w:eastAsia="Arial" w:hAnsi="Arial"/>
                <w:sz w:val="18"/>
                <w:szCs w:val="18"/>
                <w:color w:val="0000EE"/>
              </w:rPr>
            </w:pPr>
            <w:hyperlink w:anchor="page56">
              <w:r>
                <w:rPr>
                  <w:rFonts w:ascii="Arial" w:cs="Arial" w:eastAsia="Arial" w:hAnsi="Arial"/>
                  <w:sz w:val="18"/>
                  <w:szCs w:val="18"/>
                  <w:color w:val="0000EE"/>
                </w:rPr>
                <w:t>Risk Factors</w:t>
              </w:r>
            </w:hyperlink>
          </w:p>
        </w:tc>
        <w:tc>
          <w:tcPr>
            <w:tcW w:w="340" w:type="dxa"/>
            <w:vAlign w:val="bottom"/>
          </w:tcPr>
          <w:p>
            <w:pPr>
              <w:jc w:val="right"/>
              <w:spacing w:after="0" w:line="182"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860" w:type="dxa"/>
            <w:vAlign w:val="bottom"/>
            <w:gridSpan w:val="8"/>
          </w:tcPr>
          <w:p>
            <w:pPr>
              <w:spacing w:after="0" w:line="20" w:lineRule="exact"/>
              <w:rPr>
                <w:sz w:val="1"/>
                <w:szCs w:val="1"/>
                <w:color w:val="auto"/>
              </w:rPr>
            </w:pPr>
          </w:p>
        </w:tc>
        <w:tc>
          <w:tcPr>
            <w:tcW w:w="528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80" w:type="dxa"/>
            <w:vAlign w:val="bottom"/>
          </w:tcPr>
          <w:p>
            <w:pPr>
              <w:spacing w:after="0" w:line="182" w:lineRule="exact"/>
              <w:rPr>
                <w:sz w:val="20"/>
                <w:szCs w:val="20"/>
                <w:color w:val="auto"/>
              </w:rPr>
            </w:pPr>
            <w:r>
              <w:rPr>
                <w:rFonts w:ascii="Arial" w:cs="Arial" w:eastAsia="Arial" w:hAnsi="Arial"/>
                <w:sz w:val="18"/>
                <w:szCs w:val="18"/>
                <w:color w:val="auto"/>
              </w:rPr>
              <w:t>Item 2.</w:t>
            </w:r>
          </w:p>
        </w:tc>
        <w:tc>
          <w:tcPr>
            <w:tcW w:w="4860" w:type="dxa"/>
            <w:vAlign w:val="bottom"/>
            <w:tcBorders>
              <w:bottom w:val="single" w:sz="8" w:color="0000EE"/>
            </w:tcBorders>
            <w:gridSpan w:val="11"/>
          </w:tcPr>
          <w:p>
            <w:pPr>
              <w:spacing w:after="0" w:line="182" w:lineRule="exact"/>
              <w:rPr>
                <w:rFonts w:ascii="Arial" w:cs="Arial" w:eastAsia="Arial" w:hAnsi="Arial"/>
                <w:sz w:val="18"/>
                <w:szCs w:val="18"/>
                <w:color w:val="0000EE"/>
                <w:w w:val="99"/>
              </w:rPr>
            </w:pPr>
            <w:hyperlink w:anchor="page72">
              <w:r>
                <w:rPr>
                  <w:rFonts w:ascii="Arial" w:cs="Arial" w:eastAsia="Arial" w:hAnsi="Arial"/>
                  <w:sz w:val="18"/>
                  <w:szCs w:val="18"/>
                  <w:color w:val="0000EE"/>
                  <w:w w:val="99"/>
                </w:rPr>
                <w:t>Unregistered Sales of Equity Securities and Use of Proceeds</w:t>
              </w:r>
            </w:hyperlink>
          </w:p>
        </w:tc>
        <w:tc>
          <w:tcPr>
            <w:tcW w:w="5280" w:type="dxa"/>
            <w:vAlign w:val="bottom"/>
            <w:gridSpan w:val="5"/>
          </w:tcPr>
          <w:p>
            <w:pPr>
              <w:spacing w:after="0"/>
              <w:rPr>
                <w:sz w:val="15"/>
                <w:szCs w:val="15"/>
                <w:color w:val="auto"/>
              </w:rPr>
            </w:pPr>
          </w:p>
        </w:tc>
        <w:tc>
          <w:tcPr>
            <w:tcW w:w="340" w:type="dxa"/>
            <w:vAlign w:val="bottom"/>
          </w:tcPr>
          <w:p>
            <w:pPr>
              <w:jc w:val="right"/>
              <w:spacing w:after="0" w:line="182"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83"/>
        </w:trPr>
        <w:tc>
          <w:tcPr>
            <w:tcW w:w="880" w:type="dxa"/>
            <w:vAlign w:val="bottom"/>
          </w:tcPr>
          <w:p>
            <w:pPr>
              <w:spacing w:after="0" w:line="182" w:lineRule="exact"/>
              <w:rPr>
                <w:sz w:val="20"/>
                <w:szCs w:val="20"/>
                <w:color w:val="auto"/>
              </w:rPr>
            </w:pPr>
            <w:r>
              <w:rPr>
                <w:rFonts w:ascii="Arial" w:cs="Arial" w:eastAsia="Arial" w:hAnsi="Arial"/>
                <w:sz w:val="18"/>
                <w:szCs w:val="18"/>
                <w:color w:val="auto"/>
              </w:rPr>
              <w:t>Item 6.</w:t>
            </w:r>
          </w:p>
        </w:tc>
        <w:tc>
          <w:tcPr>
            <w:tcW w:w="640" w:type="dxa"/>
            <w:vAlign w:val="bottom"/>
            <w:tcBorders>
              <w:bottom w:val="single" w:sz="8" w:color="0000EE"/>
            </w:tcBorders>
            <w:gridSpan w:val="2"/>
          </w:tcPr>
          <w:p>
            <w:pPr>
              <w:spacing w:after="0" w:line="182" w:lineRule="exact"/>
              <w:rPr>
                <w:rFonts w:ascii="Arial" w:cs="Arial" w:eastAsia="Arial" w:hAnsi="Arial"/>
                <w:sz w:val="18"/>
                <w:szCs w:val="18"/>
                <w:color w:val="0000EE"/>
                <w:w w:val="98"/>
              </w:rPr>
            </w:pPr>
            <w:hyperlink w:anchor="page72">
              <w:r>
                <w:rPr>
                  <w:rFonts w:ascii="Arial" w:cs="Arial" w:eastAsia="Arial" w:hAnsi="Arial"/>
                  <w:sz w:val="18"/>
                  <w:szCs w:val="18"/>
                  <w:color w:val="0000EE"/>
                  <w:w w:val="98"/>
                </w:rPr>
                <w:t>Exhibits</w:t>
              </w:r>
            </w:hyperlink>
          </w:p>
        </w:tc>
        <w:tc>
          <w:tcPr>
            <w:tcW w:w="9500" w:type="dxa"/>
            <w:vAlign w:val="bottom"/>
            <w:gridSpan w:val="14"/>
          </w:tcPr>
          <w:p>
            <w:pPr>
              <w:spacing w:after="0"/>
              <w:rPr>
                <w:sz w:val="15"/>
                <w:szCs w:val="15"/>
                <w:color w:val="auto"/>
              </w:rPr>
            </w:pPr>
          </w:p>
        </w:tc>
        <w:tc>
          <w:tcPr>
            <w:tcW w:w="340" w:type="dxa"/>
            <w:vAlign w:val="bottom"/>
          </w:tcPr>
          <w:p>
            <w:pPr>
              <w:jc w:val="right"/>
              <w:spacing w:after="0" w:line="182"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83"/>
        </w:trPr>
        <w:tc>
          <w:tcPr>
            <w:tcW w:w="11020" w:type="dxa"/>
            <w:vAlign w:val="bottom"/>
            <w:gridSpan w:val="17"/>
          </w:tcPr>
          <w:p>
            <w:pPr>
              <w:spacing w:after="0" w:line="182" w:lineRule="exact"/>
              <w:rPr>
                <w:rFonts w:ascii="Arial" w:cs="Arial" w:eastAsia="Arial" w:hAnsi="Arial"/>
                <w:sz w:val="18"/>
                <w:szCs w:val="18"/>
                <w:color w:val="0000EE"/>
              </w:rPr>
            </w:pPr>
            <w:hyperlink w:anchor="page73">
              <w:r>
                <w:rPr>
                  <w:rFonts w:ascii="Arial" w:cs="Arial" w:eastAsia="Arial" w:hAnsi="Arial"/>
                  <w:sz w:val="18"/>
                  <w:szCs w:val="18"/>
                  <w:color w:val="0000EE"/>
                </w:rPr>
                <w:t>SIGNATURES</w:t>
              </w:r>
            </w:hyperlink>
          </w:p>
        </w:tc>
        <w:tc>
          <w:tcPr>
            <w:tcW w:w="340" w:type="dxa"/>
            <w:vAlign w:val="bottom"/>
          </w:tcPr>
          <w:p>
            <w:pPr>
              <w:jc w:val="right"/>
              <w:spacing w:after="0" w:line="182"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372"/>
        </w:trPr>
        <w:tc>
          <w:tcPr>
            <w:tcW w:w="8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860" w:type="dxa"/>
            <w:vAlign w:val="bottom"/>
            <w:gridSpan w:val="11"/>
          </w:tcPr>
          <w:p>
            <w:pPr>
              <w:jc w:val="right"/>
              <w:ind w:right="260"/>
              <w:spacing w:after="0"/>
              <w:rPr>
                <w:sz w:val="20"/>
                <w:szCs w:val="20"/>
                <w:color w:val="auto"/>
              </w:rPr>
            </w:pPr>
            <w:r>
              <w:rPr>
                <w:rFonts w:ascii="Arial" w:cs="Arial" w:eastAsia="Arial" w:hAnsi="Arial"/>
                <w:sz w:val="18"/>
                <w:szCs w:val="18"/>
                <w:color w:val="auto"/>
              </w:rPr>
              <w:t>2</w:t>
            </w: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265" w:right="299" w:bottom="1440" w:gutter="0" w:footer="0" w:header="0"/>
        </w:sectPr>
      </w:pPr>
    </w:p>
    <w:bookmarkStart w:id="2" w:name="page3"/>
    <w:bookmarkEnd w:id="2"/>
    <w:p>
      <w:pPr>
        <w:jc w:val="both"/>
        <w:ind w:firstLine="228"/>
        <w:spacing w:after="0" w:line="23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combined Quarterly Report on Form 10-Q is filed by American Airlines Group Inc. (formerly named AMR Corporation) (AAG) and its wholly-owned subsidiary American Airlines, Inc. (American). References in this Quarterly Report on Form 10 -Q to “we,” “us,” “our,” the “Company” and similar terms refer to AAG and its consolidated subsidiaries. “AMR” or “AMR Corporation” refers to the Company during the period of time prior to its emergence from Chapter 11 and its acquisition of US Airways Group, Inc. (US Airways Group) on December 9, 2013 (the Merger). References to “US Airways Group” and “US Airways,” a subsidiary of US Airways Group, represent the entities during the period of time prior to AAG’s internal corporate restructuring on December 30, 2015. References in this Quarterly Report on Form 10-Q to “mainline” refer to the operations of American only and exclude regional operations.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Concerning Forward-Looking Statements</w:t>
      </w:r>
    </w:p>
    <w:p>
      <w:pPr>
        <w:spacing w:after="0" w:line="126" w:lineRule="exact"/>
        <w:rPr>
          <w:sz w:val="20"/>
          <w:szCs w:val="20"/>
          <w:color w:val="auto"/>
        </w:rPr>
      </w:pPr>
    </w:p>
    <w:p>
      <w:pPr>
        <w:jc w:val="both"/>
        <w:ind w:firstLine="228"/>
        <w:spacing w:after="0" w:line="236" w:lineRule="auto"/>
        <w:rPr>
          <w:sz w:val="20"/>
          <w:szCs w:val="20"/>
          <w:color w:val="auto"/>
        </w:rPr>
      </w:pPr>
      <w:r>
        <w:rPr>
          <w:rFonts w:ascii="Arial" w:cs="Arial" w:eastAsia="Arial" w:hAnsi="Arial"/>
          <w:sz w:val="18"/>
          <w:szCs w:val="18"/>
          <w:color w:val="auto"/>
        </w:rPr>
        <w:t>Certain of the statements contained in this report should be considered forward-looking statements within the meaning of the Securities Act of 1933, as amended (the Securities Act), the Securities Exchange Act of 1934, as amended (the Exchange Act), and the Private Securities Litigation Reform Act of 1995. These forward-looking statements may be identified by words such as “may,” “will,” “expect,” “intend,” “anticipate,” “believe,” “estimate,” “plan,” “project,” “could,” “should,” “would,” “continue,” “seek,” “target,” “guidance,” “outlook,” “if current trends continue,” “optimistic,” “forecast” and other similar words. Such statements include, but are not limited to, statements about our plans, objectives, expectations, intentions, estimates and strategies for the future, and other statements that are not historical facts. These forward-looking statements are based on our current objectives, beliefs and expectations, and they are subject to significant risks and uncertainties that may cause actual results and financial position and timing of certain events to differ materially from the information in the forward-looking statements. These risks and uncertainties include, but are not limited to, those described below under Part I, Item 2. Management’s Discussion and Analysis of Financial Condition and Results of Operations, and Part II, Item 1A. Risk Factors, and other risks and uncertainties listed from time to time in our filings with the Securities and Exchange Commission (the SEC).</w:t>
      </w:r>
    </w:p>
    <w:p>
      <w:pPr>
        <w:spacing w:after="0" w:line="206" w:lineRule="exact"/>
        <w:rPr>
          <w:sz w:val="20"/>
          <w:szCs w:val="20"/>
          <w:color w:val="auto"/>
        </w:rPr>
      </w:pPr>
    </w:p>
    <w:p>
      <w:pPr>
        <w:jc w:val="both"/>
        <w:ind w:firstLine="228"/>
        <w:spacing w:after="0" w:line="237" w:lineRule="auto"/>
        <w:rPr>
          <w:sz w:val="20"/>
          <w:szCs w:val="20"/>
          <w:color w:val="auto"/>
        </w:rPr>
      </w:pPr>
      <w:r>
        <w:rPr>
          <w:rFonts w:ascii="Arial" w:cs="Arial" w:eastAsia="Arial" w:hAnsi="Arial"/>
          <w:sz w:val="18"/>
          <w:szCs w:val="18"/>
          <w:color w:val="auto"/>
        </w:rPr>
        <w:t>All of the forward-looking statements are qualified in their entirety by reference to the factors discussed in Part II, Item 1A. Risk Factors and elsewhere in this report. There may be other factors of which we are not currently aware that may affect matters discussed in the forward-looking statements and may also cause actual results to differ materially from those discussed. We do not assume any obligation to publicly update or supplement any forward-looking statement to reflect actual results, changes in assumptions or changes in other factors affecting such statements other than as required by law. Forward-looking statements speak only as of the date of this Quarterly Report on Form 10-Q or as of the dates indicated in the statements.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7" w:right="2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 FINANCIAL INFORMATION</w:t>
      </w:r>
    </w:p>
    <w:p>
      <w:pPr>
        <w:spacing w:after="0" w:line="126" w:lineRule="exact"/>
        <w:rPr>
          <w:sz w:val="20"/>
          <w:szCs w:val="20"/>
          <w:color w:val="auto"/>
        </w:rPr>
      </w:pPr>
    </w:p>
    <w:p>
      <w:pPr>
        <w:ind w:firstLine="228"/>
        <w:spacing w:after="0" w:line="246" w:lineRule="auto"/>
        <w:rPr>
          <w:sz w:val="20"/>
          <w:szCs w:val="20"/>
          <w:color w:val="auto"/>
        </w:rPr>
      </w:pPr>
      <w:r>
        <w:rPr>
          <w:rFonts w:ascii="Arial" w:cs="Arial" w:eastAsia="Arial" w:hAnsi="Arial"/>
          <w:sz w:val="18"/>
          <w:szCs w:val="18"/>
          <w:color w:val="auto"/>
        </w:rPr>
        <w:t>This combined Quarterly Report on Form 10-Q is filed by both AAG and American and includes the Condensed Consolidated Financial Statements of each company in Item 1A and Item 1B, respectively.</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65"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1A. CONDENSED CONSOLIDATED FINANCIAL STATEMENTS OF AMERICAN AIRLINES GROUP INC.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13"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CONDENSED CONSOLIDATED STATEMENTS OF OPERATIONS</w:t>
      </w:r>
    </w:p>
    <w:p>
      <w:pPr>
        <w:ind w:left="3040"/>
        <w:spacing w:after="0"/>
        <w:rPr>
          <w:sz w:val="20"/>
          <w:szCs w:val="20"/>
          <w:color w:val="auto"/>
        </w:rPr>
      </w:pPr>
      <w:r>
        <w:rPr>
          <w:rFonts w:ascii="Arial" w:cs="Arial" w:eastAsia="Arial" w:hAnsi="Arial"/>
          <w:sz w:val="18"/>
          <w:szCs w:val="18"/>
          <w:b w:val="1"/>
          <w:bCs w:val="1"/>
          <w:color w:val="auto"/>
        </w:rPr>
        <w:t>(In millions, except shares and per share amounts)(Unaudited)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6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8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Three Months Ended June 30,</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56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11"/>
              <w:spacing w:after="0" w:line="155" w:lineRule="exact"/>
              <w:rPr>
                <w:sz w:val="20"/>
                <w:szCs w:val="20"/>
                <w:color w:val="auto"/>
              </w:rPr>
            </w:pPr>
            <w:r>
              <w:rPr>
                <w:rFonts w:ascii="Arial" w:cs="Arial" w:eastAsia="Arial" w:hAnsi="Arial"/>
                <w:sz w:val="14"/>
                <w:szCs w:val="14"/>
                <w:b w:val="1"/>
                <w:bCs w:val="1"/>
                <w:color w:val="auto"/>
              </w:rPr>
              <w:t>2017</w:t>
            </w:r>
          </w:p>
        </w:tc>
        <w:tc>
          <w:tcPr>
            <w:tcW w:w="40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11"/>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151"/>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191"/>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56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Operating revenues:</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60" w:type="dxa"/>
            <w:vAlign w:val="bottom"/>
          </w:tcPr>
          <w:p>
            <w:pPr>
              <w:ind w:left="340"/>
              <w:spacing w:after="0" w:line="202" w:lineRule="exact"/>
              <w:rPr>
                <w:sz w:val="20"/>
                <w:szCs w:val="20"/>
                <w:color w:val="auto"/>
              </w:rPr>
            </w:pPr>
            <w:r>
              <w:rPr>
                <w:rFonts w:ascii="Arial" w:cs="Arial" w:eastAsia="Arial" w:hAnsi="Arial"/>
                <w:sz w:val="18"/>
                <w:szCs w:val="18"/>
                <w:color w:val="auto"/>
              </w:rPr>
              <w:t>Mainline passenger</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7,747</w:t>
            </w: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7,209</w:t>
            </w: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14,353</w:t>
            </w:r>
          </w:p>
        </w:tc>
        <w:tc>
          <w:tcPr>
            <w:tcW w:w="3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13,773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6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Regional passenger</w:t>
            </w: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1,835</w:t>
            </w: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1,786</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3,384</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3,309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60" w:type="dxa"/>
            <w:vAlign w:val="bottom"/>
          </w:tcPr>
          <w:p>
            <w:pPr>
              <w:ind w:left="340"/>
              <w:spacing w:after="0" w:line="202" w:lineRule="exact"/>
              <w:rPr>
                <w:sz w:val="20"/>
                <w:szCs w:val="20"/>
                <w:color w:val="auto"/>
              </w:rPr>
            </w:pPr>
            <w:r>
              <w:rPr>
                <w:rFonts w:ascii="Arial" w:cs="Arial" w:eastAsia="Arial" w:hAnsi="Arial"/>
                <w:sz w:val="18"/>
                <w:szCs w:val="18"/>
                <w:color w:val="auto"/>
              </w:rPr>
              <w:t>Cargo</w:t>
            </w:r>
          </w:p>
        </w:tc>
        <w:tc>
          <w:tcPr>
            <w:tcW w:w="1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196</w:t>
            </w: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174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368</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336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6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1,327</w:t>
            </w: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1,194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2,624</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2,380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tcPr>
          <w:p>
            <w:pPr>
              <w:ind w:left="700"/>
              <w:spacing w:after="0"/>
              <w:rPr>
                <w:sz w:val="20"/>
                <w:szCs w:val="20"/>
                <w:color w:val="auto"/>
              </w:rPr>
            </w:pPr>
            <w:r>
              <w:rPr>
                <w:rFonts w:ascii="Arial" w:cs="Arial" w:eastAsia="Arial" w:hAnsi="Arial"/>
                <w:sz w:val="18"/>
                <w:szCs w:val="18"/>
                <w:color w:val="auto"/>
              </w:rPr>
              <w:t>Total operating revenues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11,105</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10,363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20,729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19,798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Operating expenses:</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60" w:type="dxa"/>
            <w:vAlign w:val="bottom"/>
          </w:tcPr>
          <w:p>
            <w:pPr>
              <w:ind w:left="340"/>
              <w:spacing w:after="0" w:line="202" w:lineRule="exact"/>
              <w:rPr>
                <w:sz w:val="20"/>
                <w:szCs w:val="20"/>
                <w:color w:val="auto"/>
              </w:rPr>
            </w:pPr>
            <w:r>
              <w:rPr>
                <w:rFonts w:ascii="Arial" w:cs="Arial" w:eastAsia="Arial" w:hAnsi="Arial"/>
                <w:sz w:val="18"/>
                <w:szCs w:val="18"/>
                <w:color w:val="auto"/>
              </w:rPr>
              <w:t>Aircraft fuel and related taxes</w:t>
            </w:r>
          </w:p>
        </w:tc>
        <w:tc>
          <w:tcPr>
            <w:tcW w:w="100" w:type="dxa"/>
            <w:vAlign w:val="bottom"/>
          </w:tcPr>
          <w:p>
            <w:pPr>
              <w:spacing w:after="0"/>
              <w:rPr>
                <w:sz w:val="17"/>
                <w:szCs w:val="17"/>
                <w:color w:val="auto"/>
              </w:rPr>
            </w:pPr>
          </w:p>
        </w:tc>
        <w:tc>
          <w:tcPr>
            <w:tcW w:w="120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1,510</w:t>
            </w:r>
          </w:p>
        </w:tc>
        <w:tc>
          <w:tcPr>
            <w:tcW w:w="200" w:type="dxa"/>
            <w:vAlign w:val="bottom"/>
          </w:tcPr>
          <w:p>
            <w:pPr>
              <w:spacing w:after="0"/>
              <w:rPr>
                <w:sz w:val="17"/>
                <w:szCs w:val="17"/>
                <w:color w:val="auto"/>
              </w:rPr>
            </w:pPr>
          </w:p>
        </w:tc>
        <w:tc>
          <w:tcPr>
            <w:tcW w:w="9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1,314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2,912</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2,343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6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Salaries, wages and benefits</w:t>
            </w: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3,003</w:t>
            </w: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2,670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5,829</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5,322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60" w:type="dxa"/>
            <w:vAlign w:val="bottom"/>
          </w:tcPr>
          <w:p>
            <w:pPr>
              <w:ind w:left="340"/>
              <w:spacing w:after="0" w:line="202" w:lineRule="exact"/>
              <w:rPr>
                <w:sz w:val="20"/>
                <w:szCs w:val="20"/>
                <w:color w:val="auto"/>
              </w:rPr>
            </w:pPr>
            <w:r>
              <w:rPr>
                <w:rFonts w:ascii="Arial" w:cs="Arial" w:eastAsia="Arial" w:hAnsi="Arial"/>
                <w:sz w:val="18"/>
                <w:szCs w:val="18"/>
                <w:color w:val="auto"/>
              </w:rPr>
              <w:t>Regional expenses</w:t>
            </w:r>
          </w:p>
        </w:tc>
        <w:tc>
          <w:tcPr>
            <w:tcW w:w="100" w:type="dxa"/>
            <w:vAlign w:val="bottom"/>
          </w:tcPr>
          <w:p>
            <w:pPr>
              <w:spacing w:after="0"/>
              <w:rPr>
                <w:sz w:val="17"/>
                <w:szCs w:val="17"/>
                <w:color w:val="auto"/>
              </w:rPr>
            </w:pPr>
          </w:p>
        </w:tc>
        <w:tc>
          <w:tcPr>
            <w:tcW w:w="120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1,620</w:t>
            </w:r>
          </w:p>
        </w:tc>
        <w:tc>
          <w:tcPr>
            <w:tcW w:w="200" w:type="dxa"/>
            <w:vAlign w:val="bottom"/>
          </w:tcPr>
          <w:p>
            <w:pPr>
              <w:spacing w:after="0"/>
              <w:rPr>
                <w:sz w:val="17"/>
                <w:szCs w:val="17"/>
                <w:color w:val="auto"/>
              </w:rPr>
            </w:pPr>
          </w:p>
        </w:tc>
        <w:tc>
          <w:tcPr>
            <w:tcW w:w="9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1,518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3,194</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2,950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6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Maintenance, materials and repairs</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495</w:t>
            </w: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453</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987</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871</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60" w:type="dxa"/>
            <w:vAlign w:val="bottom"/>
          </w:tcPr>
          <w:p>
            <w:pPr>
              <w:ind w:left="340"/>
              <w:spacing w:after="0" w:line="202" w:lineRule="exact"/>
              <w:rPr>
                <w:sz w:val="20"/>
                <w:szCs w:val="20"/>
                <w:color w:val="auto"/>
              </w:rPr>
            </w:pPr>
            <w:r>
              <w:rPr>
                <w:rFonts w:ascii="Arial" w:cs="Arial" w:eastAsia="Arial" w:hAnsi="Arial"/>
                <w:sz w:val="18"/>
                <w:szCs w:val="18"/>
                <w:color w:val="auto"/>
              </w:rPr>
              <w:t>Other rent and landing fees</w:t>
            </w:r>
          </w:p>
        </w:tc>
        <w:tc>
          <w:tcPr>
            <w:tcW w:w="1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452</w:t>
            </w: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458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892</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879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6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Aircraft rent</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294</w:t>
            </w: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302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589</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609</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60" w:type="dxa"/>
            <w:vAlign w:val="bottom"/>
          </w:tcPr>
          <w:p>
            <w:pPr>
              <w:ind w:left="340"/>
              <w:spacing w:after="0" w:line="202" w:lineRule="exact"/>
              <w:rPr>
                <w:sz w:val="20"/>
                <w:szCs w:val="20"/>
                <w:color w:val="auto"/>
              </w:rPr>
            </w:pPr>
            <w:r>
              <w:rPr>
                <w:rFonts w:ascii="Arial" w:cs="Arial" w:eastAsia="Arial" w:hAnsi="Arial"/>
                <w:sz w:val="18"/>
                <w:szCs w:val="18"/>
                <w:color w:val="auto"/>
              </w:rPr>
              <w:t>Selling expenses</w:t>
            </w:r>
          </w:p>
        </w:tc>
        <w:tc>
          <w:tcPr>
            <w:tcW w:w="1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376</w:t>
            </w: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334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694</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642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6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418</w:t>
            </w: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374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822</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729</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60" w:type="dxa"/>
            <w:vAlign w:val="bottom"/>
          </w:tcPr>
          <w:p>
            <w:pPr>
              <w:ind w:left="340"/>
              <w:spacing w:after="0" w:line="202" w:lineRule="exact"/>
              <w:rPr>
                <w:sz w:val="20"/>
                <w:szCs w:val="20"/>
                <w:color w:val="auto"/>
              </w:rPr>
            </w:pPr>
            <w:r>
              <w:rPr>
                <w:rFonts w:ascii="Arial" w:cs="Arial" w:eastAsia="Arial" w:hAnsi="Arial"/>
                <w:sz w:val="18"/>
                <w:szCs w:val="18"/>
                <w:color w:val="auto"/>
              </w:rPr>
              <w:t>Special items, net</w:t>
            </w:r>
          </w:p>
        </w:tc>
        <w:tc>
          <w:tcPr>
            <w:tcW w:w="1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202</w:t>
            </w: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62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320</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161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6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1,200</w:t>
            </w: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1,127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2,354</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2,205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9,570</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8,612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18,593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16,711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5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Operating income</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1,535</w:t>
            </w: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1,751</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2,136</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3,087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60" w:type="dxa"/>
            <w:vAlign w:val="bottom"/>
          </w:tcPr>
          <w:p>
            <w:pPr>
              <w:spacing w:after="0" w:line="202" w:lineRule="exact"/>
              <w:rPr>
                <w:sz w:val="20"/>
                <w:szCs w:val="20"/>
                <w:color w:val="auto"/>
              </w:rPr>
            </w:pPr>
            <w:r>
              <w:rPr>
                <w:rFonts w:ascii="Arial" w:cs="Arial" w:eastAsia="Arial" w:hAnsi="Arial"/>
                <w:sz w:val="18"/>
                <w:szCs w:val="18"/>
                <w:b w:val="1"/>
                <w:bCs w:val="1"/>
                <w:color w:val="auto"/>
              </w:rPr>
              <w:t>Nonoperating income (expense):</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6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24</w:t>
            </w: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45</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60" w:type="dxa"/>
            <w:vAlign w:val="bottom"/>
          </w:tcPr>
          <w:p>
            <w:pPr>
              <w:ind w:left="340"/>
              <w:spacing w:after="0" w:line="202" w:lineRule="exact"/>
              <w:rPr>
                <w:sz w:val="20"/>
                <w:szCs w:val="20"/>
                <w:color w:val="auto"/>
              </w:rPr>
            </w:pPr>
            <w:r>
              <w:rPr>
                <w:rFonts w:ascii="Arial" w:cs="Arial" w:eastAsia="Arial" w:hAnsi="Arial"/>
                <w:sz w:val="18"/>
                <w:szCs w:val="18"/>
                <w:color w:val="auto"/>
              </w:rPr>
              <w:t>Interest expense, net</w:t>
            </w:r>
          </w:p>
        </w:tc>
        <w:tc>
          <w:tcPr>
            <w:tcW w:w="100" w:type="dxa"/>
            <w:vAlign w:val="bottom"/>
          </w:tcPr>
          <w:p>
            <w:pPr>
              <w:spacing w:after="0"/>
              <w:rPr>
                <w:sz w:val="17"/>
                <w:szCs w:val="17"/>
                <w:color w:val="auto"/>
              </w:rPr>
            </w:pPr>
          </w:p>
        </w:tc>
        <w:tc>
          <w:tcPr>
            <w:tcW w:w="12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(263)</w:t>
            </w:r>
          </w:p>
        </w:tc>
        <w:tc>
          <w:tcPr>
            <w:tcW w:w="200" w:type="dxa"/>
            <w:vAlign w:val="bottom"/>
          </w:tcPr>
          <w:p>
            <w:pPr>
              <w:spacing w:after="0"/>
              <w:rPr>
                <w:sz w:val="17"/>
                <w:szCs w:val="17"/>
                <w:color w:val="auto"/>
              </w:rPr>
            </w:pPr>
          </w:p>
        </w:tc>
        <w:tc>
          <w:tcPr>
            <w:tcW w:w="9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(249)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(520)</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6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Other, net</w:t>
            </w: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tcPr>
          <w:p>
            <w:pPr>
              <w:ind w:left="700"/>
              <w:spacing w:after="0"/>
              <w:rPr>
                <w:sz w:val="20"/>
                <w:szCs w:val="20"/>
                <w:color w:val="auto"/>
              </w:rPr>
            </w:pPr>
            <w:r>
              <w:rPr>
                <w:rFonts w:ascii="Arial" w:cs="Arial" w:eastAsia="Arial" w:hAnsi="Arial"/>
                <w:sz w:val="18"/>
                <w:szCs w:val="18"/>
                <w:color w:val="auto"/>
              </w:rPr>
              <w:t>Total nonoperating expense, net</w:t>
            </w:r>
          </w:p>
        </w:tc>
        <w:tc>
          <w:tcPr>
            <w:tcW w:w="10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(244)</w:t>
            </w:r>
          </w:p>
        </w:tc>
        <w:tc>
          <w:tcPr>
            <w:tcW w:w="2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(258)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(480)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5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Income before income taxes</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1,291</w:t>
            </w: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1,493</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1,656</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2,610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60" w:type="dxa"/>
            <w:vAlign w:val="bottom"/>
          </w:tcPr>
          <w:p>
            <w:pPr>
              <w:ind w:left="340"/>
              <w:spacing w:after="0" w:line="202" w:lineRule="exact"/>
              <w:rPr>
                <w:sz w:val="20"/>
                <w:szCs w:val="20"/>
                <w:color w:val="auto"/>
              </w:rPr>
            </w:pPr>
            <w:r>
              <w:rPr>
                <w:rFonts w:ascii="Arial" w:cs="Arial" w:eastAsia="Arial" w:hAnsi="Arial"/>
                <w:sz w:val="18"/>
                <w:szCs w:val="18"/>
                <w:color w:val="auto"/>
              </w:rPr>
              <w:t>Income tax provision</w:t>
            </w:r>
          </w:p>
        </w:tc>
        <w:tc>
          <w:tcPr>
            <w:tcW w:w="1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488</w:t>
            </w: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543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619</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960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5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income</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803</w:t>
            </w: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950</w:t>
            </w: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1,037</w:t>
            </w:r>
          </w:p>
        </w:tc>
        <w:tc>
          <w:tcPr>
            <w:tcW w:w="3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1,650</w:t>
            </w:r>
          </w:p>
        </w:tc>
        <w:tc>
          <w:tcPr>
            <w:tcW w:w="0" w:type="dxa"/>
            <w:vAlign w:val="bottom"/>
          </w:tcPr>
          <w:p>
            <w:pPr>
              <w:spacing w:after="0"/>
              <w:rPr>
                <w:sz w:val="1"/>
                <w:szCs w:val="1"/>
                <w:color w:val="auto"/>
              </w:rPr>
            </w:pPr>
          </w:p>
        </w:tc>
      </w:tr>
      <w:tr>
        <w:trPr>
          <w:trHeight w:val="20"/>
        </w:trPr>
        <w:tc>
          <w:tcPr>
            <w:tcW w:w="6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Earnings per common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65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6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1.64</w:t>
            </w: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1.69</w:t>
            </w: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2.08</w:t>
            </w:r>
          </w:p>
        </w:tc>
        <w:tc>
          <w:tcPr>
            <w:tcW w:w="22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60" w:type="dxa"/>
            <w:vAlign w:val="bottom"/>
          </w:tcPr>
          <w:p>
            <w:pPr>
              <w:ind w:left="340"/>
              <w:spacing w:after="0" w:line="202" w:lineRule="exact"/>
              <w:rPr>
                <w:sz w:val="20"/>
                <w:szCs w:val="20"/>
                <w:color w:val="auto"/>
              </w:rPr>
            </w:pPr>
            <w:r>
              <w:rPr>
                <w:rFonts w:ascii="Arial" w:cs="Arial" w:eastAsia="Arial" w:hAnsi="Arial"/>
                <w:sz w:val="18"/>
                <w:szCs w:val="18"/>
                <w:color w:val="auto"/>
              </w:rPr>
              <w:t>Diluted</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1.63</w:t>
            </w:r>
          </w:p>
        </w:tc>
        <w:tc>
          <w:tcPr>
            <w:tcW w:w="400" w:type="dxa"/>
            <w:vAlign w:val="bottom"/>
          </w:tcPr>
          <w:p>
            <w:pPr>
              <w:spacing w:after="0"/>
              <w:rPr>
                <w:sz w:val="17"/>
                <w:szCs w:val="17"/>
                <w:color w:val="auto"/>
              </w:rPr>
            </w:pP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1.68</w:t>
            </w: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2.07</w:t>
            </w:r>
          </w:p>
        </w:tc>
        <w:tc>
          <w:tcPr>
            <w:tcW w:w="220" w:type="dxa"/>
            <w:vAlign w:val="bottom"/>
          </w:tcPr>
          <w:p>
            <w:pPr>
              <w:spacing w:after="0"/>
              <w:rPr>
                <w:sz w:val="17"/>
                <w:szCs w:val="17"/>
                <w:color w:val="auto"/>
              </w:rPr>
            </w:pPr>
          </w:p>
        </w:tc>
        <w:tc>
          <w:tcPr>
            <w:tcW w:w="3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2.80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Weighted average shares outstanding (in thousands):</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60" w:type="dxa"/>
            <w:vAlign w:val="bottom"/>
          </w:tcPr>
          <w:p>
            <w:pPr>
              <w:ind w:left="340"/>
              <w:spacing w:after="0" w:line="202" w:lineRule="exact"/>
              <w:rPr>
                <w:sz w:val="20"/>
                <w:szCs w:val="20"/>
                <w:color w:val="auto"/>
              </w:rPr>
            </w:pPr>
            <w:r>
              <w:rPr>
                <w:rFonts w:ascii="Arial" w:cs="Arial" w:eastAsia="Arial" w:hAnsi="Arial"/>
                <w:sz w:val="18"/>
                <w:szCs w:val="18"/>
                <w:color w:val="auto"/>
              </w:rPr>
              <w:t>Basic</w:t>
            </w:r>
          </w:p>
        </w:tc>
        <w:tc>
          <w:tcPr>
            <w:tcW w:w="1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490,818</w:t>
            </w: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563,000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497,360</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584,622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6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492,965</w:t>
            </w: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566,040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500,381</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588,764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6560" w:type="dxa"/>
            <w:vAlign w:val="bottom"/>
          </w:tcPr>
          <w:p>
            <w:pPr>
              <w:spacing w:after="0"/>
              <w:rPr>
                <w:sz w:val="20"/>
                <w:szCs w:val="20"/>
                <w:color w:val="auto"/>
              </w:rPr>
            </w:pPr>
            <w:r>
              <w:rPr>
                <w:rFonts w:ascii="Arial" w:cs="Arial" w:eastAsia="Arial" w:hAnsi="Arial"/>
                <w:sz w:val="18"/>
                <w:szCs w:val="18"/>
                <w:b w:val="1"/>
                <w:bCs w:val="1"/>
                <w:color w:val="auto"/>
              </w:rPr>
              <w:t>Cash dividends declared per common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0.10</w:t>
            </w:r>
          </w:p>
        </w:tc>
        <w:tc>
          <w:tcPr>
            <w:tcW w:w="4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0.10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0.20</w:t>
            </w:r>
          </w:p>
        </w:tc>
        <w:tc>
          <w:tcPr>
            <w:tcW w:w="220" w:type="dxa"/>
            <w:vAlign w:val="bottom"/>
          </w:tcPr>
          <w:p>
            <w:pPr>
              <w:spacing w:after="0"/>
              <w:rPr>
                <w:sz w:val="20"/>
                <w:szCs w:val="20"/>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0.20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65"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AMERICAN AIRLINES GROUP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jc w:val="center"/>
        <w:spacing w:after="0"/>
        <w:rPr>
          <w:sz w:val="20"/>
          <w:szCs w:val="20"/>
          <w:color w:val="auto"/>
        </w:rPr>
      </w:pPr>
      <w:r>
        <w:rPr>
          <w:rFonts w:ascii="Arial" w:cs="Arial" w:eastAsia="Arial" w:hAnsi="Arial"/>
          <w:sz w:val="18"/>
          <w:szCs w:val="18"/>
          <w:b w:val="1"/>
          <w:bCs w:val="1"/>
          <w:color w:val="auto"/>
        </w:rPr>
        <w:t>(In millions)(Unaudited)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360" w:type="dxa"/>
            <w:vAlign w:val="bottom"/>
          </w:tcPr>
          <w:p>
            <w:pPr>
              <w:spacing w:after="0"/>
              <w:rPr>
                <w:sz w:val="15"/>
                <w:szCs w:val="15"/>
                <w:color w:val="auto"/>
              </w:rPr>
            </w:pPr>
          </w:p>
        </w:tc>
        <w:tc>
          <w:tcPr>
            <w:tcW w:w="2160" w:type="dxa"/>
            <w:vAlign w:val="bottom"/>
            <w:gridSpan w:val="10"/>
          </w:tcPr>
          <w:p>
            <w:pPr>
              <w:spacing w:after="0"/>
              <w:rPr>
                <w:sz w:val="20"/>
                <w:szCs w:val="20"/>
                <w:color w:val="auto"/>
              </w:rPr>
            </w:pPr>
            <w:r>
              <w:rPr>
                <w:rFonts w:ascii="Arial" w:cs="Arial" w:eastAsia="Arial" w:hAnsi="Arial"/>
                <w:sz w:val="14"/>
                <w:szCs w:val="14"/>
                <w:b w:val="1"/>
                <w:bCs w:val="1"/>
                <w:color w:val="auto"/>
              </w:rPr>
              <w:t>Three Months Ended June 30,</w:t>
            </w:r>
          </w:p>
        </w:tc>
        <w:tc>
          <w:tcPr>
            <w:tcW w:w="1900" w:type="dxa"/>
            <w:vAlign w:val="bottom"/>
            <w:gridSpan w:val="8"/>
          </w:tcPr>
          <w:p>
            <w:pPr>
              <w:jc w:val="right"/>
              <w:ind w:right="2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736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93"/>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113"/>
              <w:spacing w:after="0" w:line="155"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top w:val="single" w:sz="8" w:color="auto"/>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760" w:type="dxa"/>
            <w:vAlign w:val="bottom"/>
            <w:tcBorders>
              <w:top w:val="single" w:sz="8" w:color="auto"/>
              <w:bottom w:val="single" w:sz="8" w:color="auto"/>
            </w:tcBorders>
            <w:gridSpan w:val="2"/>
          </w:tcPr>
          <w:p>
            <w:pPr>
              <w:jc w:val="right"/>
              <w:ind w:right="70"/>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73"/>
              <w:spacing w:after="0" w:line="155"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top w:val="single" w:sz="8" w:color="auto"/>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73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income</w:t>
            </w:r>
          </w:p>
        </w:tc>
        <w:tc>
          <w:tcPr>
            <w:tcW w:w="2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803</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950</w:t>
            </w:r>
          </w:p>
        </w:tc>
        <w:tc>
          <w:tcPr>
            <w:tcW w:w="10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$ 1,037</w:t>
            </w:r>
          </w:p>
        </w:tc>
        <w:tc>
          <w:tcPr>
            <w:tcW w:w="10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1,650</w:t>
            </w:r>
          </w:p>
        </w:tc>
        <w:tc>
          <w:tcPr>
            <w:tcW w:w="0" w:type="dxa"/>
            <w:vAlign w:val="bottom"/>
          </w:tcPr>
          <w:p>
            <w:pPr>
              <w:spacing w:after="0"/>
              <w:rPr>
                <w:sz w:val="1"/>
                <w:szCs w:val="1"/>
                <w:color w:val="auto"/>
              </w:rPr>
            </w:pPr>
          </w:p>
        </w:tc>
      </w:tr>
      <w:tr>
        <w:trPr>
          <w:trHeight w:val="203"/>
        </w:trPr>
        <w:tc>
          <w:tcPr>
            <w:tcW w:w="7360" w:type="dxa"/>
            <w:vAlign w:val="bottom"/>
          </w:tcPr>
          <w:p>
            <w:pPr>
              <w:spacing w:after="0" w:line="202" w:lineRule="exact"/>
              <w:rPr>
                <w:sz w:val="20"/>
                <w:szCs w:val="20"/>
                <w:color w:val="auto"/>
              </w:rPr>
            </w:pPr>
            <w:r>
              <w:rPr>
                <w:rFonts w:ascii="Arial" w:cs="Arial" w:eastAsia="Arial" w:hAnsi="Arial"/>
                <w:sz w:val="18"/>
                <w:szCs w:val="18"/>
                <w:b w:val="1"/>
                <w:bCs w:val="1"/>
                <w:color w:val="auto"/>
              </w:rPr>
              <w:t>Other comprehensive loss, net of tax:</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Pension, retiree medical and other postretirement benefits</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3"/>
        </w:trPr>
        <w:tc>
          <w:tcPr>
            <w:tcW w:w="7360" w:type="dxa"/>
            <w:vAlign w:val="bottom"/>
          </w:tcPr>
          <w:p>
            <w:pPr>
              <w:ind w:left="360"/>
              <w:spacing w:after="0" w:line="202" w:lineRule="exact"/>
              <w:rPr>
                <w:sz w:val="20"/>
                <w:szCs w:val="20"/>
                <w:color w:val="auto"/>
              </w:rPr>
            </w:pPr>
            <w:r>
              <w:rPr>
                <w:rFonts w:ascii="Arial" w:cs="Arial" w:eastAsia="Arial" w:hAnsi="Arial"/>
                <w:sz w:val="18"/>
                <w:szCs w:val="18"/>
                <w:color w:val="auto"/>
              </w:rPr>
              <w:t>Investments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7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36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b w:val="1"/>
                <w:bCs w:val="1"/>
                <w:color w:val="auto"/>
              </w:rPr>
              <w:t>Total other comprehensive loss, net of tax</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7360" w:type="dxa"/>
            <w:vAlign w:val="bottom"/>
            <w:vMerge w:val="restart"/>
          </w:tcPr>
          <w:p>
            <w:pPr>
              <w:spacing w:after="0"/>
              <w:rPr>
                <w:sz w:val="20"/>
                <w:szCs w:val="20"/>
                <w:color w:val="auto"/>
              </w:rPr>
            </w:pPr>
            <w:r>
              <w:rPr>
                <w:rFonts w:ascii="Arial" w:cs="Arial" w:eastAsia="Arial" w:hAnsi="Arial"/>
                <w:sz w:val="18"/>
                <w:szCs w:val="18"/>
                <w:b w:val="1"/>
                <w:bCs w:val="1"/>
                <w:color w:val="auto"/>
              </w:rPr>
              <w:t>Total comprehensive income</w:t>
            </w: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788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936</w:t>
            </w:r>
          </w:p>
        </w:tc>
        <w:tc>
          <w:tcPr>
            <w:tcW w:w="100" w:type="dxa"/>
            <w:vAlign w:val="bottom"/>
          </w:tcPr>
          <w:p>
            <w:pPr>
              <w:spacing w:after="0"/>
              <w:rPr>
                <w:sz w:val="18"/>
                <w:szCs w:val="18"/>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$ 1,008</w:t>
            </w:r>
          </w:p>
        </w:tc>
        <w:tc>
          <w:tcPr>
            <w:tcW w:w="10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1,619</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65"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AMERICAN AIRLINES GROUP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jc w:val="center"/>
        <w:spacing w:after="0"/>
        <w:rPr>
          <w:sz w:val="20"/>
          <w:szCs w:val="20"/>
          <w:color w:val="auto"/>
        </w:rPr>
      </w:pPr>
      <w:r>
        <w:rPr>
          <w:rFonts w:ascii="Arial" w:cs="Arial" w:eastAsia="Arial" w:hAnsi="Arial"/>
          <w:sz w:val="18"/>
          <w:szCs w:val="18"/>
          <w:b w:val="1"/>
          <w:bCs w:val="1"/>
          <w:color w:val="auto"/>
        </w:rPr>
        <w:t>(In millions, except shares and par value)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280" w:type="dxa"/>
            <w:vAlign w:val="bottom"/>
          </w:tcPr>
          <w:p>
            <w:pPr>
              <w:spacing w:after="0"/>
              <w:rPr>
                <w:sz w:val="15"/>
                <w:szCs w:val="15"/>
                <w:color w:val="auto"/>
              </w:rPr>
            </w:pPr>
          </w:p>
        </w:tc>
        <w:tc>
          <w:tcPr>
            <w:tcW w:w="2120" w:type="dxa"/>
            <w:vAlign w:val="bottom"/>
            <w:gridSpan w:val="5"/>
          </w:tcPr>
          <w:p>
            <w:pPr>
              <w:ind w:left="360"/>
              <w:spacing w:after="0"/>
              <w:rPr>
                <w:sz w:val="20"/>
                <w:szCs w:val="20"/>
                <w:color w:val="auto"/>
              </w:rPr>
            </w:pPr>
            <w:r>
              <w:rPr>
                <w:rFonts w:ascii="Arial" w:cs="Arial" w:eastAsia="Arial" w:hAnsi="Arial"/>
                <w:sz w:val="14"/>
                <w:szCs w:val="14"/>
                <w:b w:val="1"/>
                <w:bCs w:val="1"/>
                <w:color w:val="auto"/>
              </w:rPr>
              <w:t>June 30, 2017</w:t>
            </w:r>
          </w:p>
        </w:tc>
        <w:tc>
          <w:tcPr>
            <w:tcW w:w="202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December 31, 2016</w:t>
            </w:r>
          </w:p>
        </w:tc>
        <w:tc>
          <w:tcPr>
            <w:tcW w:w="0" w:type="dxa"/>
            <w:vAlign w:val="bottom"/>
          </w:tcPr>
          <w:p>
            <w:pPr>
              <w:spacing w:after="0"/>
              <w:rPr>
                <w:sz w:val="1"/>
                <w:szCs w:val="1"/>
                <w:color w:val="auto"/>
              </w:rPr>
            </w:pPr>
          </w:p>
        </w:tc>
      </w:tr>
      <w:tr>
        <w:trPr>
          <w:trHeight w:val="156"/>
        </w:trPr>
        <w:tc>
          <w:tcPr>
            <w:tcW w:w="7280" w:type="dxa"/>
            <w:vAlign w:val="bottom"/>
          </w:tcPr>
          <w:p>
            <w:pPr>
              <w:spacing w:after="0"/>
              <w:rPr>
                <w:sz w:val="13"/>
                <w:szCs w:val="13"/>
                <w:color w:val="auto"/>
              </w:rPr>
            </w:pPr>
          </w:p>
        </w:tc>
        <w:tc>
          <w:tcPr>
            <w:tcW w:w="1660" w:type="dxa"/>
            <w:vAlign w:val="bottom"/>
            <w:tcBorders>
              <w:top w:val="single" w:sz="8" w:color="auto"/>
            </w:tcBorders>
            <w:gridSpan w:val="4"/>
          </w:tcPr>
          <w:p>
            <w:pPr>
              <w:jc w:val="right"/>
              <w:ind w:right="420"/>
              <w:spacing w:after="0" w:line="155" w:lineRule="exact"/>
              <w:rPr>
                <w:sz w:val="20"/>
                <w:szCs w:val="20"/>
                <w:color w:val="auto"/>
              </w:rPr>
            </w:pPr>
            <w:r>
              <w:rPr>
                <w:rFonts w:ascii="Arial" w:cs="Arial" w:eastAsia="Arial" w:hAnsi="Arial"/>
                <w:sz w:val="14"/>
                <w:szCs w:val="14"/>
                <w:b w:val="1"/>
                <w:bCs w:val="1"/>
                <w:color w:val="auto"/>
              </w:rPr>
              <w:t>(Unaudited)</w:t>
            </w:r>
          </w:p>
        </w:tc>
        <w:tc>
          <w:tcPr>
            <w:tcW w:w="46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72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ASSETS</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tcPr>
          <w:p>
            <w:pPr>
              <w:spacing w:after="0" w:line="202" w:lineRule="exact"/>
              <w:rPr>
                <w:sz w:val="20"/>
                <w:szCs w:val="20"/>
                <w:color w:val="auto"/>
              </w:rPr>
            </w:pPr>
            <w:r>
              <w:rPr>
                <w:rFonts w:ascii="Arial" w:cs="Arial" w:eastAsia="Arial" w:hAnsi="Arial"/>
                <w:sz w:val="18"/>
                <w:szCs w:val="18"/>
                <w:b w:val="1"/>
                <w:bCs w:val="1"/>
                <w:color w:val="auto"/>
              </w:rPr>
              <w:t>Current assets</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Cash</w:t>
            </w: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386</w:t>
            </w:r>
          </w:p>
        </w:tc>
        <w:tc>
          <w:tcPr>
            <w:tcW w:w="4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03"/>
        </w:trPr>
        <w:tc>
          <w:tcPr>
            <w:tcW w:w="7280" w:type="dxa"/>
            <w:vAlign w:val="bottom"/>
          </w:tcPr>
          <w:p>
            <w:pPr>
              <w:ind w:left="360"/>
              <w:spacing w:after="0" w:line="202" w:lineRule="exact"/>
              <w:rPr>
                <w:sz w:val="20"/>
                <w:szCs w:val="20"/>
                <w:color w:val="auto"/>
              </w:rPr>
            </w:pPr>
            <w:r>
              <w:rPr>
                <w:rFonts w:ascii="Arial" w:cs="Arial" w:eastAsia="Arial" w:hAnsi="Arial"/>
                <w:sz w:val="18"/>
                <w:szCs w:val="18"/>
                <w:color w:val="auto"/>
              </w:rPr>
              <w:t>Short-term investments</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6,500</w:t>
            </w: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6,037</w:t>
            </w:r>
          </w:p>
        </w:tc>
        <w:tc>
          <w:tcPr>
            <w:tcW w:w="0" w:type="dxa"/>
            <w:vAlign w:val="bottom"/>
          </w:tcPr>
          <w:p>
            <w:pPr>
              <w:spacing w:after="0"/>
              <w:rPr>
                <w:sz w:val="1"/>
                <w:szCs w:val="1"/>
                <w:color w:val="auto"/>
              </w:rPr>
            </w:pPr>
          </w:p>
        </w:tc>
      </w:tr>
      <w:tr>
        <w:trPr>
          <w:trHeight w:val="203"/>
        </w:trPr>
        <w:tc>
          <w:tcPr>
            <w:tcW w:w="72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Restricted cash and short-term investments</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554</w:t>
            </w:r>
          </w:p>
        </w:tc>
        <w:tc>
          <w:tcPr>
            <w:tcW w:w="4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203"/>
        </w:trPr>
        <w:tc>
          <w:tcPr>
            <w:tcW w:w="7280" w:type="dxa"/>
            <w:vAlign w:val="bottom"/>
          </w:tcPr>
          <w:p>
            <w:pPr>
              <w:ind w:left="360"/>
              <w:spacing w:after="0" w:line="202" w:lineRule="exact"/>
              <w:rPr>
                <w:sz w:val="20"/>
                <w:szCs w:val="20"/>
                <w:color w:val="auto"/>
              </w:rPr>
            </w:pPr>
            <w:r>
              <w:rPr>
                <w:rFonts w:ascii="Arial" w:cs="Arial" w:eastAsia="Arial" w:hAnsi="Arial"/>
                <w:sz w:val="18"/>
                <w:szCs w:val="18"/>
                <w:color w:val="auto"/>
              </w:rPr>
              <w:t>Accounts receivable, net</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1,543</w:t>
            </w: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1,594</w:t>
            </w:r>
          </w:p>
        </w:tc>
        <w:tc>
          <w:tcPr>
            <w:tcW w:w="0" w:type="dxa"/>
            <w:vAlign w:val="bottom"/>
          </w:tcPr>
          <w:p>
            <w:pPr>
              <w:spacing w:after="0"/>
              <w:rPr>
                <w:sz w:val="1"/>
                <w:szCs w:val="1"/>
                <w:color w:val="auto"/>
              </w:rPr>
            </w:pPr>
          </w:p>
        </w:tc>
      </w:tr>
      <w:tr>
        <w:trPr>
          <w:trHeight w:val="203"/>
        </w:trPr>
        <w:tc>
          <w:tcPr>
            <w:tcW w:w="72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Aircraft fuel, spare parts and supplies, net</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1,206</w:t>
            </w:r>
          </w:p>
        </w:tc>
        <w:tc>
          <w:tcPr>
            <w:tcW w:w="4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1,094</w:t>
            </w:r>
          </w:p>
        </w:tc>
        <w:tc>
          <w:tcPr>
            <w:tcW w:w="0" w:type="dxa"/>
            <w:vAlign w:val="bottom"/>
          </w:tcPr>
          <w:p>
            <w:pPr>
              <w:spacing w:after="0"/>
              <w:rPr>
                <w:sz w:val="1"/>
                <w:szCs w:val="1"/>
                <w:color w:val="auto"/>
              </w:rPr>
            </w:pPr>
          </w:p>
        </w:tc>
      </w:tr>
      <w:tr>
        <w:trPr>
          <w:trHeight w:val="210"/>
        </w:trPr>
        <w:tc>
          <w:tcPr>
            <w:tcW w:w="7280" w:type="dxa"/>
            <w:vAlign w:val="bottom"/>
          </w:tcPr>
          <w:p>
            <w:pPr>
              <w:ind w:left="360"/>
              <w:spacing w:after="0" w:line="202" w:lineRule="exact"/>
              <w:rPr>
                <w:sz w:val="20"/>
                <w:szCs w:val="20"/>
                <w:color w:val="auto"/>
              </w:rPr>
            </w:pPr>
            <w:r>
              <w:rPr>
                <w:rFonts w:ascii="Arial" w:cs="Arial" w:eastAsia="Arial" w:hAnsi="Arial"/>
                <w:sz w:val="18"/>
                <w:szCs w:val="18"/>
                <w:color w:val="auto"/>
              </w:rPr>
              <w:t>Prepaid expenses and other</w:t>
            </w:r>
          </w:p>
        </w:tc>
        <w:tc>
          <w:tcPr>
            <w:tcW w:w="4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827</w:t>
            </w: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639</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28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Total current assets</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11,016</w:t>
            </w:r>
          </w:p>
        </w:tc>
        <w:tc>
          <w:tcPr>
            <w:tcW w:w="4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10,324</w:t>
            </w:r>
          </w:p>
        </w:tc>
        <w:tc>
          <w:tcPr>
            <w:tcW w:w="0" w:type="dxa"/>
            <w:vAlign w:val="bottom"/>
          </w:tcPr>
          <w:p>
            <w:pPr>
              <w:spacing w:after="0"/>
              <w:rPr>
                <w:sz w:val="1"/>
                <w:szCs w:val="1"/>
                <w:color w:val="auto"/>
              </w:rPr>
            </w:pPr>
          </w:p>
        </w:tc>
      </w:tr>
      <w:tr>
        <w:trPr>
          <w:trHeight w:val="203"/>
        </w:trPr>
        <w:tc>
          <w:tcPr>
            <w:tcW w:w="7280" w:type="dxa"/>
            <w:vAlign w:val="bottom"/>
          </w:tcPr>
          <w:p>
            <w:pPr>
              <w:spacing w:after="0" w:line="202" w:lineRule="exact"/>
              <w:rPr>
                <w:sz w:val="20"/>
                <w:szCs w:val="20"/>
                <w:color w:val="auto"/>
              </w:rPr>
            </w:pPr>
            <w:r>
              <w:rPr>
                <w:rFonts w:ascii="Arial" w:cs="Arial" w:eastAsia="Arial" w:hAnsi="Arial"/>
                <w:sz w:val="18"/>
                <w:szCs w:val="18"/>
                <w:b w:val="1"/>
                <w:bCs w:val="1"/>
                <w:color w:val="auto"/>
              </w:rPr>
              <w:t>Operating property and equipment</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Flight equipment</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39,329</w:t>
            </w:r>
          </w:p>
        </w:tc>
        <w:tc>
          <w:tcPr>
            <w:tcW w:w="4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37,028</w:t>
            </w:r>
          </w:p>
        </w:tc>
        <w:tc>
          <w:tcPr>
            <w:tcW w:w="0" w:type="dxa"/>
            <w:vAlign w:val="bottom"/>
          </w:tcPr>
          <w:p>
            <w:pPr>
              <w:spacing w:after="0"/>
              <w:rPr>
                <w:sz w:val="1"/>
                <w:szCs w:val="1"/>
                <w:color w:val="auto"/>
              </w:rPr>
            </w:pPr>
          </w:p>
        </w:tc>
      </w:tr>
      <w:tr>
        <w:trPr>
          <w:trHeight w:val="203"/>
        </w:trPr>
        <w:tc>
          <w:tcPr>
            <w:tcW w:w="7280" w:type="dxa"/>
            <w:vAlign w:val="bottom"/>
          </w:tcPr>
          <w:p>
            <w:pPr>
              <w:ind w:left="360"/>
              <w:spacing w:after="0" w:line="202" w:lineRule="exact"/>
              <w:rPr>
                <w:sz w:val="20"/>
                <w:szCs w:val="20"/>
                <w:color w:val="auto"/>
              </w:rPr>
            </w:pPr>
            <w:r>
              <w:rPr>
                <w:rFonts w:ascii="Arial" w:cs="Arial" w:eastAsia="Arial" w:hAnsi="Arial"/>
                <w:sz w:val="18"/>
                <w:szCs w:val="18"/>
                <w:color w:val="auto"/>
              </w:rPr>
              <w:t>Ground property and equipment</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7,580</w:t>
            </w: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7,116</w:t>
            </w:r>
          </w:p>
        </w:tc>
        <w:tc>
          <w:tcPr>
            <w:tcW w:w="0" w:type="dxa"/>
            <w:vAlign w:val="bottom"/>
          </w:tcPr>
          <w:p>
            <w:pPr>
              <w:spacing w:after="0"/>
              <w:rPr>
                <w:sz w:val="1"/>
                <w:szCs w:val="1"/>
                <w:color w:val="auto"/>
              </w:rPr>
            </w:pPr>
          </w:p>
        </w:tc>
      </w:tr>
      <w:tr>
        <w:trPr>
          <w:trHeight w:val="203"/>
        </w:trPr>
        <w:tc>
          <w:tcPr>
            <w:tcW w:w="72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Equipment purchase deposits</w:t>
            </w:r>
          </w:p>
        </w:tc>
        <w:tc>
          <w:tcPr>
            <w:tcW w:w="4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1,212</w:t>
            </w:r>
          </w:p>
        </w:tc>
        <w:tc>
          <w:tcPr>
            <w:tcW w:w="4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1,209</w:t>
            </w: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280" w:type="dxa"/>
            <w:vAlign w:val="bottom"/>
          </w:tcPr>
          <w:p>
            <w:pPr>
              <w:ind w:left="720"/>
              <w:spacing w:after="0"/>
              <w:rPr>
                <w:sz w:val="20"/>
                <w:szCs w:val="20"/>
                <w:color w:val="auto"/>
              </w:rPr>
            </w:pPr>
            <w:r>
              <w:rPr>
                <w:rFonts w:ascii="Arial" w:cs="Arial" w:eastAsia="Arial" w:hAnsi="Arial"/>
                <w:sz w:val="18"/>
                <w:szCs w:val="18"/>
                <w:color w:val="auto"/>
              </w:rPr>
              <w:t>Total property and equipment, at cost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48,121</w:t>
            </w: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45,353</w:t>
            </w:r>
          </w:p>
        </w:tc>
        <w:tc>
          <w:tcPr>
            <w:tcW w:w="0" w:type="dxa"/>
            <w:vAlign w:val="bottom"/>
          </w:tcPr>
          <w:p>
            <w:pPr>
              <w:spacing w:after="0"/>
              <w:rPr>
                <w:sz w:val="1"/>
                <w:szCs w:val="1"/>
                <w:color w:val="auto"/>
              </w:rPr>
            </w:pPr>
          </w:p>
        </w:tc>
      </w:tr>
      <w:tr>
        <w:trPr>
          <w:trHeight w:val="203"/>
        </w:trPr>
        <w:tc>
          <w:tcPr>
            <w:tcW w:w="72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Less accumulated depreciation and amortization</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w w:val="98"/>
              </w:rPr>
              <w:t>(15,128)</w:t>
            </w:r>
          </w:p>
        </w:tc>
        <w:tc>
          <w:tcPr>
            <w:tcW w:w="4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w w:val="98"/>
              </w:rPr>
              <w:t>(14,194)</w:t>
            </w:r>
          </w:p>
        </w:tc>
        <w:tc>
          <w:tcPr>
            <w:tcW w:w="0" w:type="dxa"/>
            <w:vAlign w:val="bottom"/>
          </w:tcPr>
          <w:p>
            <w:pPr>
              <w:spacing w:after="0"/>
              <w:rPr>
                <w:sz w:val="1"/>
                <w:szCs w:val="1"/>
                <w:color w:val="auto"/>
              </w:rPr>
            </w:pPr>
          </w:p>
        </w:tc>
      </w:tr>
      <w:tr>
        <w:trPr>
          <w:trHeight w:val="210"/>
        </w:trPr>
        <w:tc>
          <w:tcPr>
            <w:tcW w:w="7280" w:type="dxa"/>
            <w:vAlign w:val="bottom"/>
          </w:tcPr>
          <w:p>
            <w:pPr>
              <w:ind w:left="720"/>
              <w:spacing w:after="0"/>
              <w:rPr>
                <w:sz w:val="20"/>
                <w:szCs w:val="20"/>
                <w:color w:val="auto"/>
              </w:rPr>
            </w:pPr>
            <w:r>
              <w:rPr>
                <w:rFonts w:ascii="Arial" w:cs="Arial" w:eastAsia="Arial" w:hAnsi="Arial"/>
                <w:sz w:val="18"/>
                <w:szCs w:val="18"/>
                <w:color w:val="auto"/>
              </w:rPr>
              <w:t>Total property and equipment, net</w:t>
            </w:r>
          </w:p>
        </w:tc>
        <w:tc>
          <w:tcPr>
            <w:tcW w:w="4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32,993</w:t>
            </w: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31,159</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2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Other assets</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tcPr>
          <w:p>
            <w:pPr>
              <w:ind w:left="360"/>
              <w:spacing w:after="0" w:line="202" w:lineRule="exact"/>
              <w:rPr>
                <w:sz w:val="20"/>
                <w:szCs w:val="20"/>
                <w:color w:val="auto"/>
              </w:rPr>
            </w:pPr>
            <w:r>
              <w:rPr>
                <w:rFonts w:ascii="Arial" w:cs="Arial" w:eastAsia="Arial" w:hAnsi="Arial"/>
                <w:sz w:val="18"/>
                <w:szCs w:val="18"/>
                <w:color w:val="auto"/>
              </w:rPr>
              <w:t>Goodwill</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4,091</w:t>
            </w: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4,091</w:t>
            </w:r>
          </w:p>
        </w:tc>
        <w:tc>
          <w:tcPr>
            <w:tcW w:w="0" w:type="dxa"/>
            <w:vAlign w:val="bottom"/>
          </w:tcPr>
          <w:p>
            <w:pPr>
              <w:spacing w:after="0"/>
              <w:rPr>
                <w:sz w:val="1"/>
                <w:szCs w:val="1"/>
                <w:color w:val="auto"/>
              </w:rPr>
            </w:pPr>
          </w:p>
        </w:tc>
      </w:tr>
      <w:tr>
        <w:trPr>
          <w:trHeight w:val="203"/>
        </w:trPr>
        <w:tc>
          <w:tcPr>
            <w:tcW w:w="72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Intangibles, net of accumulated amortization of $602 and $578, respectively</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2,224</w:t>
            </w:r>
          </w:p>
        </w:tc>
        <w:tc>
          <w:tcPr>
            <w:tcW w:w="4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2,173</w:t>
            </w:r>
          </w:p>
        </w:tc>
        <w:tc>
          <w:tcPr>
            <w:tcW w:w="0" w:type="dxa"/>
            <w:vAlign w:val="bottom"/>
          </w:tcPr>
          <w:p>
            <w:pPr>
              <w:spacing w:after="0"/>
              <w:rPr>
                <w:sz w:val="1"/>
                <w:szCs w:val="1"/>
                <w:color w:val="auto"/>
              </w:rPr>
            </w:pPr>
          </w:p>
        </w:tc>
      </w:tr>
      <w:tr>
        <w:trPr>
          <w:trHeight w:val="203"/>
        </w:trPr>
        <w:tc>
          <w:tcPr>
            <w:tcW w:w="7280" w:type="dxa"/>
            <w:vAlign w:val="bottom"/>
          </w:tcPr>
          <w:p>
            <w:pPr>
              <w:ind w:left="360"/>
              <w:spacing w:after="0" w:line="202" w:lineRule="exact"/>
              <w:rPr>
                <w:sz w:val="20"/>
                <w:szCs w:val="20"/>
                <w:color w:val="auto"/>
              </w:rPr>
            </w:pPr>
            <w:r>
              <w:rPr>
                <w:rFonts w:ascii="Arial" w:cs="Arial" w:eastAsia="Arial" w:hAnsi="Arial"/>
                <w:sz w:val="18"/>
                <w:szCs w:val="18"/>
                <w:color w:val="auto"/>
              </w:rPr>
              <w:t>Deferred tax asset</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905</w:t>
            </w: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1,498</w:t>
            </w:r>
          </w:p>
        </w:tc>
        <w:tc>
          <w:tcPr>
            <w:tcW w:w="0" w:type="dxa"/>
            <w:vAlign w:val="bottom"/>
          </w:tcPr>
          <w:p>
            <w:pPr>
              <w:spacing w:after="0"/>
              <w:rPr>
                <w:sz w:val="1"/>
                <w:szCs w:val="1"/>
                <w:color w:val="auto"/>
              </w:rPr>
            </w:pPr>
          </w:p>
        </w:tc>
      </w:tr>
      <w:tr>
        <w:trPr>
          <w:trHeight w:val="203"/>
        </w:trPr>
        <w:tc>
          <w:tcPr>
            <w:tcW w:w="72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Other assets</w:t>
            </w:r>
          </w:p>
        </w:tc>
        <w:tc>
          <w:tcPr>
            <w:tcW w:w="4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2,107</w:t>
            </w:r>
          </w:p>
        </w:tc>
        <w:tc>
          <w:tcPr>
            <w:tcW w:w="4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2,029</w:t>
            </w: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280" w:type="dxa"/>
            <w:vAlign w:val="bottom"/>
          </w:tcPr>
          <w:p>
            <w:pPr>
              <w:ind w:left="720"/>
              <w:spacing w:after="0"/>
              <w:rPr>
                <w:sz w:val="20"/>
                <w:szCs w:val="20"/>
                <w:color w:val="auto"/>
              </w:rPr>
            </w:pPr>
            <w:r>
              <w:rPr>
                <w:rFonts w:ascii="Arial" w:cs="Arial" w:eastAsia="Arial" w:hAnsi="Arial"/>
                <w:sz w:val="18"/>
                <w:szCs w:val="18"/>
                <w:color w:val="auto"/>
              </w:rPr>
              <w:t>Total other assets</w:t>
            </w:r>
          </w:p>
        </w:tc>
        <w:tc>
          <w:tcPr>
            <w:tcW w:w="4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9,327</w:t>
            </w: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9,791</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280" w:type="dxa"/>
            <w:vAlign w:val="bottom"/>
            <w:shd w:val="clear" w:color="auto" w:fill="CCEEFF"/>
          </w:tcPr>
          <w:p>
            <w:pPr>
              <w:ind w:left="1080"/>
              <w:spacing w:after="0" w:line="202" w:lineRule="exact"/>
              <w:rPr>
                <w:sz w:val="20"/>
                <w:szCs w:val="20"/>
                <w:color w:val="auto"/>
              </w:rPr>
            </w:pPr>
            <w:r>
              <w:rPr>
                <w:rFonts w:ascii="Arial" w:cs="Arial" w:eastAsia="Arial" w:hAnsi="Arial"/>
                <w:sz w:val="18"/>
                <w:szCs w:val="18"/>
                <w:b w:val="1"/>
                <w:bCs w:val="1"/>
                <w:color w:val="auto"/>
              </w:rPr>
              <w:t>Total assets</w:t>
            </w: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53,336</w:t>
            </w:r>
          </w:p>
        </w:tc>
        <w:tc>
          <w:tcPr>
            <w:tcW w:w="4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51,274</w:t>
            </w:r>
          </w:p>
        </w:tc>
        <w:tc>
          <w:tcPr>
            <w:tcW w:w="0" w:type="dxa"/>
            <w:vAlign w:val="bottom"/>
          </w:tcPr>
          <w:p>
            <w:pPr>
              <w:spacing w:after="0"/>
              <w:rPr>
                <w:sz w:val="1"/>
                <w:szCs w:val="1"/>
                <w:color w:val="auto"/>
              </w:rPr>
            </w:pPr>
          </w:p>
        </w:tc>
      </w:tr>
      <w:tr>
        <w:trPr>
          <w:trHeight w:val="20"/>
        </w:trPr>
        <w:tc>
          <w:tcPr>
            <w:tcW w:w="728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728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2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Current liabilities</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tcPr>
          <w:p>
            <w:pPr>
              <w:ind w:left="360"/>
              <w:spacing w:after="0" w:line="202" w:lineRule="exact"/>
              <w:rPr>
                <w:sz w:val="20"/>
                <w:szCs w:val="20"/>
                <w:color w:val="auto"/>
              </w:rPr>
            </w:pPr>
            <w:r>
              <w:rPr>
                <w:rFonts w:ascii="Arial" w:cs="Arial" w:eastAsia="Arial" w:hAnsi="Arial"/>
                <w:sz w:val="18"/>
                <w:szCs w:val="18"/>
                <w:color w:val="auto"/>
              </w:rPr>
              <w:t>Current maturities of long-term debt and capital leases</w:t>
            </w: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2,334</w:t>
            </w:r>
          </w:p>
        </w:tc>
        <w:tc>
          <w:tcPr>
            <w:tcW w:w="460" w:type="dxa"/>
            <w:vAlign w:val="bottom"/>
          </w:tcPr>
          <w:p>
            <w:pPr>
              <w:spacing w:after="0"/>
              <w:rPr>
                <w:sz w:val="17"/>
                <w:szCs w:val="17"/>
                <w:color w:val="auto"/>
              </w:rPr>
            </w:pPr>
          </w:p>
        </w:tc>
        <w:tc>
          <w:tcPr>
            <w:tcW w:w="7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1,855</w:t>
            </w:r>
          </w:p>
        </w:tc>
        <w:tc>
          <w:tcPr>
            <w:tcW w:w="0" w:type="dxa"/>
            <w:vAlign w:val="bottom"/>
          </w:tcPr>
          <w:p>
            <w:pPr>
              <w:spacing w:after="0"/>
              <w:rPr>
                <w:sz w:val="1"/>
                <w:szCs w:val="1"/>
                <w:color w:val="auto"/>
              </w:rPr>
            </w:pPr>
          </w:p>
        </w:tc>
      </w:tr>
      <w:tr>
        <w:trPr>
          <w:trHeight w:val="203"/>
        </w:trPr>
        <w:tc>
          <w:tcPr>
            <w:tcW w:w="72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Accounts payable</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1,924</w:t>
            </w:r>
          </w:p>
        </w:tc>
        <w:tc>
          <w:tcPr>
            <w:tcW w:w="4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1,592</w:t>
            </w:r>
          </w:p>
        </w:tc>
        <w:tc>
          <w:tcPr>
            <w:tcW w:w="0" w:type="dxa"/>
            <w:vAlign w:val="bottom"/>
          </w:tcPr>
          <w:p>
            <w:pPr>
              <w:spacing w:after="0"/>
              <w:rPr>
                <w:sz w:val="1"/>
                <w:szCs w:val="1"/>
                <w:color w:val="auto"/>
              </w:rPr>
            </w:pPr>
          </w:p>
        </w:tc>
      </w:tr>
      <w:tr>
        <w:trPr>
          <w:trHeight w:val="203"/>
        </w:trPr>
        <w:tc>
          <w:tcPr>
            <w:tcW w:w="7280" w:type="dxa"/>
            <w:vAlign w:val="bottom"/>
          </w:tcPr>
          <w:p>
            <w:pPr>
              <w:ind w:left="360"/>
              <w:spacing w:after="0" w:line="202" w:lineRule="exact"/>
              <w:rPr>
                <w:sz w:val="20"/>
                <w:szCs w:val="20"/>
                <w:color w:val="auto"/>
              </w:rPr>
            </w:pPr>
            <w:r>
              <w:rPr>
                <w:rFonts w:ascii="Arial" w:cs="Arial" w:eastAsia="Arial" w:hAnsi="Arial"/>
                <w:sz w:val="18"/>
                <w:szCs w:val="18"/>
                <w:color w:val="auto"/>
              </w:rPr>
              <w:t>Accrued salaries and wages</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1,295</w:t>
            </w: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1,516</w:t>
            </w:r>
          </w:p>
        </w:tc>
        <w:tc>
          <w:tcPr>
            <w:tcW w:w="0" w:type="dxa"/>
            <w:vAlign w:val="bottom"/>
          </w:tcPr>
          <w:p>
            <w:pPr>
              <w:spacing w:after="0"/>
              <w:rPr>
                <w:sz w:val="1"/>
                <w:szCs w:val="1"/>
                <w:color w:val="auto"/>
              </w:rPr>
            </w:pPr>
          </w:p>
        </w:tc>
      </w:tr>
      <w:tr>
        <w:trPr>
          <w:trHeight w:val="203"/>
        </w:trPr>
        <w:tc>
          <w:tcPr>
            <w:tcW w:w="72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Air traffic liability</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5,222</w:t>
            </w:r>
          </w:p>
        </w:tc>
        <w:tc>
          <w:tcPr>
            <w:tcW w:w="4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3,912</w:t>
            </w:r>
          </w:p>
        </w:tc>
        <w:tc>
          <w:tcPr>
            <w:tcW w:w="0" w:type="dxa"/>
            <w:vAlign w:val="bottom"/>
          </w:tcPr>
          <w:p>
            <w:pPr>
              <w:spacing w:after="0"/>
              <w:rPr>
                <w:sz w:val="1"/>
                <w:szCs w:val="1"/>
                <w:color w:val="auto"/>
              </w:rPr>
            </w:pPr>
          </w:p>
        </w:tc>
      </w:tr>
      <w:tr>
        <w:trPr>
          <w:trHeight w:val="203"/>
        </w:trPr>
        <w:tc>
          <w:tcPr>
            <w:tcW w:w="7280" w:type="dxa"/>
            <w:vAlign w:val="bottom"/>
          </w:tcPr>
          <w:p>
            <w:pPr>
              <w:ind w:left="360"/>
              <w:spacing w:after="0" w:line="202" w:lineRule="exact"/>
              <w:rPr>
                <w:sz w:val="20"/>
                <w:szCs w:val="20"/>
                <w:color w:val="auto"/>
              </w:rPr>
            </w:pPr>
            <w:r>
              <w:rPr>
                <w:rFonts w:ascii="Arial" w:cs="Arial" w:eastAsia="Arial" w:hAnsi="Arial"/>
                <w:sz w:val="18"/>
                <w:szCs w:val="18"/>
                <w:color w:val="auto"/>
              </w:rPr>
              <w:t>Loyalty program liability</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3,014</w:t>
            </w: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2,789</w:t>
            </w:r>
          </w:p>
        </w:tc>
        <w:tc>
          <w:tcPr>
            <w:tcW w:w="0" w:type="dxa"/>
            <w:vAlign w:val="bottom"/>
          </w:tcPr>
          <w:p>
            <w:pPr>
              <w:spacing w:after="0"/>
              <w:rPr>
                <w:sz w:val="1"/>
                <w:szCs w:val="1"/>
                <w:color w:val="auto"/>
              </w:rPr>
            </w:pPr>
          </w:p>
        </w:tc>
      </w:tr>
      <w:tr>
        <w:trPr>
          <w:trHeight w:val="203"/>
        </w:trPr>
        <w:tc>
          <w:tcPr>
            <w:tcW w:w="72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Other accrued liabilities</w:t>
            </w:r>
          </w:p>
        </w:tc>
        <w:tc>
          <w:tcPr>
            <w:tcW w:w="4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2,323</w:t>
            </w:r>
          </w:p>
        </w:tc>
        <w:tc>
          <w:tcPr>
            <w:tcW w:w="4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2,208</w:t>
            </w: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28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16,112</w:t>
            </w: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13,872</w:t>
            </w:r>
          </w:p>
        </w:tc>
        <w:tc>
          <w:tcPr>
            <w:tcW w:w="0" w:type="dxa"/>
            <w:vAlign w:val="bottom"/>
          </w:tcPr>
          <w:p>
            <w:pPr>
              <w:spacing w:after="0"/>
              <w:rPr>
                <w:sz w:val="1"/>
                <w:szCs w:val="1"/>
                <w:color w:val="auto"/>
              </w:rPr>
            </w:pPr>
          </w:p>
        </w:tc>
      </w:tr>
      <w:tr>
        <w:trPr>
          <w:trHeight w:val="203"/>
        </w:trPr>
        <w:tc>
          <w:tcPr>
            <w:tcW w:w="72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Noncurrent liabilities</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tcPr>
          <w:p>
            <w:pPr>
              <w:ind w:left="360"/>
              <w:spacing w:after="0" w:line="202" w:lineRule="exact"/>
              <w:rPr>
                <w:sz w:val="20"/>
                <w:szCs w:val="20"/>
                <w:color w:val="auto"/>
              </w:rPr>
            </w:pPr>
            <w:r>
              <w:rPr>
                <w:rFonts w:ascii="Arial" w:cs="Arial" w:eastAsia="Arial" w:hAnsi="Arial"/>
                <w:sz w:val="18"/>
                <w:szCs w:val="18"/>
                <w:color w:val="auto"/>
              </w:rPr>
              <w:t>Long-term debt and capital leases, net of current maturities</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22,525</w:t>
            </w: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22,489</w:t>
            </w:r>
          </w:p>
        </w:tc>
        <w:tc>
          <w:tcPr>
            <w:tcW w:w="0" w:type="dxa"/>
            <w:vAlign w:val="bottom"/>
          </w:tcPr>
          <w:p>
            <w:pPr>
              <w:spacing w:after="0"/>
              <w:rPr>
                <w:sz w:val="1"/>
                <w:szCs w:val="1"/>
                <w:color w:val="auto"/>
              </w:rPr>
            </w:pPr>
          </w:p>
        </w:tc>
      </w:tr>
      <w:tr>
        <w:trPr>
          <w:trHeight w:val="203"/>
        </w:trPr>
        <w:tc>
          <w:tcPr>
            <w:tcW w:w="72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Pension and postretirement benefits</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7,500</w:t>
            </w:r>
          </w:p>
        </w:tc>
        <w:tc>
          <w:tcPr>
            <w:tcW w:w="4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7,842</w:t>
            </w:r>
          </w:p>
        </w:tc>
        <w:tc>
          <w:tcPr>
            <w:tcW w:w="0" w:type="dxa"/>
            <w:vAlign w:val="bottom"/>
          </w:tcPr>
          <w:p>
            <w:pPr>
              <w:spacing w:after="0"/>
              <w:rPr>
                <w:sz w:val="1"/>
                <w:szCs w:val="1"/>
                <w:color w:val="auto"/>
              </w:rPr>
            </w:pPr>
          </w:p>
        </w:tc>
      </w:tr>
      <w:tr>
        <w:trPr>
          <w:trHeight w:val="210"/>
        </w:trPr>
        <w:tc>
          <w:tcPr>
            <w:tcW w:w="7280" w:type="dxa"/>
            <w:vAlign w:val="bottom"/>
          </w:tcPr>
          <w:p>
            <w:pPr>
              <w:ind w:left="360"/>
              <w:spacing w:after="0" w:line="202" w:lineRule="exact"/>
              <w:rPr>
                <w:sz w:val="20"/>
                <w:szCs w:val="20"/>
                <w:color w:val="auto"/>
              </w:rPr>
            </w:pPr>
            <w:r>
              <w:rPr>
                <w:rFonts w:ascii="Arial" w:cs="Arial" w:eastAsia="Arial" w:hAnsi="Arial"/>
                <w:sz w:val="18"/>
                <w:szCs w:val="18"/>
                <w:color w:val="auto"/>
              </w:rPr>
              <w:t>Other liabilities</w:t>
            </w:r>
          </w:p>
        </w:tc>
        <w:tc>
          <w:tcPr>
            <w:tcW w:w="4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3,484</w:t>
            </w: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3,286</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28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Total noncurrent liabilities</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33,509</w:t>
            </w:r>
          </w:p>
        </w:tc>
        <w:tc>
          <w:tcPr>
            <w:tcW w:w="4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33,617</w:t>
            </w:r>
          </w:p>
        </w:tc>
        <w:tc>
          <w:tcPr>
            <w:tcW w:w="0" w:type="dxa"/>
            <w:vAlign w:val="bottom"/>
          </w:tcPr>
          <w:p>
            <w:pPr>
              <w:spacing w:after="0"/>
              <w:rPr>
                <w:sz w:val="1"/>
                <w:szCs w:val="1"/>
                <w:color w:val="auto"/>
              </w:rPr>
            </w:pPr>
          </w:p>
        </w:tc>
      </w:tr>
      <w:tr>
        <w:trPr>
          <w:trHeight w:val="203"/>
        </w:trPr>
        <w:tc>
          <w:tcPr>
            <w:tcW w:w="7280" w:type="dxa"/>
            <w:vAlign w:val="bottom"/>
          </w:tcPr>
          <w:p>
            <w:pPr>
              <w:spacing w:after="0" w:line="202" w:lineRule="exact"/>
              <w:rPr>
                <w:sz w:val="20"/>
                <w:szCs w:val="20"/>
                <w:color w:val="auto"/>
              </w:rPr>
            </w:pPr>
            <w:r>
              <w:rPr>
                <w:rFonts w:ascii="Arial" w:cs="Arial" w:eastAsia="Arial" w:hAnsi="Arial"/>
                <w:sz w:val="18"/>
                <w:szCs w:val="18"/>
                <w:b w:val="1"/>
                <w:bCs w:val="1"/>
                <w:color w:val="auto"/>
              </w:rPr>
              <w:t>Commitments and contingencies</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Stockholders’ equity</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280" w:type="dxa"/>
            <w:vAlign w:val="bottom"/>
          </w:tcPr>
          <w:p>
            <w:pPr>
              <w:ind w:left="360"/>
              <w:spacing w:after="0" w:line="201" w:lineRule="exact"/>
              <w:rPr>
                <w:sz w:val="20"/>
                <w:szCs w:val="20"/>
                <w:color w:val="auto"/>
              </w:rPr>
            </w:pPr>
            <w:r>
              <w:rPr>
                <w:rFonts w:ascii="Arial" w:cs="Arial" w:eastAsia="Arial" w:hAnsi="Arial"/>
                <w:sz w:val="18"/>
                <w:szCs w:val="18"/>
                <w:color w:val="auto"/>
              </w:rPr>
              <w:t>Common stock, $0.01 par value; 1,750,000,000 shares authorized,</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tcPr>
          <w:p>
            <w:pPr>
              <w:ind w:left="360"/>
              <w:spacing w:after="0" w:line="202" w:lineRule="exact"/>
              <w:rPr>
                <w:sz w:val="20"/>
                <w:szCs w:val="20"/>
                <w:color w:val="auto"/>
              </w:rPr>
            </w:pPr>
            <w:r>
              <w:rPr>
                <w:rFonts w:ascii="Arial" w:cs="Arial" w:eastAsia="Arial" w:hAnsi="Arial"/>
                <w:sz w:val="18"/>
                <w:szCs w:val="18"/>
                <w:color w:val="auto"/>
              </w:rPr>
              <w:t>487,661,923 shares issued and outstanding at June 30, 2017;</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tcPr>
          <w:p>
            <w:pPr>
              <w:ind w:left="360"/>
              <w:spacing w:after="0" w:line="203" w:lineRule="exact"/>
              <w:rPr>
                <w:sz w:val="20"/>
                <w:szCs w:val="20"/>
                <w:color w:val="auto"/>
              </w:rPr>
            </w:pPr>
            <w:r>
              <w:rPr>
                <w:rFonts w:ascii="Arial" w:cs="Arial" w:eastAsia="Arial" w:hAnsi="Arial"/>
                <w:sz w:val="18"/>
                <w:szCs w:val="18"/>
                <w:color w:val="auto"/>
              </w:rPr>
              <w:t>507,294,153 shares issued and outstanding at December 31, 2016</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Arial" w:cs="Arial" w:eastAsia="Arial" w:hAnsi="Arial"/>
                <w:sz w:val="18"/>
                <w:szCs w:val="18"/>
                <w:color w:val="auto"/>
              </w:rPr>
              <w:t>5</w:t>
            </w: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640"/>
              <w:spacing w:after="0" w:line="203"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3"/>
        </w:trPr>
        <w:tc>
          <w:tcPr>
            <w:tcW w:w="72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Additional paid-in capital</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6,245</w:t>
            </w:r>
          </w:p>
        </w:tc>
        <w:tc>
          <w:tcPr>
            <w:tcW w:w="4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7,223</w:t>
            </w:r>
          </w:p>
        </w:tc>
        <w:tc>
          <w:tcPr>
            <w:tcW w:w="0" w:type="dxa"/>
            <w:vAlign w:val="bottom"/>
          </w:tcPr>
          <w:p>
            <w:pPr>
              <w:spacing w:after="0"/>
              <w:rPr>
                <w:sz w:val="1"/>
                <w:szCs w:val="1"/>
                <w:color w:val="auto"/>
              </w:rPr>
            </w:pPr>
          </w:p>
        </w:tc>
      </w:tr>
      <w:tr>
        <w:trPr>
          <w:trHeight w:val="203"/>
        </w:trPr>
        <w:tc>
          <w:tcPr>
            <w:tcW w:w="7280" w:type="dxa"/>
            <w:vAlign w:val="bottom"/>
          </w:tcPr>
          <w:p>
            <w:pPr>
              <w:ind w:left="360"/>
              <w:spacing w:after="0" w:line="202" w:lineRule="exact"/>
              <w:rPr>
                <w:sz w:val="20"/>
                <w:szCs w:val="20"/>
                <w:color w:val="auto"/>
              </w:rPr>
            </w:pPr>
            <w:r>
              <w:rPr>
                <w:rFonts w:ascii="Arial" w:cs="Arial" w:eastAsia="Arial" w:hAnsi="Arial"/>
                <w:sz w:val="18"/>
                <w:szCs w:val="18"/>
                <w:color w:val="auto"/>
              </w:rPr>
              <w:t>Accumulated other comprehensive loss</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(5,112)</w:t>
            </w: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(5,083)</w:t>
            </w:r>
          </w:p>
        </w:tc>
        <w:tc>
          <w:tcPr>
            <w:tcW w:w="0" w:type="dxa"/>
            <w:vAlign w:val="bottom"/>
          </w:tcPr>
          <w:p>
            <w:pPr>
              <w:spacing w:after="0"/>
              <w:rPr>
                <w:sz w:val="1"/>
                <w:szCs w:val="1"/>
                <w:color w:val="auto"/>
              </w:rPr>
            </w:pPr>
          </w:p>
        </w:tc>
      </w:tr>
      <w:tr>
        <w:trPr>
          <w:trHeight w:val="203"/>
        </w:trPr>
        <w:tc>
          <w:tcPr>
            <w:tcW w:w="72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Retained earnings</w:t>
            </w:r>
          </w:p>
        </w:tc>
        <w:tc>
          <w:tcPr>
            <w:tcW w:w="4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2,577</w:t>
            </w:r>
          </w:p>
        </w:tc>
        <w:tc>
          <w:tcPr>
            <w:tcW w:w="4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1,640</w:t>
            </w: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280" w:type="dxa"/>
            <w:vAlign w:val="bottom"/>
          </w:tcPr>
          <w:p>
            <w:pPr>
              <w:ind w:left="720"/>
              <w:spacing w:after="0"/>
              <w:rPr>
                <w:sz w:val="20"/>
                <w:szCs w:val="20"/>
                <w:color w:val="auto"/>
              </w:rPr>
            </w:pPr>
            <w:r>
              <w:rPr>
                <w:rFonts w:ascii="Arial" w:cs="Arial" w:eastAsia="Arial" w:hAnsi="Arial"/>
                <w:sz w:val="18"/>
                <w:szCs w:val="18"/>
                <w:color w:val="auto"/>
              </w:rPr>
              <w:t>Total stockholders’ equity</w:t>
            </w:r>
          </w:p>
        </w:tc>
        <w:tc>
          <w:tcPr>
            <w:tcW w:w="4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3,715</w:t>
            </w: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3,785</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280" w:type="dxa"/>
            <w:vAlign w:val="bottom"/>
            <w:shd w:val="clear" w:color="auto" w:fill="CCEEFF"/>
          </w:tcPr>
          <w:p>
            <w:pPr>
              <w:ind w:left="1080"/>
              <w:spacing w:after="0" w:line="202" w:lineRule="exact"/>
              <w:rPr>
                <w:sz w:val="20"/>
                <w:szCs w:val="20"/>
                <w:color w:val="auto"/>
              </w:rPr>
            </w:pPr>
            <w:r>
              <w:rPr>
                <w:rFonts w:ascii="Arial" w:cs="Arial" w:eastAsia="Arial" w:hAnsi="Arial"/>
                <w:sz w:val="18"/>
                <w:szCs w:val="18"/>
                <w:b w:val="1"/>
                <w:bCs w:val="1"/>
                <w:color w:val="auto"/>
              </w:rPr>
              <w:t>Total liabilities and stockholders’ equity</w:t>
            </w: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53,336</w:t>
            </w:r>
          </w:p>
        </w:tc>
        <w:tc>
          <w:tcPr>
            <w:tcW w:w="4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51,274</w:t>
            </w: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65"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AMERICAN AIRLINES GROUP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jc w:val="center"/>
        <w:spacing w:after="0"/>
        <w:rPr>
          <w:sz w:val="20"/>
          <w:szCs w:val="20"/>
          <w:color w:val="auto"/>
        </w:rPr>
      </w:pPr>
      <w:r>
        <w:rPr>
          <w:rFonts w:ascii="Arial" w:cs="Arial" w:eastAsia="Arial" w:hAnsi="Arial"/>
          <w:sz w:val="18"/>
          <w:szCs w:val="18"/>
          <w:b w:val="1"/>
          <w:bCs w:val="1"/>
          <w:color w:val="auto"/>
        </w:rPr>
        <w:t>(In millions)(Unaudited)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89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7"/>
          </w:tcPr>
          <w:p>
            <w:pPr>
              <w:jc w:val="right"/>
              <w:ind w:right="28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9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32"/>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auto"/>
            </w:tcBorders>
          </w:tcPr>
          <w:p>
            <w:pPr>
              <w:spacing w:after="0"/>
              <w:rPr>
                <w:sz w:val="13"/>
                <w:szCs w:val="13"/>
                <w:color w:val="auto"/>
              </w:rPr>
            </w:pPr>
          </w:p>
        </w:tc>
        <w:tc>
          <w:tcPr>
            <w:tcW w:w="3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51"/>
              <w:spacing w:after="0" w:line="155"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9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cash provided by operating activities</w:t>
            </w:r>
          </w:p>
        </w:tc>
        <w:tc>
          <w:tcPr>
            <w:tcW w:w="2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3,938</w:t>
            </w:r>
          </w:p>
        </w:tc>
        <w:tc>
          <w:tcPr>
            <w:tcW w:w="32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4,833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60" w:type="dxa"/>
            <w:vAlign w:val="bottom"/>
          </w:tcPr>
          <w:p>
            <w:pPr>
              <w:spacing w:after="0" w:line="202" w:lineRule="exact"/>
              <w:rPr>
                <w:sz w:val="20"/>
                <w:szCs w:val="20"/>
                <w:color w:val="auto"/>
              </w:rPr>
            </w:pPr>
            <w:r>
              <w:rPr>
                <w:rFonts w:ascii="Arial" w:cs="Arial" w:eastAsia="Arial" w:hAnsi="Arial"/>
                <w:sz w:val="18"/>
                <w:szCs w:val="18"/>
                <w:b w:val="1"/>
                <w:bCs w:val="1"/>
                <w:color w:val="auto"/>
              </w:rPr>
              <w:t>Cash flows from investing activities:</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6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Capital expenditures and aircraft purchase deposits</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(3,194)</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(3,063)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60" w:type="dxa"/>
            <w:vAlign w:val="bottom"/>
          </w:tcPr>
          <w:p>
            <w:pPr>
              <w:ind w:left="340"/>
              <w:spacing w:after="0" w:line="202" w:lineRule="exact"/>
              <w:rPr>
                <w:sz w:val="20"/>
                <w:szCs w:val="20"/>
                <w:color w:val="auto"/>
              </w:rPr>
            </w:pPr>
            <w:r>
              <w:rPr>
                <w:rFonts w:ascii="Arial" w:cs="Arial" w:eastAsia="Arial" w:hAnsi="Arial"/>
                <w:sz w:val="18"/>
                <w:szCs w:val="18"/>
                <w:color w:val="auto"/>
              </w:rPr>
              <w:t>Purchases of short-term investments</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(3,829)</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(3,605)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6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Sales of short-term investments</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3,373</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2,810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60" w:type="dxa"/>
            <w:vAlign w:val="bottom"/>
          </w:tcPr>
          <w:p>
            <w:pPr>
              <w:ind w:left="340"/>
              <w:spacing w:after="0" w:line="202" w:lineRule="exact"/>
              <w:rPr>
                <w:sz w:val="20"/>
                <w:szCs w:val="20"/>
                <w:color w:val="auto"/>
              </w:rPr>
            </w:pPr>
            <w:r>
              <w:rPr>
                <w:rFonts w:ascii="Arial" w:cs="Arial" w:eastAsia="Arial" w:hAnsi="Arial"/>
                <w:sz w:val="18"/>
                <w:szCs w:val="18"/>
                <w:color w:val="auto"/>
              </w:rPr>
              <w:t>Decrease in restricted cash and short-term investments</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84</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6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Proceeds from sale of property and equipment and sale-leaseback transactions</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313</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960" w:type="dxa"/>
            <w:vAlign w:val="bottom"/>
          </w:tcPr>
          <w:p>
            <w:pPr>
              <w:ind w:left="700"/>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(3,253)</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(3,771)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flows from financing activities:</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60" w:type="dxa"/>
            <w:vAlign w:val="bottom"/>
          </w:tcPr>
          <w:p>
            <w:pPr>
              <w:ind w:left="340"/>
              <w:spacing w:after="0" w:line="202" w:lineRule="exact"/>
              <w:rPr>
                <w:sz w:val="20"/>
                <w:szCs w:val="20"/>
                <w:color w:val="auto"/>
              </w:rPr>
            </w:pPr>
            <w:r>
              <w:rPr>
                <w:rFonts w:ascii="Arial" w:cs="Arial" w:eastAsia="Arial" w:hAnsi="Arial"/>
                <w:sz w:val="18"/>
                <w:szCs w:val="18"/>
                <w:color w:val="auto"/>
              </w:rPr>
              <w:t>Proceeds from issuance of long-term debt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1,625</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4,522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6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Payments on long-term debt and capital leases</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(1,101)</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(2,163)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60" w:type="dxa"/>
            <w:vAlign w:val="bottom"/>
          </w:tcPr>
          <w:p>
            <w:pPr>
              <w:ind w:left="340"/>
              <w:spacing w:after="0" w:line="202" w:lineRule="exact"/>
              <w:rPr>
                <w:sz w:val="20"/>
                <w:szCs w:val="20"/>
                <w:color w:val="auto"/>
              </w:rPr>
            </w:pPr>
            <w:r>
              <w:rPr>
                <w:rFonts w:ascii="Arial" w:cs="Arial" w:eastAsia="Arial" w:hAnsi="Arial"/>
                <w:sz w:val="18"/>
                <w:szCs w:val="18"/>
                <w:color w:val="auto"/>
              </w:rPr>
              <w:t>Deferred financing costs</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(39)</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6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Treasury stock repurchases</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(1,013)</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(3,236)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60" w:type="dxa"/>
            <w:vAlign w:val="bottom"/>
          </w:tcPr>
          <w:p>
            <w:pPr>
              <w:ind w:left="340"/>
              <w:spacing w:after="0" w:line="202" w:lineRule="exact"/>
              <w:rPr>
                <w:sz w:val="20"/>
                <w:szCs w:val="20"/>
                <w:color w:val="auto"/>
              </w:rPr>
            </w:pPr>
            <w:r>
              <w:rPr>
                <w:rFonts w:ascii="Arial" w:cs="Arial" w:eastAsia="Arial" w:hAnsi="Arial"/>
                <w:sz w:val="18"/>
                <w:szCs w:val="18"/>
                <w:color w:val="auto"/>
              </w:rPr>
              <w:t>Dividend payments</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(102)</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6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Other financing activities</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9</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960" w:type="dxa"/>
            <w:vAlign w:val="bottom"/>
          </w:tcPr>
          <w:p>
            <w:pPr>
              <w:ind w:left="700"/>
              <w:spacing w:after="0"/>
              <w:rPr>
                <w:sz w:val="20"/>
                <w:szCs w:val="20"/>
                <w:color w:val="auto"/>
              </w:rPr>
            </w:pPr>
            <w:r>
              <w:rPr>
                <w:rFonts w:ascii="Arial" w:cs="Arial" w:eastAsia="Arial" w:hAnsi="Arial"/>
                <w:sz w:val="18"/>
                <w:szCs w:val="18"/>
                <w:color w:val="auto"/>
              </w:rPr>
              <w:t>Net cash used in financing activities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(621)</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(1,006)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8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increase in cash</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64</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60" w:type="dxa"/>
            <w:vAlign w:val="bottom"/>
          </w:tcPr>
          <w:p>
            <w:pPr>
              <w:spacing w:after="0" w:line="202" w:lineRule="exact"/>
              <w:rPr>
                <w:sz w:val="20"/>
                <w:szCs w:val="20"/>
                <w:color w:val="auto"/>
              </w:rPr>
            </w:pPr>
            <w:r>
              <w:rPr>
                <w:rFonts w:ascii="Arial" w:cs="Arial" w:eastAsia="Arial" w:hAnsi="Arial"/>
                <w:sz w:val="18"/>
                <w:szCs w:val="18"/>
                <w:color w:val="auto"/>
              </w:rPr>
              <w:t>Cash at beginning of period</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322</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8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at end of period</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386</w:t>
            </w:r>
          </w:p>
        </w:tc>
        <w:tc>
          <w:tcPr>
            <w:tcW w:w="32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0"/>
        </w:trPr>
        <w:tc>
          <w:tcPr>
            <w:tcW w:w="8980" w:type="dxa"/>
            <w:vAlign w:val="bottom"/>
            <w:gridSpan w:val="2"/>
            <w:vMerge w:val="restart"/>
          </w:tcPr>
          <w:p>
            <w:pPr>
              <w:spacing w:after="0"/>
              <w:rPr>
                <w:sz w:val="20"/>
                <w:szCs w:val="20"/>
                <w:color w:val="auto"/>
              </w:rPr>
            </w:pPr>
            <w:r>
              <w:rPr>
                <w:rFonts w:ascii="Arial" w:cs="Arial" w:eastAsia="Arial" w:hAnsi="Arial"/>
                <w:sz w:val="18"/>
                <w:szCs w:val="18"/>
                <w:color w:val="auto"/>
              </w:rPr>
              <w:t>Non-cash investing and financing activities:</w:t>
            </w: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898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6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Settlement of bankruptcy obligations</w:t>
            </w: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60" w:type="dxa"/>
            <w:vAlign w:val="bottom"/>
          </w:tcPr>
          <w:p>
            <w:pPr>
              <w:spacing w:after="0" w:line="202" w:lineRule="exact"/>
              <w:rPr>
                <w:sz w:val="20"/>
                <w:szCs w:val="20"/>
                <w:color w:val="auto"/>
              </w:rPr>
            </w:pPr>
            <w:r>
              <w:rPr>
                <w:rFonts w:ascii="Arial" w:cs="Arial" w:eastAsia="Arial" w:hAnsi="Arial"/>
                <w:sz w:val="18"/>
                <w:szCs w:val="18"/>
                <w:color w:val="auto"/>
              </w:rPr>
              <w:t>Supplemental information:</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6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Interest paid, net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516</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960" w:type="dxa"/>
            <w:vAlign w:val="bottom"/>
          </w:tcPr>
          <w:p>
            <w:pPr>
              <w:ind w:left="340"/>
              <w:spacing w:after="0"/>
              <w:rPr>
                <w:sz w:val="20"/>
                <w:szCs w:val="20"/>
                <w:color w:val="auto"/>
              </w:rPr>
            </w:pPr>
            <w:r>
              <w:rPr>
                <w:rFonts w:ascii="Arial" w:cs="Arial" w:eastAsia="Arial" w:hAnsi="Arial"/>
                <w:sz w:val="18"/>
                <w:szCs w:val="18"/>
                <w:color w:val="auto"/>
              </w:rPr>
              <w:t>Income taxes paid</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9</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65" w:right="239" w:bottom="1440" w:gutter="0" w:footer="0" w:header="0"/>
        </w:sectPr>
      </w:pPr>
    </w:p>
    <w:bookmarkStart w:id="8" w:name="page9"/>
    <w:bookmarkEnd w:id="8"/>
    <w:p>
      <w:pPr>
        <w:jc w:val="center"/>
        <w:spacing w:after="0" w:line="27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 TO CONDENSED CONSOLIDATED FINANCIAL STATEMENTS OF AMERICAN AIRLINES GROUP INC. (Unaudited)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26" w:lineRule="exact"/>
        <w:rPr>
          <w:sz w:val="20"/>
          <w:szCs w:val="20"/>
          <w:color w:val="auto"/>
        </w:rPr>
      </w:pPr>
    </w:p>
    <w:p>
      <w:pPr>
        <w:jc w:val="both"/>
        <w:ind w:firstLine="228"/>
        <w:spacing w:after="0" w:line="238" w:lineRule="auto"/>
        <w:rPr>
          <w:sz w:val="20"/>
          <w:szCs w:val="20"/>
          <w:color w:val="auto"/>
        </w:rPr>
      </w:pPr>
      <w:r>
        <w:rPr>
          <w:rFonts w:ascii="Arial" w:cs="Arial" w:eastAsia="Arial" w:hAnsi="Arial"/>
          <w:sz w:val="18"/>
          <w:szCs w:val="18"/>
          <w:color w:val="auto"/>
        </w:rPr>
        <w:t>The accompanying unaudited condensed consolidated financial statements of American Airlines Group Inc. (we, us, our and similar terms, or AAG) should be read in conjunction with the consolidated financial statements contained in our Annual Report on Form 10-K for the year ended December 31, 2016. The accompanying unaudited condensed consolidated financial statements include the accounts of AAG and its wholly-owned subsidiaries. AAG’s principal subsidiary is American Airlines, Inc. (American). All significant intercompany transactions have been eliminated.</w:t>
      </w:r>
    </w:p>
    <w:p>
      <w:pPr>
        <w:spacing w:after="0" w:line="203" w:lineRule="exact"/>
        <w:rPr>
          <w:sz w:val="20"/>
          <w:szCs w:val="20"/>
          <w:color w:val="auto"/>
        </w:rPr>
      </w:pPr>
    </w:p>
    <w:p>
      <w:pPr>
        <w:jc w:val="both"/>
        <w:ind w:firstLine="228"/>
        <w:spacing w:after="0" w:line="238" w:lineRule="auto"/>
        <w:rPr>
          <w:sz w:val="20"/>
          <w:szCs w:val="20"/>
          <w:color w:val="auto"/>
        </w:rPr>
      </w:pPr>
      <w:r>
        <w:rPr>
          <w:rFonts w:ascii="Arial" w:cs="Arial" w:eastAsia="Arial" w:hAnsi="Arial"/>
          <w:sz w:val="18"/>
          <w:szCs w:val="18"/>
          <w:color w:val="auto"/>
        </w:rPr>
        <w:t>On December 9, 2013, a subsidiary of AMR Corporation (AMR) merged with and into US Airways Group, Inc. (US Airways Group), a Delaware corporation, which survived as a wholly-owned subsidiary of AAG, and AAG emerged from Chapter 11 (the Merger). Upon closing of the Merger and emergence from Chapter 11, AMR changed its name to American Airlines Group Inc. On December 30, 2015, in order to simplify AAG’s internal corporate structure, US Airways, Inc. (US Airways), a wholly-owned subsidiary of US Airways Group, merged with and into American, with American as the surviving corporation.</w:t>
      </w:r>
    </w:p>
    <w:p>
      <w:pPr>
        <w:spacing w:after="0" w:line="203" w:lineRule="exact"/>
        <w:rPr>
          <w:sz w:val="20"/>
          <w:szCs w:val="20"/>
          <w:color w:val="auto"/>
        </w:rPr>
      </w:pPr>
    </w:p>
    <w:p>
      <w:pPr>
        <w:jc w:val="both"/>
        <w:ind w:firstLine="228"/>
        <w:spacing w:after="0" w:line="236" w:lineRule="auto"/>
        <w:rPr>
          <w:sz w:val="20"/>
          <w:szCs w:val="20"/>
          <w:color w:val="auto"/>
        </w:rPr>
      </w:pPr>
      <w:r>
        <w:rPr>
          <w:rFonts w:ascii="Arial" w:cs="Arial" w:eastAsia="Arial" w:hAnsi="Arial"/>
          <w:sz w:val="18"/>
          <w:szCs w:val="18"/>
          <w:color w:val="auto"/>
        </w:rPr>
        <w:t>Management believes that all adjustments necessary for the fair presentation of results, consisting of normally recurring items, have been included in the unaudited condensed consolidated financial statements for the interim periods presented. The preparation of financial statements in accordance with accounting principles generally accepted in the United States (GAAP) requires management to make certain estimates and assumptions that affect the reported amounts of assets and liabilities, revenues and expenses, and the disclosure of contingent assets and liabilities at the date of the financial statements. Actual results could differ from those estimates. The most significant areas of judgment relate to passenger revenue recognition, impairment of goodwill, impairment of long-lived and intangible assets, the loyalty program, valuation allowance for deferred tax assets, as well as pension and retiree medical and other postretirement benefits. Certain prior period amounts have been reclassified to conform to the current year presentation.</w:t>
      </w:r>
    </w:p>
    <w:p>
      <w:pPr>
        <w:spacing w:after="0" w:line="2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08"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Revenue</w:t>
      </w:r>
    </w:p>
    <w:p>
      <w:pPr>
        <w:spacing w:after="0" w:line="122" w:lineRule="exact"/>
        <w:rPr>
          <w:sz w:val="20"/>
          <w:szCs w:val="20"/>
          <w:color w:val="auto"/>
        </w:rPr>
      </w:pPr>
    </w:p>
    <w:p>
      <w:pPr>
        <w:jc w:val="both"/>
        <w:ind w:firstLine="228"/>
        <w:spacing w:after="0" w:line="236" w:lineRule="auto"/>
        <w:rPr>
          <w:sz w:val="20"/>
          <w:szCs w:val="20"/>
          <w:color w:val="auto"/>
        </w:rPr>
      </w:pPr>
      <w:r>
        <w:rPr>
          <w:rFonts w:ascii="Arial" w:cs="Arial" w:eastAsia="Arial" w:hAnsi="Arial"/>
          <w:sz w:val="18"/>
          <w:szCs w:val="18"/>
          <w:color w:val="auto"/>
        </w:rPr>
        <w:t>In May 2014, the Financial Accounting Standards Board (FASB) issued Accounting Standards Update (ASU) 2014-09, “Revenue from Contracts with Customers (Topic 606).” ASU 2014-09 completes the joint effort by the FASB and International Accounting Standards Board (IASB) to improve financial reporting by creating common revenue recognition guidance for GAAP and International Financial Reporting Standards (IFRS). Subsequently, the FASB has issued several additional ASUs to clarify the implementation. The new revenue standard applies to all companies that enter into contracts with customers to transfer goods or services and is effective for public entities for interim and annual reporting periods beginning after December 15, 2017. We will adopt the new revenue standard effective January 1, 2018. Entities have the choice to apply the new revenue standard either retrospectively to each reporting period presented or by recognizing the cumulative effect of applying the new revenue standard at the date of initial application and not adjusting comparative information. We currently expect to adopt the new revenue standard using the full retrospective method.</w:t>
      </w:r>
    </w:p>
    <w:p>
      <w:pPr>
        <w:spacing w:after="0" w:line="207" w:lineRule="exact"/>
        <w:rPr>
          <w:sz w:val="20"/>
          <w:szCs w:val="20"/>
          <w:color w:val="auto"/>
        </w:rPr>
      </w:pPr>
    </w:p>
    <w:p>
      <w:pPr>
        <w:jc w:val="both"/>
        <w:ind w:firstLine="228"/>
        <w:spacing w:after="0" w:line="236" w:lineRule="auto"/>
        <w:rPr>
          <w:sz w:val="20"/>
          <w:szCs w:val="20"/>
          <w:color w:val="auto"/>
        </w:rPr>
      </w:pPr>
      <w:r>
        <w:rPr>
          <w:rFonts w:ascii="Arial" w:cs="Arial" w:eastAsia="Arial" w:hAnsi="Arial"/>
          <w:sz w:val="18"/>
          <w:szCs w:val="18"/>
          <w:color w:val="auto"/>
        </w:rPr>
        <w:t>We are still in the process of evaluating how the adoption of the new revenue standard will impact our condensed consolidated financial statements. We currently expect that the new revenue standard will materially impact our liability for outstanding mileage credits earned by AAdvantage loyalty program members when flying on American. We currently use the incremental cost method to account for this portion of our loyalty program liability, which values these mileage credits based on the estimated incremental cost of carrying one additional passenger. The new revenue standard will require us to change our policy and apply a relative selling price approach whereby a portion of each passenger ticket sale attributable to mileage credits earned will be deferred and recognized in passenger revenue upon future mileage redemption. The carrying value of the earned mileage credits recognized in loyalty program liability is expected to be materially greater under the relative selling price approach than the value attributed to these mileage credits under the incremental cost method. The new revenue standard will also require us to reclassify certain ancillary fees to passenger revenue, which are currently included within other operating revenue.</w:t>
      </w:r>
    </w:p>
    <w:p>
      <w:pPr>
        <w:spacing w:after="0" w:line="298"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Leases</w:t>
      </w:r>
    </w:p>
    <w:p>
      <w:pPr>
        <w:spacing w:after="0" w:line="122" w:lineRule="exact"/>
        <w:rPr>
          <w:sz w:val="20"/>
          <w:szCs w:val="20"/>
          <w:color w:val="auto"/>
        </w:rPr>
      </w:pPr>
    </w:p>
    <w:p>
      <w:pPr>
        <w:jc w:val="both"/>
        <w:ind w:firstLine="228"/>
        <w:spacing w:after="0" w:line="237" w:lineRule="auto"/>
        <w:rPr>
          <w:sz w:val="20"/>
          <w:szCs w:val="20"/>
          <w:color w:val="auto"/>
        </w:rPr>
      </w:pPr>
      <w:r>
        <w:rPr>
          <w:rFonts w:ascii="Arial" w:cs="Arial" w:eastAsia="Arial" w:hAnsi="Arial"/>
          <w:sz w:val="18"/>
          <w:szCs w:val="18"/>
          <w:color w:val="auto"/>
        </w:rPr>
        <w:t>In February 2016, the FASB issued ASU 2016-02, “Leases (Topic 842).” ASU 2016-02 requires lessees to recognize a lease liability and a right-of-use asset on the balance sheet and aligns many of the underlying principles of the new lessor model with those in Accounting Standards Codification Topic 606, Revenue from Contracts with Customers. ASU 2016-02 is effective for fiscal years beginning after December 15, 2018, including interim periods within those fiscal years. Early adoption is permitted. Entities are required to adopt the new lease standard using a modified retrospective approach for all leases existing at or commencing after the date of initial application with an option to use certain practical expedients.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65" w:right="239" w:bottom="1440" w:gutter="0" w:footer="0" w:header="0"/>
        </w:sectPr>
      </w:pPr>
    </w:p>
    <w:bookmarkStart w:id="9" w:name="page10"/>
    <w:bookmarkEnd w:id="9"/>
    <w:p>
      <w:pPr>
        <w:jc w:val="center"/>
        <w:spacing w:after="0" w:line="27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 TO CONDENSED CONSOLIDATED FINANCIAL STATEMENTS OF AMERICAN AIRLINES GROUP INC. (Unaudited)</w:t>
      </w:r>
    </w:p>
    <w:p>
      <w:pPr>
        <w:spacing w:after="0" w:line="10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are currently evaluating how the adoption of the new lease standard will impact our condensed consolidated financial statements. Interpretations are on-going and could have a material impact on our implementation. Currently, we expect that the adoption of the new lease standard will have a material impact on our condensed consolidated balance sheet due to the recognition of right-of-use assets and lease liabilities principally for certain leases currently accounted for as operating leases.</w:t>
      </w:r>
    </w:p>
    <w:p>
      <w:pPr>
        <w:spacing w:after="0" w:line="292"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Statement of Cash Flows</w:t>
      </w:r>
    </w:p>
    <w:p>
      <w:pPr>
        <w:spacing w:after="0" w:line="122" w:lineRule="exact"/>
        <w:rPr>
          <w:sz w:val="20"/>
          <w:szCs w:val="20"/>
          <w:color w:val="auto"/>
        </w:rPr>
      </w:pPr>
    </w:p>
    <w:p>
      <w:pPr>
        <w:jc w:val="both"/>
        <w:ind w:firstLine="228"/>
        <w:spacing w:after="0" w:line="237" w:lineRule="auto"/>
        <w:rPr>
          <w:sz w:val="20"/>
          <w:szCs w:val="20"/>
          <w:color w:val="auto"/>
        </w:rPr>
      </w:pPr>
      <w:r>
        <w:rPr>
          <w:rFonts w:ascii="Arial" w:cs="Arial" w:eastAsia="Arial" w:hAnsi="Arial"/>
          <w:sz w:val="18"/>
          <w:szCs w:val="18"/>
          <w:color w:val="auto"/>
        </w:rPr>
        <w:t>In November 2016, the FASB issued ASU 2016-18, “Statement of Cash Flows (Topic 230): Restricted Cash.” ASU 2016-18 requires that the change in total cash, cash at beginning of period and cash at end of period on the statement of cash flows include restricted cash and restricted cash equivalents. ASU 2016-18 also requires companies who report cash and restricted cash separately on the balance sheet to reconcile those amounts to the statement of cash flows. This standard is to be applied retrospectively to each period presented and is effective for public entities for fiscal years beginning after December 15, 2017, and interim periods within those fiscal years. Early adoption is permitted. This standard is not expected to have a material impact on our condensed consolidated financial statements.</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Retirement Benefits</w:t>
      </w:r>
    </w:p>
    <w:p>
      <w:pPr>
        <w:spacing w:after="0" w:line="122" w:lineRule="exact"/>
        <w:rPr>
          <w:sz w:val="20"/>
          <w:szCs w:val="20"/>
          <w:color w:val="auto"/>
        </w:rPr>
      </w:pPr>
    </w:p>
    <w:p>
      <w:pPr>
        <w:jc w:val="both"/>
        <w:ind w:firstLine="228"/>
        <w:spacing w:after="0" w:line="236" w:lineRule="auto"/>
        <w:rPr>
          <w:sz w:val="20"/>
          <w:szCs w:val="20"/>
          <w:color w:val="auto"/>
        </w:rPr>
      </w:pPr>
      <w:r>
        <w:rPr>
          <w:rFonts w:ascii="Arial" w:cs="Arial" w:eastAsia="Arial" w:hAnsi="Arial"/>
          <w:sz w:val="18"/>
          <w:szCs w:val="18"/>
          <w:color w:val="auto"/>
        </w:rPr>
        <w:t>In March 2017, the FASB issued ASU 2017-07, “Compensation – Retirement Benefits (Topic 715): Improving the Presentation of Net Periodic Pension Cost and Net Periodic Postretirement Benefit Cost.” ASU 2017-07 requires an entity to present the service cost component of net benefit cost in the income statement line items where it reports compensation cost. Entities will present all other components of net benefit cost outside of operating income, if this subtotal is presented. This standard is to be applied retrospectively to each period presented and is effective for public entities for fiscal years beginning after December 15, 2017, and interim periods within those fiscal years. We will adopt this standard on January 1, 2018. The new standard will require all components of our net periodic benefit cost (income), with the exception of service cost, currently reported within operating expenses as salaries, wages and benefits, to be reclassified and reported within nonoperating income (expense). The adoption of this new standard will have no impact on pre-tax income or net income reported. See Note 8 for our current components of net periodic benefit cost (income).</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Special Items, Net</w:t>
      </w:r>
    </w:p>
    <w:p>
      <w:pPr>
        <w:spacing w:after="0" w:line="12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Special items, net on the condensed consolidated statements of operations consisted of the following (in millions):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6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0" w:type="dxa"/>
            <w:vAlign w:val="bottom"/>
            <w:gridSpan w:val="9"/>
          </w:tcPr>
          <w:p>
            <w:pPr>
              <w:ind w:left="60"/>
              <w:spacing w:after="0"/>
              <w:rPr>
                <w:sz w:val="20"/>
                <w:szCs w:val="20"/>
                <w:color w:val="auto"/>
              </w:rPr>
            </w:pPr>
            <w:r>
              <w:rPr>
                <w:rFonts w:ascii="Arial" w:cs="Arial" w:eastAsia="Arial" w:hAnsi="Arial"/>
                <w:sz w:val="14"/>
                <w:szCs w:val="14"/>
                <w:b w:val="1"/>
                <w:bCs w:val="1"/>
                <w:color w:val="auto"/>
              </w:rPr>
              <w:t>Three Months Ended June 30,</w:t>
            </w:r>
          </w:p>
        </w:tc>
        <w:tc>
          <w:tcPr>
            <w:tcW w:w="140" w:type="dxa"/>
            <w:vAlign w:val="bottom"/>
          </w:tcPr>
          <w:p>
            <w:pPr>
              <w:spacing w:after="0"/>
              <w:rPr>
                <w:sz w:val="15"/>
                <w:szCs w:val="15"/>
                <w:color w:val="auto"/>
              </w:rPr>
            </w:pPr>
          </w:p>
        </w:tc>
        <w:tc>
          <w:tcPr>
            <w:tcW w:w="212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22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92"/>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72"/>
              <w:spacing w:after="0" w:line="155"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top w:val="single" w:sz="8" w:color="auto"/>
              <w:bottom w:val="single" w:sz="8" w:color="auto"/>
            </w:tcBorders>
          </w:tcPr>
          <w:p>
            <w:pPr>
              <w:spacing w:after="0"/>
              <w:rPr>
                <w:sz w:val="13"/>
                <w:szCs w:val="13"/>
                <w:color w:val="auto"/>
              </w:rPr>
            </w:pPr>
          </w:p>
        </w:tc>
        <w:tc>
          <w:tcPr>
            <w:tcW w:w="500" w:type="dxa"/>
            <w:vAlign w:val="bottom"/>
            <w:tcBorders>
              <w:bottom w:val="single" w:sz="8" w:color="CCEEFF"/>
            </w:tcBorders>
          </w:tcPr>
          <w:p>
            <w:pPr>
              <w:spacing w:after="0"/>
              <w:rPr>
                <w:sz w:val="13"/>
                <w:szCs w:val="13"/>
                <w:color w:val="auto"/>
              </w:rPr>
            </w:pPr>
          </w:p>
        </w:tc>
        <w:tc>
          <w:tcPr>
            <w:tcW w:w="700" w:type="dxa"/>
            <w:vAlign w:val="bottom"/>
            <w:tcBorders>
              <w:top w:val="single" w:sz="8" w:color="auto"/>
              <w:bottom w:val="single" w:sz="8" w:color="auto"/>
            </w:tcBorders>
            <w:gridSpan w:val="2"/>
          </w:tcPr>
          <w:p>
            <w:pPr>
              <w:jc w:val="right"/>
              <w:ind w:right="36"/>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52"/>
              <w:spacing w:after="0" w:line="155"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top w:val="single" w:sz="8" w:color="auto"/>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 xml:space="preserve">Merger integration expenses </w:t>
            </w:r>
            <w:r>
              <w:rPr>
                <w:rFonts w:ascii="Arial" w:cs="Arial" w:eastAsia="Arial" w:hAnsi="Arial"/>
                <w:sz w:val="15"/>
                <w:szCs w:val="15"/>
                <w:color w:val="auto"/>
              </w:rPr>
              <w:t>(1)</w:t>
            </w:r>
          </w:p>
        </w:tc>
        <w:tc>
          <w:tcPr>
            <w:tcW w:w="2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68</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97</w:t>
            </w:r>
          </w:p>
        </w:tc>
        <w:tc>
          <w:tcPr>
            <w:tcW w:w="5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  130</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  201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tcPr>
          <w:p>
            <w:pPr>
              <w:spacing w:after="0" w:line="202" w:lineRule="exact"/>
              <w:rPr>
                <w:sz w:val="20"/>
                <w:szCs w:val="20"/>
                <w:color w:val="auto"/>
              </w:rPr>
            </w:pPr>
            <w:r>
              <w:rPr>
                <w:rFonts w:ascii="Arial" w:cs="Arial" w:eastAsia="Arial" w:hAnsi="Arial"/>
                <w:sz w:val="18"/>
                <w:szCs w:val="18"/>
                <w:color w:val="auto"/>
              </w:rPr>
              <w:t xml:space="preserve">Fleet restructuring expenses </w:t>
            </w:r>
            <w:r>
              <w:rPr>
                <w:rFonts w:ascii="Arial" w:cs="Arial" w:eastAsia="Arial" w:hAnsi="Arial"/>
                <w:sz w:val="15"/>
                <w:szCs w:val="15"/>
                <w:color w:val="auto"/>
              </w:rPr>
              <w:t>(2)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48</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15</w:t>
            </w:r>
          </w:p>
        </w:tc>
        <w:tc>
          <w:tcPr>
            <w:tcW w:w="500" w:type="dxa"/>
            <w:vAlign w:val="bottom"/>
          </w:tcPr>
          <w:p>
            <w:pPr>
              <w:spacing w:after="0"/>
              <w:rPr>
                <w:sz w:val="17"/>
                <w:szCs w:val="17"/>
                <w:color w:val="auto"/>
              </w:rPr>
            </w:pPr>
          </w:p>
        </w:tc>
        <w:tc>
          <w:tcPr>
            <w:tcW w:w="7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111</w:t>
            </w: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Mark-to-market adjustments for bankruptcy obligations and other</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38</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(56)</w:t>
            </w:r>
          </w:p>
        </w:tc>
        <w:tc>
          <w:tcPr>
            <w:tcW w:w="50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20</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tcPr>
          <w:p>
            <w:pPr>
              <w:spacing w:after="0" w:line="202" w:lineRule="exact"/>
              <w:rPr>
                <w:sz w:val="20"/>
                <w:szCs w:val="20"/>
                <w:color w:val="auto"/>
              </w:rPr>
            </w:pPr>
            <w:r>
              <w:rPr>
                <w:rFonts w:ascii="Arial" w:cs="Arial" w:eastAsia="Arial" w:hAnsi="Arial"/>
                <w:sz w:val="18"/>
                <w:szCs w:val="18"/>
                <w:color w:val="auto"/>
              </w:rPr>
              <w:t xml:space="preserve">Labor contract expenses </w:t>
            </w:r>
            <w:r>
              <w:rPr>
                <w:rFonts w:ascii="Arial" w:cs="Arial" w:eastAsia="Arial" w:hAnsi="Arial"/>
                <w:sz w:val="15"/>
                <w:szCs w:val="15"/>
                <w:color w:val="auto"/>
              </w:rPr>
              <w:t>(3)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45</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3"/>
          </w:tcPr>
          <w:p>
            <w:pPr>
              <w:jc w:val="right"/>
              <w:ind w:right="64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45</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operating charges (credits), net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14</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220" w:type="dxa"/>
            <w:vAlign w:val="bottom"/>
          </w:tcPr>
          <w:p>
            <w:pPr>
              <w:ind w:left="240"/>
              <w:spacing w:after="0"/>
              <w:rPr>
                <w:sz w:val="20"/>
                <w:szCs w:val="20"/>
                <w:color w:val="auto"/>
              </w:rPr>
            </w:pPr>
            <w:r>
              <w:rPr>
                <w:rFonts w:ascii="Arial" w:cs="Arial" w:eastAsia="Arial" w:hAnsi="Arial"/>
                <w:sz w:val="18"/>
                <w:szCs w:val="18"/>
                <w:color w:val="auto"/>
              </w:rPr>
              <w:t>Mainline operating special items, net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202</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62</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320</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 xml:space="preserve">Regional operating special items, net </w:t>
            </w:r>
            <w:r>
              <w:rPr>
                <w:rFonts w:ascii="Arial" w:cs="Arial" w:eastAsia="Arial" w:hAnsi="Arial"/>
                <w:sz w:val="15"/>
                <w:szCs w:val="15"/>
                <w:color w:val="auto"/>
              </w:rPr>
              <w:t>(4)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w:t>
            </w:r>
          </w:p>
        </w:tc>
        <w:tc>
          <w:tcPr>
            <w:tcW w:w="50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 xml:space="preserve">Nonoperating special items, net </w:t>
            </w:r>
            <w:r>
              <w:rPr>
                <w:rFonts w:ascii="Arial" w:cs="Arial" w:eastAsia="Arial" w:hAnsi="Arial"/>
                <w:sz w:val="15"/>
                <w:szCs w:val="15"/>
                <w:color w:val="auto"/>
              </w:rPr>
              <w:t>(5)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36</w:t>
            </w:r>
          </w:p>
        </w:tc>
        <w:tc>
          <w:tcPr>
            <w:tcW w:w="500" w:type="dxa"/>
            <w:vAlign w:val="bottom"/>
          </w:tcPr>
          <w:p>
            <w:pPr>
              <w:spacing w:after="0"/>
              <w:rPr>
                <w:sz w:val="18"/>
                <w:szCs w:val="18"/>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8"/>
                <w:szCs w:val="18"/>
                <w:color w:val="auto"/>
              </w:rPr>
              <w:t>7</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4" w:lineRule="exact"/>
        <w:rPr>
          <w:sz w:val="20"/>
          <w:szCs w:val="20"/>
          <w:color w:val="auto"/>
        </w:rPr>
      </w:pPr>
    </w:p>
    <w:p>
      <w:pPr>
        <w:jc w:val="both"/>
        <w:ind w:left="460" w:hanging="452"/>
        <w:spacing w:after="0"/>
        <w:tabs>
          <w:tab w:leader="none" w:pos="460" w:val="left"/>
        </w:tabs>
        <w:numPr>
          <w:ilvl w:val="0"/>
          <w:numId w:val="3"/>
        </w:numPr>
        <w:rPr>
          <w:rFonts w:ascii="Arial" w:cs="Arial" w:eastAsia="Arial" w:hAnsi="Arial"/>
          <w:sz w:val="15"/>
          <w:szCs w:val="15"/>
          <w:color w:val="auto"/>
        </w:rPr>
      </w:pPr>
      <w:r>
        <w:rPr>
          <w:rFonts w:ascii="Arial" w:cs="Arial" w:eastAsia="Arial" w:hAnsi="Arial"/>
          <w:sz w:val="18"/>
          <w:szCs w:val="18"/>
          <w:color w:val="auto"/>
        </w:rPr>
        <w:t>Merger integration expenses included costs related to information technology, professional fees, re-branding of aircraft and airport facilities and training. Additionally, the 2016 periods also included costs related to alignment of labor union contracts, re-branded uniforms, relocation and severance.</w:t>
      </w:r>
    </w:p>
    <w:p>
      <w:pPr>
        <w:spacing w:after="0" w:line="108" w:lineRule="exact"/>
        <w:rPr>
          <w:rFonts w:ascii="Arial" w:cs="Arial" w:eastAsia="Arial" w:hAnsi="Arial"/>
          <w:sz w:val="15"/>
          <w:szCs w:val="15"/>
          <w:color w:val="auto"/>
        </w:rPr>
      </w:pPr>
    </w:p>
    <w:p>
      <w:pPr>
        <w:ind w:left="460" w:hanging="452"/>
        <w:spacing w:after="0" w:line="246" w:lineRule="auto"/>
        <w:tabs>
          <w:tab w:leader="none" w:pos="460" w:val="left"/>
        </w:tabs>
        <w:numPr>
          <w:ilvl w:val="0"/>
          <w:numId w:val="3"/>
        </w:numPr>
        <w:rPr>
          <w:rFonts w:ascii="Arial" w:cs="Arial" w:eastAsia="Arial" w:hAnsi="Arial"/>
          <w:sz w:val="15"/>
          <w:szCs w:val="15"/>
          <w:color w:val="auto"/>
        </w:rPr>
      </w:pPr>
      <w:r>
        <w:rPr>
          <w:rFonts w:ascii="Arial" w:cs="Arial" w:eastAsia="Arial" w:hAnsi="Arial"/>
          <w:sz w:val="18"/>
          <w:szCs w:val="18"/>
          <w:color w:val="auto"/>
        </w:rPr>
        <w:t>Fleet restructuring expenses driven by the Merger principally included the acceleration of aircraft depreciation and impairments for aircraft grounded or expected to be grounded earlier than planned.</w:t>
      </w:r>
    </w:p>
    <w:p>
      <w:pPr>
        <w:spacing w:after="0" w:line="102" w:lineRule="exact"/>
        <w:rPr>
          <w:rFonts w:ascii="Arial" w:cs="Arial" w:eastAsia="Arial" w:hAnsi="Arial"/>
          <w:sz w:val="15"/>
          <w:szCs w:val="15"/>
          <w:color w:val="auto"/>
        </w:rPr>
      </w:pPr>
    </w:p>
    <w:p>
      <w:pPr>
        <w:ind w:left="460" w:hanging="452"/>
        <w:spacing w:after="0" w:line="246" w:lineRule="auto"/>
        <w:tabs>
          <w:tab w:leader="none" w:pos="460" w:val="left"/>
        </w:tabs>
        <w:numPr>
          <w:ilvl w:val="0"/>
          <w:numId w:val="3"/>
        </w:numPr>
        <w:rPr>
          <w:rFonts w:ascii="Arial" w:cs="Arial" w:eastAsia="Arial" w:hAnsi="Arial"/>
          <w:sz w:val="15"/>
          <w:szCs w:val="15"/>
          <w:color w:val="auto"/>
        </w:rPr>
      </w:pPr>
      <w:r>
        <w:rPr>
          <w:rFonts w:ascii="Arial" w:cs="Arial" w:eastAsia="Arial" w:hAnsi="Arial"/>
          <w:sz w:val="18"/>
          <w:szCs w:val="18"/>
          <w:color w:val="auto"/>
        </w:rPr>
        <w:t>Labor contract expenses primarily included one-time charges to adjust the vacation accruals for pilots and flight attendants as a result of the mid-contract pay rate adjustments effective in the second quarter of 2017.</w:t>
      </w:r>
    </w:p>
    <w:p>
      <w:pPr>
        <w:spacing w:after="0" w:line="102" w:lineRule="exact"/>
        <w:rPr>
          <w:rFonts w:ascii="Arial" w:cs="Arial" w:eastAsia="Arial" w:hAnsi="Arial"/>
          <w:sz w:val="15"/>
          <w:szCs w:val="15"/>
          <w:color w:val="auto"/>
        </w:rPr>
      </w:pPr>
    </w:p>
    <w:p>
      <w:pPr>
        <w:ind w:left="460" w:hanging="452"/>
        <w:spacing w:after="0"/>
        <w:tabs>
          <w:tab w:leader="none" w:pos="460" w:val="left"/>
        </w:tabs>
        <w:numPr>
          <w:ilvl w:val="0"/>
          <w:numId w:val="3"/>
        </w:numPr>
        <w:rPr>
          <w:rFonts w:ascii="Arial" w:cs="Arial" w:eastAsia="Arial" w:hAnsi="Arial"/>
          <w:sz w:val="15"/>
          <w:szCs w:val="15"/>
          <w:color w:val="auto"/>
        </w:rPr>
      </w:pPr>
      <w:r>
        <w:rPr>
          <w:rFonts w:ascii="Arial" w:cs="Arial" w:eastAsia="Arial" w:hAnsi="Arial"/>
          <w:sz w:val="18"/>
          <w:szCs w:val="18"/>
          <w:color w:val="auto"/>
        </w:rPr>
        <w:t>Regional operating special items, net principally related to Merger integration expenses.</w:t>
      </w:r>
    </w:p>
    <w:p>
      <w:pPr>
        <w:spacing w:after="0" w:line="117" w:lineRule="exact"/>
        <w:rPr>
          <w:rFonts w:ascii="Arial" w:cs="Arial" w:eastAsia="Arial" w:hAnsi="Arial"/>
          <w:sz w:val="15"/>
          <w:szCs w:val="15"/>
          <w:color w:val="auto"/>
        </w:rPr>
      </w:pPr>
    </w:p>
    <w:p>
      <w:pPr>
        <w:ind w:left="460" w:hanging="452"/>
        <w:spacing w:after="0" w:line="246" w:lineRule="auto"/>
        <w:tabs>
          <w:tab w:leader="none" w:pos="460" w:val="left"/>
        </w:tabs>
        <w:numPr>
          <w:ilvl w:val="0"/>
          <w:numId w:val="3"/>
        </w:numPr>
        <w:rPr>
          <w:rFonts w:ascii="Arial" w:cs="Arial" w:eastAsia="Arial" w:hAnsi="Arial"/>
          <w:sz w:val="15"/>
          <w:szCs w:val="15"/>
          <w:color w:val="auto"/>
        </w:rPr>
      </w:pPr>
      <w:r>
        <w:rPr>
          <w:rFonts w:ascii="Arial" w:cs="Arial" w:eastAsia="Arial" w:hAnsi="Arial"/>
          <w:sz w:val="18"/>
          <w:szCs w:val="18"/>
          <w:color w:val="auto"/>
        </w:rPr>
        <w:t>Nonoperating special items, net primarily consisted of debt issuance and extinguishment costs associated with term loan refinancings. Additionally, the 2016 periods included costs associated with a bond refinancing.</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65" w:right="239" w:bottom="1440" w:gutter="0" w:footer="0" w:header="0"/>
        </w:sectPr>
      </w:pPr>
    </w:p>
    <w:bookmarkStart w:id="10" w:name="page11"/>
    <w:bookmarkEnd w:id="10"/>
    <w:p>
      <w:pPr>
        <w:jc w:val="center"/>
        <w:spacing w:after="0" w:line="27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 TO CONDENSED CONSOLIDATED FINANCIAL STATEMENTS OF AMERICAN AIRLINES GROUP INC. (Unaudited)</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Common Share</w:t>
      </w:r>
    </w:p>
    <w:p>
      <w:pPr>
        <w:spacing w:after="0" w:line="126" w:lineRule="exact"/>
        <w:rPr>
          <w:sz w:val="20"/>
          <w:szCs w:val="20"/>
          <w:color w:val="auto"/>
        </w:rPr>
      </w:pPr>
    </w:p>
    <w:p>
      <w:pPr>
        <w:jc w:val="both"/>
        <w:ind w:firstLine="228"/>
        <w:spacing w:after="0" w:line="246" w:lineRule="auto"/>
        <w:rPr>
          <w:sz w:val="20"/>
          <w:szCs w:val="20"/>
          <w:color w:val="auto"/>
        </w:rPr>
      </w:pPr>
      <w:r>
        <w:rPr>
          <w:rFonts w:ascii="Arial" w:cs="Arial" w:eastAsia="Arial" w:hAnsi="Arial"/>
          <w:sz w:val="18"/>
          <w:szCs w:val="18"/>
          <w:color w:val="auto"/>
        </w:rPr>
        <w:t>The following table sets forth the computation of basic and diluted earnings per common share (EPS) (in millions, except share and per share amounts):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980" w:type="dxa"/>
            <w:vAlign w:val="bottom"/>
          </w:tcPr>
          <w:p>
            <w:pPr>
              <w:spacing w:after="0"/>
              <w:rPr>
                <w:sz w:val="15"/>
                <w:szCs w:val="15"/>
                <w:color w:val="auto"/>
              </w:rPr>
            </w:pPr>
          </w:p>
        </w:tc>
        <w:tc>
          <w:tcPr>
            <w:tcW w:w="2480" w:type="dxa"/>
            <w:vAlign w:val="bottom"/>
            <w:gridSpan w:val="10"/>
          </w:tcPr>
          <w:p>
            <w:pPr>
              <w:ind w:left="120"/>
              <w:spacing w:after="0"/>
              <w:rPr>
                <w:sz w:val="20"/>
                <w:szCs w:val="20"/>
                <w:color w:val="auto"/>
              </w:rPr>
            </w:pPr>
            <w:r>
              <w:rPr>
                <w:rFonts w:ascii="Arial" w:cs="Arial" w:eastAsia="Arial" w:hAnsi="Arial"/>
                <w:sz w:val="14"/>
                <w:szCs w:val="14"/>
                <w:b w:val="1"/>
                <w:bCs w:val="1"/>
                <w:color w:val="auto"/>
              </w:rPr>
              <w:t>Three Months Ended June 30,</w:t>
            </w:r>
          </w:p>
        </w:tc>
        <w:tc>
          <w:tcPr>
            <w:tcW w:w="1960" w:type="dxa"/>
            <w:vAlign w:val="bottom"/>
            <w:gridSpan w:val="9"/>
          </w:tcPr>
          <w:p>
            <w:pPr>
              <w:ind w:left="4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698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32"/>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32"/>
              <w:spacing w:after="0" w:line="155"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top w:val="single" w:sz="8" w:color="auto"/>
              <w:bottom w:val="single" w:sz="8" w:color="auto"/>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32"/>
              <w:spacing w:after="0" w:line="155" w:lineRule="exact"/>
              <w:rPr>
                <w:sz w:val="20"/>
                <w:szCs w:val="20"/>
                <w:color w:val="auto"/>
              </w:rPr>
            </w:pPr>
            <w:r>
              <w:rPr>
                <w:rFonts w:ascii="Arial" w:cs="Arial" w:eastAsia="Arial" w:hAnsi="Arial"/>
                <w:sz w:val="14"/>
                <w:szCs w:val="14"/>
                <w:b w:val="1"/>
                <w:bCs w:val="1"/>
                <w:color w:val="auto"/>
              </w:rPr>
              <w:t>2017</w:t>
            </w:r>
          </w:p>
        </w:tc>
        <w:tc>
          <w:tcPr>
            <w:tcW w:w="6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CCEEFF"/>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32"/>
              <w:spacing w:after="0" w:line="155" w:lineRule="exact"/>
              <w:rPr>
                <w:sz w:val="20"/>
                <w:szCs w:val="20"/>
                <w:color w:val="auto"/>
              </w:rPr>
            </w:pPr>
            <w:r>
              <w:rPr>
                <w:rFonts w:ascii="Arial" w:cs="Arial" w:eastAsia="Arial" w:hAnsi="Arial"/>
                <w:sz w:val="14"/>
                <w:szCs w:val="14"/>
                <w:b w:val="1"/>
                <w:bCs w:val="1"/>
                <w:color w:val="auto"/>
              </w:rPr>
              <w:t>2016</w:t>
            </w:r>
          </w:p>
        </w:tc>
        <w:tc>
          <w:tcPr>
            <w:tcW w:w="60" w:type="dxa"/>
            <w:vAlign w:val="bottom"/>
            <w:tcBorders>
              <w:top w:val="single" w:sz="8" w:color="auto"/>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69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EPS:</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80" w:type="dxa"/>
            <w:vAlign w:val="bottom"/>
          </w:tcPr>
          <w:p>
            <w:pPr>
              <w:spacing w:after="0" w:line="202" w:lineRule="exact"/>
              <w:rPr>
                <w:sz w:val="20"/>
                <w:szCs w:val="20"/>
                <w:color w:val="auto"/>
              </w:rPr>
            </w:pPr>
            <w:r>
              <w:rPr>
                <w:rFonts w:ascii="Arial" w:cs="Arial" w:eastAsia="Arial" w:hAnsi="Arial"/>
                <w:sz w:val="18"/>
                <w:szCs w:val="18"/>
                <w:color w:val="auto"/>
              </w:rPr>
              <w:t>Net income</w:t>
            </w:r>
          </w:p>
        </w:tc>
        <w:tc>
          <w:tcPr>
            <w:tcW w:w="240" w:type="dxa"/>
            <w:vAlign w:val="bottom"/>
            <w:gridSpan w:val="2"/>
          </w:tcPr>
          <w:p>
            <w:pPr>
              <w:ind w:left="14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803</w:t>
            </w:r>
          </w:p>
        </w:tc>
        <w:tc>
          <w:tcPr>
            <w:tcW w:w="200" w:type="dxa"/>
            <w:vAlign w:val="bottom"/>
          </w:tcPr>
          <w:p>
            <w:pPr>
              <w:spacing w:after="0"/>
              <w:rPr>
                <w:sz w:val="17"/>
                <w:szCs w:val="17"/>
                <w:color w:val="auto"/>
              </w:rPr>
            </w:pP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950</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gridSpan w:val="2"/>
          </w:tcPr>
          <w:p>
            <w:pPr>
              <w:ind w:left="60"/>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1,037</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1,650</w:t>
            </w:r>
          </w:p>
        </w:tc>
        <w:tc>
          <w:tcPr>
            <w:tcW w:w="0" w:type="dxa"/>
            <w:vAlign w:val="bottom"/>
          </w:tcPr>
          <w:p>
            <w:pPr>
              <w:spacing w:after="0"/>
              <w:rPr>
                <w:sz w:val="1"/>
                <w:szCs w:val="1"/>
                <w:color w:val="auto"/>
              </w:rPr>
            </w:pPr>
          </w:p>
        </w:tc>
      </w:tr>
      <w:tr>
        <w:trPr>
          <w:trHeight w:val="203"/>
        </w:trPr>
        <w:tc>
          <w:tcPr>
            <w:tcW w:w="6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Weighted average common shares outstanding (in thousands)</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w w:val="98"/>
              </w:rPr>
              <w:t>490,818</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w w:val="98"/>
              </w:rPr>
              <w:t>563,000</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8"/>
              </w:rPr>
              <w:t>497,360</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8"/>
              </w:rPr>
              <w:t>584,622</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80" w:type="dxa"/>
            <w:vAlign w:val="bottom"/>
          </w:tcPr>
          <w:p>
            <w:pPr>
              <w:ind w:left="180"/>
              <w:spacing w:after="0"/>
              <w:rPr>
                <w:sz w:val="20"/>
                <w:szCs w:val="20"/>
                <w:color w:val="auto"/>
              </w:rPr>
            </w:pPr>
            <w:r>
              <w:rPr>
                <w:rFonts w:ascii="Arial" w:cs="Arial" w:eastAsia="Arial" w:hAnsi="Arial"/>
                <w:sz w:val="18"/>
                <w:szCs w:val="18"/>
                <w:color w:val="auto"/>
              </w:rPr>
              <w:t>Basic EPS</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1.64</w:t>
            </w:r>
          </w:p>
        </w:tc>
        <w:tc>
          <w:tcPr>
            <w:tcW w:w="2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1.69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w:t>
            </w:r>
            <w:r>
              <w:rPr>
                <w:rFonts w:ascii="Arial" w:cs="Arial" w:eastAsia="Arial" w:hAnsi="Arial"/>
                <w:sz w:val="18"/>
                <w:szCs w:val="18"/>
                <w:u w:val="single" w:color="auto"/>
                <w:color w:val="auto"/>
              </w:rPr>
              <w:t>08</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w:t>
            </w:r>
            <w:r>
              <w:rPr>
                <w:rFonts w:ascii="Arial" w:cs="Arial" w:eastAsia="Arial" w:hAnsi="Arial"/>
                <w:sz w:val="18"/>
                <w:szCs w:val="18"/>
                <w:u w:val="single" w:color="auto"/>
                <w:color w:val="auto"/>
              </w:rPr>
              <w:t>82</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Diluted EPS:</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80" w:type="dxa"/>
            <w:vAlign w:val="bottom"/>
          </w:tcPr>
          <w:p>
            <w:pPr>
              <w:spacing w:after="0" w:line="202" w:lineRule="exact"/>
              <w:rPr>
                <w:sz w:val="20"/>
                <w:szCs w:val="20"/>
                <w:color w:val="auto"/>
              </w:rPr>
            </w:pPr>
            <w:r>
              <w:rPr>
                <w:rFonts w:ascii="Arial" w:cs="Arial" w:eastAsia="Arial" w:hAnsi="Arial"/>
                <w:sz w:val="18"/>
                <w:szCs w:val="18"/>
                <w:color w:val="auto"/>
              </w:rPr>
              <w:t>Net income for purposes of computing diluted EPS</w:t>
            </w:r>
          </w:p>
        </w:tc>
        <w:tc>
          <w:tcPr>
            <w:tcW w:w="240" w:type="dxa"/>
            <w:vAlign w:val="bottom"/>
            <w:gridSpan w:val="2"/>
          </w:tcPr>
          <w:p>
            <w:pPr>
              <w:ind w:left="14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803</w:t>
            </w:r>
          </w:p>
        </w:tc>
        <w:tc>
          <w:tcPr>
            <w:tcW w:w="200" w:type="dxa"/>
            <w:vAlign w:val="bottom"/>
          </w:tcPr>
          <w:p>
            <w:pPr>
              <w:spacing w:after="0"/>
              <w:rPr>
                <w:sz w:val="17"/>
                <w:szCs w:val="17"/>
                <w:color w:val="auto"/>
              </w:rPr>
            </w:pP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950</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gridSpan w:val="2"/>
          </w:tcPr>
          <w:p>
            <w:pPr>
              <w:ind w:left="60"/>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1,037</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1,650</w:t>
            </w:r>
          </w:p>
        </w:tc>
        <w:tc>
          <w:tcPr>
            <w:tcW w:w="0" w:type="dxa"/>
            <w:vAlign w:val="bottom"/>
          </w:tcPr>
          <w:p>
            <w:pPr>
              <w:spacing w:after="0"/>
              <w:rPr>
                <w:sz w:val="1"/>
                <w:szCs w:val="1"/>
                <w:color w:val="auto"/>
              </w:rPr>
            </w:pPr>
          </w:p>
        </w:tc>
      </w:tr>
      <w:tr>
        <w:trPr>
          <w:trHeight w:val="203"/>
        </w:trPr>
        <w:tc>
          <w:tcPr>
            <w:tcW w:w="6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 computation for diluted EPS (in thousands):</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80" w:type="dxa"/>
            <w:vAlign w:val="bottom"/>
          </w:tcPr>
          <w:p>
            <w:pPr>
              <w:ind w:left="240"/>
              <w:spacing w:after="0" w:line="202" w:lineRule="exact"/>
              <w:rPr>
                <w:sz w:val="20"/>
                <w:szCs w:val="20"/>
                <w:color w:val="auto"/>
              </w:rPr>
            </w:pPr>
            <w:r>
              <w:rPr>
                <w:rFonts w:ascii="Arial" w:cs="Arial" w:eastAsia="Arial" w:hAnsi="Arial"/>
                <w:sz w:val="18"/>
                <w:szCs w:val="18"/>
                <w:color w:val="auto"/>
              </w:rPr>
              <w:t>Basic weighted average common shares outstanding</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w w:val="98"/>
              </w:rPr>
              <w:t>490,818</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w w:val="98"/>
              </w:rPr>
              <w:t>563,000</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98"/>
              </w:rPr>
              <w:t>497,360</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98"/>
              </w:rPr>
              <w:t>584,622</w:t>
            </w:r>
          </w:p>
        </w:tc>
        <w:tc>
          <w:tcPr>
            <w:tcW w:w="0" w:type="dxa"/>
            <w:vAlign w:val="bottom"/>
          </w:tcPr>
          <w:p>
            <w:pPr>
              <w:spacing w:after="0"/>
              <w:rPr>
                <w:sz w:val="1"/>
                <w:szCs w:val="1"/>
                <w:color w:val="auto"/>
              </w:rPr>
            </w:pPr>
          </w:p>
        </w:tc>
      </w:tr>
      <w:tr>
        <w:trPr>
          <w:trHeight w:val="203"/>
        </w:trPr>
        <w:tc>
          <w:tcPr>
            <w:tcW w:w="698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Dilutive effect of stock awards</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2,147</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3,040</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3,021</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4,142</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80" w:type="dxa"/>
            <w:vAlign w:val="bottom"/>
          </w:tcPr>
          <w:p>
            <w:pPr>
              <w:ind w:left="540"/>
              <w:spacing w:after="0"/>
              <w:rPr>
                <w:sz w:val="20"/>
                <w:szCs w:val="20"/>
                <w:color w:val="auto"/>
              </w:rPr>
            </w:pPr>
            <w:r>
              <w:rPr>
                <w:rFonts w:ascii="Arial" w:cs="Arial" w:eastAsia="Arial" w:hAnsi="Arial"/>
                <w:sz w:val="18"/>
                <w:szCs w:val="18"/>
                <w:color w:val="auto"/>
              </w:rPr>
              <w:t>Diluted weighted average common shares outstanding</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492,965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566,040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500,381</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588,764</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98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Diluted EPS</w:t>
            </w:r>
          </w:p>
        </w:tc>
        <w:tc>
          <w:tcPr>
            <w:tcW w:w="24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1.63</w:t>
            </w:r>
          </w:p>
        </w:tc>
        <w:tc>
          <w:tcPr>
            <w:tcW w:w="20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1.68</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2.07</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0"/>
        </w:trPr>
        <w:tc>
          <w:tcPr>
            <w:tcW w:w="6980" w:type="dxa"/>
            <w:vAlign w:val="bottom"/>
            <w:vMerge w:val="restart"/>
          </w:tcPr>
          <w:p>
            <w:pPr>
              <w:ind w:left="240"/>
              <w:spacing w:after="0"/>
              <w:rPr>
                <w:sz w:val="20"/>
                <w:szCs w:val="20"/>
                <w:color w:val="auto"/>
              </w:rPr>
            </w:pPr>
            <w:r>
              <w:rPr>
                <w:rFonts w:ascii="Arial" w:cs="Arial" w:eastAsia="Arial" w:hAnsi="Arial"/>
                <w:sz w:val="18"/>
                <w:szCs w:val="18"/>
                <w:color w:val="auto"/>
              </w:rPr>
              <w:t>Restricted stock unit awards excluded from the calculation of diluted EPS</w:t>
            </w: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9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980" w:type="dxa"/>
            <w:vAlign w:val="bottom"/>
          </w:tcPr>
          <w:p>
            <w:pPr>
              <w:ind w:left="240"/>
              <w:spacing w:after="0"/>
              <w:rPr>
                <w:sz w:val="20"/>
                <w:szCs w:val="20"/>
                <w:color w:val="auto"/>
              </w:rPr>
            </w:pPr>
            <w:r>
              <w:rPr>
                <w:rFonts w:ascii="Arial" w:cs="Arial" w:eastAsia="Arial" w:hAnsi="Arial"/>
                <w:sz w:val="18"/>
                <w:szCs w:val="18"/>
                <w:color w:val="auto"/>
              </w:rPr>
              <w:t>because inclusion would be antidilutive (in thousands)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837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2,601</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616</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1,845</w:t>
            </w: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Share Repurchase Programs and Dividends</w:t>
      </w:r>
    </w:p>
    <w:p>
      <w:pPr>
        <w:spacing w:after="0" w:line="126" w:lineRule="exact"/>
        <w:rPr>
          <w:sz w:val="20"/>
          <w:szCs w:val="20"/>
          <w:color w:val="auto"/>
        </w:rPr>
      </w:pPr>
    </w:p>
    <w:p>
      <w:pPr>
        <w:jc w:val="both"/>
        <w:ind w:firstLine="228"/>
        <w:spacing w:after="0" w:line="237" w:lineRule="auto"/>
        <w:rPr>
          <w:sz w:val="20"/>
          <w:szCs w:val="20"/>
          <w:color w:val="auto"/>
        </w:rPr>
      </w:pPr>
      <w:r>
        <w:rPr>
          <w:rFonts w:ascii="Arial" w:cs="Arial" w:eastAsia="Arial" w:hAnsi="Arial"/>
          <w:sz w:val="18"/>
          <w:szCs w:val="18"/>
          <w:color w:val="auto"/>
        </w:rPr>
        <w:t>Since July 2014, our Board of Directors has approved six share repurchase programs aggregating $11.0 billion of authority. As of June 30, 2017, $1.0 billion remained unused under a repurchase program that expires on December 31, 2018. Share repurchases under our share repurchase programs may be made through a variety of methods, which may include open market purchases, privately negotiated transactions, block trades or accelerated share repurchase transactions. Any such repurchases will be made from time to time subject to market and economic conditions, applicable legal requirements and other relevant factors. Our share repurchase programs do not obligate us to repurchase any specific number of shares and may be suspended at any time at our discretion.</w:t>
      </w:r>
    </w:p>
    <w:p>
      <w:pPr>
        <w:spacing w:after="0" w:line="97" w:lineRule="exact"/>
        <w:rPr>
          <w:sz w:val="20"/>
          <w:szCs w:val="20"/>
          <w:color w:val="auto"/>
        </w:rPr>
      </w:pPr>
    </w:p>
    <w:p>
      <w:pPr>
        <w:jc w:val="both"/>
        <w:ind w:firstLine="228"/>
        <w:spacing w:after="0" w:line="239" w:lineRule="auto"/>
        <w:rPr>
          <w:sz w:val="20"/>
          <w:szCs w:val="20"/>
          <w:color w:val="auto"/>
        </w:rPr>
      </w:pPr>
      <w:r>
        <w:rPr>
          <w:rFonts w:ascii="Arial" w:cs="Arial" w:eastAsia="Arial" w:hAnsi="Arial"/>
          <w:sz w:val="18"/>
          <w:szCs w:val="18"/>
          <w:color w:val="auto"/>
        </w:rPr>
        <w:t>During the three months ended June 30, 2017, we repurchased 10.0 million shares of AAG common stock for $450 million at a weighted average cost per share of $45.01. During the six months ended June 30, 2017, we repurchased 21.7 million shares of AAG common stock for $962 million at a weighted average cost per share of $ 44.36. Since the inception of our share repurchase programs in July 2014, we have repurchased 250.0 million shares of AAG common stock for $10.0 billion at a weighted average cost per share of $39.84.</w:t>
      </w:r>
    </w:p>
    <w:p>
      <w:pPr>
        <w:spacing w:after="0" w:line="20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Our Board of Directors declared the following cash dividends during the first six months of 2017:</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gridSpan w:val="2"/>
          </w:tcPr>
          <w:p>
            <w:pPr>
              <w:ind w:left="220"/>
              <w:spacing w:after="0"/>
              <w:rPr>
                <w:sz w:val="20"/>
                <w:szCs w:val="20"/>
                <w:color w:val="auto"/>
              </w:rPr>
            </w:pPr>
            <w:r>
              <w:rPr>
                <w:rFonts w:ascii="Arial" w:cs="Arial" w:eastAsia="Arial" w:hAnsi="Arial"/>
                <w:sz w:val="14"/>
                <w:szCs w:val="14"/>
                <w:b w:val="1"/>
                <w:bCs w:val="1"/>
                <w:color w:val="auto"/>
              </w:rPr>
              <w:t>For stockholders</w:t>
            </w:r>
          </w:p>
        </w:tc>
        <w:tc>
          <w:tcPr>
            <w:tcW w:w="1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5900" w:type="dxa"/>
            <w:vAlign w:val="bottom"/>
            <w:gridSpan w:val="2"/>
            <w:vMerge w:val="continue"/>
          </w:tcPr>
          <w:p>
            <w:pPr>
              <w:spacing w:after="0"/>
              <w:rPr>
                <w:sz w:val="15"/>
                <w:szCs w:val="15"/>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Per share</w:t>
            </w:r>
          </w:p>
        </w:tc>
        <w:tc>
          <w:tcPr>
            <w:tcW w:w="1780" w:type="dxa"/>
            <w:vAlign w:val="bottom"/>
            <w:gridSpan w:val="2"/>
          </w:tcPr>
          <w:p>
            <w:pPr>
              <w:ind w:left="300"/>
              <w:spacing w:after="0"/>
              <w:rPr>
                <w:sz w:val="20"/>
                <w:szCs w:val="20"/>
                <w:color w:val="auto"/>
              </w:rPr>
            </w:pPr>
            <w:r>
              <w:rPr>
                <w:rFonts w:ascii="Arial" w:cs="Arial" w:eastAsia="Arial" w:hAnsi="Arial"/>
                <w:sz w:val="14"/>
                <w:szCs w:val="14"/>
                <w:b w:val="1"/>
                <w:bCs w:val="1"/>
                <w:color w:val="auto"/>
              </w:rPr>
              <w:t>of record as of</w:t>
            </w:r>
          </w:p>
        </w:tc>
        <w:tc>
          <w:tcPr>
            <w:tcW w:w="1800" w:type="dxa"/>
            <w:vAlign w:val="bottom"/>
            <w:gridSpan w:val="2"/>
          </w:tcPr>
          <w:p>
            <w:pPr>
              <w:ind w:left="420"/>
              <w:spacing w:after="0"/>
              <w:rPr>
                <w:sz w:val="20"/>
                <w:szCs w:val="20"/>
                <w:color w:val="auto"/>
              </w:rPr>
            </w:pPr>
            <w:r>
              <w:rPr>
                <w:rFonts w:ascii="Arial" w:cs="Arial" w:eastAsia="Arial" w:hAnsi="Arial"/>
                <w:sz w:val="14"/>
                <w:szCs w:val="14"/>
                <w:b w:val="1"/>
                <w:bCs w:val="1"/>
                <w:color w:val="auto"/>
              </w:rPr>
              <w:t>Payable on</w:t>
            </w:r>
          </w:p>
        </w:tc>
        <w:tc>
          <w:tcPr>
            <w:tcW w:w="640" w:type="dxa"/>
            <w:vAlign w:val="bottom"/>
            <w:gridSpan w:val="4"/>
          </w:tcPr>
          <w:p>
            <w:pPr>
              <w:jc w:val="right"/>
              <w:spacing w:after="0"/>
              <w:rPr>
                <w:sz w:val="20"/>
                <w:szCs w:val="20"/>
                <w:color w:val="auto"/>
              </w:rPr>
            </w:pPr>
            <w:r>
              <w:rPr>
                <w:rFonts w:ascii="Arial" w:cs="Arial" w:eastAsia="Arial" w:hAnsi="Arial"/>
                <w:sz w:val="14"/>
                <w:szCs w:val="14"/>
                <w:b w:val="1"/>
                <w:bCs w:val="1"/>
                <w:color w:val="auto"/>
                <w:w w:val="99"/>
              </w:rPr>
              <w:t>(millions)</w:t>
            </w:r>
          </w:p>
        </w:tc>
        <w:tc>
          <w:tcPr>
            <w:tcW w:w="0" w:type="dxa"/>
            <w:vAlign w:val="bottom"/>
          </w:tcPr>
          <w:p>
            <w:pPr>
              <w:spacing w:after="0"/>
              <w:rPr>
                <w:sz w:val="1"/>
                <w:szCs w:val="1"/>
                <w:color w:val="auto"/>
              </w:rPr>
            </w:pPr>
          </w:p>
        </w:tc>
      </w:tr>
      <w:tr>
        <w:trPr>
          <w:trHeight w:val="196"/>
        </w:trPr>
        <w:tc>
          <w:tcPr>
            <w:tcW w:w="57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First Quarter</w:t>
            </w:r>
          </w:p>
        </w:tc>
        <w:tc>
          <w:tcPr>
            <w:tcW w:w="2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rPr>
              <w:t>$0.10</w:t>
            </w:r>
          </w:p>
        </w:tc>
        <w:tc>
          <w:tcPr>
            <w:tcW w:w="20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ind w:left="120"/>
              <w:spacing w:after="0" w:line="196" w:lineRule="exact"/>
              <w:rPr>
                <w:sz w:val="20"/>
                <w:szCs w:val="20"/>
                <w:color w:val="auto"/>
              </w:rPr>
            </w:pPr>
            <w:r>
              <w:rPr>
                <w:rFonts w:ascii="Arial" w:cs="Arial" w:eastAsia="Arial" w:hAnsi="Arial"/>
                <w:sz w:val="18"/>
                <w:szCs w:val="18"/>
                <w:color w:val="auto"/>
                <w:w w:val="97"/>
              </w:rPr>
              <w:t>February 13, 2017</w:t>
            </w:r>
          </w:p>
        </w:tc>
        <w:tc>
          <w:tcPr>
            <w:tcW w:w="20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jc w:val="center"/>
              <w:ind w:left="36"/>
              <w:spacing w:after="0" w:line="196" w:lineRule="exact"/>
              <w:rPr>
                <w:sz w:val="20"/>
                <w:szCs w:val="20"/>
                <w:color w:val="auto"/>
              </w:rPr>
            </w:pPr>
            <w:r>
              <w:rPr>
                <w:rFonts w:ascii="Arial" w:cs="Arial" w:eastAsia="Arial" w:hAnsi="Arial"/>
                <w:sz w:val="18"/>
                <w:szCs w:val="18"/>
                <w:color w:val="auto"/>
                <w:w w:val="99"/>
              </w:rPr>
              <w:t>February 27, 2017</w:t>
            </w:r>
          </w:p>
        </w:tc>
        <w:tc>
          <w:tcPr>
            <w:tcW w:w="2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0"/>
        </w:trPr>
        <w:tc>
          <w:tcPr>
            <w:tcW w:w="5900" w:type="dxa"/>
            <w:vAlign w:val="bottom"/>
            <w:gridSpan w:val="2"/>
          </w:tcPr>
          <w:p>
            <w:pPr>
              <w:spacing w:after="0" w:line="202" w:lineRule="exact"/>
              <w:rPr>
                <w:sz w:val="20"/>
                <w:szCs w:val="20"/>
                <w:color w:val="auto"/>
              </w:rPr>
            </w:pPr>
            <w:r>
              <w:rPr>
                <w:rFonts w:ascii="Arial" w:cs="Arial" w:eastAsia="Arial" w:hAnsi="Arial"/>
                <w:sz w:val="18"/>
                <w:szCs w:val="18"/>
                <w:color w:val="auto"/>
              </w:rPr>
              <w:t>Second Quarter</w:t>
            </w:r>
          </w:p>
        </w:tc>
        <w:tc>
          <w:tcPr>
            <w:tcW w:w="1100" w:type="dxa"/>
            <w:vAlign w:val="bottom"/>
          </w:tcPr>
          <w:p>
            <w:pPr>
              <w:jc w:val="center"/>
              <w:spacing w:after="0" w:line="202" w:lineRule="exact"/>
              <w:rPr>
                <w:sz w:val="20"/>
                <w:szCs w:val="20"/>
                <w:color w:val="auto"/>
              </w:rPr>
            </w:pPr>
            <w:r>
              <w:rPr>
                <w:rFonts w:ascii="Arial" w:cs="Arial" w:eastAsia="Arial" w:hAnsi="Arial"/>
                <w:sz w:val="18"/>
                <w:szCs w:val="18"/>
                <w:color w:val="auto"/>
              </w:rPr>
              <w:t>$0.10</w:t>
            </w:r>
          </w:p>
        </w:tc>
        <w:tc>
          <w:tcPr>
            <w:tcW w:w="200" w:type="dxa"/>
            <w:vAlign w:val="bottom"/>
          </w:tcPr>
          <w:p>
            <w:pPr>
              <w:spacing w:after="0"/>
              <w:rPr>
                <w:sz w:val="18"/>
                <w:szCs w:val="18"/>
                <w:color w:val="auto"/>
              </w:rPr>
            </w:pPr>
          </w:p>
        </w:tc>
        <w:tc>
          <w:tcPr>
            <w:tcW w:w="178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May 16, 2017</w:t>
            </w:r>
          </w:p>
        </w:tc>
        <w:tc>
          <w:tcPr>
            <w:tcW w:w="1800" w:type="dxa"/>
            <w:vAlign w:val="bottom"/>
            <w:gridSpan w:val="2"/>
          </w:tcPr>
          <w:p>
            <w:pPr>
              <w:jc w:val="center"/>
              <w:ind w:right="100"/>
              <w:spacing w:after="0" w:line="202" w:lineRule="exact"/>
              <w:rPr>
                <w:sz w:val="20"/>
                <w:szCs w:val="20"/>
                <w:color w:val="auto"/>
              </w:rPr>
            </w:pPr>
            <w:r>
              <w:rPr>
                <w:rFonts w:ascii="Arial" w:cs="Arial" w:eastAsia="Arial" w:hAnsi="Arial"/>
                <w:sz w:val="18"/>
                <w:szCs w:val="18"/>
                <w:color w:val="auto"/>
              </w:rPr>
              <w:t>May 30, 2017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3"/>
        </w:trPr>
        <w:tc>
          <w:tcPr>
            <w:tcW w:w="590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Total</w:t>
            </w: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3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3"/>
              </w:rPr>
              <w:t>101</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228"/>
        <w:spacing w:after="0"/>
        <w:rPr>
          <w:sz w:val="20"/>
          <w:szCs w:val="20"/>
          <w:color w:val="auto"/>
        </w:rPr>
      </w:pPr>
      <w:r>
        <w:rPr>
          <w:rFonts w:ascii="Arial" w:cs="Arial" w:eastAsia="Arial" w:hAnsi="Arial"/>
          <w:sz w:val="18"/>
          <w:szCs w:val="18"/>
          <w:color w:val="auto"/>
        </w:rPr>
        <w:t>Any future dividends that may be declared and paid from time to time will be subject to market and economic conditions, applicable legal requirements and other relevant factors. We are not obligated to continue a dividend for any fixed period, and payment of dividends may be suspended at any time at our discretion.</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65" w:right="239" w:bottom="1440" w:gutter="0" w:footer="0" w:header="0"/>
        </w:sectPr>
      </w:pPr>
    </w:p>
    <w:bookmarkStart w:id="11" w:name="page12"/>
    <w:bookmarkEnd w:id="11"/>
    <w:p>
      <w:pPr>
        <w:jc w:val="center"/>
        <w:spacing w:after="0" w:line="27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 TO CONDENSED CONSOLIDATED FINANCIAL STATEMENTS OF AMERICAN AIRLINES GROUP INC. (Unaudited)</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Debt</w:t>
      </w:r>
    </w:p>
    <w:p>
      <w:pPr>
        <w:spacing w:after="0" w:line="12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Long-term debt and capital lease obligations included in the condensed consolidated balance sheets consisted of (in millions):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7260" w:type="dxa"/>
            <w:vAlign w:val="bottom"/>
          </w:tcPr>
          <w:p>
            <w:pPr>
              <w:spacing w:after="0"/>
              <w:rPr>
                <w:sz w:val="15"/>
                <w:szCs w:val="15"/>
                <w:color w:val="auto"/>
              </w:rPr>
            </w:pPr>
          </w:p>
        </w:tc>
        <w:tc>
          <w:tcPr>
            <w:tcW w:w="2180" w:type="dxa"/>
            <w:vAlign w:val="bottom"/>
            <w:gridSpan w:val="5"/>
          </w:tcPr>
          <w:p>
            <w:pPr>
              <w:ind w:left="320"/>
              <w:spacing w:after="0"/>
              <w:rPr>
                <w:sz w:val="20"/>
                <w:szCs w:val="20"/>
                <w:color w:val="auto"/>
              </w:rPr>
            </w:pPr>
            <w:r>
              <w:rPr>
                <w:rFonts w:ascii="Arial" w:cs="Arial" w:eastAsia="Arial" w:hAnsi="Arial"/>
                <w:sz w:val="14"/>
                <w:szCs w:val="14"/>
                <w:b w:val="1"/>
                <w:bCs w:val="1"/>
                <w:color w:val="auto"/>
              </w:rPr>
              <w:t>June 30, 2017</w:t>
            </w:r>
          </w:p>
        </w:tc>
        <w:tc>
          <w:tcPr>
            <w:tcW w:w="1960" w:type="dxa"/>
            <w:vAlign w:val="bottom"/>
            <w:gridSpan w:val="4"/>
          </w:tcPr>
          <w:p>
            <w:pPr>
              <w:ind w:left="340"/>
              <w:spacing w:after="0"/>
              <w:rPr>
                <w:sz w:val="20"/>
                <w:szCs w:val="20"/>
                <w:color w:val="auto"/>
              </w:rPr>
            </w:pPr>
            <w:r>
              <w:rPr>
                <w:rFonts w:ascii="Arial" w:cs="Arial" w:eastAsia="Arial" w:hAnsi="Arial"/>
                <w:sz w:val="14"/>
                <w:szCs w:val="14"/>
                <w:b w:val="1"/>
                <w:bCs w:val="1"/>
                <w:color w:val="auto"/>
              </w:rPr>
              <w:t>December 31, 2016</w:t>
            </w:r>
          </w:p>
        </w:tc>
      </w:tr>
      <w:tr>
        <w:trPr>
          <w:trHeight w:val="196"/>
        </w:trPr>
        <w:tc>
          <w:tcPr>
            <w:tcW w:w="20" w:type="dxa"/>
            <w:vAlign w:val="bottom"/>
          </w:tcPr>
          <w:p>
            <w:pPr>
              <w:spacing w:after="0"/>
              <w:rPr>
                <w:sz w:val="17"/>
                <w:szCs w:val="17"/>
                <w:color w:val="auto"/>
              </w:rPr>
            </w:pPr>
          </w:p>
        </w:tc>
        <w:tc>
          <w:tcPr>
            <w:tcW w:w="72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Secured</w:t>
            </w:r>
          </w:p>
        </w:tc>
        <w:tc>
          <w:tcPr>
            <w:tcW w:w="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260" w:type="dxa"/>
            <w:vAlign w:val="bottom"/>
          </w:tcPr>
          <w:p>
            <w:pPr>
              <w:ind w:left="160"/>
              <w:spacing w:after="0" w:line="202" w:lineRule="exact"/>
              <w:rPr>
                <w:sz w:val="20"/>
                <w:szCs w:val="20"/>
                <w:color w:val="auto"/>
              </w:rPr>
            </w:pPr>
            <w:r>
              <w:rPr>
                <w:rFonts w:ascii="Arial" w:cs="Arial" w:eastAsia="Arial" w:hAnsi="Arial"/>
                <w:sz w:val="18"/>
                <w:szCs w:val="18"/>
                <w:color w:val="auto"/>
              </w:rPr>
              <w:t>2013 Credit Facilities, variable interest rate of 3.22%, installments through 2020</w:t>
            </w:r>
          </w:p>
        </w:tc>
        <w:tc>
          <w:tcPr>
            <w:tcW w:w="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1,825</w:t>
            </w:r>
          </w:p>
        </w:tc>
        <w:tc>
          <w:tcPr>
            <w:tcW w:w="600" w:type="dxa"/>
            <w:vAlign w:val="bottom"/>
          </w:tcPr>
          <w:p>
            <w:pPr>
              <w:spacing w:after="0"/>
              <w:rPr>
                <w:sz w:val="17"/>
                <w:szCs w:val="17"/>
                <w:color w:val="auto"/>
              </w:rPr>
            </w:pPr>
          </w:p>
        </w:tc>
        <w:tc>
          <w:tcPr>
            <w:tcW w:w="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1,843</w:t>
            </w:r>
          </w:p>
        </w:tc>
      </w:tr>
      <w:tr>
        <w:trPr>
          <w:trHeight w:val="203"/>
        </w:trPr>
        <w:tc>
          <w:tcPr>
            <w:tcW w:w="20" w:type="dxa"/>
            <w:vAlign w:val="bottom"/>
          </w:tcPr>
          <w:p>
            <w:pPr>
              <w:spacing w:after="0"/>
              <w:rPr>
                <w:sz w:val="17"/>
                <w:szCs w:val="17"/>
                <w:color w:val="auto"/>
              </w:rPr>
            </w:pPr>
          </w:p>
        </w:tc>
        <w:tc>
          <w:tcPr>
            <w:tcW w:w="72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2014 Credit Facilities, variable interest rate of 3.12%, installments through 2021</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735</w:t>
            </w:r>
          </w:p>
        </w:tc>
        <w:tc>
          <w:tcPr>
            <w:tcW w:w="6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735</w:t>
            </w:r>
          </w:p>
        </w:tc>
      </w:tr>
      <w:tr>
        <w:trPr>
          <w:trHeight w:val="202"/>
        </w:trPr>
        <w:tc>
          <w:tcPr>
            <w:tcW w:w="20" w:type="dxa"/>
            <w:vAlign w:val="bottom"/>
          </w:tcPr>
          <w:p>
            <w:pPr>
              <w:spacing w:after="0"/>
              <w:rPr>
                <w:sz w:val="17"/>
                <w:szCs w:val="17"/>
                <w:color w:val="auto"/>
              </w:rPr>
            </w:pPr>
          </w:p>
        </w:tc>
        <w:tc>
          <w:tcPr>
            <w:tcW w:w="7260" w:type="dxa"/>
            <w:vAlign w:val="bottom"/>
          </w:tcPr>
          <w:p>
            <w:pPr>
              <w:ind w:left="160"/>
              <w:spacing w:after="0" w:line="201" w:lineRule="exact"/>
              <w:rPr>
                <w:sz w:val="20"/>
                <w:szCs w:val="20"/>
                <w:color w:val="auto"/>
              </w:rPr>
            </w:pPr>
            <w:r>
              <w:rPr>
                <w:rFonts w:ascii="Arial" w:cs="Arial" w:eastAsia="Arial" w:hAnsi="Arial"/>
                <w:sz w:val="18"/>
                <w:szCs w:val="18"/>
                <w:color w:val="auto"/>
              </w:rPr>
              <w:t>April 2016 Credit Facilities, variable interest rate of 3.72%, installments through</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7280" w:type="dxa"/>
            <w:vAlign w:val="bottom"/>
            <w:gridSpan w:val="2"/>
          </w:tcPr>
          <w:p>
            <w:pPr>
              <w:ind w:left="360"/>
              <w:spacing w:after="0" w:line="203" w:lineRule="exact"/>
              <w:rPr>
                <w:sz w:val="20"/>
                <w:szCs w:val="20"/>
                <w:color w:val="auto"/>
              </w:rPr>
            </w:pPr>
            <w:r>
              <w:rPr>
                <w:rFonts w:ascii="Arial" w:cs="Arial" w:eastAsia="Arial" w:hAnsi="Arial"/>
                <w:sz w:val="18"/>
                <w:szCs w:val="18"/>
                <w:color w:val="auto"/>
              </w:rPr>
              <w:t>2023</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460"/>
              <w:spacing w:after="0" w:line="203" w:lineRule="exact"/>
              <w:rPr>
                <w:sz w:val="20"/>
                <w:szCs w:val="20"/>
                <w:color w:val="auto"/>
              </w:rPr>
            </w:pPr>
            <w:r>
              <w:rPr>
                <w:rFonts w:ascii="Arial" w:cs="Arial" w:eastAsia="Arial" w:hAnsi="Arial"/>
                <w:sz w:val="18"/>
                <w:szCs w:val="18"/>
                <w:color w:val="auto"/>
              </w:rPr>
              <w:t>990</w:t>
            </w:r>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640"/>
              <w:spacing w:after="0" w:line="203" w:lineRule="exact"/>
              <w:rPr>
                <w:sz w:val="20"/>
                <w:szCs w:val="20"/>
                <w:color w:val="auto"/>
              </w:rPr>
            </w:pPr>
            <w:r>
              <w:rPr>
                <w:rFonts w:ascii="Arial" w:cs="Arial" w:eastAsia="Arial" w:hAnsi="Arial"/>
                <w:sz w:val="18"/>
                <w:szCs w:val="18"/>
                <w:color w:val="auto"/>
              </w:rPr>
              <w:t>1,000</w:t>
            </w:r>
          </w:p>
        </w:tc>
      </w:tr>
      <w:tr>
        <w:trPr>
          <w:trHeight w:val="202"/>
        </w:trPr>
        <w:tc>
          <w:tcPr>
            <w:tcW w:w="20" w:type="dxa"/>
            <w:vAlign w:val="bottom"/>
          </w:tcPr>
          <w:p>
            <w:pPr>
              <w:spacing w:after="0"/>
              <w:rPr>
                <w:sz w:val="17"/>
                <w:szCs w:val="17"/>
                <w:color w:val="auto"/>
              </w:rPr>
            </w:pPr>
          </w:p>
        </w:tc>
        <w:tc>
          <w:tcPr>
            <w:tcW w:w="72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December 2016 Credit Facilities, variable interest rate of 3.66%, installments</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260" w:type="dxa"/>
            <w:vAlign w:val="bottom"/>
            <w:shd w:val="clear" w:color="auto" w:fill="CCEEFF"/>
          </w:tcPr>
          <w:p>
            <w:pPr>
              <w:ind w:left="340"/>
              <w:spacing w:after="0" w:line="203" w:lineRule="exact"/>
              <w:rPr>
                <w:sz w:val="20"/>
                <w:szCs w:val="20"/>
                <w:color w:val="auto"/>
              </w:rPr>
            </w:pPr>
            <w:r>
              <w:rPr>
                <w:rFonts w:ascii="Arial" w:cs="Arial" w:eastAsia="Arial" w:hAnsi="Arial"/>
                <w:sz w:val="18"/>
                <w:szCs w:val="18"/>
                <w:color w:val="auto"/>
              </w:rPr>
              <w:t>through 2023</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60"/>
              <w:spacing w:after="0" w:line="203" w:lineRule="exact"/>
              <w:rPr>
                <w:sz w:val="20"/>
                <w:szCs w:val="20"/>
                <w:color w:val="auto"/>
              </w:rPr>
            </w:pPr>
            <w:r>
              <w:rPr>
                <w:rFonts w:ascii="Arial" w:cs="Arial" w:eastAsia="Arial" w:hAnsi="Arial"/>
                <w:sz w:val="18"/>
                <w:szCs w:val="18"/>
                <w:color w:val="auto"/>
              </w:rPr>
              <w:t>1,250</w:t>
            </w:r>
          </w:p>
        </w:tc>
        <w:tc>
          <w:tcPr>
            <w:tcW w:w="6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640"/>
              <w:spacing w:after="0" w:line="203" w:lineRule="exact"/>
              <w:rPr>
                <w:sz w:val="20"/>
                <w:szCs w:val="20"/>
                <w:color w:val="auto"/>
              </w:rPr>
            </w:pPr>
            <w:r>
              <w:rPr>
                <w:rFonts w:ascii="Arial" w:cs="Arial" w:eastAsia="Arial" w:hAnsi="Arial"/>
                <w:sz w:val="18"/>
                <w:szCs w:val="18"/>
                <w:color w:val="auto"/>
              </w:rPr>
              <w:t>1,250</w:t>
            </w:r>
          </w:p>
        </w:tc>
      </w:tr>
      <w:tr>
        <w:trPr>
          <w:trHeight w:val="202"/>
        </w:trPr>
        <w:tc>
          <w:tcPr>
            <w:tcW w:w="20" w:type="dxa"/>
            <w:vAlign w:val="bottom"/>
          </w:tcPr>
          <w:p>
            <w:pPr>
              <w:spacing w:after="0"/>
              <w:rPr>
                <w:sz w:val="17"/>
                <w:szCs w:val="17"/>
                <w:color w:val="auto"/>
              </w:rPr>
            </w:pPr>
          </w:p>
        </w:tc>
        <w:tc>
          <w:tcPr>
            <w:tcW w:w="7260" w:type="dxa"/>
            <w:vAlign w:val="bottom"/>
          </w:tcPr>
          <w:p>
            <w:pPr>
              <w:ind w:left="160"/>
              <w:spacing w:after="0" w:line="201" w:lineRule="exact"/>
              <w:rPr>
                <w:sz w:val="20"/>
                <w:szCs w:val="20"/>
                <w:color w:val="auto"/>
              </w:rPr>
            </w:pPr>
            <w:r>
              <w:rPr>
                <w:rFonts w:ascii="Arial" w:cs="Arial" w:eastAsia="Arial" w:hAnsi="Arial"/>
                <w:sz w:val="18"/>
                <w:szCs w:val="18"/>
                <w:color w:val="auto"/>
              </w:rPr>
              <w:t>Aircraft enhanced equipment trust certificates (EETCs), fixed interest rates</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260" w:type="dxa"/>
            <w:vAlign w:val="bottom"/>
          </w:tcPr>
          <w:p>
            <w:pPr>
              <w:ind w:left="340"/>
              <w:spacing w:after="0" w:line="203" w:lineRule="exact"/>
              <w:rPr>
                <w:sz w:val="20"/>
                <w:szCs w:val="20"/>
                <w:color w:val="auto"/>
              </w:rPr>
            </w:pPr>
            <w:r>
              <w:rPr>
                <w:rFonts w:ascii="Arial" w:cs="Arial" w:eastAsia="Arial" w:hAnsi="Arial"/>
                <w:sz w:val="18"/>
                <w:szCs w:val="18"/>
                <w:color w:val="auto"/>
              </w:rPr>
              <w:t>ranging from 3.00% to 9.75%, maturing from 2018 to 2029</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460"/>
              <w:spacing w:after="0" w:line="203" w:lineRule="exact"/>
              <w:rPr>
                <w:sz w:val="20"/>
                <w:szCs w:val="20"/>
                <w:color w:val="auto"/>
              </w:rPr>
            </w:pPr>
            <w:r>
              <w:rPr>
                <w:rFonts w:ascii="Arial" w:cs="Arial" w:eastAsia="Arial" w:hAnsi="Arial"/>
                <w:sz w:val="18"/>
                <w:szCs w:val="18"/>
                <w:color w:val="auto"/>
                <w:w w:val="98"/>
              </w:rPr>
              <w:t>11,328</w:t>
            </w:r>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640"/>
              <w:spacing w:after="0" w:line="203" w:lineRule="exact"/>
              <w:rPr>
                <w:sz w:val="20"/>
                <w:szCs w:val="20"/>
                <w:color w:val="auto"/>
              </w:rPr>
            </w:pPr>
            <w:r>
              <w:rPr>
                <w:rFonts w:ascii="Arial" w:cs="Arial" w:eastAsia="Arial" w:hAnsi="Arial"/>
                <w:sz w:val="18"/>
                <w:szCs w:val="18"/>
                <w:color w:val="auto"/>
                <w:w w:val="98"/>
              </w:rPr>
              <w:t>10,912</w:t>
            </w:r>
          </w:p>
        </w:tc>
      </w:tr>
      <w:tr>
        <w:trPr>
          <w:trHeight w:val="202"/>
        </w:trPr>
        <w:tc>
          <w:tcPr>
            <w:tcW w:w="20" w:type="dxa"/>
            <w:vAlign w:val="bottom"/>
          </w:tcPr>
          <w:p>
            <w:pPr>
              <w:spacing w:after="0"/>
              <w:rPr>
                <w:sz w:val="17"/>
                <w:szCs w:val="17"/>
                <w:color w:val="auto"/>
              </w:rPr>
            </w:pPr>
          </w:p>
        </w:tc>
        <w:tc>
          <w:tcPr>
            <w:tcW w:w="72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Equipment loans and other notes payable, fixed and variable interest rates</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260" w:type="dxa"/>
            <w:vAlign w:val="bottom"/>
            <w:shd w:val="clear" w:color="auto" w:fill="CCEEFF"/>
          </w:tcPr>
          <w:p>
            <w:pPr>
              <w:ind w:left="340"/>
              <w:spacing w:after="0" w:line="203" w:lineRule="exact"/>
              <w:rPr>
                <w:sz w:val="20"/>
                <w:szCs w:val="20"/>
                <w:color w:val="auto"/>
              </w:rPr>
            </w:pPr>
            <w:r>
              <w:rPr>
                <w:rFonts w:ascii="Arial" w:cs="Arial" w:eastAsia="Arial" w:hAnsi="Arial"/>
                <w:sz w:val="18"/>
                <w:szCs w:val="18"/>
                <w:color w:val="auto"/>
              </w:rPr>
              <w:t>ranging from 2.34% to 8.80%, maturing from 2017 to 2029</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60"/>
              <w:spacing w:after="0" w:line="203" w:lineRule="exact"/>
              <w:rPr>
                <w:sz w:val="20"/>
                <w:szCs w:val="20"/>
                <w:color w:val="auto"/>
              </w:rPr>
            </w:pPr>
            <w:r>
              <w:rPr>
                <w:rFonts w:ascii="Arial" w:cs="Arial" w:eastAsia="Arial" w:hAnsi="Arial"/>
                <w:sz w:val="18"/>
                <w:szCs w:val="18"/>
                <w:color w:val="auto"/>
              </w:rPr>
              <w:t>5,525</w:t>
            </w:r>
          </w:p>
        </w:tc>
        <w:tc>
          <w:tcPr>
            <w:tcW w:w="6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640"/>
              <w:spacing w:after="0" w:line="203" w:lineRule="exact"/>
              <w:rPr>
                <w:sz w:val="20"/>
                <w:szCs w:val="20"/>
                <w:color w:val="auto"/>
              </w:rPr>
            </w:pPr>
            <w:r>
              <w:rPr>
                <w:rFonts w:ascii="Arial" w:cs="Arial" w:eastAsia="Arial" w:hAnsi="Arial"/>
                <w:sz w:val="18"/>
                <w:szCs w:val="18"/>
                <w:color w:val="auto"/>
              </w:rPr>
              <w:t>5,343</w:t>
            </w:r>
          </w:p>
        </w:tc>
      </w:tr>
      <w:tr>
        <w:trPr>
          <w:trHeight w:val="202"/>
        </w:trPr>
        <w:tc>
          <w:tcPr>
            <w:tcW w:w="20" w:type="dxa"/>
            <w:vAlign w:val="bottom"/>
          </w:tcPr>
          <w:p>
            <w:pPr>
              <w:spacing w:after="0"/>
              <w:rPr>
                <w:sz w:val="17"/>
                <w:szCs w:val="17"/>
                <w:color w:val="auto"/>
              </w:rPr>
            </w:pPr>
          </w:p>
        </w:tc>
        <w:tc>
          <w:tcPr>
            <w:tcW w:w="7260" w:type="dxa"/>
            <w:vAlign w:val="bottom"/>
          </w:tcPr>
          <w:p>
            <w:pPr>
              <w:ind w:left="160"/>
              <w:spacing w:after="0" w:line="201" w:lineRule="exact"/>
              <w:rPr>
                <w:sz w:val="20"/>
                <w:szCs w:val="20"/>
                <w:color w:val="auto"/>
              </w:rPr>
            </w:pPr>
            <w:r>
              <w:rPr>
                <w:rFonts w:ascii="Arial" w:cs="Arial" w:eastAsia="Arial" w:hAnsi="Arial"/>
                <w:sz w:val="18"/>
                <w:szCs w:val="18"/>
                <w:color w:val="auto"/>
              </w:rPr>
              <w:t>Special facility revenue bonds, fixed interest rates ranging from 5.00% to 8.00%,</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260" w:type="dxa"/>
            <w:vAlign w:val="bottom"/>
          </w:tcPr>
          <w:p>
            <w:pPr>
              <w:ind w:left="340"/>
              <w:spacing w:after="0" w:line="203" w:lineRule="exact"/>
              <w:rPr>
                <w:sz w:val="20"/>
                <w:szCs w:val="20"/>
                <w:color w:val="auto"/>
              </w:rPr>
            </w:pPr>
            <w:r>
              <w:rPr>
                <w:rFonts w:ascii="Arial" w:cs="Arial" w:eastAsia="Arial" w:hAnsi="Arial"/>
                <w:sz w:val="18"/>
                <w:szCs w:val="18"/>
                <w:color w:val="auto"/>
              </w:rPr>
              <w:t>maturing from 2017 to 2035</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460"/>
              <w:spacing w:after="0" w:line="203" w:lineRule="exact"/>
              <w:rPr>
                <w:sz w:val="20"/>
                <w:szCs w:val="20"/>
                <w:color w:val="auto"/>
              </w:rPr>
            </w:pPr>
            <w:r>
              <w:rPr>
                <w:rFonts w:ascii="Arial" w:cs="Arial" w:eastAsia="Arial" w:hAnsi="Arial"/>
                <w:sz w:val="18"/>
                <w:szCs w:val="18"/>
                <w:color w:val="auto"/>
              </w:rPr>
              <w:t>891</w:t>
            </w:r>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640"/>
              <w:spacing w:after="0" w:line="203" w:lineRule="exact"/>
              <w:rPr>
                <w:sz w:val="20"/>
                <w:szCs w:val="20"/>
                <w:color w:val="auto"/>
              </w:rPr>
            </w:pPr>
            <w:r>
              <w:rPr>
                <w:rFonts w:ascii="Arial" w:cs="Arial" w:eastAsia="Arial" w:hAnsi="Arial"/>
                <w:sz w:val="18"/>
                <w:szCs w:val="18"/>
                <w:color w:val="auto"/>
              </w:rPr>
              <w:t>891</w:t>
            </w:r>
          </w:p>
        </w:tc>
      </w:tr>
      <w:tr>
        <w:trPr>
          <w:trHeight w:val="202"/>
        </w:trPr>
        <w:tc>
          <w:tcPr>
            <w:tcW w:w="20" w:type="dxa"/>
            <w:vAlign w:val="bottom"/>
          </w:tcPr>
          <w:p>
            <w:pPr>
              <w:spacing w:after="0"/>
              <w:rPr>
                <w:sz w:val="17"/>
                <w:szCs w:val="17"/>
                <w:color w:val="auto"/>
              </w:rPr>
            </w:pPr>
          </w:p>
        </w:tc>
        <w:tc>
          <w:tcPr>
            <w:tcW w:w="72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Other secured obligations, fixed interest rates ranging from 3.60% to 12.24%,</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260" w:type="dxa"/>
            <w:vAlign w:val="bottom"/>
            <w:shd w:val="clear" w:color="auto" w:fill="CCEEFF"/>
          </w:tcPr>
          <w:p>
            <w:pPr>
              <w:ind w:left="340"/>
              <w:spacing w:after="0" w:line="203" w:lineRule="exact"/>
              <w:rPr>
                <w:sz w:val="20"/>
                <w:szCs w:val="20"/>
                <w:color w:val="auto"/>
              </w:rPr>
            </w:pPr>
            <w:r>
              <w:rPr>
                <w:rFonts w:ascii="Arial" w:cs="Arial" w:eastAsia="Arial" w:hAnsi="Arial"/>
                <w:sz w:val="18"/>
                <w:szCs w:val="18"/>
                <w:color w:val="auto"/>
              </w:rPr>
              <w:t>maturing from 2017 to 2028</w:t>
            </w:r>
          </w:p>
        </w:tc>
        <w:tc>
          <w:tcPr>
            <w:tcW w:w="4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804</w:t>
            </w:r>
          </w:p>
        </w:tc>
        <w:tc>
          <w:tcPr>
            <w:tcW w:w="4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849</w:t>
            </w:r>
          </w:p>
        </w:tc>
        <w:tc>
          <w:tcPr>
            <w:tcW w:w="640" w:type="dxa"/>
            <w:vAlign w:val="bottom"/>
            <w:shd w:val="clear" w:color="auto" w:fill="CCEEFF"/>
          </w:tcPr>
          <w:p>
            <w:pPr>
              <w:spacing w:after="0"/>
              <w:rPr>
                <w:sz w:val="17"/>
                <w:szCs w:val="17"/>
                <w:color w:val="auto"/>
              </w:rPr>
            </w:pPr>
          </w:p>
        </w:tc>
      </w:tr>
      <w:tr>
        <w:trPr>
          <w:trHeight w:val="217"/>
        </w:trPr>
        <w:tc>
          <w:tcPr>
            <w:tcW w:w="2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w w:val="98"/>
              </w:rPr>
              <w:t>23,348</w:t>
            </w: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w w:val="98"/>
              </w:rPr>
              <w:t>22,823</w:t>
            </w:r>
          </w:p>
        </w:tc>
      </w:tr>
      <w:tr>
        <w:trPr>
          <w:trHeight w:val="203"/>
        </w:trPr>
        <w:tc>
          <w:tcPr>
            <w:tcW w:w="20" w:type="dxa"/>
            <w:vAlign w:val="bottom"/>
          </w:tcPr>
          <w:p>
            <w:pPr>
              <w:spacing w:after="0"/>
              <w:rPr>
                <w:sz w:val="17"/>
                <w:szCs w:val="17"/>
                <w:color w:val="auto"/>
              </w:rPr>
            </w:pPr>
          </w:p>
        </w:tc>
        <w:tc>
          <w:tcPr>
            <w:tcW w:w="7260" w:type="dxa"/>
            <w:vAlign w:val="bottom"/>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Unsecured</w:t>
            </w:r>
          </w:p>
        </w:tc>
        <w:tc>
          <w:tcPr>
            <w:tcW w:w="4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260" w:type="dxa"/>
            <w:vAlign w:val="bottom"/>
          </w:tcPr>
          <w:p>
            <w:pPr>
              <w:ind w:left="160"/>
              <w:spacing w:after="0" w:line="202" w:lineRule="exact"/>
              <w:rPr>
                <w:sz w:val="20"/>
                <w:szCs w:val="20"/>
                <w:color w:val="auto"/>
              </w:rPr>
            </w:pPr>
            <w:r>
              <w:rPr>
                <w:rFonts w:ascii="Arial" w:cs="Arial" w:eastAsia="Arial" w:hAnsi="Arial"/>
                <w:sz w:val="18"/>
                <w:szCs w:val="18"/>
                <w:color w:val="auto"/>
              </w:rPr>
              <w:t>5.50% senior notes, interest only payments until due in 2019</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750</w:t>
            </w:r>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750</w:t>
            </w:r>
          </w:p>
        </w:tc>
      </w:tr>
      <w:tr>
        <w:trPr>
          <w:trHeight w:val="203"/>
        </w:trPr>
        <w:tc>
          <w:tcPr>
            <w:tcW w:w="20" w:type="dxa"/>
            <w:vAlign w:val="bottom"/>
          </w:tcPr>
          <w:p>
            <w:pPr>
              <w:spacing w:after="0"/>
              <w:rPr>
                <w:sz w:val="17"/>
                <w:szCs w:val="17"/>
                <w:color w:val="auto"/>
              </w:rPr>
            </w:pPr>
          </w:p>
        </w:tc>
        <w:tc>
          <w:tcPr>
            <w:tcW w:w="72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6.125% senior notes, interest only payments until due in 2018</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500</w:t>
            </w:r>
          </w:p>
        </w:tc>
        <w:tc>
          <w:tcPr>
            <w:tcW w:w="6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500</w:t>
            </w:r>
          </w:p>
        </w:tc>
      </w:tr>
      <w:tr>
        <w:trPr>
          <w:trHeight w:val="210"/>
        </w:trPr>
        <w:tc>
          <w:tcPr>
            <w:tcW w:w="20" w:type="dxa"/>
            <w:vAlign w:val="bottom"/>
          </w:tcPr>
          <w:p>
            <w:pPr>
              <w:spacing w:after="0"/>
              <w:rPr>
                <w:sz w:val="18"/>
                <w:szCs w:val="18"/>
                <w:color w:val="auto"/>
              </w:rPr>
            </w:pPr>
          </w:p>
        </w:tc>
        <w:tc>
          <w:tcPr>
            <w:tcW w:w="7260" w:type="dxa"/>
            <w:vAlign w:val="bottom"/>
          </w:tcPr>
          <w:p>
            <w:pPr>
              <w:ind w:left="160"/>
              <w:spacing w:after="0" w:line="202" w:lineRule="exact"/>
              <w:rPr>
                <w:sz w:val="20"/>
                <w:szCs w:val="20"/>
                <w:color w:val="auto"/>
              </w:rPr>
            </w:pPr>
            <w:r>
              <w:rPr>
                <w:rFonts w:ascii="Arial" w:cs="Arial" w:eastAsia="Arial" w:hAnsi="Arial"/>
                <w:sz w:val="18"/>
                <w:szCs w:val="18"/>
                <w:color w:val="auto"/>
              </w:rPr>
              <w:t>4.625% senior notes, interest only payments until due in 2020</w:t>
            </w:r>
          </w:p>
        </w:tc>
        <w:tc>
          <w:tcPr>
            <w:tcW w:w="4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500</w:t>
            </w: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500</w:t>
            </w:r>
          </w:p>
        </w:tc>
        <w:tc>
          <w:tcPr>
            <w:tcW w:w="64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72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1,750</w:t>
            </w:r>
          </w:p>
        </w:tc>
        <w:tc>
          <w:tcPr>
            <w:tcW w:w="4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1,750</w:t>
            </w:r>
          </w:p>
        </w:tc>
        <w:tc>
          <w:tcPr>
            <w:tcW w:w="640" w:type="dxa"/>
            <w:vAlign w:val="bottom"/>
            <w:shd w:val="clear" w:color="auto" w:fill="CCEEFF"/>
          </w:tcPr>
          <w:p>
            <w:pPr>
              <w:spacing w:after="0"/>
              <w:rPr>
                <w:sz w:val="17"/>
                <w:szCs w:val="17"/>
                <w:color w:val="auto"/>
              </w:rPr>
            </w:pPr>
          </w:p>
        </w:tc>
      </w:tr>
      <w:tr>
        <w:trPr>
          <w:trHeight w:val="210"/>
        </w:trPr>
        <w:tc>
          <w:tcPr>
            <w:tcW w:w="7280" w:type="dxa"/>
            <w:vAlign w:val="bottom"/>
            <w:gridSpan w:val="2"/>
          </w:tcPr>
          <w:p>
            <w:pPr>
              <w:spacing w:after="0"/>
              <w:rPr>
                <w:sz w:val="20"/>
                <w:szCs w:val="20"/>
                <w:color w:val="auto"/>
              </w:rPr>
            </w:pPr>
            <w:r>
              <w:rPr>
                <w:rFonts w:ascii="Arial" w:cs="Arial" w:eastAsia="Arial" w:hAnsi="Arial"/>
                <w:sz w:val="18"/>
                <w:szCs w:val="18"/>
                <w:color w:val="auto"/>
              </w:rPr>
              <w:t>Total long-term debt and capital lease obligations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w w:val="98"/>
              </w:rPr>
              <w:t>25,098</w:t>
            </w: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w w:val="98"/>
              </w:rPr>
              <w:t>24,573</w:t>
            </w:r>
          </w:p>
        </w:tc>
      </w:tr>
      <w:tr>
        <w:trPr>
          <w:trHeight w:val="203"/>
        </w:trPr>
        <w:tc>
          <w:tcPr>
            <w:tcW w:w="20" w:type="dxa"/>
            <w:vAlign w:val="bottom"/>
          </w:tcPr>
          <w:p>
            <w:pPr>
              <w:spacing w:after="0"/>
              <w:rPr>
                <w:sz w:val="17"/>
                <w:szCs w:val="17"/>
                <w:color w:val="auto"/>
              </w:rPr>
            </w:pPr>
          </w:p>
        </w:tc>
        <w:tc>
          <w:tcPr>
            <w:tcW w:w="72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Less: Total unamortized debt discount, premium and issuance costs</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239</w:t>
            </w:r>
          </w:p>
        </w:tc>
        <w:tc>
          <w:tcPr>
            <w:tcW w:w="6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229</w:t>
            </w:r>
          </w:p>
        </w:tc>
      </w:tr>
      <w:tr>
        <w:trPr>
          <w:trHeight w:val="210"/>
        </w:trPr>
        <w:tc>
          <w:tcPr>
            <w:tcW w:w="20" w:type="dxa"/>
            <w:vAlign w:val="bottom"/>
          </w:tcPr>
          <w:p>
            <w:pPr>
              <w:spacing w:after="0"/>
              <w:rPr>
                <w:sz w:val="18"/>
                <w:szCs w:val="18"/>
                <w:color w:val="auto"/>
              </w:rPr>
            </w:pPr>
          </w:p>
        </w:tc>
        <w:tc>
          <w:tcPr>
            <w:tcW w:w="7260" w:type="dxa"/>
            <w:vAlign w:val="bottom"/>
          </w:tcPr>
          <w:p>
            <w:pPr>
              <w:ind w:left="160"/>
              <w:spacing w:after="0" w:line="202" w:lineRule="exact"/>
              <w:rPr>
                <w:sz w:val="20"/>
                <w:szCs w:val="20"/>
                <w:color w:val="auto"/>
              </w:rPr>
            </w:pPr>
            <w:r>
              <w:rPr>
                <w:rFonts w:ascii="Arial" w:cs="Arial" w:eastAsia="Arial" w:hAnsi="Arial"/>
                <w:sz w:val="18"/>
                <w:szCs w:val="18"/>
                <w:color w:val="auto"/>
              </w:rPr>
              <w:t>Less: Current maturities</w:t>
            </w:r>
          </w:p>
        </w:tc>
        <w:tc>
          <w:tcPr>
            <w:tcW w:w="4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2,334</w:t>
            </w: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1,855</w:t>
            </w:r>
          </w:p>
        </w:tc>
        <w:tc>
          <w:tcPr>
            <w:tcW w:w="64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726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Long-term debt and capital lease obligations, net of current maturities</w:t>
            </w:r>
          </w:p>
        </w:tc>
        <w:tc>
          <w:tcPr>
            <w:tcW w:w="5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10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w w:val="98"/>
              </w:rPr>
              <w:t>22,525</w:t>
            </w:r>
          </w:p>
        </w:tc>
        <w:tc>
          <w:tcPr>
            <w:tcW w:w="6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120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w w:val="98"/>
              </w:rPr>
              <w:t>22,489</w:t>
            </w: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bl>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10600" w:type="dxa"/>
            <w:vAlign w:val="bottom"/>
          </w:tcPr>
          <w:p>
            <w:pPr>
              <w:ind w:left="440"/>
              <w:spacing w:after="0"/>
              <w:rPr>
                <w:sz w:val="20"/>
                <w:szCs w:val="20"/>
                <w:color w:val="auto"/>
              </w:rPr>
            </w:pPr>
            <w:r>
              <w:rPr>
                <w:rFonts w:ascii="Arial" w:cs="Arial" w:eastAsia="Arial" w:hAnsi="Arial"/>
                <w:sz w:val="18"/>
                <w:szCs w:val="18"/>
                <w:color w:val="auto"/>
              </w:rPr>
              <w:t>The table below shows availability under revolving credit facilities, all of which were undrawn, as of June 30, 2017 (in millions):</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10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10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2013 Revolving Facility</w:t>
            </w:r>
          </w:p>
        </w:tc>
        <w:tc>
          <w:tcPr>
            <w:tcW w:w="80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$ 1,400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600" w:type="dxa"/>
            <w:vAlign w:val="bottom"/>
          </w:tcPr>
          <w:p>
            <w:pPr>
              <w:spacing w:after="0" w:line="202" w:lineRule="exact"/>
              <w:rPr>
                <w:sz w:val="20"/>
                <w:szCs w:val="20"/>
                <w:color w:val="auto"/>
              </w:rPr>
            </w:pPr>
            <w:r>
              <w:rPr>
                <w:rFonts w:ascii="Arial" w:cs="Arial" w:eastAsia="Arial" w:hAnsi="Arial"/>
                <w:sz w:val="18"/>
                <w:szCs w:val="18"/>
                <w:color w:val="auto"/>
              </w:rPr>
              <w:t>2014 Revolving Facility</w:t>
            </w:r>
          </w:p>
        </w:tc>
        <w:tc>
          <w:tcPr>
            <w:tcW w:w="120" w:type="dxa"/>
            <w:vAlign w:val="bottom"/>
          </w:tcPr>
          <w:p>
            <w:pPr>
              <w:spacing w:after="0"/>
              <w:rPr>
                <w:sz w:val="17"/>
                <w:szCs w:val="17"/>
                <w:color w:val="auto"/>
              </w:rPr>
            </w:pPr>
          </w:p>
        </w:tc>
        <w:tc>
          <w:tcPr>
            <w:tcW w:w="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1,025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06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9"/>
              </w:rPr>
              <w:t>$ 2,425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April 2016 and December 2016 Credit Facilities each provide for a revolving credit facility that may be established in the future.</w:t>
      </w:r>
    </w:p>
    <w:p>
      <w:pPr>
        <w:spacing w:after="0" w:line="29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2017 Aircraft Financing Activities</w:t>
      </w:r>
    </w:p>
    <w:p>
      <w:pPr>
        <w:spacing w:after="0" w:line="10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2017-1 EETCs</w:t>
      </w:r>
    </w:p>
    <w:p>
      <w:pPr>
        <w:spacing w:after="0" w:line="122" w:lineRule="exact"/>
        <w:rPr>
          <w:sz w:val="20"/>
          <w:szCs w:val="20"/>
          <w:color w:val="auto"/>
        </w:rPr>
      </w:pPr>
    </w:p>
    <w:p>
      <w:pPr>
        <w:jc w:val="both"/>
        <w:ind w:firstLine="228"/>
        <w:spacing w:after="0"/>
        <w:rPr>
          <w:sz w:val="20"/>
          <w:szCs w:val="20"/>
          <w:color w:val="auto"/>
        </w:rPr>
      </w:pPr>
      <w:r>
        <w:rPr>
          <w:rFonts w:ascii="Arial" w:cs="Arial" w:eastAsia="Arial" w:hAnsi="Arial"/>
          <w:sz w:val="18"/>
          <w:szCs w:val="18"/>
          <w:color w:val="auto"/>
        </w:rPr>
        <w:t>In January 2017, American created three pass-through trusts which issued approximately $983 million aggregate principal amount of Series 2017-1 Class AA, Class A and Class B EETCs (the 2017-1 EETCs) in connection with the financing of 24 aircraft delivered to American through May 2017 (the 2017-1 Aircraft).</w:t>
      </w:r>
    </w:p>
    <w:p>
      <w:pPr>
        <w:spacing w:after="0" w:line="203" w:lineRule="exact"/>
        <w:rPr>
          <w:sz w:val="20"/>
          <w:szCs w:val="20"/>
          <w:color w:val="auto"/>
        </w:rPr>
      </w:pPr>
    </w:p>
    <w:p>
      <w:pPr>
        <w:jc w:val="both"/>
        <w:ind w:firstLine="228"/>
        <w:spacing w:after="0" w:line="239" w:lineRule="auto"/>
        <w:rPr>
          <w:sz w:val="20"/>
          <w:szCs w:val="20"/>
          <w:color w:val="auto"/>
        </w:rPr>
      </w:pPr>
      <w:r>
        <w:rPr>
          <w:rFonts w:ascii="Arial" w:cs="Arial" w:eastAsia="Arial" w:hAnsi="Arial"/>
          <w:sz w:val="18"/>
          <w:szCs w:val="18"/>
          <w:color w:val="auto"/>
        </w:rPr>
        <w:t>As of June 30, 2017, all of the proceeds received from the sale of the 2017-1 EETCs have been used to purchase equipment notes issued by American in connection with the financing of new aircraft on or following the delivery thereof. Interest and principal payments on the equipment notes will be payable semi-annually in February and August of each year, with interest payments beginning in August 2017 and principal payments beginning in February 2018. The equipment notes are secured by liens on the 2017-1 Aircraft.</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65" w:right="239" w:bottom="1440" w:gutter="0" w:footer="0" w:header="0"/>
        </w:sectPr>
      </w:pPr>
    </w:p>
    <w:bookmarkStart w:id="12" w:name="page13"/>
    <w:bookmarkEnd w:id="12"/>
    <w:p>
      <w:pPr>
        <w:jc w:val="center"/>
        <w:spacing w:after="0" w:line="27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 TO CONDENSED CONSOLIDATED FINANCIAL STATEMENTS OF AMERICAN AIRLINES GROUP INC. (Unaudited)</w:t>
      </w:r>
    </w:p>
    <w:p>
      <w:pPr>
        <w:spacing w:after="0" w:line="10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Certain information regarding the 2017-1 EETC equipment notes, as of June 30, 2017, is set forth in the table below.</w:t>
      </w:r>
    </w:p>
    <w:p>
      <w:pPr>
        <w:spacing w:after="0" w:line="226" w:lineRule="exact"/>
        <w:rPr>
          <w:sz w:val="20"/>
          <w:szCs w:val="20"/>
          <w:color w:val="auto"/>
        </w:rPr>
      </w:pPr>
    </w:p>
    <w:tbl>
      <w:tblPr>
        <w:tblLayout w:type="fixed"/>
        <w:tblInd w:w="240" w:type="dxa"/>
        <w:tblCellMar>
          <w:top w:w="0" w:type="dxa"/>
          <w:left w:w="0" w:type="dxa"/>
          <w:bottom w:w="0" w:type="dxa"/>
          <w:right w:w="0" w:type="dxa"/>
        </w:tblCellMar>
      </w:tblPr>
      <w:tr>
        <w:trPr>
          <w:trHeight w:val="175"/>
        </w:trPr>
        <w:tc>
          <w:tcPr>
            <w:tcW w:w="6880" w:type="dxa"/>
            <w:vAlign w:val="bottom"/>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rPr>
              <w:t>2017-1 EETCs</w:t>
            </w:r>
          </w:p>
        </w:tc>
        <w:tc>
          <w:tcPr>
            <w:tcW w:w="1220" w:type="dxa"/>
            <w:vAlign w:val="bottom"/>
            <w:tcBorders>
              <w:bottom w:val="single" w:sz="8" w:color="auto"/>
            </w:tcBorders>
          </w:tcPr>
          <w:p>
            <w:pPr>
              <w:spacing w:after="0"/>
              <w:rPr>
                <w:sz w:val="15"/>
                <w:szCs w:val="15"/>
                <w:color w:val="auto"/>
              </w:rPr>
            </w:pPr>
          </w:p>
        </w:tc>
      </w:tr>
      <w:tr>
        <w:trPr>
          <w:trHeight w:val="156"/>
        </w:trPr>
        <w:tc>
          <w:tcPr>
            <w:tcW w:w="6880" w:type="dxa"/>
            <w:vAlign w:val="bottom"/>
          </w:tcPr>
          <w:p>
            <w:pPr>
              <w:spacing w:after="0"/>
              <w:rPr>
                <w:sz w:val="13"/>
                <w:szCs w:val="13"/>
                <w:color w:val="auto"/>
              </w:rPr>
            </w:pPr>
          </w:p>
        </w:tc>
        <w:tc>
          <w:tcPr>
            <w:tcW w:w="1420" w:type="dxa"/>
            <w:vAlign w:val="bottom"/>
            <w:gridSpan w:val="2"/>
          </w:tcPr>
          <w:p>
            <w:pPr>
              <w:jc w:val="center"/>
              <w:ind w:right="220"/>
              <w:spacing w:after="0" w:line="155" w:lineRule="exact"/>
              <w:rPr>
                <w:sz w:val="20"/>
                <w:szCs w:val="20"/>
                <w:color w:val="auto"/>
              </w:rPr>
            </w:pPr>
            <w:r>
              <w:rPr>
                <w:rFonts w:ascii="Arial" w:cs="Arial" w:eastAsia="Arial" w:hAnsi="Arial"/>
                <w:sz w:val="14"/>
                <w:szCs w:val="14"/>
                <w:b w:val="1"/>
                <w:bCs w:val="1"/>
                <w:color w:val="auto"/>
              </w:rPr>
              <w:t>Series AA</w:t>
            </w:r>
          </w:p>
        </w:tc>
        <w:tc>
          <w:tcPr>
            <w:tcW w:w="1440" w:type="dxa"/>
            <w:vAlign w:val="bottom"/>
            <w:gridSpan w:val="2"/>
          </w:tcPr>
          <w:p>
            <w:pPr>
              <w:jc w:val="center"/>
              <w:ind w:right="220"/>
              <w:spacing w:after="0" w:line="155" w:lineRule="exact"/>
              <w:rPr>
                <w:sz w:val="20"/>
                <w:szCs w:val="20"/>
                <w:color w:val="auto"/>
              </w:rPr>
            </w:pPr>
            <w:r>
              <w:rPr>
                <w:rFonts w:ascii="Arial" w:cs="Arial" w:eastAsia="Arial" w:hAnsi="Arial"/>
                <w:sz w:val="14"/>
                <w:szCs w:val="14"/>
                <w:b w:val="1"/>
                <w:bCs w:val="1"/>
                <w:color w:val="auto"/>
              </w:rPr>
              <w:t>Series A</w:t>
            </w:r>
          </w:p>
        </w:tc>
        <w:tc>
          <w:tcPr>
            <w:tcW w:w="122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rPr>
              <w:t>Series B</w:t>
            </w:r>
          </w:p>
        </w:tc>
      </w:tr>
      <w:tr>
        <w:trPr>
          <w:trHeight w:val="196"/>
        </w:trPr>
        <w:tc>
          <w:tcPr>
            <w:tcW w:w="68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Aggregate principal issued</w:t>
            </w:r>
          </w:p>
        </w:tc>
        <w:tc>
          <w:tcPr>
            <w:tcW w:w="120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$537 million</w:t>
            </w:r>
          </w:p>
        </w:tc>
        <w:tc>
          <w:tcPr>
            <w:tcW w:w="2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$248 million</w:t>
            </w:r>
          </w:p>
        </w:tc>
        <w:tc>
          <w:tcPr>
            <w:tcW w:w="2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$198 million</w:t>
            </w:r>
          </w:p>
        </w:tc>
      </w:tr>
      <w:tr>
        <w:trPr>
          <w:trHeight w:val="203"/>
        </w:trPr>
        <w:tc>
          <w:tcPr>
            <w:tcW w:w="6880" w:type="dxa"/>
            <w:vAlign w:val="bottom"/>
          </w:tcPr>
          <w:p>
            <w:pPr>
              <w:spacing w:after="0" w:line="202" w:lineRule="exact"/>
              <w:rPr>
                <w:sz w:val="20"/>
                <w:szCs w:val="20"/>
                <w:color w:val="auto"/>
              </w:rPr>
            </w:pPr>
            <w:r>
              <w:rPr>
                <w:rFonts w:ascii="Arial" w:cs="Arial" w:eastAsia="Arial" w:hAnsi="Arial"/>
                <w:sz w:val="18"/>
                <w:szCs w:val="18"/>
                <w:color w:val="auto"/>
              </w:rPr>
              <w:t>Fixed interest rate per annum</w:t>
            </w:r>
          </w:p>
        </w:tc>
        <w:tc>
          <w:tcPr>
            <w:tcW w:w="1200" w:type="dxa"/>
            <w:vAlign w:val="bottom"/>
          </w:tcPr>
          <w:p>
            <w:pPr>
              <w:jc w:val="center"/>
              <w:spacing w:after="0" w:line="202" w:lineRule="exact"/>
              <w:rPr>
                <w:sz w:val="20"/>
                <w:szCs w:val="20"/>
                <w:color w:val="auto"/>
              </w:rPr>
            </w:pPr>
            <w:r>
              <w:rPr>
                <w:rFonts w:ascii="Arial" w:cs="Arial" w:eastAsia="Arial" w:hAnsi="Arial"/>
                <w:sz w:val="18"/>
                <w:szCs w:val="18"/>
                <w:color w:val="auto"/>
                <w:w w:val="97"/>
              </w:rPr>
              <w:t>3.65%</w:t>
            </w:r>
          </w:p>
        </w:tc>
        <w:tc>
          <w:tcPr>
            <w:tcW w:w="220" w:type="dxa"/>
            <w:vAlign w:val="bottom"/>
          </w:tcPr>
          <w:p>
            <w:pPr>
              <w:spacing w:after="0"/>
              <w:rPr>
                <w:sz w:val="17"/>
                <w:szCs w:val="17"/>
                <w:color w:val="auto"/>
              </w:rPr>
            </w:pPr>
          </w:p>
        </w:tc>
        <w:tc>
          <w:tcPr>
            <w:tcW w:w="1220" w:type="dxa"/>
            <w:vAlign w:val="bottom"/>
          </w:tcPr>
          <w:p>
            <w:pPr>
              <w:jc w:val="center"/>
              <w:spacing w:after="0" w:line="202" w:lineRule="exact"/>
              <w:rPr>
                <w:sz w:val="20"/>
                <w:szCs w:val="20"/>
                <w:color w:val="auto"/>
              </w:rPr>
            </w:pPr>
            <w:r>
              <w:rPr>
                <w:rFonts w:ascii="Arial" w:cs="Arial" w:eastAsia="Arial" w:hAnsi="Arial"/>
                <w:sz w:val="18"/>
                <w:szCs w:val="18"/>
                <w:color w:val="auto"/>
                <w:w w:val="97"/>
              </w:rPr>
              <w:t>4.00%</w:t>
            </w:r>
          </w:p>
        </w:tc>
        <w:tc>
          <w:tcPr>
            <w:tcW w:w="220" w:type="dxa"/>
            <w:vAlign w:val="bottom"/>
          </w:tcPr>
          <w:p>
            <w:pPr>
              <w:spacing w:after="0"/>
              <w:rPr>
                <w:sz w:val="17"/>
                <w:szCs w:val="17"/>
                <w:color w:val="auto"/>
              </w:rPr>
            </w:pPr>
          </w:p>
        </w:tc>
        <w:tc>
          <w:tcPr>
            <w:tcW w:w="1220" w:type="dxa"/>
            <w:vAlign w:val="bottom"/>
          </w:tcPr>
          <w:p>
            <w:pPr>
              <w:jc w:val="center"/>
              <w:spacing w:after="0" w:line="202" w:lineRule="exact"/>
              <w:rPr>
                <w:sz w:val="20"/>
                <w:szCs w:val="20"/>
                <w:color w:val="auto"/>
              </w:rPr>
            </w:pPr>
            <w:r>
              <w:rPr>
                <w:rFonts w:ascii="Arial" w:cs="Arial" w:eastAsia="Arial" w:hAnsi="Arial"/>
                <w:sz w:val="18"/>
                <w:szCs w:val="18"/>
                <w:color w:val="auto"/>
              </w:rPr>
              <w:t>4.95%</w:t>
            </w:r>
          </w:p>
        </w:tc>
      </w:tr>
      <w:tr>
        <w:trPr>
          <w:trHeight w:val="203"/>
        </w:trPr>
        <w:tc>
          <w:tcPr>
            <w:tcW w:w="6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Maturity date</w:t>
            </w:r>
          </w:p>
        </w:tc>
        <w:tc>
          <w:tcPr>
            <w:tcW w:w="1420" w:type="dxa"/>
            <w:vAlign w:val="bottom"/>
            <w:gridSpan w:val="2"/>
            <w:shd w:val="clear" w:color="auto" w:fill="CCEEFF"/>
          </w:tcPr>
          <w:p>
            <w:pPr>
              <w:jc w:val="center"/>
              <w:ind w:right="200"/>
              <w:spacing w:after="0" w:line="202" w:lineRule="exact"/>
              <w:rPr>
                <w:sz w:val="20"/>
                <w:szCs w:val="20"/>
                <w:color w:val="auto"/>
              </w:rPr>
            </w:pPr>
            <w:r>
              <w:rPr>
                <w:rFonts w:ascii="Arial" w:cs="Arial" w:eastAsia="Arial" w:hAnsi="Arial"/>
                <w:sz w:val="18"/>
                <w:szCs w:val="18"/>
                <w:color w:val="auto"/>
              </w:rPr>
              <w:t>February 2029</w:t>
            </w:r>
          </w:p>
        </w:tc>
        <w:tc>
          <w:tcPr>
            <w:tcW w:w="1440" w:type="dxa"/>
            <w:vAlign w:val="bottom"/>
            <w:gridSpan w:val="2"/>
            <w:shd w:val="clear" w:color="auto" w:fill="CCEEFF"/>
          </w:tcPr>
          <w:p>
            <w:pPr>
              <w:jc w:val="center"/>
              <w:ind w:right="220"/>
              <w:spacing w:after="0" w:line="202" w:lineRule="exact"/>
              <w:rPr>
                <w:sz w:val="20"/>
                <w:szCs w:val="20"/>
                <w:color w:val="auto"/>
              </w:rPr>
            </w:pPr>
            <w:r>
              <w:rPr>
                <w:rFonts w:ascii="Arial" w:cs="Arial" w:eastAsia="Arial" w:hAnsi="Arial"/>
                <w:sz w:val="18"/>
                <w:szCs w:val="18"/>
                <w:color w:val="auto"/>
              </w:rPr>
              <w:t>February 2029</w:t>
            </w:r>
          </w:p>
        </w:tc>
        <w:tc>
          <w:tcPr>
            <w:tcW w:w="12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February 2025</w:t>
            </w:r>
          </w:p>
        </w:tc>
      </w:tr>
    </w:tbl>
    <w:p>
      <w:pPr>
        <w:spacing w:after="0" w:line="3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2016-3 EETCs</w:t>
      </w:r>
    </w:p>
    <w:p>
      <w:pPr>
        <w:spacing w:after="0" w:line="122" w:lineRule="exact"/>
        <w:rPr>
          <w:sz w:val="20"/>
          <w:szCs w:val="20"/>
          <w:color w:val="auto"/>
        </w:rPr>
      </w:pPr>
    </w:p>
    <w:p>
      <w:pPr>
        <w:jc w:val="both"/>
        <w:ind w:firstLine="228"/>
        <w:spacing w:after="0" w:line="238" w:lineRule="auto"/>
        <w:rPr>
          <w:sz w:val="20"/>
          <w:szCs w:val="20"/>
          <w:color w:val="auto"/>
        </w:rPr>
      </w:pPr>
      <w:r>
        <w:rPr>
          <w:rFonts w:ascii="Arial" w:cs="Arial" w:eastAsia="Arial" w:hAnsi="Arial"/>
          <w:sz w:val="18"/>
          <w:szCs w:val="18"/>
          <w:color w:val="auto"/>
        </w:rPr>
        <w:t>During the first quarter of 2017, all remaining proceeds of the Series 2016-3 Class AA and Class A (the 2016-3 EETCs), in the amount of $109 million, were used to purchase equipment notes issued by American in connection with the financing of new aircraft on or following the delivery thereof. Interest and principal payments on the equipment notes are payable semi-annually in April and October of each year, with interest payments that began in April 2017 and principal payments beginning in October 2017. These equipment notes are secured by liens on the aircraft financed with the proceeds of the 2016-3 EETCs.</w:t>
      </w:r>
    </w:p>
    <w:p>
      <w:pPr>
        <w:spacing w:after="0" w:line="20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Certain information regarding the 2016-3 EETC equipment notes, as of June 30, 2017, is set forth in the table below.</w:t>
      </w:r>
    </w:p>
    <w:p>
      <w:pPr>
        <w:spacing w:after="0" w:line="226" w:lineRule="exact"/>
        <w:rPr>
          <w:sz w:val="20"/>
          <w:szCs w:val="20"/>
          <w:color w:val="auto"/>
        </w:rPr>
      </w:pPr>
    </w:p>
    <w:tbl>
      <w:tblPr>
        <w:tblLayout w:type="fixed"/>
        <w:tblInd w:w="240" w:type="dxa"/>
        <w:tblCellMar>
          <w:top w:w="0" w:type="dxa"/>
          <w:left w:w="0" w:type="dxa"/>
          <w:bottom w:w="0" w:type="dxa"/>
          <w:right w:w="0" w:type="dxa"/>
        </w:tblCellMar>
      </w:tblPr>
      <w:tr>
        <w:trPr>
          <w:trHeight w:val="175"/>
        </w:trPr>
        <w:tc>
          <w:tcPr>
            <w:tcW w:w="8540" w:type="dxa"/>
            <w:vAlign w:val="bottom"/>
          </w:tcPr>
          <w:p>
            <w:pPr>
              <w:spacing w:after="0"/>
              <w:rPr>
                <w:sz w:val="15"/>
                <w:szCs w:val="15"/>
                <w:color w:val="auto"/>
              </w:rPr>
            </w:pPr>
          </w:p>
        </w:tc>
        <w:tc>
          <w:tcPr>
            <w:tcW w:w="242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rPr>
              <w:t>2016-3 EETCs</w:t>
            </w:r>
          </w:p>
        </w:tc>
      </w:tr>
      <w:tr>
        <w:trPr>
          <w:trHeight w:val="156"/>
        </w:trPr>
        <w:tc>
          <w:tcPr>
            <w:tcW w:w="8540" w:type="dxa"/>
            <w:vAlign w:val="bottom"/>
          </w:tcPr>
          <w:p>
            <w:pPr>
              <w:spacing w:after="0"/>
              <w:rPr>
                <w:sz w:val="13"/>
                <w:szCs w:val="13"/>
                <w:color w:val="auto"/>
              </w:rPr>
            </w:pPr>
          </w:p>
        </w:tc>
        <w:tc>
          <w:tcPr>
            <w:tcW w:w="1300" w:type="dxa"/>
            <w:vAlign w:val="bottom"/>
            <w:gridSpan w:val="2"/>
          </w:tcPr>
          <w:p>
            <w:pPr>
              <w:jc w:val="center"/>
              <w:ind w:right="220"/>
              <w:spacing w:after="0" w:line="155" w:lineRule="exact"/>
              <w:rPr>
                <w:sz w:val="20"/>
                <w:szCs w:val="20"/>
                <w:color w:val="auto"/>
              </w:rPr>
            </w:pPr>
            <w:r>
              <w:rPr>
                <w:rFonts w:ascii="Arial" w:cs="Arial" w:eastAsia="Arial" w:hAnsi="Arial"/>
                <w:sz w:val="14"/>
                <w:szCs w:val="14"/>
                <w:b w:val="1"/>
                <w:bCs w:val="1"/>
                <w:color w:val="auto"/>
              </w:rPr>
              <w:t>Series AA</w:t>
            </w:r>
          </w:p>
        </w:tc>
        <w:tc>
          <w:tcPr>
            <w:tcW w:w="112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rPr>
              <w:t>Series A</w:t>
            </w:r>
          </w:p>
        </w:tc>
      </w:tr>
      <w:tr>
        <w:trPr>
          <w:trHeight w:val="196"/>
        </w:trPr>
        <w:tc>
          <w:tcPr>
            <w:tcW w:w="85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Aggregate principal issued</w:t>
            </w:r>
          </w:p>
        </w:tc>
        <w:tc>
          <w:tcPr>
            <w:tcW w:w="108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$558 million</w:t>
            </w:r>
          </w:p>
        </w:tc>
        <w:tc>
          <w:tcPr>
            <w:tcW w:w="2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$256 million</w:t>
            </w:r>
          </w:p>
        </w:tc>
      </w:tr>
      <w:tr>
        <w:trPr>
          <w:trHeight w:val="203"/>
        </w:trPr>
        <w:tc>
          <w:tcPr>
            <w:tcW w:w="8540" w:type="dxa"/>
            <w:vAlign w:val="bottom"/>
          </w:tcPr>
          <w:p>
            <w:pPr>
              <w:spacing w:after="0" w:line="202" w:lineRule="exact"/>
              <w:rPr>
                <w:sz w:val="20"/>
                <w:szCs w:val="20"/>
                <w:color w:val="auto"/>
              </w:rPr>
            </w:pPr>
            <w:r>
              <w:rPr>
                <w:rFonts w:ascii="Arial" w:cs="Arial" w:eastAsia="Arial" w:hAnsi="Arial"/>
                <w:sz w:val="18"/>
                <w:szCs w:val="18"/>
                <w:color w:val="auto"/>
              </w:rPr>
              <w:t>Fixed interest rate per annum</w:t>
            </w:r>
          </w:p>
        </w:tc>
        <w:tc>
          <w:tcPr>
            <w:tcW w:w="1080" w:type="dxa"/>
            <w:vAlign w:val="bottom"/>
          </w:tcPr>
          <w:p>
            <w:pPr>
              <w:jc w:val="center"/>
              <w:spacing w:after="0" w:line="202" w:lineRule="exact"/>
              <w:rPr>
                <w:sz w:val="20"/>
                <w:szCs w:val="20"/>
                <w:color w:val="auto"/>
              </w:rPr>
            </w:pPr>
            <w:r>
              <w:rPr>
                <w:rFonts w:ascii="Arial" w:cs="Arial" w:eastAsia="Arial" w:hAnsi="Arial"/>
                <w:sz w:val="18"/>
                <w:szCs w:val="18"/>
                <w:color w:val="auto"/>
              </w:rPr>
              <w:t>3.00%</w:t>
            </w:r>
          </w:p>
        </w:tc>
        <w:tc>
          <w:tcPr>
            <w:tcW w:w="220" w:type="dxa"/>
            <w:vAlign w:val="bottom"/>
          </w:tcPr>
          <w:p>
            <w:pPr>
              <w:spacing w:after="0"/>
              <w:rPr>
                <w:sz w:val="17"/>
                <w:szCs w:val="17"/>
                <w:color w:val="auto"/>
              </w:rPr>
            </w:pPr>
          </w:p>
        </w:tc>
        <w:tc>
          <w:tcPr>
            <w:tcW w:w="1120" w:type="dxa"/>
            <w:vAlign w:val="bottom"/>
          </w:tcPr>
          <w:p>
            <w:pPr>
              <w:jc w:val="center"/>
              <w:spacing w:after="0" w:line="202" w:lineRule="exact"/>
              <w:rPr>
                <w:sz w:val="20"/>
                <w:szCs w:val="20"/>
                <w:color w:val="auto"/>
              </w:rPr>
            </w:pPr>
            <w:r>
              <w:rPr>
                <w:rFonts w:ascii="Arial" w:cs="Arial" w:eastAsia="Arial" w:hAnsi="Arial"/>
                <w:sz w:val="18"/>
                <w:szCs w:val="18"/>
                <w:color w:val="auto"/>
              </w:rPr>
              <w:t>3.25%</w:t>
            </w:r>
          </w:p>
        </w:tc>
      </w:tr>
      <w:tr>
        <w:trPr>
          <w:trHeight w:val="203"/>
        </w:trPr>
        <w:tc>
          <w:tcPr>
            <w:tcW w:w="8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Maturity date</w:t>
            </w:r>
          </w:p>
        </w:tc>
        <w:tc>
          <w:tcPr>
            <w:tcW w:w="1300" w:type="dxa"/>
            <w:vAlign w:val="bottom"/>
            <w:gridSpan w:val="2"/>
            <w:shd w:val="clear" w:color="auto" w:fill="CCEEFF"/>
          </w:tcPr>
          <w:p>
            <w:pPr>
              <w:jc w:val="center"/>
              <w:ind w:right="220"/>
              <w:spacing w:after="0" w:line="202" w:lineRule="exact"/>
              <w:rPr>
                <w:sz w:val="20"/>
                <w:szCs w:val="20"/>
                <w:color w:val="auto"/>
              </w:rPr>
            </w:pPr>
            <w:r>
              <w:rPr>
                <w:rFonts w:ascii="Arial" w:cs="Arial" w:eastAsia="Arial" w:hAnsi="Arial"/>
                <w:sz w:val="18"/>
                <w:szCs w:val="18"/>
                <w:color w:val="auto"/>
                <w:w w:val="98"/>
              </w:rPr>
              <w:t>October 2028</w:t>
            </w:r>
          </w:p>
        </w:tc>
        <w:tc>
          <w:tcPr>
            <w:tcW w:w="11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8"/>
              </w:rPr>
              <w:t>October 2028</w:t>
            </w:r>
          </w:p>
        </w:tc>
      </w:tr>
    </w:tbl>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Equipment Loans and Other Notes Payable Issued in 2017</w:t>
      </w:r>
    </w:p>
    <w:p>
      <w:pPr>
        <w:spacing w:after="0" w:line="122" w:lineRule="exact"/>
        <w:rPr>
          <w:sz w:val="20"/>
          <w:szCs w:val="20"/>
          <w:color w:val="auto"/>
        </w:rPr>
      </w:pPr>
    </w:p>
    <w:p>
      <w:pPr>
        <w:jc w:val="both"/>
        <w:ind w:firstLine="456"/>
        <w:spacing w:after="0" w:line="246" w:lineRule="auto"/>
        <w:rPr>
          <w:sz w:val="20"/>
          <w:szCs w:val="20"/>
          <w:color w:val="auto"/>
        </w:rPr>
      </w:pPr>
      <w:r>
        <w:rPr>
          <w:rFonts w:ascii="Arial" w:cs="Arial" w:eastAsia="Arial" w:hAnsi="Arial"/>
          <w:sz w:val="18"/>
          <w:szCs w:val="18"/>
          <w:color w:val="auto"/>
        </w:rPr>
        <w:t>In the first six months of 2017, American entered into agreements under which it borrowed $533 million in connection with the financing of certain aircraft. Debt incurred under these agreements matures in 2021 through 2029.</w:t>
      </w:r>
    </w:p>
    <w:p>
      <w:pPr>
        <w:spacing w:after="0" w:line="2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2017 Other Financing Activities</w:t>
      </w:r>
    </w:p>
    <w:p>
      <w:pPr>
        <w:spacing w:after="0" w:line="10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2013 Credit Facilities</w:t>
      </w:r>
    </w:p>
    <w:p>
      <w:pPr>
        <w:spacing w:after="0" w:line="122" w:lineRule="exact"/>
        <w:rPr>
          <w:sz w:val="20"/>
          <w:szCs w:val="20"/>
          <w:color w:val="auto"/>
        </w:rPr>
      </w:pPr>
    </w:p>
    <w:p>
      <w:pPr>
        <w:jc w:val="both"/>
        <w:ind w:firstLine="228"/>
        <w:spacing w:after="0" w:line="236" w:lineRule="auto"/>
        <w:rPr>
          <w:sz w:val="20"/>
          <w:szCs w:val="20"/>
          <w:color w:val="auto"/>
        </w:rPr>
      </w:pPr>
      <w:r>
        <w:rPr>
          <w:rFonts w:ascii="Arial" w:cs="Arial" w:eastAsia="Arial" w:hAnsi="Arial"/>
          <w:sz w:val="18"/>
          <w:szCs w:val="18"/>
          <w:color w:val="auto"/>
        </w:rPr>
        <w:t>In March 2017, American and AAG entered into the Second Amendment to the Amended and Restated Credit and Guaranty Agreement, amending the Amended and Restated Credit and Guaranty Agreement dated May 21, 2015 (which amended and restated the Credit and Guaranty Agreement dated June 27, 2013), as previously amended by the First Amendment to Amended and Restated Credit and Guaranty Agreement dated October 26, 2015, pursuant to which we refinanced the $1.8 billion term loan facility due June 2020 established thereunder (the 2013 Term Loan Facility and, together with the $1.4 billion revolving credit facility established under such agreement, the 2013 Credit Facilities) to reduce the LIBOR margin from 2.50% to 2.00% and the base rate margin from 1.50% to 1.00%. The $1.4 billion revolving credit facility under the 2013 Credit Facilities (the 2013 Revolving Facility) remains unchanged. As of June 30, 2017, approximately $1.8 billion of principal was outstanding under the 2013 Term Loan Facility and there were no borrowings or letters of credit outstanding under the 2013 Revolving Facility.</w:t>
      </w:r>
    </w:p>
    <w:p>
      <w:pPr>
        <w:spacing w:after="0" w:line="29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2014 Credit Facilities</w:t>
      </w:r>
    </w:p>
    <w:p>
      <w:pPr>
        <w:spacing w:after="0" w:line="122" w:lineRule="exact"/>
        <w:rPr>
          <w:sz w:val="20"/>
          <w:szCs w:val="20"/>
          <w:color w:val="auto"/>
        </w:rPr>
      </w:pPr>
    </w:p>
    <w:p>
      <w:pPr>
        <w:jc w:val="both"/>
        <w:ind w:firstLine="228"/>
        <w:spacing w:after="0" w:line="236" w:lineRule="auto"/>
        <w:rPr>
          <w:sz w:val="20"/>
          <w:szCs w:val="20"/>
          <w:color w:val="auto"/>
        </w:rPr>
      </w:pPr>
      <w:r>
        <w:rPr>
          <w:rFonts w:ascii="Arial" w:cs="Arial" w:eastAsia="Arial" w:hAnsi="Arial"/>
          <w:sz w:val="18"/>
          <w:szCs w:val="18"/>
          <w:color w:val="auto"/>
        </w:rPr>
        <w:t>In June 2017, American and AAG entered into the Third Amendment to the Amended and Restated Credit and Guaranty Agreement, amending the Amended and Restated Credit and Guaranty Agreement dated April 20, 2015 (which amended and restated the Credit and Guaranty Agreement dated October 10, 2014), as previously amended by the First Amendment to Amended and Restated Credit and Guaranty Agreement dated October 26, 2015 and the Second Amendment to Amended and Restated Credit and Guaranty Agreement dated September 22, 2016, pursuant to which we refinanced the $735 million term loan facility due October 2021 established thereunder (the 2014 Term Loan Facility and, together with the $1.025 billion revolving credit facility established under such agreement, the 2014 Credit Facilities) to reduce the LIBOR margin from 2.50% to 2.00% and the base rate margin from 1.50% to 1.00%. The $1.025 billion revolving credit facility under the 2014 Credit Facilities (the 2014 Revolving Facility) remains unchanged. As of June 30, 2017, approximately $735 million of principal was outstanding under the 2014 Term Loan Facility and there were no borrowings or letters of credit outstanding under the 2014 Revolving Facility.</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65" w:right="239" w:bottom="1440" w:gutter="0" w:footer="0" w:header="0"/>
        </w:sectPr>
      </w:pPr>
    </w:p>
    <w:bookmarkStart w:id="13" w:name="page14"/>
    <w:bookmarkEnd w:id="13"/>
    <w:p>
      <w:pPr>
        <w:jc w:val="center"/>
        <w:spacing w:after="0" w:line="27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 TO CONDENSED CONSOLIDATED FINANCIAL STATEMENTS OF AMERICAN AIRLINES GROUP INC. (Unaudited)</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Taxes</w:t>
      </w:r>
    </w:p>
    <w:p>
      <w:pPr>
        <w:spacing w:after="0" w:line="126" w:lineRule="exact"/>
        <w:rPr>
          <w:sz w:val="20"/>
          <w:szCs w:val="20"/>
          <w:color w:val="auto"/>
        </w:rPr>
      </w:pPr>
    </w:p>
    <w:p>
      <w:pPr>
        <w:jc w:val="both"/>
        <w:ind w:firstLine="228"/>
        <w:spacing w:after="0" w:line="239" w:lineRule="auto"/>
        <w:rPr>
          <w:sz w:val="20"/>
          <w:szCs w:val="20"/>
          <w:color w:val="auto"/>
        </w:rPr>
      </w:pPr>
      <w:r>
        <w:rPr>
          <w:rFonts w:ascii="Arial" w:cs="Arial" w:eastAsia="Arial" w:hAnsi="Arial"/>
          <w:sz w:val="18"/>
          <w:szCs w:val="18"/>
          <w:color w:val="auto"/>
        </w:rPr>
        <w:t>At December 31, 2016, we had approximately $10.5 billion of gross net operating losses (NOLs) carried over from prior taxable years (NOL Carryforwards) to reduce future federal taxable income, substantially all of which are expected to be available for use in 2017. The federal NOL Carryforwards will expire beginning in 2022 if unused. We also had approximately $3.7 billion of NOL Carryforwards to reduce future state taxable income at December 31, 2016, which will expire in years 2017 through 2036 if unused.</w:t>
      </w:r>
    </w:p>
    <w:p>
      <w:pPr>
        <w:spacing w:after="0" w:line="202" w:lineRule="exact"/>
        <w:rPr>
          <w:sz w:val="20"/>
          <w:szCs w:val="20"/>
          <w:color w:val="auto"/>
        </w:rPr>
      </w:pPr>
    </w:p>
    <w:p>
      <w:pPr>
        <w:jc w:val="both"/>
        <w:ind w:right="20" w:firstLine="228"/>
        <w:spacing w:after="0" w:line="246" w:lineRule="auto"/>
        <w:rPr>
          <w:sz w:val="20"/>
          <w:szCs w:val="20"/>
          <w:color w:val="auto"/>
        </w:rPr>
      </w:pPr>
      <w:r>
        <w:rPr>
          <w:rFonts w:ascii="Arial" w:cs="Arial" w:eastAsia="Arial" w:hAnsi="Arial"/>
          <w:sz w:val="18"/>
          <w:szCs w:val="18"/>
          <w:color w:val="auto"/>
        </w:rPr>
        <w:t>At December 31, 2016, we had an alternative minimum tax credit carryforward of approximately $339 million available for federal income tax purposes, which is available for an indefinite period.</w:t>
      </w:r>
    </w:p>
    <w:p>
      <w:pPr>
        <w:spacing w:after="0" w:line="197" w:lineRule="exact"/>
        <w:rPr>
          <w:sz w:val="20"/>
          <w:szCs w:val="20"/>
          <w:color w:val="auto"/>
        </w:rPr>
      </w:pPr>
    </w:p>
    <w:p>
      <w:pPr>
        <w:jc w:val="both"/>
        <w:ind w:right="20" w:firstLine="228"/>
        <w:spacing w:after="0"/>
        <w:rPr>
          <w:sz w:val="20"/>
          <w:szCs w:val="20"/>
          <w:color w:val="auto"/>
        </w:rPr>
      </w:pPr>
      <w:r>
        <w:rPr>
          <w:rFonts w:ascii="Arial" w:cs="Arial" w:eastAsia="Arial" w:hAnsi="Arial"/>
          <w:sz w:val="18"/>
          <w:szCs w:val="18"/>
          <w:color w:val="auto"/>
        </w:rPr>
        <w:t>During the three and six months ended June 30, 2017, we recorded an income tax provision of $ 488 million and $619 million, respectively, which was substantially non-cash due to the utilization of the NOLs described above. Substantially all of our income before income taxes is attributable to the United States.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Fair Value Measurements</w:t>
      </w:r>
    </w:p>
    <w:p>
      <w:pPr>
        <w:spacing w:after="0" w:line="10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Assets Measured at Fair Value on a Recurring Basis</w:t>
      </w:r>
    </w:p>
    <w:p>
      <w:pPr>
        <w:spacing w:after="0" w:line="126" w:lineRule="exact"/>
        <w:rPr>
          <w:sz w:val="20"/>
          <w:szCs w:val="20"/>
          <w:color w:val="auto"/>
        </w:rPr>
      </w:pPr>
    </w:p>
    <w:p>
      <w:pPr>
        <w:jc w:val="both"/>
        <w:ind w:firstLine="228"/>
        <w:spacing w:after="0" w:line="239" w:lineRule="auto"/>
        <w:rPr>
          <w:sz w:val="20"/>
          <w:szCs w:val="20"/>
          <w:color w:val="auto"/>
        </w:rPr>
      </w:pPr>
      <w:r>
        <w:rPr>
          <w:rFonts w:ascii="Arial" w:cs="Arial" w:eastAsia="Arial" w:hAnsi="Arial"/>
          <w:sz w:val="18"/>
          <w:szCs w:val="18"/>
          <w:color w:val="auto"/>
        </w:rPr>
        <w:t>We utilize the market approach to measure fair value for our financial assets. The market approach uses prices and other relevant information generated by market transactions involving identical or comparable assets. Our short-term investments classified as Level 2 primarily utilize broker quotes in a non-active market for valuation of these securities. No changes in valuation techniques or inputs occurred during the six months ended June 30, 2017.</w:t>
      </w:r>
    </w:p>
    <w:p>
      <w:pPr>
        <w:spacing w:after="0" w:line="20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Assets measured at fair value on a recurring basis are summarized below (in millions):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8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3280" w:type="dxa"/>
            <w:vAlign w:val="bottom"/>
            <w:tcBorders>
              <w:bottom w:val="single" w:sz="8" w:color="auto"/>
            </w:tcBorders>
            <w:gridSpan w:val="14"/>
          </w:tcPr>
          <w:p>
            <w:pPr>
              <w:jc w:val="right"/>
              <w:ind w:right="96"/>
              <w:spacing w:after="0"/>
              <w:rPr>
                <w:sz w:val="20"/>
                <w:szCs w:val="20"/>
                <w:color w:val="auto"/>
              </w:rPr>
            </w:pPr>
            <w:r>
              <w:rPr>
                <w:rFonts w:ascii="Arial" w:cs="Arial" w:eastAsia="Arial" w:hAnsi="Arial"/>
                <w:sz w:val="14"/>
                <w:szCs w:val="14"/>
                <w:b w:val="1"/>
                <w:bCs w:val="1"/>
                <w:color w:val="auto"/>
              </w:rPr>
              <w:t>Fair Value Measurements as of June 30, 2017</w:t>
            </w:r>
          </w:p>
        </w:tc>
        <w:tc>
          <w:tcPr>
            <w:tcW w:w="3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r>
      <w:tr>
        <w:trPr>
          <w:trHeight w:val="156"/>
        </w:trPr>
        <w:tc>
          <w:tcPr>
            <w:tcW w:w="6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ind w:right="32"/>
              <w:spacing w:after="0" w:line="155" w:lineRule="exact"/>
              <w:rPr>
                <w:sz w:val="20"/>
                <w:szCs w:val="20"/>
                <w:color w:val="auto"/>
              </w:rPr>
            </w:pPr>
            <w:r>
              <w:rPr>
                <w:rFonts w:ascii="Arial" w:cs="Arial" w:eastAsia="Arial" w:hAnsi="Arial"/>
                <w:sz w:val="14"/>
                <w:szCs w:val="14"/>
                <w:b w:val="1"/>
                <w:bCs w:val="1"/>
                <w:color w:val="auto"/>
                <w:w w:val="95"/>
              </w:rPr>
              <w:t>Total</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5"/>
          </w:tcPr>
          <w:p>
            <w:pPr>
              <w:ind w:left="40"/>
              <w:spacing w:after="0" w:line="155" w:lineRule="exact"/>
              <w:rPr>
                <w:sz w:val="20"/>
                <w:szCs w:val="20"/>
                <w:color w:val="auto"/>
              </w:rPr>
            </w:pPr>
            <w:r>
              <w:rPr>
                <w:rFonts w:ascii="Arial" w:cs="Arial" w:eastAsia="Arial" w:hAnsi="Arial"/>
                <w:sz w:val="14"/>
                <w:szCs w:val="14"/>
                <w:b w:val="1"/>
                <w:bCs w:val="1"/>
                <w:color w:val="auto"/>
              </w:rPr>
              <w:t>Level 2</w:t>
            </w:r>
          </w:p>
        </w:tc>
        <w:tc>
          <w:tcPr>
            <w:tcW w:w="820" w:type="dxa"/>
            <w:vAlign w:val="bottom"/>
            <w:gridSpan w:val="3"/>
          </w:tcPr>
          <w:p>
            <w:pPr>
              <w:ind w:left="40"/>
              <w:spacing w:after="0" w:line="155" w:lineRule="exact"/>
              <w:rPr>
                <w:sz w:val="20"/>
                <w:szCs w:val="20"/>
                <w:color w:val="auto"/>
              </w:rPr>
            </w:pPr>
            <w:r>
              <w:rPr>
                <w:rFonts w:ascii="Arial" w:cs="Arial" w:eastAsia="Arial" w:hAnsi="Arial"/>
                <w:sz w:val="14"/>
                <w:szCs w:val="14"/>
                <w:b w:val="1"/>
                <w:bCs w:val="1"/>
                <w:color w:val="auto"/>
              </w:rPr>
              <w:t>Level 3</w:t>
            </w:r>
          </w:p>
        </w:tc>
      </w:tr>
      <w:tr>
        <w:trPr>
          <w:trHeight w:val="196"/>
        </w:trPr>
        <w:tc>
          <w:tcPr>
            <w:tcW w:w="6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 xml:space="preserve">Short-term investments </w:t>
            </w:r>
            <w:r>
              <w:rPr>
                <w:rFonts w:ascii="Arial" w:cs="Arial" w:eastAsia="Arial" w:hAnsi="Arial"/>
                <w:sz w:val="15"/>
                <w:szCs w:val="15"/>
                <w:color w:val="auto"/>
              </w:rPr>
              <w:t>(1) (2)</w:t>
            </w:r>
            <w:r>
              <w:rPr>
                <w:rFonts w:ascii="Arial" w:cs="Arial" w:eastAsia="Arial" w:hAnsi="Arial"/>
                <w:sz w:val="18"/>
                <w:szCs w:val="18"/>
                <w:color w:val="auto"/>
              </w:rPr>
              <w:t>:</w:t>
            </w:r>
          </w:p>
        </w:tc>
        <w:tc>
          <w:tcPr>
            <w:tcW w:w="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r>
      <w:tr>
        <w:trPr>
          <w:trHeight w:val="203"/>
        </w:trPr>
        <w:tc>
          <w:tcPr>
            <w:tcW w:w="70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Money market funds</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348</w:t>
            </w:r>
          </w:p>
        </w:tc>
        <w:tc>
          <w:tcPr>
            <w:tcW w:w="76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348</w:t>
            </w:r>
          </w:p>
        </w:tc>
        <w:tc>
          <w:tcPr>
            <w:tcW w:w="74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4"/>
          </w:tcPr>
          <w:p>
            <w:pPr>
              <w:jc w:val="right"/>
              <w:ind w:right="66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jc w:val="right"/>
              <w:ind w:right="76"/>
              <w:spacing w:after="0" w:line="202" w:lineRule="exact"/>
              <w:rPr>
                <w:sz w:val="20"/>
                <w:szCs w:val="20"/>
                <w:color w:val="auto"/>
              </w:rPr>
            </w:pPr>
            <w:r>
              <w:rPr>
                <w:rFonts w:ascii="Arial" w:cs="Arial" w:eastAsia="Arial" w:hAnsi="Arial"/>
                <w:sz w:val="18"/>
                <w:szCs w:val="18"/>
                <w:color w:val="auto"/>
                <w:w w:val="79"/>
              </w:rPr>
              <w:t>$</w:t>
            </w:r>
          </w:p>
        </w:tc>
        <w:tc>
          <w:tcPr>
            <w:tcW w:w="56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w:t>
            </w:r>
          </w:p>
        </w:tc>
      </w:tr>
      <w:tr>
        <w:trPr>
          <w:trHeight w:val="203"/>
        </w:trPr>
        <w:tc>
          <w:tcPr>
            <w:tcW w:w="702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Corporate obligations</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3,007</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w w:val="97"/>
              </w:rPr>
              <w:t>3,007</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w:t>
            </w:r>
          </w:p>
        </w:tc>
      </w:tr>
      <w:tr>
        <w:trPr>
          <w:trHeight w:val="203"/>
        </w:trPr>
        <w:tc>
          <w:tcPr>
            <w:tcW w:w="70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Bank notes/certificates of deposit/time deposits</w:t>
            </w:r>
          </w:p>
        </w:tc>
        <w:tc>
          <w:tcPr>
            <w:tcW w:w="10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w w:val="97"/>
              </w:rPr>
              <w:t>3,095</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w w:val="97"/>
              </w:rPr>
              <w:t>3,095</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w:t>
            </w:r>
          </w:p>
        </w:tc>
      </w:tr>
      <w:tr>
        <w:trPr>
          <w:trHeight w:val="203"/>
        </w:trPr>
        <w:tc>
          <w:tcPr>
            <w:tcW w:w="702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Repurchase agreements</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50</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w:t>
            </w:r>
          </w:p>
        </w:tc>
      </w:tr>
      <w:tr>
        <w:trPr>
          <w:trHeight w:val="20"/>
        </w:trPr>
        <w:tc>
          <w:tcPr>
            <w:tcW w:w="6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6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6,500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348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6,152</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gridSpan w:val="2"/>
          </w:tcPr>
          <w:p>
            <w:pPr>
              <w:ind w:left="160"/>
              <w:spacing w:after="0"/>
              <w:rPr>
                <w:sz w:val="20"/>
                <w:szCs w:val="20"/>
                <w:color w:val="auto"/>
              </w:rPr>
            </w:pPr>
            <w:r>
              <w:rPr>
                <w:rFonts w:ascii="Arial" w:cs="Arial" w:eastAsia="Arial" w:hAnsi="Arial"/>
                <w:sz w:val="18"/>
                <w:szCs w:val="18"/>
                <w:color w:val="auto"/>
              </w:rPr>
              <w:t>—</w:t>
            </w:r>
          </w:p>
        </w:tc>
      </w:tr>
      <w:tr>
        <w:trPr>
          <w:trHeight w:val="203"/>
        </w:trPr>
        <w:tc>
          <w:tcPr>
            <w:tcW w:w="70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 xml:space="preserve">Restricted cash and short-term investments </w:t>
            </w:r>
            <w:r>
              <w:rPr>
                <w:rFonts w:ascii="Arial" w:cs="Arial" w:eastAsia="Arial" w:hAnsi="Arial"/>
                <w:sz w:val="15"/>
                <w:szCs w:val="15"/>
                <w:color w:val="auto"/>
              </w:rPr>
              <w:t>(1)</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554</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106</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448</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w:t>
            </w:r>
          </w:p>
        </w:tc>
      </w:tr>
      <w:tr>
        <w:trPr>
          <w:trHeight w:val="20"/>
        </w:trPr>
        <w:tc>
          <w:tcPr>
            <w:tcW w:w="6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70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7,054</w:t>
            </w:r>
          </w:p>
        </w:tc>
        <w:tc>
          <w:tcPr>
            <w:tcW w:w="580" w:type="dxa"/>
            <w:vAlign w:val="bottom"/>
            <w:gridSpan w:val="3"/>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454</w:t>
            </w:r>
          </w:p>
        </w:tc>
        <w:tc>
          <w:tcPr>
            <w:tcW w:w="640" w:type="dxa"/>
            <w:vAlign w:val="bottom"/>
            <w:gridSpan w:val="3"/>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6,600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jc w:val="right"/>
              <w:ind w:right="76"/>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ind w:left="160"/>
              <w:spacing w:after="0"/>
              <w:rPr>
                <w:sz w:val="20"/>
                <w:szCs w:val="20"/>
                <w:color w:val="auto"/>
              </w:rPr>
            </w:pPr>
            <w:r>
              <w:rPr>
                <w:rFonts w:ascii="Arial" w:cs="Arial" w:eastAsia="Arial" w:hAnsi="Arial"/>
                <w:sz w:val="18"/>
                <w:szCs w:val="18"/>
                <w:color w:val="auto"/>
              </w:rPr>
              <w:t>—</w:t>
            </w:r>
          </w:p>
        </w:tc>
      </w:tr>
      <w:tr>
        <w:trPr>
          <w:trHeight w:val="20"/>
        </w:trPr>
        <w:tc>
          <w:tcPr>
            <w:tcW w:w="6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82" w:lineRule="exact"/>
        <w:rPr>
          <w:sz w:val="20"/>
          <w:szCs w:val="20"/>
          <w:color w:val="auto"/>
        </w:rPr>
      </w:pPr>
    </w:p>
    <w:p>
      <w:pPr>
        <w:ind w:left="460" w:hanging="452"/>
        <w:spacing w:after="0" w:line="246" w:lineRule="auto"/>
        <w:tabs>
          <w:tab w:leader="none" w:pos="460" w:val="left"/>
        </w:tabs>
        <w:numPr>
          <w:ilvl w:val="0"/>
          <w:numId w:val="4"/>
        </w:numPr>
        <w:rPr>
          <w:rFonts w:ascii="Arial" w:cs="Arial" w:eastAsia="Arial" w:hAnsi="Arial"/>
          <w:sz w:val="15"/>
          <w:szCs w:val="15"/>
          <w:color w:val="auto"/>
        </w:rPr>
      </w:pPr>
      <w:r>
        <w:rPr>
          <w:rFonts w:ascii="Arial" w:cs="Arial" w:eastAsia="Arial" w:hAnsi="Arial"/>
          <w:sz w:val="18"/>
          <w:szCs w:val="18"/>
          <w:color w:val="auto"/>
        </w:rPr>
        <w:t>Unrealized gains or losses on short-term investments and restricted cash and short-term investments are recorded in accumulated other comprehensive loss at each measurement date.</w:t>
      </w:r>
    </w:p>
    <w:p>
      <w:pPr>
        <w:spacing w:after="0" w:line="102" w:lineRule="exact"/>
        <w:rPr>
          <w:rFonts w:ascii="Arial" w:cs="Arial" w:eastAsia="Arial" w:hAnsi="Arial"/>
          <w:sz w:val="15"/>
          <w:szCs w:val="15"/>
          <w:color w:val="auto"/>
        </w:rPr>
      </w:pPr>
    </w:p>
    <w:p>
      <w:pPr>
        <w:ind w:left="460" w:hanging="452"/>
        <w:spacing w:after="0" w:line="246" w:lineRule="auto"/>
        <w:tabs>
          <w:tab w:leader="none" w:pos="460" w:val="left"/>
        </w:tabs>
        <w:numPr>
          <w:ilvl w:val="0"/>
          <w:numId w:val="4"/>
        </w:numPr>
        <w:rPr>
          <w:rFonts w:ascii="Arial" w:cs="Arial" w:eastAsia="Arial" w:hAnsi="Arial"/>
          <w:sz w:val="15"/>
          <w:szCs w:val="15"/>
          <w:color w:val="auto"/>
        </w:rPr>
      </w:pPr>
      <w:r>
        <w:rPr>
          <w:rFonts w:ascii="Arial" w:cs="Arial" w:eastAsia="Arial" w:hAnsi="Arial"/>
          <w:sz w:val="18"/>
          <w:szCs w:val="18"/>
          <w:color w:val="auto"/>
        </w:rPr>
        <w:t>All short-term investments are classified as available-for-sale and stated at fair value. Our short-term investments mature in one year or less except for $1.7 billion of bank notes/certificates of deposit/time deposits and $441 million of corporate obligations.</w:t>
      </w:r>
    </w:p>
    <w:p>
      <w:pPr>
        <w:spacing w:after="0" w:line="2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Fair Value of Debt</w:t>
      </w:r>
    </w:p>
    <w:p>
      <w:pPr>
        <w:spacing w:after="0" w:line="126" w:lineRule="exact"/>
        <w:rPr>
          <w:sz w:val="20"/>
          <w:szCs w:val="20"/>
          <w:color w:val="auto"/>
        </w:rPr>
      </w:pPr>
    </w:p>
    <w:p>
      <w:pPr>
        <w:jc w:val="both"/>
        <w:ind w:firstLine="228"/>
        <w:spacing w:after="0"/>
        <w:rPr>
          <w:sz w:val="20"/>
          <w:szCs w:val="20"/>
          <w:color w:val="auto"/>
        </w:rPr>
      </w:pPr>
      <w:r>
        <w:rPr>
          <w:rFonts w:ascii="Arial" w:cs="Arial" w:eastAsia="Arial" w:hAnsi="Arial"/>
          <w:sz w:val="18"/>
          <w:szCs w:val="18"/>
          <w:color w:val="auto"/>
        </w:rPr>
        <w:t>The fair value of our long-term debt was estimated using quoted market prices or discounted cash flow analyses, based on our current estimated incremental borrowing rates for similar types of borrowing arrangements. If our long-term debt was measured at fair value, it would have been classified as Level 2 in the fair value hierarchy.</w:t>
      </w:r>
    </w:p>
    <w:p>
      <w:pPr>
        <w:spacing w:after="0" w:line="2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carrying value and estimated fair value of our long-term debt, including current maturities, were as follows (in millions):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54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900" w:type="dxa"/>
            <w:vAlign w:val="bottom"/>
            <w:gridSpan w:val="6"/>
          </w:tcPr>
          <w:p>
            <w:pPr>
              <w:ind w:left="320"/>
              <w:spacing w:after="0"/>
              <w:rPr>
                <w:sz w:val="20"/>
                <w:szCs w:val="20"/>
                <w:color w:val="auto"/>
              </w:rPr>
            </w:pPr>
            <w:r>
              <w:rPr>
                <w:rFonts w:ascii="Arial" w:cs="Arial" w:eastAsia="Arial" w:hAnsi="Arial"/>
                <w:sz w:val="14"/>
                <w:szCs w:val="14"/>
                <w:b w:val="1"/>
                <w:bCs w:val="1"/>
                <w:color w:val="auto"/>
              </w:rPr>
              <w:t>June 30, 2017</w:t>
            </w:r>
          </w:p>
        </w:tc>
        <w:tc>
          <w:tcPr>
            <w:tcW w:w="1620" w:type="dxa"/>
            <w:vAlign w:val="bottom"/>
            <w:gridSpan w:val="6"/>
          </w:tcPr>
          <w:p>
            <w:pPr>
              <w:ind w:left="140"/>
              <w:spacing w:after="0"/>
              <w:rPr>
                <w:sz w:val="20"/>
                <w:szCs w:val="20"/>
                <w:color w:val="auto"/>
              </w:rPr>
            </w:pPr>
            <w:r>
              <w:rPr>
                <w:rFonts w:ascii="Arial" w:cs="Arial" w:eastAsia="Arial" w:hAnsi="Arial"/>
                <w:sz w:val="14"/>
                <w:szCs w:val="14"/>
                <w:b w:val="1"/>
                <w:bCs w:val="1"/>
                <w:color w:val="auto"/>
              </w:rPr>
              <w:t>December 31, 2016</w:t>
            </w:r>
          </w:p>
        </w:tc>
        <w:tc>
          <w:tcPr>
            <w:tcW w:w="0" w:type="dxa"/>
            <w:vAlign w:val="bottom"/>
          </w:tcPr>
          <w:p>
            <w:pPr>
              <w:spacing w:after="0"/>
              <w:rPr>
                <w:sz w:val="1"/>
                <w:szCs w:val="1"/>
                <w:color w:val="auto"/>
              </w:rPr>
            </w:pPr>
          </w:p>
        </w:tc>
      </w:tr>
      <w:tr>
        <w:trPr>
          <w:trHeight w:val="142"/>
        </w:trPr>
        <w:tc>
          <w:tcPr>
            <w:tcW w:w="454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3"/>
          </w:tcPr>
          <w:p>
            <w:pPr>
              <w:jc w:val="center"/>
              <w:ind w:right="320"/>
              <w:spacing w:after="0" w:line="143" w:lineRule="exact"/>
              <w:rPr>
                <w:sz w:val="20"/>
                <w:szCs w:val="20"/>
                <w:color w:val="auto"/>
              </w:rPr>
            </w:pPr>
            <w:r>
              <w:rPr>
                <w:rFonts w:ascii="Arial" w:cs="Arial" w:eastAsia="Arial" w:hAnsi="Arial"/>
                <w:sz w:val="14"/>
                <w:szCs w:val="14"/>
                <w:b w:val="1"/>
                <w:bCs w:val="1"/>
                <w:color w:val="auto"/>
              </w:rPr>
              <w:t>Carrying</w:t>
            </w:r>
          </w:p>
        </w:tc>
        <w:tc>
          <w:tcPr>
            <w:tcW w:w="66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3"/>
          </w:tcPr>
          <w:p>
            <w:pPr>
              <w:jc w:val="center"/>
              <w:ind w:right="280"/>
              <w:spacing w:after="0" w:line="143" w:lineRule="exact"/>
              <w:rPr>
                <w:sz w:val="20"/>
                <w:szCs w:val="20"/>
                <w:color w:val="auto"/>
              </w:rPr>
            </w:pPr>
            <w:r>
              <w:rPr>
                <w:rFonts w:ascii="Arial" w:cs="Arial" w:eastAsia="Arial" w:hAnsi="Arial"/>
                <w:sz w:val="14"/>
                <w:szCs w:val="14"/>
                <w:b w:val="1"/>
                <w:bCs w:val="1"/>
                <w:color w:val="auto"/>
              </w:rPr>
              <w:t>Carrying</w:t>
            </w:r>
          </w:p>
        </w:tc>
        <w:tc>
          <w:tcPr>
            <w:tcW w:w="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center"/>
              <w:ind w:right="60"/>
              <w:spacing w:after="0" w:line="143"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5"/>
        </w:trPr>
        <w:tc>
          <w:tcPr>
            <w:tcW w:w="454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6"/>
              </w:rPr>
              <w:t>Value</w:t>
            </w:r>
          </w:p>
        </w:tc>
        <w:tc>
          <w:tcPr>
            <w:tcW w:w="9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Value</w:t>
            </w:r>
          </w:p>
        </w:tc>
        <w:tc>
          <w:tcPr>
            <w:tcW w:w="9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Value</w:t>
            </w:r>
          </w:p>
        </w:tc>
        <w:tc>
          <w:tcPr>
            <w:tcW w:w="40" w:type="dxa"/>
            <w:vAlign w:val="bottom"/>
          </w:tcPr>
          <w:p>
            <w:pPr>
              <w:spacing w:after="0"/>
              <w:rPr>
                <w:sz w:val="15"/>
                <w:szCs w:val="15"/>
                <w:color w:val="auto"/>
              </w:rPr>
            </w:pPr>
          </w:p>
        </w:tc>
        <w:tc>
          <w:tcPr>
            <w:tcW w:w="6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96"/>
        </w:trPr>
        <w:tc>
          <w:tcPr>
            <w:tcW w:w="45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Long-term debt, including current maturities</w:t>
            </w:r>
          </w:p>
        </w:tc>
        <w:tc>
          <w:tcPr>
            <w:tcW w:w="33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gridSpan w:val="2"/>
            <w:shd w:val="clear" w:color="auto" w:fill="CCEEFF"/>
          </w:tcPr>
          <w:p>
            <w:pPr>
              <w:jc w:val="center"/>
              <w:spacing w:after="0" w:line="196"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24,859</w:t>
            </w:r>
          </w:p>
        </w:tc>
        <w:tc>
          <w:tcPr>
            <w:tcW w:w="2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25,440</w:t>
            </w:r>
          </w:p>
        </w:tc>
        <w:tc>
          <w:tcPr>
            <w:tcW w:w="2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gridSpan w:val="2"/>
            <w:shd w:val="clear" w:color="auto" w:fill="CCEEFF"/>
          </w:tcPr>
          <w:p>
            <w:pPr>
              <w:jc w:val="center"/>
              <w:ind w:right="20"/>
              <w:spacing w:after="0" w:line="196"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24,344</w:t>
            </w:r>
          </w:p>
        </w:tc>
        <w:tc>
          <w:tcPr>
            <w:tcW w:w="2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gridSpan w:val="3"/>
            <w:shd w:val="clear" w:color="auto" w:fill="CCEEFF"/>
          </w:tcPr>
          <w:p>
            <w:pPr>
              <w:jc w:val="center"/>
              <w:spacing w:after="0" w:line="196"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24,983</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3320" w:type="dxa"/>
            <w:vAlign w:val="bottom"/>
            <w:vMerge w:val="restart"/>
          </w:tcPr>
          <w:p>
            <w:pPr>
              <w:jc w:val="right"/>
              <w:ind w:right="1950"/>
              <w:spacing w:after="0"/>
              <w:rPr>
                <w:sz w:val="20"/>
                <w:szCs w:val="20"/>
                <w:color w:val="auto"/>
              </w:rPr>
            </w:pPr>
            <w:r>
              <w:rPr>
                <w:rFonts w:ascii="Arial" w:cs="Arial" w:eastAsia="Arial" w:hAnsi="Arial"/>
                <w:sz w:val="18"/>
                <w:szCs w:val="18"/>
                <w:color w:val="auto"/>
              </w:rPr>
              <w:t>14</w:t>
            </w:r>
          </w:p>
        </w:tc>
        <w:tc>
          <w:tcPr>
            <w:tcW w:w="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540" w:type="dxa"/>
            <w:vAlign w:val="bottom"/>
          </w:tcPr>
          <w:p>
            <w:pPr>
              <w:spacing w:after="0"/>
              <w:rPr>
                <w:sz w:val="24"/>
                <w:szCs w:val="24"/>
                <w:color w:val="auto"/>
              </w:rPr>
            </w:pPr>
          </w:p>
        </w:tc>
        <w:tc>
          <w:tcPr>
            <w:tcW w:w="332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65" w:right="239" w:bottom="1440" w:gutter="0" w:footer="0" w:header="0"/>
        </w:sectPr>
      </w:pPr>
    </w:p>
    <w:bookmarkStart w:id="14" w:name="page15"/>
    <w:bookmarkEnd w:id="14"/>
    <w:p>
      <w:pPr>
        <w:jc w:val="center"/>
        <w:spacing w:after="0" w:line="27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 TO CONDENSED CONSOLIDATED FINANCIAL STATEMENTS OF AMERICAN AIRLINES GROUP INC. (Unaudited)</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Employee Benefit Plans</w:t>
      </w:r>
    </w:p>
    <w:p>
      <w:pPr>
        <w:spacing w:after="0" w:line="8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tables provide the components of net periodic benefit cost (income) (in millions):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7"/>
          </w:tcPr>
          <w:p>
            <w:pPr>
              <w:jc w:val="right"/>
              <w:ind w:right="160"/>
              <w:spacing w:after="0"/>
              <w:rPr>
                <w:sz w:val="20"/>
                <w:szCs w:val="20"/>
                <w:color w:val="auto"/>
              </w:rPr>
            </w:pPr>
            <w:r>
              <w:rPr>
                <w:rFonts w:ascii="Arial" w:cs="Arial" w:eastAsia="Arial" w:hAnsi="Arial"/>
                <w:sz w:val="14"/>
                <w:szCs w:val="14"/>
                <w:b w:val="1"/>
                <w:bCs w:val="1"/>
                <w:color w:val="auto"/>
              </w:rPr>
              <w:t>Retiree Medical and Other</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5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Three Months Ended June 30,</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Pension Benefits</w:t>
            </w:r>
          </w:p>
        </w:tc>
        <w:tc>
          <w:tcPr>
            <w:tcW w:w="3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7"/>
          </w:tcPr>
          <w:p>
            <w:pPr>
              <w:jc w:val="right"/>
              <w:ind w:right="220"/>
              <w:spacing w:after="0"/>
              <w:rPr>
                <w:sz w:val="20"/>
                <w:szCs w:val="20"/>
                <w:color w:val="auto"/>
              </w:rPr>
            </w:pPr>
            <w:r>
              <w:rPr>
                <w:rFonts w:ascii="Arial" w:cs="Arial" w:eastAsia="Arial" w:hAnsi="Arial"/>
                <w:sz w:val="14"/>
                <w:szCs w:val="14"/>
                <w:b w:val="1"/>
                <w:bCs w:val="1"/>
                <w:color w:val="auto"/>
              </w:rPr>
              <w:t>Postretirement Benefits</w:t>
            </w: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5580" w:type="dxa"/>
            <w:vAlign w:val="bottom"/>
            <w:gridSpan w:val="4"/>
            <w:vMerge w:val="continue"/>
          </w:tcPr>
          <w:p>
            <w:pPr>
              <w:spacing w:after="0"/>
              <w:rPr>
                <w:sz w:val="13"/>
                <w:szCs w:val="13"/>
                <w:color w:val="auto"/>
              </w:rPr>
            </w:pPr>
          </w:p>
        </w:tc>
        <w:tc>
          <w:tcPr>
            <w:tcW w:w="1040" w:type="dxa"/>
            <w:vAlign w:val="bottom"/>
            <w:gridSpan w:val="3"/>
          </w:tcPr>
          <w:p>
            <w:pPr>
              <w:jc w:val="right"/>
              <w:ind w:right="10"/>
              <w:spacing w:after="0" w:line="155" w:lineRule="exact"/>
              <w:rPr>
                <w:sz w:val="20"/>
                <w:szCs w:val="20"/>
                <w:color w:val="auto"/>
              </w:rPr>
            </w:pPr>
            <w:r>
              <w:rPr>
                <w:rFonts w:ascii="Arial" w:cs="Arial" w:eastAsia="Arial" w:hAnsi="Arial"/>
                <w:sz w:val="14"/>
                <w:szCs w:val="14"/>
                <w:b w:val="1"/>
                <w:bCs w:val="1"/>
                <w:color w:val="auto"/>
              </w:rPr>
              <w:t>2017</w:t>
            </w: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right"/>
              <w:ind w:right="36"/>
              <w:spacing w:after="0" w:line="155" w:lineRule="exact"/>
              <w:rPr>
                <w:sz w:val="20"/>
                <w:szCs w:val="20"/>
                <w:color w:val="auto"/>
              </w:rPr>
            </w:pPr>
            <w:r>
              <w:rPr>
                <w:rFonts w:ascii="Arial" w:cs="Arial" w:eastAsia="Arial" w:hAnsi="Arial"/>
                <w:sz w:val="14"/>
                <w:szCs w:val="14"/>
                <w:b w:val="1"/>
                <w:bCs w:val="1"/>
                <w:color w:val="auto"/>
                <w:w w:val="96"/>
              </w:rPr>
              <w:t>2017</w:t>
            </w: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2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Service cost</w:t>
            </w:r>
          </w:p>
        </w:tc>
        <w:tc>
          <w:tcPr>
            <w:tcW w:w="35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w:t>
            </w:r>
          </w:p>
        </w:tc>
        <w:tc>
          <w:tcPr>
            <w:tcW w:w="3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gridSpan w:val="2"/>
            <w:shd w:val="clear" w:color="auto" w:fill="CCEEFF"/>
          </w:tcPr>
          <w:p>
            <w:pPr>
              <w:jc w:val="right"/>
              <w:ind w:right="340"/>
              <w:spacing w:after="0" w:line="196" w:lineRule="exact"/>
              <w:rPr>
                <w:sz w:val="20"/>
                <w:szCs w:val="20"/>
                <w:color w:val="auto"/>
              </w:rPr>
            </w:pPr>
            <w:r>
              <w:rPr>
                <w:rFonts w:ascii="Arial" w:cs="Arial" w:eastAsia="Arial" w:hAnsi="Arial"/>
                <w:sz w:val="18"/>
                <w:szCs w:val="18"/>
                <w:color w:val="auto"/>
              </w:rPr>
              <w:t>1</w:t>
            </w:r>
          </w:p>
        </w:tc>
        <w:tc>
          <w:tcPr>
            <w:tcW w:w="1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w:t>
            </w:r>
          </w:p>
        </w:tc>
        <w:tc>
          <w:tcPr>
            <w:tcW w:w="3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w:t>
            </w:r>
          </w:p>
        </w:tc>
        <w:tc>
          <w:tcPr>
            <w:tcW w:w="2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60" w:type="dxa"/>
            <w:vAlign w:val="bottom"/>
            <w:gridSpan w:val="3"/>
          </w:tcPr>
          <w:p>
            <w:pPr>
              <w:spacing w:after="0" w:line="202" w:lineRule="exact"/>
              <w:rPr>
                <w:sz w:val="20"/>
                <w:szCs w:val="20"/>
                <w:color w:val="auto"/>
              </w:rPr>
            </w:pPr>
            <w:r>
              <w:rPr>
                <w:rFonts w:ascii="Arial" w:cs="Arial" w:eastAsia="Arial" w:hAnsi="Arial"/>
                <w:sz w:val="18"/>
                <w:szCs w:val="18"/>
                <w:color w:val="auto"/>
              </w:rPr>
              <w:t>Interest cost</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180</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188</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12</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6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Expected return on assets</w:t>
            </w: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28"/>
              <w:spacing w:after="0" w:line="202" w:lineRule="exact"/>
              <w:rPr>
                <w:sz w:val="20"/>
                <w:szCs w:val="20"/>
                <w:color w:val="auto"/>
              </w:rPr>
            </w:pPr>
            <w:r>
              <w:rPr>
                <w:rFonts w:ascii="Arial" w:cs="Arial" w:eastAsia="Arial" w:hAnsi="Arial"/>
                <w:sz w:val="18"/>
                <w:szCs w:val="18"/>
                <w:color w:val="auto"/>
                <w:w w:val="99"/>
              </w:rPr>
              <w:t>(197)</w:t>
            </w: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w w:val="95"/>
              </w:rPr>
              <w:t>(187)</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60" w:type="dxa"/>
            <w:vAlign w:val="bottom"/>
            <w:gridSpan w:val="3"/>
          </w:tcPr>
          <w:p>
            <w:pPr>
              <w:spacing w:after="0" w:line="202" w:lineRule="exact"/>
              <w:rPr>
                <w:sz w:val="20"/>
                <w:szCs w:val="20"/>
                <w:color w:val="auto"/>
              </w:rPr>
            </w:pPr>
            <w:r>
              <w:rPr>
                <w:rFonts w:ascii="Arial" w:cs="Arial" w:eastAsia="Arial" w:hAnsi="Arial"/>
                <w:sz w:val="18"/>
                <w:szCs w:val="18"/>
                <w:color w:val="auto"/>
              </w:rPr>
              <w:t>Amortization of:</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60" w:type="dxa"/>
            <w:vAlign w:val="bottom"/>
            <w:gridSpan w:val="3"/>
            <w:shd w:val="clear" w:color="auto" w:fill="CCEEFF"/>
          </w:tcPr>
          <w:p>
            <w:pPr>
              <w:ind w:left="160"/>
              <w:spacing w:after="0" w:line="202" w:lineRule="exact"/>
              <w:rPr>
                <w:sz w:val="20"/>
                <w:szCs w:val="20"/>
                <w:color w:val="auto"/>
              </w:rPr>
            </w:pPr>
            <w:r>
              <w:rPr>
                <w:rFonts w:ascii="Arial" w:cs="Arial" w:eastAsia="Arial" w:hAnsi="Arial"/>
                <w:sz w:val="18"/>
                <w:szCs w:val="18"/>
                <w:color w:val="auto"/>
              </w:rPr>
              <w:t>Prior service cost (benefit)</w:t>
            </w: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w:t>
            </w: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(59)</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(60)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60" w:type="dxa"/>
            <w:vAlign w:val="bottom"/>
            <w:gridSpan w:val="3"/>
          </w:tcPr>
          <w:p>
            <w:pPr>
              <w:ind w:left="160"/>
              <w:spacing w:after="0" w:line="202" w:lineRule="exact"/>
              <w:rPr>
                <w:sz w:val="20"/>
                <w:szCs w:val="20"/>
                <w:color w:val="auto"/>
              </w:rPr>
            </w:pPr>
            <w:r>
              <w:rPr>
                <w:rFonts w:ascii="Arial" w:cs="Arial" w:eastAsia="Arial" w:hAnsi="Arial"/>
                <w:sz w:val="18"/>
                <w:szCs w:val="18"/>
                <w:color w:val="auto"/>
              </w:rPr>
              <w:t>Unrecognized net loss (gain)</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288"/>
              <w:spacing w:after="0" w:line="202" w:lineRule="exact"/>
              <w:rPr>
                <w:sz w:val="20"/>
                <w:szCs w:val="20"/>
                <w:color w:val="auto"/>
              </w:rPr>
            </w:pPr>
            <w:r>
              <w:rPr>
                <w:rFonts w:ascii="Arial" w:cs="Arial" w:eastAsia="Arial" w:hAnsi="Arial"/>
                <w:sz w:val="18"/>
                <w:szCs w:val="18"/>
                <w:color w:val="auto"/>
              </w:rPr>
              <w:t>36</w:t>
            </w: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31</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(6)</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56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Net periodic benefit cost (income)</w:t>
            </w:r>
          </w:p>
        </w:tc>
        <w:tc>
          <w:tcPr>
            <w:tcW w:w="6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88"/>
              <w:spacing w:after="0" w:line="202" w:lineRule="exact"/>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40</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(59)</w:t>
            </w:r>
          </w:p>
        </w:tc>
        <w:tc>
          <w:tcPr>
            <w:tcW w:w="20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(56)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gridSpan w:val="7"/>
          </w:tcPr>
          <w:p>
            <w:pPr>
              <w:jc w:val="right"/>
              <w:ind w:right="160"/>
              <w:spacing w:after="0"/>
              <w:rPr>
                <w:sz w:val="20"/>
                <w:szCs w:val="20"/>
                <w:color w:val="auto"/>
              </w:rPr>
            </w:pPr>
            <w:r>
              <w:rPr>
                <w:rFonts w:ascii="Arial" w:cs="Arial" w:eastAsia="Arial" w:hAnsi="Arial"/>
                <w:sz w:val="14"/>
                <w:szCs w:val="14"/>
                <w:b w:val="1"/>
                <w:bCs w:val="1"/>
                <w:color w:val="auto"/>
              </w:rPr>
              <w:t>Retiree Medical and Other</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5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Six Months Ended June 30,</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Pension Benefits</w:t>
            </w:r>
          </w:p>
        </w:tc>
        <w:tc>
          <w:tcPr>
            <w:tcW w:w="3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7"/>
          </w:tcPr>
          <w:p>
            <w:pPr>
              <w:jc w:val="right"/>
              <w:ind w:right="220"/>
              <w:spacing w:after="0"/>
              <w:rPr>
                <w:sz w:val="20"/>
                <w:szCs w:val="20"/>
                <w:color w:val="auto"/>
              </w:rPr>
            </w:pPr>
            <w:r>
              <w:rPr>
                <w:rFonts w:ascii="Arial" w:cs="Arial" w:eastAsia="Arial" w:hAnsi="Arial"/>
                <w:sz w:val="14"/>
                <w:szCs w:val="14"/>
                <w:b w:val="1"/>
                <w:bCs w:val="1"/>
                <w:color w:val="auto"/>
              </w:rPr>
              <w:t>Postretirement Benefits</w:t>
            </w: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5580" w:type="dxa"/>
            <w:vAlign w:val="bottom"/>
            <w:gridSpan w:val="4"/>
            <w:vMerge w:val="continue"/>
          </w:tcPr>
          <w:p>
            <w:pPr>
              <w:spacing w:after="0"/>
              <w:rPr>
                <w:sz w:val="13"/>
                <w:szCs w:val="13"/>
                <w:color w:val="auto"/>
              </w:rPr>
            </w:pPr>
          </w:p>
        </w:tc>
        <w:tc>
          <w:tcPr>
            <w:tcW w:w="1040" w:type="dxa"/>
            <w:vAlign w:val="bottom"/>
            <w:gridSpan w:val="3"/>
          </w:tcPr>
          <w:p>
            <w:pPr>
              <w:jc w:val="right"/>
              <w:ind w:right="10"/>
              <w:spacing w:after="0" w:line="155" w:lineRule="exact"/>
              <w:rPr>
                <w:sz w:val="20"/>
                <w:szCs w:val="20"/>
                <w:color w:val="auto"/>
              </w:rPr>
            </w:pPr>
            <w:r>
              <w:rPr>
                <w:rFonts w:ascii="Arial" w:cs="Arial" w:eastAsia="Arial" w:hAnsi="Arial"/>
                <w:sz w:val="14"/>
                <w:szCs w:val="14"/>
                <w:b w:val="1"/>
                <w:bCs w:val="1"/>
                <w:color w:val="auto"/>
              </w:rPr>
              <w:t>2017</w:t>
            </w: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right"/>
              <w:ind w:right="36"/>
              <w:spacing w:after="0" w:line="155" w:lineRule="exact"/>
              <w:rPr>
                <w:sz w:val="20"/>
                <w:szCs w:val="20"/>
                <w:color w:val="auto"/>
              </w:rPr>
            </w:pPr>
            <w:r>
              <w:rPr>
                <w:rFonts w:ascii="Arial" w:cs="Arial" w:eastAsia="Arial" w:hAnsi="Arial"/>
                <w:sz w:val="14"/>
                <w:szCs w:val="14"/>
                <w:b w:val="1"/>
                <w:bCs w:val="1"/>
                <w:color w:val="auto"/>
                <w:w w:val="96"/>
              </w:rPr>
              <w:t>2017</w:t>
            </w: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8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Service cost</w:t>
            </w:r>
          </w:p>
        </w:tc>
        <w:tc>
          <w:tcPr>
            <w:tcW w:w="3700" w:type="dxa"/>
            <w:vAlign w:val="bottom"/>
            <w:tcBorders>
              <w:top w:val="single" w:sz="8" w:color="CCEEFF"/>
            </w:tcBorders>
            <w:gridSpan w:val="2"/>
            <w:shd w:val="clear" w:color="auto" w:fill="CCEEFF"/>
          </w:tcPr>
          <w:p>
            <w:pPr>
              <w:spacing w:after="0"/>
              <w:rPr>
                <w:sz w:val="17"/>
                <w:szCs w:val="17"/>
                <w:color w:val="auto"/>
              </w:rPr>
            </w:pPr>
          </w:p>
        </w:tc>
        <w:tc>
          <w:tcPr>
            <w:tcW w:w="660" w:type="dxa"/>
            <w:vAlign w:val="bottom"/>
            <w:tcBorders>
              <w:top w:val="single" w:sz="8" w:color="auto"/>
            </w:tcBorders>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w:t>
            </w:r>
          </w:p>
        </w:tc>
        <w:tc>
          <w:tcPr>
            <w:tcW w:w="3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gridSpan w:val="2"/>
            <w:shd w:val="clear" w:color="auto" w:fill="CCEEFF"/>
          </w:tcPr>
          <w:p>
            <w:pPr>
              <w:jc w:val="right"/>
              <w:ind w:right="340"/>
              <w:spacing w:after="0" w:line="196" w:lineRule="exact"/>
              <w:rPr>
                <w:sz w:val="20"/>
                <w:szCs w:val="20"/>
                <w:color w:val="auto"/>
              </w:rPr>
            </w:pPr>
            <w:r>
              <w:rPr>
                <w:rFonts w:ascii="Arial" w:cs="Arial" w:eastAsia="Arial" w:hAnsi="Arial"/>
                <w:sz w:val="18"/>
                <w:szCs w:val="18"/>
                <w:color w:val="auto"/>
              </w:rPr>
              <w:t>1</w:t>
            </w:r>
          </w:p>
        </w:tc>
        <w:tc>
          <w:tcPr>
            <w:tcW w:w="1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w:t>
            </w:r>
          </w:p>
        </w:tc>
        <w:tc>
          <w:tcPr>
            <w:tcW w:w="3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w:t>
            </w:r>
          </w:p>
        </w:tc>
        <w:tc>
          <w:tcPr>
            <w:tcW w:w="2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60" w:type="dxa"/>
            <w:vAlign w:val="bottom"/>
            <w:gridSpan w:val="3"/>
          </w:tcPr>
          <w:p>
            <w:pPr>
              <w:spacing w:after="0" w:line="202" w:lineRule="exact"/>
              <w:rPr>
                <w:sz w:val="20"/>
                <w:szCs w:val="20"/>
                <w:color w:val="auto"/>
              </w:rPr>
            </w:pPr>
            <w:r>
              <w:rPr>
                <w:rFonts w:ascii="Arial" w:cs="Arial" w:eastAsia="Arial" w:hAnsi="Arial"/>
                <w:sz w:val="18"/>
                <w:szCs w:val="18"/>
                <w:color w:val="auto"/>
              </w:rPr>
              <w:t>Interest cost</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361</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375</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19</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24</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6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Expected return on assets</w:t>
            </w: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28"/>
              <w:spacing w:after="0" w:line="202" w:lineRule="exact"/>
              <w:rPr>
                <w:sz w:val="20"/>
                <w:szCs w:val="20"/>
                <w:color w:val="auto"/>
              </w:rPr>
            </w:pPr>
            <w:r>
              <w:rPr>
                <w:rFonts w:ascii="Arial" w:cs="Arial" w:eastAsia="Arial" w:hAnsi="Arial"/>
                <w:sz w:val="18"/>
                <w:szCs w:val="18"/>
                <w:color w:val="auto"/>
                <w:w w:val="99"/>
              </w:rPr>
              <w:t>(394)</w:t>
            </w: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w w:val="95"/>
              </w:rPr>
              <w:t>(375)</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60" w:type="dxa"/>
            <w:vAlign w:val="bottom"/>
            <w:gridSpan w:val="3"/>
          </w:tcPr>
          <w:p>
            <w:pPr>
              <w:spacing w:after="0" w:line="202" w:lineRule="exact"/>
              <w:rPr>
                <w:sz w:val="20"/>
                <w:szCs w:val="20"/>
                <w:color w:val="auto"/>
              </w:rPr>
            </w:pPr>
            <w:r>
              <w:rPr>
                <w:rFonts w:ascii="Arial" w:cs="Arial" w:eastAsia="Arial" w:hAnsi="Arial"/>
                <w:sz w:val="18"/>
                <w:szCs w:val="18"/>
                <w:color w:val="auto"/>
              </w:rPr>
              <w:t>Amortization of:</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60" w:type="dxa"/>
            <w:vAlign w:val="bottom"/>
            <w:gridSpan w:val="3"/>
            <w:shd w:val="clear" w:color="auto" w:fill="CCEEFF"/>
          </w:tcPr>
          <w:p>
            <w:pPr>
              <w:ind w:left="160"/>
              <w:spacing w:after="0" w:line="202" w:lineRule="exact"/>
              <w:rPr>
                <w:sz w:val="20"/>
                <w:szCs w:val="20"/>
                <w:color w:val="auto"/>
              </w:rPr>
            </w:pPr>
            <w:r>
              <w:rPr>
                <w:rFonts w:ascii="Arial" w:cs="Arial" w:eastAsia="Arial" w:hAnsi="Arial"/>
                <w:sz w:val="18"/>
                <w:szCs w:val="18"/>
                <w:color w:val="auto"/>
              </w:rPr>
              <w:t>Prior service cost (benefit)</w:t>
            </w: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88"/>
              <w:spacing w:after="0" w:line="202" w:lineRule="exact"/>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14</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w w:val="99"/>
              </w:rPr>
              <w:t>(119)</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w w:val="95"/>
              </w:rPr>
              <w:t>(120)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60" w:type="dxa"/>
            <w:vAlign w:val="bottom"/>
            <w:gridSpan w:val="3"/>
          </w:tcPr>
          <w:p>
            <w:pPr>
              <w:ind w:left="160"/>
              <w:spacing w:after="0" w:line="202" w:lineRule="exact"/>
              <w:rPr>
                <w:sz w:val="20"/>
                <w:szCs w:val="20"/>
                <w:color w:val="auto"/>
              </w:rPr>
            </w:pPr>
            <w:r>
              <w:rPr>
                <w:rFonts w:ascii="Arial" w:cs="Arial" w:eastAsia="Arial" w:hAnsi="Arial"/>
                <w:sz w:val="18"/>
                <w:szCs w:val="18"/>
                <w:color w:val="auto"/>
              </w:rPr>
              <w:t>Unrecognized net loss (gain)</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288"/>
              <w:spacing w:after="0" w:line="202" w:lineRule="exact"/>
              <w:rPr>
                <w:sz w:val="20"/>
                <w:szCs w:val="20"/>
                <w:color w:val="auto"/>
              </w:rPr>
            </w:pPr>
            <w:r>
              <w:rPr>
                <w:rFonts w:ascii="Arial" w:cs="Arial" w:eastAsia="Arial" w:hAnsi="Arial"/>
                <w:sz w:val="18"/>
                <w:szCs w:val="18"/>
                <w:color w:val="auto"/>
              </w:rPr>
              <w:t>72</w:t>
            </w: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63</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(11)</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56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Net periodic benefit cost (income)</w:t>
            </w:r>
          </w:p>
        </w:tc>
        <w:tc>
          <w:tcPr>
            <w:tcW w:w="6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88"/>
              <w:spacing w:after="0" w:line="202" w:lineRule="exact"/>
              <w:rPr>
                <w:sz w:val="20"/>
                <w:szCs w:val="20"/>
                <w:color w:val="auto"/>
              </w:rPr>
            </w:pPr>
            <w:r>
              <w:rPr>
                <w:rFonts w:ascii="Arial" w:cs="Arial" w:eastAsia="Arial" w:hAnsi="Arial"/>
                <w:sz w:val="18"/>
                <w:szCs w:val="18"/>
                <w:color w:val="auto"/>
              </w:rPr>
              <w:t>54</w:t>
            </w:r>
          </w:p>
        </w:tc>
        <w:tc>
          <w:tcPr>
            <w:tcW w:w="2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78</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80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w w:val="99"/>
              </w:rPr>
              <w:t>(119)</w:t>
            </w:r>
          </w:p>
        </w:tc>
        <w:tc>
          <w:tcPr>
            <w:tcW w:w="20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u w:val="single" w:color="auto"/>
                <w:color w:val="auto"/>
              </w:rPr>
              <w:t>$</w:t>
            </w:r>
          </w:p>
        </w:tc>
        <w:tc>
          <w:tcPr>
            <w:tcW w:w="6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w w:val="95"/>
              </w:rPr>
              <w:t>(112)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Effective November 1, 2012, substantially all of our defined benefit pension plans were frozen.</w:t>
      </w:r>
    </w:p>
    <w:p>
      <w:pPr>
        <w:spacing w:after="0" w:line="212" w:lineRule="exact"/>
        <w:rPr>
          <w:sz w:val="20"/>
          <w:szCs w:val="20"/>
          <w:color w:val="auto"/>
        </w:rPr>
      </w:pPr>
    </w:p>
    <w:p>
      <w:pPr>
        <w:ind w:firstLine="228"/>
        <w:spacing w:after="0" w:line="246" w:lineRule="auto"/>
        <w:rPr>
          <w:sz w:val="20"/>
          <w:szCs w:val="20"/>
          <w:color w:val="auto"/>
        </w:rPr>
      </w:pPr>
      <w:r>
        <w:rPr>
          <w:rFonts w:ascii="Arial" w:cs="Arial" w:eastAsia="Arial" w:hAnsi="Arial"/>
          <w:sz w:val="18"/>
          <w:szCs w:val="18"/>
          <w:color w:val="auto"/>
        </w:rPr>
        <w:t>In the second quarter of 2017, we contributed $279 million to our defined benefit pension plans, including a supplemental contribution of $254 million in addition to a $25 million minimum required cash contribution.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Accumulated Other Comprehensive Loss</w:t>
      </w:r>
    </w:p>
    <w:p>
      <w:pPr>
        <w:spacing w:after="0" w:line="12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components of accumulated other comprehensive income (loss) (AOCI) are as follows (in millions):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6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128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rPr>
              <w:t>Pension, Retiree</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116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rPr>
              <w:t>Medical and</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116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Other</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8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rPr>
              <w:t>Income Tax</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59"/>
        </w:trPr>
        <w:tc>
          <w:tcPr>
            <w:tcW w:w="1160" w:type="dxa"/>
            <w:vAlign w:val="bottom"/>
          </w:tcPr>
          <w:p>
            <w:pPr>
              <w:spacing w:after="0"/>
              <w:rPr>
                <w:sz w:val="13"/>
                <w:szCs w:val="13"/>
                <w:color w:val="auto"/>
              </w:rPr>
            </w:pPr>
          </w:p>
        </w:tc>
        <w:tc>
          <w:tcPr>
            <w:tcW w:w="6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20" w:type="dxa"/>
            <w:vAlign w:val="bottom"/>
            <w:gridSpan w:val="5"/>
          </w:tcPr>
          <w:p>
            <w:pPr>
              <w:jc w:val="center"/>
              <w:ind w:right="160"/>
              <w:spacing w:after="0" w:line="159" w:lineRule="exact"/>
              <w:rPr>
                <w:sz w:val="20"/>
                <w:szCs w:val="20"/>
                <w:color w:val="auto"/>
              </w:rPr>
            </w:pPr>
            <w:r>
              <w:rPr>
                <w:rFonts w:ascii="Arial" w:cs="Arial" w:eastAsia="Arial" w:hAnsi="Arial"/>
                <w:sz w:val="14"/>
                <w:szCs w:val="14"/>
                <w:b w:val="1"/>
                <w:bCs w:val="1"/>
                <w:color w:val="auto"/>
              </w:rPr>
              <w:t>Postretirement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gridSpan w:val="4"/>
          </w:tcPr>
          <w:p>
            <w:pPr>
              <w:jc w:val="center"/>
              <w:ind w:right="360"/>
              <w:spacing w:after="0" w:line="159" w:lineRule="exact"/>
              <w:rPr>
                <w:sz w:val="20"/>
                <w:szCs w:val="20"/>
                <w:color w:val="auto"/>
              </w:rPr>
            </w:pPr>
            <w:r>
              <w:rPr>
                <w:rFonts w:ascii="Arial" w:cs="Arial" w:eastAsia="Arial" w:hAnsi="Arial"/>
                <w:sz w:val="14"/>
                <w:szCs w:val="14"/>
                <w:b w:val="1"/>
                <w:bCs w:val="1"/>
                <w:color w:val="auto"/>
              </w:rPr>
              <w:t>Benefit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79"/>
        </w:trPr>
        <w:tc>
          <w:tcPr>
            <w:tcW w:w="1160" w:type="dxa"/>
            <w:vAlign w:val="bottom"/>
          </w:tcPr>
          <w:p>
            <w:pPr>
              <w:spacing w:after="0"/>
              <w:rPr>
                <w:sz w:val="15"/>
                <w:szCs w:val="15"/>
                <w:color w:val="auto"/>
              </w:rPr>
            </w:pPr>
          </w:p>
        </w:tc>
        <w:tc>
          <w:tcPr>
            <w:tcW w:w="6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Benefits</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gridSpan w:val="4"/>
          </w:tcPr>
          <w:p>
            <w:pPr>
              <w:jc w:val="center"/>
              <w:ind w:right="340"/>
              <w:spacing w:after="0" w:line="179" w:lineRule="exact"/>
              <w:rPr>
                <w:sz w:val="20"/>
                <w:szCs w:val="20"/>
                <w:color w:val="auto"/>
              </w:rPr>
            </w:pPr>
            <w:r>
              <w:rPr>
                <w:rFonts w:ascii="Arial" w:cs="Arial" w:eastAsia="Arial" w:hAnsi="Arial"/>
                <w:sz w:val="12"/>
                <w:szCs w:val="12"/>
                <w:b w:val="1"/>
                <w:bCs w:val="1"/>
                <w:color w:val="auto"/>
              </w:rPr>
              <w:t xml:space="preserve">(Provision) </w:t>
            </w:r>
            <w:r>
              <w:rPr>
                <w:rFonts w:ascii="Arial" w:cs="Arial" w:eastAsia="Arial" w:hAnsi="Arial"/>
                <w:sz w:val="20"/>
                <w:szCs w:val="20"/>
                <w:b w:val="1"/>
                <w:bCs w:val="1"/>
                <w:color w:val="auto"/>
                <w:vertAlign w:val="superscript"/>
              </w:rPr>
              <w:t>(1)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Total</w:t>
            </w:r>
          </w:p>
        </w:tc>
      </w:tr>
      <w:tr>
        <w:trPr>
          <w:trHeight w:val="196"/>
        </w:trPr>
        <w:tc>
          <w:tcPr>
            <w:tcW w:w="774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Balance at December 31, 2016</w:t>
            </w:r>
          </w:p>
        </w:tc>
        <w:tc>
          <w:tcPr>
            <w:tcW w:w="16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gridSpan w:val="3"/>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(4,406)</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gridSpan w:val="3"/>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gridSpan w:val="2"/>
            <w:shd w:val="clear" w:color="auto" w:fill="CCEEFF"/>
          </w:tcPr>
          <w:p>
            <w:pPr>
              <w:jc w:val="right"/>
              <w:ind w:right="420"/>
              <w:spacing w:after="0" w:line="196" w:lineRule="exact"/>
              <w:rPr>
                <w:sz w:val="20"/>
                <w:szCs w:val="20"/>
                <w:color w:val="auto"/>
              </w:rPr>
            </w:pPr>
            <w:r>
              <w:rPr>
                <w:rFonts w:ascii="Arial" w:cs="Arial" w:eastAsia="Arial" w:hAnsi="Arial"/>
                <w:sz w:val="18"/>
                <w:szCs w:val="18"/>
                <w:color w:val="auto"/>
              </w:rPr>
              <w:t>(677)</w:t>
            </w: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gridSpan w:val="3"/>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(5,083)</w:t>
            </w:r>
          </w:p>
        </w:tc>
      </w:tr>
      <w:tr>
        <w:trPr>
          <w:trHeight w:val="203"/>
        </w:trPr>
        <w:tc>
          <w:tcPr>
            <w:tcW w:w="774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Amounts reclassified from accumulated other comprehensive income (loss)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(44)</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 xml:space="preserve">15 </w:t>
            </w:r>
            <w:r>
              <w:rPr>
                <w:rFonts w:ascii="Arial" w:cs="Arial" w:eastAsia="Arial" w:hAnsi="Arial"/>
                <w:sz w:val="15"/>
                <w:szCs w:val="15"/>
                <w:color w:val="auto"/>
              </w:rPr>
              <w:t>(2)</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(29)</w:t>
            </w:r>
          </w:p>
        </w:tc>
      </w:tr>
      <w:tr>
        <w:trPr>
          <w:trHeight w:val="27"/>
        </w:trPr>
        <w:tc>
          <w:tcPr>
            <w:tcW w:w="1160" w:type="dxa"/>
            <w:vAlign w:val="bottom"/>
          </w:tcPr>
          <w:p>
            <w:pPr>
              <w:spacing w:after="0"/>
              <w:rPr>
                <w:sz w:val="2"/>
                <w:szCs w:val="2"/>
                <w:color w:val="auto"/>
              </w:rPr>
            </w:pPr>
          </w:p>
        </w:tc>
        <w:tc>
          <w:tcPr>
            <w:tcW w:w="6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7740" w:type="dxa"/>
            <w:vAlign w:val="bottom"/>
            <w:gridSpan w:val="2"/>
            <w:shd w:val="clear" w:color="auto" w:fill="CCEEFF"/>
          </w:tcPr>
          <w:p>
            <w:pPr>
              <w:ind w:left="540"/>
              <w:spacing w:after="0" w:line="202" w:lineRule="exact"/>
              <w:rPr>
                <w:sz w:val="20"/>
                <w:szCs w:val="20"/>
                <w:color w:val="auto"/>
              </w:rPr>
            </w:pPr>
            <w:r>
              <w:rPr>
                <w:rFonts w:ascii="Arial" w:cs="Arial" w:eastAsia="Arial" w:hAnsi="Arial"/>
                <w:sz w:val="18"/>
                <w:szCs w:val="18"/>
                <w:color w:val="auto"/>
              </w:rPr>
              <w:t>Net current-period other comprehensive income (loss)</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(44)</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(29)</w:t>
            </w:r>
          </w:p>
        </w:tc>
      </w:tr>
      <w:tr>
        <w:trPr>
          <w:trHeight w:val="20"/>
        </w:trPr>
        <w:tc>
          <w:tcPr>
            <w:tcW w:w="116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7740" w:type="dxa"/>
            <w:vAlign w:val="bottom"/>
            <w:gridSpan w:val="2"/>
          </w:tcPr>
          <w:p>
            <w:pPr>
              <w:spacing w:after="0" w:line="182" w:lineRule="exact"/>
              <w:rPr>
                <w:sz w:val="20"/>
                <w:szCs w:val="20"/>
                <w:color w:val="auto"/>
              </w:rPr>
            </w:pPr>
            <w:r>
              <w:rPr>
                <w:rFonts w:ascii="Arial" w:cs="Arial" w:eastAsia="Arial" w:hAnsi="Arial"/>
                <w:sz w:val="18"/>
                <w:szCs w:val="18"/>
                <w:color w:val="auto"/>
              </w:rPr>
              <w:t>Balance at June 30, 2017</w:t>
            </w:r>
          </w:p>
        </w:tc>
        <w:tc>
          <w:tcPr>
            <w:tcW w:w="60" w:type="dxa"/>
            <w:vAlign w:val="bottom"/>
          </w:tcPr>
          <w:p>
            <w:pPr>
              <w:spacing w:after="0"/>
              <w:rPr>
                <w:sz w:val="15"/>
                <w:szCs w:val="15"/>
                <w:color w:val="auto"/>
              </w:rPr>
            </w:pPr>
          </w:p>
        </w:tc>
        <w:tc>
          <w:tcPr>
            <w:tcW w:w="10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(4,450)</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gridSpan w:val="3"/>
          </w:tcPr>
          <w:p>
            <w:pPr>
              <w:jc w:val="right"/>
              <w:ind w:right="20"/>
              <w:spacing w:after="0" w:line="182"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20"/>
              <w:spacing w:after="0" w:line="182" w:lineRule="exact"/>
              <w:rPr>
                <w:sz w:val="20"/>
                <w:szCs w:val="20"/>
                <w:color w:val="auto"/>
              </w:rPr>
            </w:pPr>
            <w:r>
              <w:rPr>
                <w:rFonts w:ascii="Arial" w:cs="Arial" w:eastAsia="Arial" w:hAnsi="Arial"/>
                <w:sz w:val="18"/>
                <w:szCs w:val="18"/>
                <w:color w:val="auto"/>
              </w:rPr>
              <w:t>(662)</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gridSpan w:val="2"/>
          </w:tcPr>
          <w:p>
            <w:pPr>
              <w:jc w:val="right"/>
              <w:spacing w:after="0" w:line="182" w:lineRule="exact"/>
              <w:rPr>
                <w:sz w:val="20"/>
                <w:szCs w:val="20"/>
                <w:color w:val="auto"/>
              </w:rPr>
            </w:pPr>
            <w:r>
              <w:rPr>
                <w:rFonts w:ascii="Arial" w:cs="Arial" w:eastAsia="Arial" w:hAnsi="Arial"/>
                <w:sz w:val="18"/>
                <w:szCs w:val="18"/>
                <w:color w:val="auto"/>
                <w:w w:val="79"/>
              </w:rPr>
              <w:t>$</w:t>
            </w:r>
          </w:p>
        </w:tc>
        <w:tc>
          <w:tcPr>
            <w:tcW w:w="840" w:type="dxa"/>
            <w:vAlign w:val="bottom"/>
            <w:gridSpan w:val="3"/>
          </w:tcPr>
          <w:p>
            <w:pPr>
              <w:jc w:val="right"/>
              <w:ind w:right="60"/>
              <w:spacing w:after="0" w:line="182" w:lineRule="exact"/>
              <w:rPr>
                <w:sz w:val="20"/>
                <w:szCs w:val="20"/>
                <w:color w:val="auto"/>
              </w:rPr>
            </w:pPr>
            <w:r>
              <w:rPr>
                <w:rFonts w:ascii="Arial" w:cs="Arial" w:eastAsia="Arial" w:hAnsi="Arial"/>
                <w:sz w:val="18"/>
                <w:szCs w:val="18"/>
                <w:color w:val="auto"/>
              </w:rPr>
              <w:t>(5,112)</w:t>
            </w:r>
          </w:p>
        </w:tc>
      </w:tr>
      <w:tr>
        <w:trPr>
          <w:trHeight w:val="34"/>
        </w:trPr>
        <w:tc>
          <w:tcPr>
            <w:tcW w:w="1160" w:type="dxa"/>
            <w:vAlign w:val="bottom"/>
          </w:tcPr>
          <w:p>
            <w:pPr>
              <w:spacing w:after="0"/>
              <w:rPr>
                <w:sz w:val="2"/>
                <w:szCs w:val="2"/>
                <w:color w:val="auto"/>
              </w:rPr>
            </w:pPr>
          </w:p>
        </w:tc>
        <w:tc>
          <w:tcPr>
            <w:tcW w:w="6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700" w:type="dxa"/>
            <w:vAlign w:val="bottom"/>
            <w:tcBorders>
              <w:top w:val="single" w:sz="8" w:color="auto"/>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75"/>
        </w:trPr>
        <w:tc>
          <w:tcPr>
            <w:tcW w:w="1160" w:type="dxa"/>
            <w:vAlign w:val="bottom"/>
            <w:tcBorders>
              <w:bottom w:val="single" w:sz="8" w:color="auto"/>
            </w:tcBorders>
          </w:tcPr>
          <w:p>
            <w:pPr>
              <w:spacing w:after="0"/>
              <w:rPr>
                <w:sz w:val="6"/>
                <w:szCs w:val="6"/>
                <w:color w:val="auto"/>
              </w:rPr>
            </w:pPr>
          </w:p>
        </w:tc>
        <w:tc>
          <w:tcPr>
            <w:tcW w:w="65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 w:type="dxa"/>
            <w:vAlign w:val="bottom"/>
          </w:tcPr>
          <w:p>
            <w:pPr>
              <w:spacing w:after="0"/>
              <w:rPr>
                <w:sz w:val="6"/>
                <w:szCs w:val="6"/>
                <w:color w:val="auto"/>
              </w:rPr>
            </w:pPr>
          </w:p>
        </w:tc>
      </w:tr>
    </w:tbl>
    <w:p>
      <w:pPr>
        <w:spacing w:after="0" w:line="40" w:lineRule="exact"/>
        <w:rPr>
          <w:sz w:val="20"/>
          <w:szCs w:val="20"/>
          <w:color w:val="auto"/>
        </w:rPr>
      </w:pPr>
    </w:p>
    <w:p>
      <w:pPr>
        <w:ind w:left="460" w:hanging="452"/>
        <w:spacing w:after="0" w:line="246" w:lineRule="auto"/>
        <w:tabs>
          <w:tab w:leader="none" w:pos="460" w:val="left"/>
        </w:tabs>
        <w:numPr>
          <w:ilvl w:val="0"/>
          <w:numId w:val="5"/>
        </w:numPr>
        <w:rPr>
          <w:rFonts w:ascii="Arial" w:cs="Arial" w:eastAsia="Arial" w:hAnsi="Arial"/>
          <w:sz w:val="15"/>
          <w:szCs w:val="15"/>
          <w:color w:val="auto"/>
        </w:rPr>
      </w:pPr>
      <w:r>
        <w:rPr>
          <w:rFonts w:ascii="Arial" w:cs="Arial" w:eastAsia="Arial" w:hAnsi="Arial"/>
          <w:sz w:val="18"/>
          <w:szCs w:val="18"/>
          <w:color w:val="auto"/>
        </w:rPr>
        <w:t>Relates principally to pension, retiree medical and other postretirement benefits obligations that will not be recognized in net income until the obligations are fully extinguished.</w:t>
      </w:r>
    </w:p>
    <w:p>
      <w:pPr>
        <w:spacing w:after="0" w:line="102" w:lineRule="exact"/>
        <w:rPr>
          <w:rFonts w:ascii="Arial" w:cs="Arial" w:eastAsia="Arial" w:hAnsi="Arial"/>
          <w:sz w:val="15"/>
          <w:szCs w:val="15"/>
          <w:color w:val="auto"/>
        </w:rPr>
      </w:pPr>
    </w:p>
    <w:p>
      <w:pPr>
        <w:ind w:left="460" w:right="20" w:hanging="452"/>
        <w:spacing w:after="0" w:line="246" w:lineRule="auto"/>
        <w:tabs>
          <w:tab w:leader="none" w:pos="460" w:val="left"/>
        </w:tabs>
        <w:numPr>
          <w:ilvl w:val="0"/>
          <w:numId w:val="5"/>
        </w:numPr>
        <w:rPr>
          <w:rFonts w:ascii="Arial" w:cs="Arial" w:eastAsia="Arial" w:hAnsi="Arial"/>
          <w:sz w:val="15"/>
          <w:szCs w:val="15"/>
          <w:color w:val="auto"/>
        </w:rPr>
      </w:pPr>
      <w:r>
        <w:rPr>
          <w:rFonts w:ascii="Arial" w:cs="Arial" w:eastAsia="Arial" w:hAnsi="Arial"/>
          <w:sz w:val="18"/>
          <w:szCs w:val="18"/>
          <w:color w:val="auto"/>
        </w:rPr>
        <w:t>Relates to pension, retiree medical and other postretirement benefits obligations and is recognized within the income tax provision on the condensed consolidated statement of operations.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65" w:right="239" w:bottom="1440" w:gutter="0" w:footer="0" w:header="0"/>
        </w:sectPr>
      </w:pPr>
    </w:p>
    <w:bookmarkStart w:id="15" w:name="page16"/>
    <w:bookmarkEnd w:id="15"/>
    <w:p>
      <w:pPr>
        <w:jc w:val="center"/>
        <w:spacing w:after="0" w:line="27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 TO CONDENSED CONSOLIDATED FINANCIAL STATEMENTS OF AMERICAN AIRLINES GROUP INC. (Unaudited)</w:t>
      </w:r>
    </w:p>
    <w:p>
      <w:pPr>
        <w:spacing w:after="0" w:line="10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Reclassifications out of AOCI for the three and six months ended June 30, 2017 and 2016 are as follows (in millions):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11"/>
          </w:tcPr>
          <w:p>
            <w:pPr>
              <w:ind w:left="80"/>
              <w:spacing w:after="0"/>
              <w:rPr>
                <w:sz w:val="20"/>
                <w:szCs w:val="20"/>
                <w:color w:val="auto"/>
              </w:rPr>
            </w:pPr>
            <w:r>
              <w:rPr>
                <w:rFonts w:ascii="Arial" w:cs="Arial" w:eastAsia="Arial" w:hAnsi="Arial"/>
                <w:sz w:val="14"/>
                <w:szCs w:val="14"/>
                <w:b w:val="1"/>
                <w:bCs w:val="1"/>
                <w:color w:val="auto"/>
              </w:rPr>
              <w:t>Amounts reclassified from AOCI</w:t>
            </w: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600" w:type="dxa"/>
            <w:vAlign w:val="bottom"/>
          </w:tcPr>
          <w:p>
            <w:pPr>
              <w:jc w:val="center"/>
              <w:spacing w:after="0"/>
              <w:rPr>
                <w:sz w:val="20"/>
                <w:szCs w:val="20"/>
                <w:color w:val="auto"/>
              </w:rPr>
            </w:pPr>
            <w:r>
              <w:rPr>
                <w:rFonts w:ascii="Arial" w:cs="Arial" w:eastAsia="Arial" w:hAnsi="Arial"/>
                <w:sz w:val="14"/>
                <w:szCs w:val="14"/>
                <w:b w:val="1"/>
                <w:bCs w:val="1"/>
                <w:color w:val="auto"/>
              </w:rPr>
              <w:t>Affected line items on the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2260" w:type="dxa"/>
            <w:vAlign w:val="bottom"/>
            <w:gridSpan w:val="10"/>
          </w:tcPr>
          <w:p>
            <w:pPr>
              <w:ind w:left="40"/>
              <w:spacing w:after="0" w:line="155" w:lineRule="exact"/>
              <w:rPr>
                <w:sz w:val="20"/>
                <w:szCs w:val="20"/>
                <w:color w:val="auto"/>
              </w:rPr>
            </w:pPr>
            <w:r>
              <w:rPr>
                <w:rFonts w:ascii="Arial" w:cs="Arial" w:eastAsia="Arial" w:hAnsi="Arial"/>
                <w:sz w:val="14"/>
                <w:szCs w:val="14"/>
                <w:b w:val="1"/>
                <w:bCs w:val="1"/>
                <w:color w:val="auto"/>
              </w:rPr>
              <w:t>Three Months Ended June 30,</w:t>
            </w:r>
          </w:p>
        </w:tc>
        <w:tc>
          <w:tcPr>
            <w:tcW w:w="80" w:type="dxa"/>
            <w:vAlign w:val="bottom"/>
          </w:tcPr>
          <w:p>
            <w:pPr>
              <w:spacing w:after="0"/>
              <w:rPr>
                <w:sz w:val="13"/>
                <w:szCs w:val="13"/>
                <w:color w:val="auto"/>
              </w:rPr>
            </w:pPr>
          </w:p>
        </w:tc>
        <w:tc>
          <w:tcPr>
            <w:tcW w:w="1940" w:type="dxa"/>
            <w:vAlign w:val="bottom"/>
            <w:gridSpan w:val="8"/>
          </w:tcPr>
          <w:p>
            <w:pPr>
              <w:spacing w:after="0" w:line="155" w:lineRule="exact"/>
              <w:rPr>
                <w:sz w:val="20"/>
                <w:szCs w:val="20"/>
                <w:color w:val="auto"/>
              </w:rPr>
            </w:pPr>
            <w:r>
              <w:rPr>
                <w:rFonts w:ascii="Arial" w:cs="Arial" w:eastAsia="Arial" w:hAnsi="Arial"/>
                <w:sz w:val="14"/>
                <w:szCs w:val="14"/>
                <w:b w:val="1"/>
                <w:bCs w:val="1"/>
                <w:color w:val="auto"/>
              </w:rPr>
              <w:t>Six Months Ended June 30,</w:t>
            </w:r>
          </w:p>
        </w:tc>
        <w:tc>
          <w:tcPr>
            <w:tcW w:w="160" w:type="dxa"/>
            <w:vAlign w:val="bottom"/>
          </w:tcPr>
          <w:p>
            <w:pPr>
              <w:spacing w:after="0"/>
              <w:rPr>
                <w:sz w:val="13"/>
                <w:szCs w:val="13"/>
                <w:color w:val="auto"/>
              </w:rPr>
            </w:pPr>
          </w:p>
        </w:tc>
        <w:tc>
          <w:tcPr>
            <w:tcW w:w="260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rPr>
              <w:t>condensed consolidated</w:t>
            </w:r>
          </w:p>
        </w:tc>
        <w:tc>
          <w:tcPr>
            <w:tcW w:w="0" w:type="dxa"/>
            <w:vAlign w:val="bottom"/>
          </w:tcPr>
          <w:p>
            <w:pPr>
              <w:spacing w:after="0"/>
              <w:rPr>
                <w:sz w:val="1"/>
                <w:szCs w:val="1"/>
                <w:color w:val="auto"/>
              </w:rPr>
            </w:pPr>
          </w:p>
        </w:tc>
      </w:tr>
      <w:tr>
        <w:trPr>
          <w:trHeight w:val="142"/>
        </w:trPr>
        <w:tc>
          <w:tcPr>
            <w:tcW w:w="43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AOCI Components</w:t>
            </w: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6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statements of operations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tcBorders>
              <w:bottom w:val="single" w:sz="8" w:color="CCEEFF"/>
            </w:tcBorders>
            <w:shd w:val="clear" w:color="auto" w:fill="000000"/>
          </w:tcPr>
          <w:p>
            <w:pPr>
              <w:spacing w:after="0" w:line="20" w:lineRule="exact"/>
              <w:rPr>
                <w:sz w:val="1"/>
                <w:szCs w:val="1"/>
                <w:color w:val="auto"/>
              </w:rPr>
            </w:pPr>
          </w:p>
        </w:tc>
        <w:tc>
          <w:tcPr>
            <w:tcW w:w="30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3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Amortization of pension, retiree medical and other</w:t>
            </w:r>
          </w:p>
        </w:tc>
        <w:tc>
          <w:tcPr>
            <w:tcW w:w="12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tcBorders>
              <w:right w:val="single" w:sz="8" w:color="CCEEFF"/>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tcBorders>
              <w:right w:val="single" w:sz="8" w:color="CCEEFF"/>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00" w:type="dxa"/>
            <w:vAlign w:val="bottom"/>
            <w:tcBorders>
              <w:right w:val="single" w:sz="8" w:color="CCEEFF"/>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tcBorders>
              <w:right w:val="single" w:sz="8" w:color="CCEEFF"/>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postretirement benefits:</w:t>
            </w:r>
          </w:p>
        </w:tc>
        <w:tc>
          <w:tcPr>
            <w:tcW w:w="1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Prior service cost (benefit)</w:t>
            </w:r>
          </w:p>
        </w:tc>
        <w:tc>
          <w:tcPr>
            <w:tcW w:w="2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jc w:val="center"/>
              <w:ind w:left="94"/>
              <w:spacing w:after="0" w:line="202" w:lineRule="exact"/>
              <w:rPr>
                <w:sz w:val="20"/>
                <w:szCs w:val="20"/>
                <w:color w:val="auto"/>
              </w:rPr>
            </w:pPr>
            <w:r>
              <w:rPr>
                <w:rFonts w:ascii="Arial" w:cs="Arial" w:eastAsia="Arial" w:hAnsi="Arial"/>
                <w:sz w:val="18"/>
                <w:szCs w:val="18"/>
                <w:color w:val="auto"/>
                <w:w w:val="99"/>
              </w:rPr>
              <w:t>(33)</w:t>
            </w:r>
          </w:p>
        </w:tc>
        <w:tc>
          <w:tcPr>
            <w:tcW w:w="200" w:type="dxa"/>
            <w:vAlign w:val="bottom"/>
          </w:tcPr>
          <w:p>
            <w:pPr>
              <w:spacing w:after="0"/>
              <w:rPr>
                <w:sz w:val="17"/>
                <w:szCs w:val="17"/>
                <w:color w:val="auto"/>
              </w:rPr>
            </w:pPr>
          </w:p>
        </w:tc>
        <w:tc>
          <w:tcPr>
            <w:tcW w:w="42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jc w:val="center"/>
              <w:ind w:left="114"/>
              <w:spacing w:after="0" w:line="202" w:lineRule="exact"/>
              <w:rPr>
                <w:sz w:val="20"/>
                <w:szCs w:val="20"/>
                <w:color w:val="auto"/>
              </w:rPr>
            </w:pPr>
            <w:r>
              <w:rPr>
                <w:rFonts w:ascii="Arial" w:cs="Arial" w:eastAsia="Arial" w:hAnsi="Arial"/>
                <w:sz w:val="18"/>
                <w:szCs w:val="18"/>
                <w:color w:val="auto"/>
                <w:w w:val="99"/>
              </w:rPr>
              <w:t>(33)</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jc w:val="center"/>
              <w:ind w:left="94"/>
              <w:spacing w:after="0" w:line="202" w:lineRule="exact"/>
              <w:rPr>
                <w:sz w:val="20"/>
                <w:szCs w:val="20"/>
                <w:color w:val="auto"/>
              </w:rPr>
            </w:pPr>
            <w:r>
              <w:rPr>
                <w:rFonts w:ascii="Arial" w:cs="Arial" w:eastAsia="Arial" w:hAnsi="Arial"/>
                <w:sz w:val="18"/>
                <w:szCs w:val="18"/>
                <w:color w:val="auto"/>
                <w:w w:val="99"/>
              </w:rPr>
              <w:t>(67)</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jc w:val="center"/>
              <w:ind w:left="94"/>
              <w:spacing w:after="0" w:line="202" w:lineRule="exact"/>
              <w:rPr>
                <w:sz w:val="20"/>
                <w:szCs w:val="20"/>
                <w:color w:val="auto"/>
              </w:rPr>
            </w:pPr>
            <w:r>
              <w:rPr>
                <w:rFonts w:ascii="Arial" w:cs="Arial" w:eastAsia="Arial" w:hAnsi="Arial"/>
                <w:sz w:val="18"/>
                <w:szCs w:val="18"/>
                <w:color w:val="auto"/>
                <w:w w:val="99"/>
              </w:rPr>
              <w:t>(67)</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0" w:type="dxa"/>
            <w:vAlign w:val="bottom"/>
          </w:tcPr>
          <w:p>
            <w:pPr>
              <w:spacing w:after="0" w:line="202" w:lineRule="exact"/>
              <w:rPr>
                <w:sz w:val="20"/>
                <w:szCs w:val="20"/>
                <w:color w:val="auto"/>
              </w:rPr>
            </w:pPr>
            <w:r>
              <w:rPr>
                <w:rFonts w:ascii="Arial" w:cs="Arial" w:eastAsia="Arial" w:hAnsi="Arial"/>
                <w:sz w:val="18"/>
                <w:szCs w:val="18"/>
                <w:color w:val="auto"/>
              </w:rPr>
              <w:t>Salaries, wages and benefits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360" w:type="dxa"/>
            <w:vAlign w:val="bottom"/>
            <w:gridSpan w:val="2"/>
            <w:shd w:val="clear" w:color="auto" w:fill="CCEEFF"/>
          </w:tcPr>
          <w:p>
            <w:pPr>
              <w:ind w:left="340"/>
              <w:spacing w:after="0" w:line="176" w:lineRule="exact"/>
              <w:rPr>
                <w:sz w:val="20"/>
                <w:szCs w:val="20"/>
                <w:color w:val="auto"/>
              </w:rPr>
            </w:pPr>
            <w:r>
              <w:rPr>
                <w:rFonts w:ascii="Arial" w:cs="Arial" w:eastAsia="Arial" w:hAnsi="Arial"/>
                <w:sz w:val="18"/>
                <w:szCs w:val="18"/>
                <w:color w:val="auto"/>
              </w:rPr>
              <w:t>Actuarial loss</w:t>
            </w:r>
          </w:p>
        </w:tc>
        <w:tc>
          <w:tcPr>
            <w:tcW w:w="12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tcBorders>
              <w:right w:val="single" w:sz="8" w:color="CCEEFF"/>
            </w:tcBorders>
            <w:shd w:val="clear" w:color="auto" w:fill="CCEEFF"/>
          </w:tcPr>
          <w:p>
            <w:pPr>
              <w:jc w:val="center"/>
              <w:ind w:left="134"/>
              <w:spacing w:after="0" w:line="176" w:lineRule="exact"/>
              <w:rPr>
                <w:sz w:val="20"/>
                <w:szCs w:val="20"/>
                <w:color w:val="auto"/>
              </w:rPr>
            </w:pPr>
            <w:r>
              <w:rPr>
                <w:rFonts w:ascii="Arial" w:cs="Arial" w:eastAsia="Arial" w:hAnsi="Arial"/>
                <w:sz w:val="18"/>
                <w:szCs w:val="18"/>
                <w:color w:val="auto"/>
                <w:w w:val="99"/>
              </w:rPr>
              <w:t>18</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tcBorders>
              <w:right w:val="single" w:sz="8" w:color="CCEEFF"/>
            </w:tcBorders>
            <w:shd w:val="clear" w:color="auto" w:fill="CCEEFF"/>
          </w:tcPr>
          <w:p>
            <w:pPr>
              <w:jc w:val="center"/>
              <w:ind w:left="114"/>
              <w:spacing w:after="0" w:line="176" w:lineRule="exact"/>
              <w:rPr>
                <w:sz w:val="20"/>
                <w:szCs w:val="20"/>
                <w:color w:val="auto"/>
              </w:rPr>
            </w:pPr>
            <w:r>
              <w:rPr>
                <w:rFonts w:ascii="Arial" w:cs="Arial" w:eastAsia="Arial" w:hAnsi="Arial"/>
                <w:sz w:val="18"/>
                <w:szCs w:val="18"/>
                <w:color w:val="auto"/>
                <w:w w:val="99"/>
              </w:rPr>
              <w:t>17</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00" w:type="dxa"/>
            <w:vAlign w:val="bottom"/>
            <w:tcBorders>
              <w:right w:val="single" w:sz="8" w:color="CCEEFF"/>
            </w:tcBorders>
            <w:shd w:val="clear" w:color="auto" w:fill="CCEEFF"/>
          </w:tcPr>
          <w:p>
            <w:pPr>
              <w:jc w:val="center"/>
              <w:ind w:left="94"/>
              <w:spacing w:after="0" w:line="176" w:lineRule="exact"/>
              <w:rPr>
                <w:sz w:val="20"/>
                <w:szCs w:val="20"/>
                <w:color w:val="auto"/>
              </w:rPr>
            </w:pPr>
            <w:r>
              <w:rPr>
                <w:rFonts w:ascii="Arial" w:cs="Arial" w:eastAsia="Arial" w:hAnsi="Arial"/>
                <w:sz w:val="18"/>
                <w:szCs w:val="18"/>
                <w:color w:val="auto"/>
                <w:w w:val="99"/>
              </w:rPr>
              <w:t>38</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tcBorders>
              <w:right w:val="single" w:sz="8" w:color="CCEEFF"/>
            </w:tcBorders>
            <w:shd w:val="clear" w:color="auto" w:fill="CCEEFF"/>
          </w:tcPr>
          <w:p>
            <w:pPr>
              <w:jc w:val="center"/>
              <w:ind w:left="134"/>
              <w:spacing w:after="0" w:line="176" w:lineRule="exact"/>
              <w:rPr>
                <w:sz w:val="20"/>
                <w:szCs w:val="20"/>
                <w:color w:val="auto"/>
              </w:rPr>
            </w:pPr>
            <w:r>
              <w:rPr>
                <w:rFonts w:ascii="Arial" w:cs="Arial" w:eastAsia="Arial" w:hAnsi="Arial"/>
                <w:sz w:val="18"/>
                <w:szCs w:val="18"/>
                <w:color w:val="auto"/>
                <w:w w:val="99"/>
              </w:rPr>
              <w:t>35</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Salaries, wages and benefits</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3080" w:type="dxa"/>
            <w:vAlign w:val="bottom"/>
            <w:shd w:val="clear" w:color="auto" w:fill="CCEE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0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6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360" w:type="dxa"/>
            <w:vAlign w:val="bottom"/>
            <w:gridSpan w:val="2"/>
          </w:tcPr>
          <w:p>
            <w:pPr>
              <w:spacing w:after="0" w:line="176" w:lineRule="exact"/>
              <w:rPr>
                <w:sz w:val="20"/>
                <w:szCs w:val="20"/>
                <w:color w:val="auto"/>
              </w:rPr>
            </w:pPr>
            <w:r>
              <w:rPr>
                <w:rFonts w:ascii="Arial" w:cs="Arial" w:eastAsia="Arial" w:hAnsi="Arial"/>
                <w:sz w:val="18"/>
                <w:szCs w:val="18"/>
                <w:color w:val="auto"/>
              </w:rPr>
              <w:t>Total reclassifications for the period, net of tax</w:t>
            </w:r>
          </w:p>
        </w:tc>
        <w:tc>
          <w:tcPr>
            <w:tcW w:w="26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rPr>
              <w:t>$</w:t>
            </w:r>
          </w:p>
        </w:tc>
        <w:tc>
          <w:tcPr>
            <w:tcW w:w="500" w:type="dxa"/>
            <w:vAlign w:val="bottom"/>
          </w:tcPr>
          <w:p>
            <w:pPr>
              <w:jc w:val="center"/>
              <w:ind w:left="94"/>
              <w:spacing w:after="0" w:line="176" w:lineRule="exact"/>
              <w:rPr>
                <w:sz w:val="20"/>
                <w:szCs w:val="20"/>
                <w:color w:val="auto"/>
              </w:rPr>
            </w:pPr>
            <w:r>
              <w:rPr>
                <w:rFonts w:ascii="Arial" w:cs="Arial" w:eastAsia="Arial" w:hAnsi="Arial"/>
                <w:sz w:val="18"/>
                <w:szCs w:val="18"/>
                <w:color w:val="auto"/>
                <w:w w:val="99"/>
              </w:rPr>
              <w:t>(15)</w:t>
            </w:r>
          </w:p>
        </w:tc>
        <w:tc>
          <w:tcPr>
            <w:tcW w:w="200" w:type="dxa"/>
            <w:vAlign w:val="bottom"/>
          </w:tcPr>
          <w:p>
            <w:pPr>
              <w:spacing w:after="0"/>
              <w:rPr>
                <w:sz w:val="15"/>
                <w:szCs w:val="15"/>
                <w:color w:val="auto"/>
              </w:rPr>
            </w:pPr>
          </w:p>
        </w:tc>
        <w:tc>
          <w:tcPr>
            <w:tcW w:w="420" w:type="dxa"/>
            <w:vAlign w:val="bottom"/>
            <w:gridSpan w:val="3"/>
          </w:tcPr>
          <w:p>
            <w:pPr>
              <w:jc w:val="right"/>
              <w:ind w:right="60"/>
              <w:spacing w:after="0" w:line="176" w:lineRule="exact"/>
              <w:rPr>
                <w:sz w:val="20"/>
                <w:szCs w:val="20"/>
                <w:color w:val="auto"/>
              </w:rPr>
            </w:pPr>
            <w:r>
              <w:rPr>
                <w:rFonts w:ascii="Arial" w:cs="Arial" w:eastAsia="Arial" w:hAnsi="Arial"/>
                <w:sz w:val="18"/>
                <w:szCs w:val="18"/>
                <w:color w:val="auto"/>
              </w:rPr>
              <w:t>$</w:t>
            </w:r>
          </w:p>
        </w:tc>
        <w:tc>
          <w:tcPr>
            <w:tcW w:w="520" w:type="dxa"/>
            <w:vAlign w:val="bottom"/>
          </w:tcPr>
          <w:p>
            <w:pPr>
              <w:jc w:val="center"/>
              <w:ind w:left="114"/>
              <w:spacing w:after="0" w:line="176" w:lineRule="exact"/>
              <w:rPr>
                <w:sz w:val="20"/>
                <w:szCs w:val="20"/>
                <w:color w:val="auto"/>
              </w:rPr>
            </w:pPr>
            <w:r>
              <w:rPr>
                <w:rFonts w:ascii="Arial" w:cs="Arial" w:eastAsia="Arial" w:hAnsi="Arial"/>
                <w:sz w:val="18"/>
                <w:szCs w:val="18"/>
                <w:color w:val="auto"/>
                <w:w w:val="99"/>
              </w:rPr>
              <w:t>(16)</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gridSpan w:val="2"/>
          </w:tcPr>
          <w:p>
            <w:pPr>
              <w:ind w:left="60"/>
              <w:spacing w:after="0" w:line="176" w:lineRule="exact"/>
              <w:rPr>
                <w:sz w:val="20"/>
                <w:szCs w:val="20"/>
                <w:color w:val="auto"/>
              </w:rPr>
            </w:pPr>
            <w:r>
              <w:rPr>
                <w:rFonts w:ascii="Arial" w:cs="Arial" w:eastAsia="Arial" w:hAnsi="Arial"/>
                <w:sz w:val="18"/>
                <w:szCs w:val="18"/>
                <w:color w:val="auto"/>
              </w:rPr>
              <w:t>$</w:t>
            </w:r>
          </w:p>
        </w:tc>
        <w:tc>
          <w:tcPr>
            <w:tcW w:w="700" w:type="dxa"/>
            <w:vAlign w:val="bottom"/>
            <w:gridSpan w:val="2"/>
          </w:tcPr>
          <w:p>
            <w:pPr>
              <w:jc w:val="center"/>
              <w:ind w:right="20"/>
              <w:spacing w:after="0" w:line="176" w:lineRule="exact"/>
              <w:rPr>
                <w:sz w:val="20"/>
                <w:szCs w:val="20"/>
                <w:color w:val="auto"/>
              </w:rPr>
            </w:pPr>
            <w:r>
              <w:rPr>
                <w:rFonts w:ascii="Arial" w:cs="Arial" w:eastAsia="Arial" w:hAnsi="Arial"/>
                <w:sz w:val="18"/>
                <w:szCs w:val="18"/>
                <w:color w:val="auto"/>
                <w:w w:val="99"/>
              </w:rPr>
              <w:t>(29)</w:t>
            </w:r>
          </w:p>
        </w:tc>
        <w:tc>
          <w:tcPr>
            <w:tcW w:w="160" w:type="dxa"/>
            <w:vAlign w:val="bottom"/>
          </w:tcPr>
          <w:p>
            <w:pPr>
              <w:spacing w:after="0"/>
              <w:rPr>
                <w:sz w:val="15"/>
                <w:szCs w:val="15"/>
                <w:color w:val="auto"/>
              </w:rPr>
            </w:pPr>
          </w:p>
        </w:tc>
        <w:tc>
          <w:tcPr>
            <w:tcW w:w="22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rPr>
              <w:t>$</w:t>
            </w:r>
          </w:p>
        </w:tc>
        <w:tc>
          <w:tcPr>
            <w:tcW w:w="700" w:type="dxa"/>
            <w:vAlign w:val="bottom"/>
            <w:gridSpan w:val="2"/>
          </w:tcPr>
          <w:p>
            <w:pPr>
              <w:jc w:val="center"/>
              <w:ind w:right="20"/>
              <w:spacing w:after="0" w:line="176" w:lineRule="exact"/>
              <w:rPr>
                <w:sz w:val="20"/>
                <w:szCs w:val="20"/>
                <w:color w:val="auto"/>
              </w:rPr>
            </w:pPr>
            <w:r>
              <w:rPr>
                <w:rFonts w:ascii="Arial" w:cs="Arial" w:eastAsia="Arial" w:hAnsi="Arial"/>
                <w:sz w:val="18"/>
                <w:szCs w:val="18"/>
                <w:color w:val="auto"/>
                <w:w w:val="99"/>
              </w:rPr>
              <w:t>(32)</w:t>
            </w:r>
          </w:p>
        </w:tc>
        <w:tc>
          <w:tcPr>
            <w:tcW w:w="16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50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52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50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50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Regional Expenses</w:t>
      </w:r>
    </w:p>
    <w:p>
      <w:pPr>
        <w:spacing w:after="0" w:line="234" w:lineRule="exact"/>
        <w:rPr>
          <w:sz w:val="20"/>
          <w:szCs w:val="20"/>
          <w:color w:val="auto"/>
        </w:rPr>
      </w:pPr>
    </w:p>
    <w:p>
      <w:pPr>
        <w:jc w:val="both"/>
        <w:ind w:firstLine="228"/>
        <w:spacing w:after="0"/>
        <w:rPr>
          <w:sz w:val="20"/>
          <w:szCs w:val="20"/>
          <w:color w:val="auto"/>
        </w:rPr>
      </w:pPr>
      <w:r>
        <w:rPr>
          <w:rFonts w:ascii="Arial" w:cs="Arial" w:eastAsia="Arial" w:hAnsi="Arial"/>
          <w:sz w:val="18"/>
          <w:szCs w:val="18"/>
          <w:color w:val="auto"/>
        </w:rPr>
        <w:t>Expenses associated with our wholly-owned regional airlines and third-party regional carriers operating under the brand name American Eagle are classified as regional expenses on the condensed consolidated statements of operations. Regional expenses consist of the following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380" w:type="dxa"/>
            <w:vAlign w:val="bottom"/>
          </w:tcPr>
          <w:p>
            <w:pPr>
              <w:spacing w:after="0"/>
              <w:rPr>
                <w:sz w:val="15"/>
                <w:szCs w:val="15"/>
                <w:color w:val="auto"/>
              </w:rPr>
            </w:pPr>
          </w:p>
        </w:tc>
        <w:tc>
          <w:tcPr>
            <w:tcW w:w="2680" w:type="dxa"/>
            <w:vAlign w:val="bottom"/>
            <w:gridSpan w:val="10"/>
          </w:tcPr>
          <w:p>
            <w:pPr>
              <w:ind w:left="140"/>
              <w:spacing w:after="0"/>
              <w:rPr>
                <w:sz w:val="20"/>
                <w:szCs w:val="20"/>
                <w:color w:val="auto"/>
              </w:rPr>
            </w:pPr>
            <w:r>
              <w:rPr>
                <w:rFonts w:ascii="Arial" w:cs="Arial" w:eastAsia="Arial" w:hAnsi="Arial"/>
                <w:sz w:val="14"/>
                <w:szCs w:val="14"/>
                <w:b w:val="1"/>
                <w:bCs w:val="1"/>
                <w:color w:val="auto"/>
              </w:rPr>
              <w:t>Three Months Ended June 30,</w:t>
            </w:r>
          </w:p>
        </w:tc>
        <w:tc>
          <w:tcPr>
            <w:tcW w:w="220" w:type="dxa"/>
            <w:vAlign w:val="bottom"/>
          </w:tcPr>
          <w:p>
            <w:pPr>
              <w:spacing w:after="0"/>
              <w:rPr>
                <w:sz w:val="15"/>
                <w:szCs w:val="15"/>
                <w:color w:val="auto"/>
              </w:rPr>
            </w:pPr>
          </w:p>
        </w:tc>
        <w:tc>
          <w:tcPr>
            <w:tcW w:w="2140" w:type="dxa"/>
            <w:vAlign w:val="bottom"/>
            <w:gridSpan w:val="12"/>
          </w:tcPr>
          <w:p>
            <w:pPr>
              <w:spacing w:after="0"/>
              <w:rPr>
                <w:sz w:val="20"/>
                <w:szCs w:val="20"/>
                <w:color w:val="auto"/>
              </w:rPr>
            </w:pPr>
            <w:r>
              <w:rPr>
                <w:rFonts w:ascii="Arial" w:cs="Arial" w:eastAsia="Arial" w:hAnsi="Arial"/>
                <w:sz w:val="14"/>
                <w:szCs w:val="14"/>
                <w:b w:val="1"/>
                <w:bCs w:val="1"/>
                <w:color w:val="auto"/>
              </w:rPr>
              <w:t>Six Months Ended June 30,</w:t>
            </w:r>
          </w:p>
        </w:tc>
      </w:tr>
      <w:tr>
        <w:trPr>
          <w:trHeight w:val="156"/>
        </w:trPr>
        <w:tc>
          <w:tcPr>
            <w:tcW w:w="6380" w:type="dxa"/>
            <w:vAlign w:val="bottom"/>
            <w:tcBorders>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151"/>
              <w:spacing w:after="0" w:line="155" w:lineRule="exact"/>
              <w:rPr>
                <w:sz w:val="20"/>
                <w:szCs w:val="20"/>
                <w:color w:val="auto"/>
              </w:rPr>
            </w:pPr>
            <w:r>
              <w:rPr>
                <w:rFonts w:ascii="Arial" w:cs="Arial" w:eastAsia="Arial" w:hAnsi="Arial"/>
                <w:sz w:val="14"/>
                <w:szCs w:val="14"/>
                <w:b w:val="1"/>
                <w:bCs w:val="1"/>
                <w:color w:val="auto"/>
                <w:w w:val="96"/>
              </w:rPr>
              <w:t>2017</w:t>
            </w:r>
          </w:p>
        </w:tc>
        <w:tc>
          <w:tcPr>
            <w:tcW w:w="10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151"/>
              <w:spacing w:after="0" w:line="155" w:lineRule="exact"/>
              <w:rPr>
                <w:sz w:val="20"/>
                <w:szCs w:val="20"/>
                <w:color w:val="auto"/>
              </w:rPr>
            </w:pPr>
            <w:r>
              <w:rPr>
                <w:rFonts w:ascii="Arial" w:cs="Arial" w:eastAsia="Arial" w:hAnsi="Arial"/>
                <w:sz w:val="14"/>
                <w:szCs w:val="14"/>
                <w:b w:val="1"/>
                <w:bCs w:val="1"/>
                <w:color w:val="auto"/>
                <w:w w:val="96"/>
              </w:rPr>
              <w:t>2016</w:t>
            </w:r>
          </w:p>
        </w:tc>
        <w:tc>
          <w:tcPr>
            <w:tcW w:w="100" w:type="dxa"/>
            <w:vAlign w:val="bottom"/>
            <w:tcBorders>
              <w:top w:val="single" w:sz="8" w:color="auto"/>
              <w:bottom w:val="single" w:sz="8" w:color="auto"/>
            </w:tcBorders>
          </w:tcPr>
          <w:p>
            <w:pPr>
              <w:spacing w:after="0"/>
              <w:rPr>
                <w:sz w:val="13"/>
                <w:szCs w:val="13"/>
                <w:color w:val="auto"/>
              </w:rPr>
            </w:pPr>
          </w:p>
        </w:tc>
        <w:tc>
          <w:tcPr>
            <w:tcW w:w="360" w:type="dxa"/>
            <w:vAlign w:val="bottom"/>
            <w:tcBorders>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131"/>
              <w:spacing w:after="0" w:line="155" w:lineRule="exact"/>
              <w:rPr>
                <w:sz w:val="20"/>
                <w:szCs w:val="20"/>
                <w:color w:val="auto"/>
              </w:rPr>
            </w:pPr>
            <w:r>
              <w:rPr>
                <w:rFonts w:ascii="Arial" w:cs="Arial" w:eastAsia="Arial" w:hAnsi="Arial"/>
                <w:sz w:val="14"/>
                <w:szCs w:val="14"/>
                <w:b w:val="1"/>
                <w:bCs w:val="1"/>
                <w:color w:val="auto"/>
                <w:w w:val="96"/>
              </w:rPr>
              <w:t>2017</w:t>
            </w:r>
          </w:p>
        </w:tc>
        <w:tc>
          <w:tcPr>
            <w:tcW w:w="2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380" w:type="dxa"/>
            <w:vAlign w:val="bottom"/>
            <w:tcBorders>
              <w:top w:val="single" w:sz="8" w:color="auto"/>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131"/>
              <w:spacing w:after="0" w:line="155" w:lineRule="exact"/>
              <w:rPr>
                <w:sz w:val="20"/>
                <w:szCs w:val="20"/>
                <w:color w:val="auto"/>
              </w:rPr>
            </w:pPr>
            <w:r>
              <w:rPr>
                <w:rFonts w:ascii="Arial" w:cs="Arial" w:eastAsia="Arial" w:hAnsi="Arial"/>
                <w:sz w:val="14"/>
                <w:szCs w:val="14"/>
                <w:b w:val="1"/>
                <w:bCs w:val="1"/>
                <w:color w:val="auto"/>
                <w:w w:val="96"/>
              </w:rPr>
              <w:t>2016</w:t>
            </w:r>
          </w:p>
        </w:tc>
        <w:tc>
          <w:tcPr>
            <w:tcW w:w="2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r>
      <w:tr>
        <w:trPr>
          <w:trHeight w:val="196"/>
        </w:trPr>
        <w:tc>
          <w:tcPr>
            <w:tcW w:w="6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Aircraft fuel and related taxes</w:t>
            </w:r>
          </w:p>
        </w:tc>
        <w:tc>
          <w:tcPr>
            <w:tcW w:w="3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329</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279</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gridSpan w:val="2"/>
            <w:shd w:val="clear" w:color="auto" w:fill="CCEEFF"/>
          </w:tcPr>
          <w:p>
            <w:pPr>
              <w:ind w:left="220"/>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648</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498</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6380" w:type="dxa"/>
            <w:vAlign w:val="bottom"/>
          </w:tcPr>
          <w:p>
            <w:pPr>
              <w:spacing w:after="0" w:line="202" w:lineRule="exact"/>
              <w:rPr>
                <w:sz w:val="20"/>
                <w:szCs w:val="20"/>
                <w:color w:val="auto"/>
              </w:rPr>
            </w:pPr>
            <w:r>
              <w:rPr>
                <w:rFonts w:ascii="Arial" w:cs="Arial" w:eastAsia="Arial" w:hAnsi="Arial"/>
                <w:sz w:val="18"/>
                <w:szCs w:val="18"/>
                <w:color w:val="auto"/>
              </w:rPr>
              <w:t>Salaries, wages and benefits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360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330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705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656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6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Capacity purchases from third-party regional carriers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413</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806</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786</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6380" w:type="dxa"/>
            <w:vAlign w:val="bottom"/>
          </w:tcPr>
          <w:p>
            <w:pPr>
              <w:spacing w:after="0" w:line="202" w:lineRule="exact"/>
              <w:rPr>
                <w:sz w:val="20"/>
                <w:szCs w:val="20"/>
                <w:color w:val="auto"/>
              </w:rPr>
            </w:pPr>
            <w:r>
              <w:rPr>
                <w:rFonts w:ascii="Arial" w:cs="Arial" w:eastAsia="Arial" w:hAnsi="Arial"/>
                <w:sz w:val="18"/>
                <w:szCs w:val="18"/>
                <w:color w:val="auto"/>
              </w:rPr>
              <w:t>Maintenance, materials and repairs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65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88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135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183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6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rent and landing fees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307</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6380" w:type="dxa"/>
            <w:vAlign w:val="bottom"/>
          </w:tcPr>
          <w:p>
            <w:pPr>
              <w:spacing w:after="0" w:line="202" w:lineRule="exact"/>
              <w:rPr>
                <w:sz w:val="20"/>
                <w:szCs w:val="20"/>
                <w:color w:val="auto"/>
              </w:rPr>
            </w:pPr>
            <w:r>
              <w:rPr>
                <w:rFonts w:ascii="Arial" w:cs="Arial" w:eastAsia="Arial" w:hAnsi="Arial"/>
                <w:sz w:val="18"/>
                <w:szCs w:val="18"/>
                <w:color w:val="auto"/>
              </w:rPr>
              <w:t>Aircraft rent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17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18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6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Selling expenses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174</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166</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6380" w:type="dxa"/>
            <w:vAlign w:val="bottom"/>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78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72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157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140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6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Special items, net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176"/>
        </w:trPr>
        <w:tc>
          <w:tcPr>
            <w:tcW w:w="6380" w:type="dxa"/>
            <w:vAlign w:val="bottom"/>
          </w:tcPr>
          <w:p>
            <w:pPr>
              <w:spacing w:after="0" w:line="176" w:lineRule="exact"/>
              <w:rPr>
                <w:sz w:val="20"/>
                <w:szCs w:val="20"/>
                <w:color w:val="auto"/>
              </w:rPr>
            </w:pPr>
            <w:r>
              <w:rPr>
                <w:rFonts w:ascii="Arial" w:cs="Arial" w:eastAsia="Arial" w:hAnsi="Arial"/>
                <w:sz w:val="18"/>
                <w:szCs w:val="18"/>
                <w:color w:val="auto"/>
              </w:rPr>
              <w:t>Other</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line="176" w:lineRule="exact"/>
              <w:rPr>
                <w:sz w:val="20"/>
                <w:szCs w:val="20"/>
                <w:color w:val="auto"/>
              </w:rPr>
            </w:pPr>
            <w:r>
              <w:rPr>
                <w:rFonts w:ascii="Arial" w:cs="Arial" w:eastAsia="Arial" w:hAnsi="Arial"/>
                <w:sz w:val="18"/>
                <w:szCs w:val="18"/>
                <w:color w:val="auto"/>
              </w:rPr>
              <w:t>115</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line="176" w:lineRule="exact"/>
              <w:rPr>
                <w:sz w:val="20"/>
                <w:szCs w:val="20"/>
                <w:color w:val="auto"/>
              </w:rPr>
            </w:pPr>
            <w:r>
              <w:rPr>
                <w:rFonts w:ascii="Arial" w:cs="Arial" w:eastAsia="Arial" w:hAnsi="Arial"/>
                <w:sz w:val="18"/>
                <w:szCs w:val="18"/>
                <w:color w:val="auto"/>
              </w:rPr>
              <w:t>115</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2"/>
          </w:tcPr>
          <w:p>
            <w:pPr>
              <w:jc w:val="right"/>
              <w:ind w:right="20"/>
              <w:spacing w:after="0" w:line="176" w:lineRule="exact"/>
              <w:rPr>
                <w:sz w:val="20"/>
                <w:szCs w:val="20"/>
                <w:color w:val="auto"/>
              </w:rPr>
            </w:pPr>
            <w:r>
              <w:rPr>
                <w:rFonts w:ascii="Arial" w:cs="Arial" w:eastAsia="Arial" w:hAnsi="Arial"/>
                <w:sz w:val="18"/>
                <w:szCs w:val="18"/>
                <w:color w:val="auto"/>
              </w:rPr>
              <w:t>241</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2"/>
          </w:tcPr>
          <w:p>
            <w:pPr>
              <w:jc w:val="right"/>
              <w:ind w:right="20"/>
              <w:spacing w:after="0" w:line="176" w:lineRule="exact"/>
              <w:rPr>
                <w:sz w:val="20"/>
                <w:szCs w:val="20"/>
                <w:color w:val="auto"/>
              </w:rPr>
            </w:pPr>
            <w:r>
              <w:rPr>
                <w:rFonts w:ascii="Arial" w:cs="Arial" w:eastAsia="Arial" w:hAnsi="Arial"/>
                <w:sz w:val="18"/>
                <w:szCs w:val="18"/>
                <w:color w:val="auto"/>
              </w:rPr>
              <w:t>225</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7"/>
        </w:trPr>
        <w:tc>
          <w:tcPr>
            <w:tcW w:w="6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96"/>
        </w:trPr>
        <w:tc>
          <w:tcPr>
            <w:tcW w:w="638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Total regional expenses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1,620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1,518</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8"/>
                <w:szCs w:val="18"/>
                <w:color w:val="auto"/>
              </w:rPr>
              <w:t>3,194</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8"/>
                <w:szCs w:val="18"/>
                <w:color w:val="auto"/>
              </w:rPr>
              <w:t>2,950</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Legal Proceedings</w:t>
      </w:r>
    </w:p>
    <w:p>
      <w:pPr>
        <w:spacing w:after="0" w:line="108" w:lineRule="exact"/>
        <w:rPr>
          <w:sz w:val="20"/>
          <w:szCs w:val="20"/>
          <w:color w:val="auto"/>
        </w:rPr>
      </w:pPr>
    </w:p>
    <w:p>
      <w:pPr>
        <w:jc w:val="both"/>
        <w:ind w:firstLine="228"/>
        <w:spacing w:after="0" w:line="242" w:lineRule="auto"/>
        <w:rPr>
          <w:sz w:val="20"/>
          <w:szCs w:val="20"/>
          <w:color w:val="auto"/>
        </w:rPr>
      </w:pPr>
      <w:r>
        <w:rPr>
          <w:rFonts w:ascii="Arial" w:cs="Arial" w:eastAsia="Arial" w:hAnsi="Arial"/>
          <w:sz w:val="18"/>
          <w:szCs w:val="18"/>
          <w:i w:val="1"/>
          <w:iCs w:val="1"/>
          <w:color w:val="auto"/>
        </w:rPr>
        <w:t>Chapter 11 Cases</w:t>
      </w:r>
      <w:r>
        <w:rPr>
          <w:rFonts w:ascii="Arial" w:cs="Arial" w:eastAsia="Arial" w:hAnsi="Arial"/>
          <w:sz w:val="18"/>
          <w:szCs w:val="18"/>
          <w:color w:val="auto"/>
        </w:rPr>
        <w:t>. On November 29, 2011, AMR, American, and certain of AMR’s other direct and indirect domestic subsidiaries (the</w:t>
      </w:r>
      <w:r>
        <w:rPr>
          <w:rFonts w:ascii="Arial" w:cs="Arial" w:eastAsia="Arial" w:hAnsi="Arial"/>
          <w:sz w:val="18"/>
          <w:szCs w:val="18"/>
          <w:i w:val="1"/>
          <w:iCs w:val="1"/>
          <w:color w:val="auto"/>
        </w:rPr>
        <w:t xml:space="preserve"> </w:t>
      </w:r>
      <w:r>
        <w:rPr>
          <w:rFonts w:ascii="Arial" w:cs="Arial" w:eastAsia="Arial" w:hAnsi="Arial"/>
          <w:sz w:val="18"/>
          <w:szCs w:val="18"/>
          <w:color w:val="auto"/>
        </w:rPr>
        <w:t>Debtors) filed voluntary petitions for relief under Chapter 11 of the United States Bankruptcy Code in the United States Bankruptcy Court for the Southern District of New York (the Bankruptcy Court). On October 21, 2013, the Bankruptcy Court entered an order approving and confirming the Debtors’ fourth amended joint plan of reorganization (as amended, the Plan). On the Effective Date, December 9, 2013, the Debtors consummated their reorganization pursuant to the Plan and completed the Merger.</w:t>
      </w:r>
    </w:p>
    <w:p>
      <w:pPr>
        <w:spacing w:after="0" w:line="203" w:lineRule="exact"/>
        <w:rPr>
          <w:sz w:val="20"/>
          <w:szCs w:val="20"/>
          <w:color w:val="auto"/>
        </w:rPr>
      </w:pPr>
    </w:p>
    <w:p>
      <w:pPr>
        <w:jc w:val="both"/>
        <w:ind w:firstLine="228"/>
        <w:spacing w:after="0" w:line="236" w:lineRule="auto"/>
        <w:rPr>
          <w:sz w:val="20"/>
          <w:szCs w:val="20"/>
          <w:color w:val="auto"/>
        </w:rPr>
      </w:pPr>
      <w:r>
        <w:rPr>
          <w:rFonts w:ascii="Arial" w:cs="Arial" w:eastAsia="Arial" w:hAnsi="Arial"/>
          <w:sz w:val="18"/>
          <w:szCs w:val="18"/>
          <w:color w:val="auto"/>
        </w:rPr>
        <w:t>Pursuant to rulings of the Bankruptcy Court, the Plan established the Disputed Claims Reserve to hold shares of AAG common stock reserved for issuance to disputed claimholders at the Effective Date that ultimately become holders of allowed claims. As of June 30, 2017, there were approximately 25.2 million shares of AAG common stock remaining in the Disputed Claims Reserve. As disputed claims are resolved, the claimants will receive distributions of shares from the Disputed Claims Reserve on the same basis as if such distributions had been made on or about the Effective Date. However, we are not required to distribute additional shares above the limits contemplated by the Plan, even if the shares remaining for distribution are not sufficient to fully pay any additional allowed unsecured claims. To the extent that any of the reserved shares remain undistributed upon resolution of all remaining disputed claims, such shares will not be returned to us but rather will be distributed to former AMR stockholders.</w:t>
      </w:r>
    </w:p>
    <w:p>
      <w:pPr>
        <w:spacing w:after="0" w:line="208" w:lineRule="exact"/>
        <w:rPr>
          <w:sz w:val="20"/>
          <w:szCs w:val="20"/>
          <w:color w:val="auto"/>
        </w:rPr>
      </w:pPr>
    </w:p>
    <w:p>
      <w:pPr>
        <w:jc w:val="both"/>
        <w:ind w:firstLine="228"/>
        <w:spacing w:after="0" w:line="236" w:lineRule="auto"/>
        <w:rPr>
          <w:sz w:val="20"/>
          <w:szCs w:val="20"/>
          <w:color w:val="auto"/>
        </w:rPr>
      </w:pPr>
      <w:r>
        <w:rPr>
          <w:rFonts w:ascii="Arial" w:cs="Arial" w:eastAsia="Arial" w:hAnsi="Arial"/>
          <w:sz w:val="18"/>
          <w:szCs w:val="18"/>
          <w:color w:val="auto"/>
        </w:rPr>
        <w:t>There is also pending in the Bankruptcy Court an adversary proceeding relating to an action brought by American to seek a determination that certain non-pension, postemployment benefits are not vested benefits and thus may be modified or terminated without liability to American. On April 18, 2014, the Bankruptcy Court granted American’s motion for summary judgment with respect to certain non-union employees, concluding that their benefits were not vested and could be terminated. The summary judgment motion was denied with respect to all other retirees. The Bankruptcy Court has not yet scheduled a trial on the merits concerning whether those retirees’ benefits are vested, and American cannot predict whether it will receive relief from obligations to provide benefits to any of those retirees. Our financial statements presently reflect these retirement programs without giving effect to any modification or termination of benefits that may ultimately be implemented based upon the outcome of this proceeding.</w:t>
      </w:r>
    </w:p>
    <w:p>
      <w:pPr>
        <w:spacing w:after="0" w:line="190" w:lineRule="exact"/>
        <w:rPr>
          <w:sz w:val="20"/>
          <w:szCs w:val="20"/>
          <w:color w:val="auto"/>
        </w:rPr>
      </w:pPr>
    </w:p>
    <w:p>
      <w:pPr>
        <w:jc w:val="both"/>
        <w:ind w:firstLine="228"/>
        <w:spacing w:after="0"/>
        <w:rPr>
          <w:sz w:val="20"/>
          <w:szCs w:val="20"/>
          <w:color w:val="auto"/>
        </w:rPr>
      </w:pPr>
      <w:r>
        <w:rPr>
          <w:rFonts w:ascii="Arial" w:cs="Arial" w:eastAsia="Arial" w:hAnsi="Arial"/>
          <w:sz w:val="18"/>
          <w:szCs w:val="18"/>
          <w:i w:val="1"/>
          <w:iCs w:val="1"/>
          <w:color w:val="auto"/>
        </w:rPr>
        <w:t>DOJ Antitrust Civil Investigative Demand</w:t>
      </w:r>
      <w:r>
        <w:rPr>
          <w:rFonts w:ascii="Arial" w:cs="Arial" w:eastAsia="Arial" w:hAnsi="Arial"/>
          <w:sz w:val="18"/>
          <w:szCs w:val="18"/>
          <w:color w:val="auto"/>
        </w:rPr>
        <w:t>. In June 2015, we received a Civil Investigative Demand (CID) from the United States Department</w:t>
      </w:r>
      <w:r>
        <w:rPr>
          <w:rFonts w:ascii="Arial" w:cs="Arial" w:eastAsia="Arial" w:hAnsi="Arial"/>
          <w:sz w:val="18"/>
          <w:szCs w:val="18"/>
          <w:i w:val="1"/>
          <w:iCs w:val="1"/>
          <w:color w:val="auto"/>
        </w:rPr>
        <w:t xml:space="preserve"> </w:t>
      </w:r>
      <w:r>
        <w:rPr>
          <w:rFonts w:ascii="Arial" w:cs="Arial" w:eastAsia="Arial" w:hAnsi="Arial"/>
          <w:sz w:val="18"/>
          <w:szCs w:val="18"/>
          <w:color w:val="auto"/>
        </w:rPr>
        <w:t>of Justice (DOJ) as part of an investigation into whether there have been illegal agreements or coordination of air passenger capacity. The CID seeks documents and other information from us, and other airlines have announced that they have received similar requests. We are cooperating fully with the DOJ investigation. In addition, subsequent to announcement of the delivery of CIDs by the DOJ, we, along with Delta Air Lines, Inc., Southwest Airlines Co., United Airlines, Inc. and, in the case of litigation filed in Canada, Air Canada, have been named as defendants in approximately 100 putative class action lawsuits alleging unlawful agreements with respect to air passenger capacity. The U.S. lawsuits have been consolidated in the Federal District Court for the District of Columbia. On October 28, 2016, the</w:t>
      </w:r>
    </w:p>
    <w:p>
      <w:pPr>
        <w:sectPr>
          <w:pgSz w:w="11900" w:h="16838" w:orient="portrait"/>
          <w:cols w:equalWidth="0" w:num="1">
            <w:col w:w="11420"/>
          </w:cols>
          <w:pgMar w:left="240" w:top="265" w:right="239" w:bottom="1440" w:gutter="0" w:footer="0" w:header="0"/>
        </w:sectPr>
      </w:pP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420"/>
          </w:cols>
          <w:pgMar w:left="240" w:top="265" w:right="239" w:bottom="1440" w:gutter="0" w:footer="0" w:header="0"/>
          <w:type w:val="continuous"/>
        </w:sectPr>
      </w:pPr>
    </w:p>
    <w:bookmarkStart w:id="16" w:name="page17"/>
    <w:bookmarkEnd w:id="16"/>
    <w:p>
      <w:pPr>
        <w:jc w:val="center"/>
        <w:spacing w:after="0" w:line="27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 TO CONDENSED CONSOLIDATED FINANCIAL STATEMENTS OF AMERICAN AIRLINES GROUP INC. (Unaudited)</w:t>
      </w:r>
    </w:p>
    <w:p>
      <w:pPr>
        <w:spacing w:after="0" w:line="10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Court denied a motion by the airline defendants to dismiss all claims in the class actions. Both the DOJ investigation and these lawsuits are in their relatively early stages and we intend to defend these matters vigorously.</w:t>
      </w:r>
    </w:p>
    <w:p>
      <w:pPr>
        <w:spacing w:after="0" w:line="179" w:lineRule="exact"/>
        <w:rPr>
          <w:sz w:val="20"/>
          <w:szCs w:val="20"/>
          <w:color w:val="auto"/>
        </w:rPr>
      </w:pPr>
    </w:p>
    <w:p>
      <w:pPr>
        <w:jc w:val="both"/>
        <w:ind w:firstLine="228"/>
        <w:spacing w:after="0"/>
        <w:rPr>
          <w:sz w:val="20"/>
          <w:szCs w:val="20"/>
          <w:color w:val="auto"/>
        </w:rPr>
      </w:pPr>
      <w:r>
        <w:rPr>
          <w:rFonts w:ascii="Arial" w:cs="Arial" w:eastAsia="Arial" w:hAnsi="Arial"/>
          <w:sz w:val="18"/>
          <w:szCs w:val="18"/>
          <w:i w:val="1"/>
          <w:iCs w:val="1"/>
          <w:color w:val="auto"/>
        </w:rPr>
        <w:t>Private Party Antitrust Action</w:t>
      </w:r>
      <w:r>
        <w:rPr>
          <w:rFonts w:ascii="Arial" w:cs="Arial" w:eastAsia="Arial" w:hAnsi="Arial"/>
          <w:sz w:val="18"/>
          <w:szCs w:val="18"/>
          <w:color w:val="auto"/>
        </w:rPr>
        <w:t>. On July 2, 2013, a lawsuit captioned Carolyn Fjord, et al., v. US Airways Group, Inc., et al., was filed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United States District Court for the Northern District of California. The complaint named as defendants US Airways Group and US Airways, alleged that the effect of the Merger may be to create a monopoly in violation of Section 7 of the Clayton Antitrust Act, and sought injunctive relief and/or divestiture. On August 6, 2013, the plaintiffs re-filed their complaint in the Bankruptcy Court, adding AMR and American as defendants. On November 27, 2013, the Bankruptcy Court denied plaintiffs’ motion to preliminarily enjoin the Merger. On May 12, 2017, defendants filed a motion for summary judgment. On June 23, 2017, plaintiffs filed an opposition to defendants’ motion and cross-motion for summary judgment. We believe this lawsuit is without merit and intend to vigorously defend against the allegations.</w:t>
      </w:r>
    </w:p>
    <w:p>
      <w:pPr>
        <w:spacing w:after="0" w:line="185" w:lineRule="exact"/>
        <w:rPr>
          <w:sz w:val="20"/>
          <w:szCs w:val="20"/>
          <w:color w:val="auto"/>
        </w:rPr>
      </w:pPr>
    </w:p>
    <w:p>
      <w:pPr>
        <w:jc w:val="both"/>
        <w:ind w:firstLine="228"/>
        <w:spacing w:after="0" w:line="242" w:lineRule="auto"/>
        <w:rPr>
          <w:sz w:val="20"/>
          <w:szCs w:val="20"/>
          <w:color w:val="auto"/>
        </w:rPr>
      </w:pPr>
      <w:r>
        <w:rPr>
          <w:rFonts w:ascii="Arial" w:cs="Arial" w:eastAsia="Arial" w:hAnsi="Arial"/>
          <w:sz w:val="18"/>
          <w:szCs w:val="18"/>
          <w:i w:val="1"/>
          <w:iCs w:val="1"/>
          <w:color w:val="auto"/>
        </w:rPr>
        <w:t>DOJ Investigation Related to the United States Postal Service</w:t>
      </w:r>
      <w:r>
        <w:rPr>
          <w:rFonts w:ascii="Arial" w:cs="Arial" w:eastAsia="Arial" w:hAnsi="Arial"/>
          <w:sz w:val="18"/>
          <w:szCs w:val="18"/>
          <w:color w:val="auto"/>
        </w:rPr>
        <w:t>. In April 2015, the DOJ informed us of an inquiry regarding American’s 2009</w:t>
      </w:r>
      <w:r>
        <w:rPr>
          <w:rFonts w:ascii="Arial" w:cs="Arial" w:eastAsia="Arial" w:hAnsi="Arial"/>
          <w:sz w:val="18"/>
          <w:szCs w:val="18"/>
          <w:i w:val="1"/>
          <w:iCs w:val="1"/>
          <w:color w:val="auto"/>
        </w:rPr>
        <w:t xml:space="preserve"> </w:t>
      </w:r>
      <w:r>
        <w:rPr>
          <w:rFonts w:ascii="Arial" w:cs="Arial" w:eastAsia="Arial" w:hAnsi="Arial"/>
          <w:sz w:val="18"/>
          <w:szCs w:val="18"/>
          <w:color w:val="auto"/>
        </w:rPr>
        <w:t>and 2011 contracts with the United States Postal Service for the international transportation of mail by air. In October 2015, we received a CID from the DOJ seeking certain information relating to these contracts and the DOJ has also sought information concerning certain of the airlines that transport mail on a codeshare basis. The DOJ has indicated it is investigating potential violations of the False Claims Act or other statutes. We are cooperating fully with the DOJ with regard to its investigation.</w:t>
      </w:r>
    </w:p>
    <w:p>
      <w:pPr>
        <w:spacing w:after="0" w:line="185" w:lineRule="exact"/>
        <w:rPr>
          <w:sz w:val="20"/>
          <w:szCs w:val="20"/>
          <w:color w:val="auto"/>
        </w:rPr>
      </w:pPr>
    </w:p>
    <w:p>
      <w:pPr>
        <w:jc w:val="both"/>
        <w:ind w:firstLine="456"/>
        <w:spacing w:after="0" w:line="241" w:lineRule="auto"/>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In addition to the specifically identified legal proceedings, we and our subsidiaries are also engaged in other legal proceedings</w:t>
      </w:r>
      <w:r>
        <w:rPr>
          <w:rFonts w:ascii="Arial" w:cs="Arial" w:eastAsia="Arial" w:hAnsi="Arial"/>
          <w:sz w:val="18"/>
          <w:szCs w:val="18"/>
          <w:i w:val="1"/>
          <w:iCs w:val="1"/>
          <w:color w:val="auto"/>
        </w:rPr>
        <w:t xml:space="preserve"> </w:t>
      </w:r>
      <w:r>
        <w:rPr>
          <w:rFonts w:ascii="Arial" w:cs="Arial" w:eastAsia="Arial" w:hAnsi="Arial"/>
          <w:sz w:val="18"/>
          <w:szCs w:val="18"/>
          <w:color w:val="auto"/>
        </w:rPr>
        <w:t>from time to time. Legal proceedings can be complex and take many months, or even years, to reach resolution, with the final outcome depending on a number of variables, some of which are not within our control. Therefore, although we will vigorously defend ourselves in each of the actions described above and such other legal proceedings, their ultimate resolution and potential financial and other impacts on us are uncertain but could be material. See Part II, Item 1A. Risk Factors – “</w:t>
      </w:r>
      <w:r>
        <w:rPr>
          <w:rFonts w:ascii="Arial" w:cs="Arial" w:eastAsia="Arial" w:hAnsi="Arial"/>
          <w:sz w:val="18"/>
          <w:szCs w:val="18"/>
          <w:i w:val="1"/>
          <w:iCs w:val="1"/>
          <w:color w:val="auto"/>
        </w:rPr>
        <w:t>We may be a party to litigation in the normal course of business or</w:t>
      </w:r>
      <w:r>
        <w:rPr>
          <w:rFonts w:ascii="Arial" w:cs="Arial" w:eastAsia="Arial" w:hAnsi="Arial"/>
          <w:sz w:val="18"/>
          <w:szCs w:val="18"/>
          <w:color w:val="auto"/>
        </w:rPr>
        <w:t xml:space="preserve"> </w:t>
      </w:r>
      <w:r>
        <w:rPr>
          <w:rFonts w:ascii="Arial" w:cs="Arial" w:eastAsia="Arial" w:hAnsi="Arial"/>
          <w:sz w:val="18"/>
          <w:szCs w:val="18"/>
          <w:i w:val="1"/>
          <w:iCs w:val="1"/>
          <w:color w:val="auto"/>
        </w:rPr>
        <w:t>otherwise, which could affect our financial position and liquidity</w:t>
      </w:r>
      <w:r>
        <w:rPr>
          <w:rFonts w:ascii="Arial" w:cs="Arial" w:eastAsia="Arial" w:hAnsi="Arial"/>
          <w:sz w:val="18"/>
          <w:szCs w:val="18"/>
          <w:color w:val="auto"/>
        </w:rPr>
        <w:t>” for additional discussion.</w:t>
      </w:r>
    </w:p>
    <w:p>
      <w:pPr>
        <w:spacing w:after="0" w:line="180" w:lineRule="exact"/>
        <w:rPr>
          <w:sz w:val="20"/>
          <w:szCs w:val="20"/>
          <w:color w:val="auto"/>
        </w:rPr>
      </w:pPr>
    </w:p>
    <w:p>
      <w:pPr>
        <w:jc w:val="both"/>
        <w:ind w:left="240" w:right="9520" w:hanging="232"/>
        <w:spacing w:after="0" w:line="394" w:lineRule="auto"/>
        <w:tabs>
          <w:tab w:leader="none" w:pos="312"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Subsequent Event </w:t>
      </w:r>
      <w:r>
        <w:rPr>
          <w:rFonts w:ascii="Arial" w:cs="Arial" w:eastAsia="Arial" w:hAnsi="Arial"/>
          <w:sz w:val="17"/>
          <w:szCs w:val="17"/>
          <w:i w:val="1"/>
          <w:iCs w:val="1"/>
          <w:u w:val="single" w:color="auto"/>
          <w:color w:val="auto"/>
        </w:rPr>
        <w:t>Dividend Declaration</w:t>
      </w:r>
    </w:p>
    <w:p>
      <w:pPr>
        <w:spacing w:after="0" w:line="1" w:lineRule="exact"/>
        <w:rPr>
          <w:sz w:val="20"/>
          <w:szCs w:val="20"/>
          <w:color w:val="auto"/>
        </w:rPr>
      </w:pPr>
    </w:p>
    <w:p>
      <w:pPr>
        <w:jc w:val="both"/>
        <w:ind w:firstLine="228"/>
        <w:spacing w:after="0" w:line="239" w:lineRule="auto"/>
        <w:rPr>
          <w:sz w:val="20"/>
          <w:szCs w:val="20"/>
          <w:color w:val="auto"/>
        </w:rPr>
      </w:pPr>
      <w:r>
        <w:rPr>
          <w:rFonts w:ascii="Arial" w:cs="Arial" w:eastAsia="Arial" w:hAnsi="Arial"/>
          <w:sz w:val="18"/>
          <w:szCs w:val="18"/>
          <w:color w:val="auto"/>
        </w:rPr>
        <w:t>In July 2017, we announced that our Board of Directors had declared a $0.10 per share dividend for stockholders of record on August 14, 2017, and payable on August 28, 2017. Any future dividends that may be declared and paid from time to time will be subject to market and economic conditions, applicable legal requirements and other relevant factors. We are not obligated to continue a dividend for any fixed period, and payment of dividends may be suspended at any time at our discretion.</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65"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1B. CONDENSED CONSOLIDATED FINANCIAL STATEMENTS OF AMERICAN AIRLINES, INC.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jc w:val="center"/>
        <w:spacing w:after="0"/>
        <w:rPr>
          <w:sz w:val="20"/>
          <w:szCs w:val="20"/>
          <w:color w:val="auto"/>
        </w:rPr>
      </w:pPr>
      <w:r>
        <w:rPr>
          <w:rFonts w:ascii="Arial" w:cs="Arial" w:eastAsia="Arial" w:hAnsi="Arial"/>
          <w:sz w:val="18"/>
          <w:szCs w:val="18"/>
          <w:b w:val="1"/>
          <w:bCs w:val="1"/>
          <w:color w:val="auto"/>
        </w:rPr>
        <w:t>(In millions)(Unaudited)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6840" w:type="dxa"/>
            <w:vAlign w:val="bottom"/>
          </w:tcPr>
          <w:p>
            <w:pPr>
              <w:spacing w:after="0"/>
              <w:rPr>
                <w:sz w:val="15"/>
                <w:szCs w:val="15"/>
                <w:color w:val="auto"/>
              </w:rPr>
            </w:pPr>
          </w:p>
        </w:tc>
        <w:tc>
          <w:tcPr>
            <w:tcW w:w="2380" w:type="dxa"/>
            <w:vAlign w:val="bottom"/>
            <w:gridSpan w:val="10"/>
          </w:tcPr>
          <w:p>
            <w:pPr>
              <w:ind w:left="80"/>
              <w:spacing w:after="0"/>
              <w:rPr>
                <w:sz w:val="20"/>
                <w:szCs w:val="20"/>
                <w:color w:val="auto"/>
              </w:rPr>
            </w:pPr>
            <w:r>
              <w:rPr>
                <w:rFonts w:ascii="Arial" w:cs="Arial" w:eastAsia="Arial" w:hAnsi="Arial"/>
                <w:sz w:val="14"/>
                <w:szCs w:val="14"/>
                <w:b w:val="1"/>
                <w:bCs w:val="1"/>
                <w:color w:val="auto"/>
              </w:rPr>
              <w:t>Three Months Ended June 30,</w:t>
            </w:r>
          </w:p>
        </w:tc>
        <w:tc>
          <w:tcPr>
            <w:tcW w:w="140" w:type="dxa"/>
            <w:vAlign w:val="bottom"/>
          </w:tcPr>
          <w:p>
            <w:pPr>
              <w:spacing w:after="0"/>
              <w:rPr>
                <w:sz w:val="15"/>
                <w:szCs w:val="15"/>
                <w:color w:val="auto"/>
              </w:rPr>
            </w:pPr>
          </w:p>
        </w:tc>
        <w:tc>
          <w:tcPr>
            <w:tcW w:w="2040" w:type="dxa"/>
            <w:vAlign w:val="bottom"/>
            <w:gridSpan w:val="6"/>
          </w:tcPr>
          <w:p>
            <w:pPr>
              <w:ind w:left="20"/>
              <w:spacing w:after="0"/>
              <w:rPr>
                <w:sz w:val="20"/>
                <w:szCs w:val="20"/>
                <w:color w:val="auto"/>
              </w:rPr>
            </w:pPr>
            <w:r>
              <w:rPr>
                <w:rFonts w:ascii="Arial" w:cs="Arial" w:eastAsia="Arial" w:hAnsi="Arial"/>
                <w:sz w:val="14"/>
                <w:szCs w:val="14"/>
                <w:b w:val="1"/>
                <w:bCs w:val="1"/>
                <w:color w:val="auto"/>
              </w:rPr>
              <w:t>Six Months Ended June 30,</w:t>
            </w:r>
          </w:p>
        </w:tc>
      </w:tr>
      <w:tr>
        <w:trPr>
          <w:trHeight w:val="156"/>
        </w:trPr>
        <w:tc>
          <w:tcPr>
            <w:tcW w:w="20" w:type="dxa"/>
            <w:vAlign w:val="bottom"/>
          </w:tcPr>
          <w:p>
            <w:pPr>
              <w:spacing w:after="0"/>
              <w:rPr>
                <w:sz w:val="13"/>
                <w:szCs w:val="13"/>
                <w:color w:val="auto"/>
              </w:rPr>
            </w:pPr>
          </w:p>
        </w:tc>
        <w:tc>
          <w:tcPr>
            <w:tcW w:w="684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11"/>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91"/>
              <w:spacing w:after="0" w:line="155"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top w:val="single" w:sz="8" w:color="auto"/>
              <w:bottom w:val="single" w:sz="8" w:color="auto"/>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11"/>
              <w:spacing w:after="0" w:line="155" w:lineRule="exact"/>
              <w:rPr>
                <w:sz w:val="20"/>
                <w:szCs w:val="20"/>
                <w:color w:val="auto"/>
              </w:rPr>
            </w:pPr>
            <w:r>
              <w:rPr>
                <w:rFonts w:ascii="Arial" w:cs="Arial" w:eastAsia="Arial" w:hAnsi="Arial"/>
                <w:sz w:val="14"/>
                <w:szCs w:val="14"/>
                <w:b w:val="1"/>
                <w:bCs w:val="1"/>
                <w:color w:val="auto"/>
              </w:rPr>
              <w:t>2017</w:t>
            </w:r>
          </w:p>
        </w:tc>
        <w:tc>
          <w:tcPr>
            <w:tcW w:w="46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11"/>
              <w:spacing w:after="0" w:line="155"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top w:val="single" w:sz="8" w:color="auto"/>
              <w:bottom w:val="single" w:sz="8" w:color="auto"/>
            </w:tcBorders>
          </w:tcPr>
          <w:p>
            <w:pPr>
              <w:spacing w:after="0"/>
              <w:rPr>
                <w:sz w:val="13"/>
                <w:szCs w:val="13"/>
                <w:color w:val="auto"/>
              </w:rPr>
            </w:pPr>
          </w:p>
        </w:tc>
      </w:tr>
      <w:tr>
        <w:trPr>
          <w:trHeight w:val="196"/>
        </w:trPr>
        <w:tc>
          <w:tcPr>
            <w:tcW w:w="20" w:type="dxa"/>
            <w:vAlign w:val="bottom"/>
          </w:tcPr>
          <w:p>
            <w:pPr>
              <w:spacing w:after="0"/>
              <w:rPr>
                <w:sz w:val="17"/>
                <w:szCs w:val="17"/>
                <w:color w:val="auto"/>
              </w:rPr>
            </w:pPr>
          </w:p>
        </w:tc>
        <w:tc>
          <w:tcPr>
            <w:tcW w:w="68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revenues:</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840" w:type="dxa"/>
            <w:vAlign w:val="bottom"/>
          </w:tcPr>
          <w:p>
            <w:pPr>
              <w:ind w:left="340"/>
              <w:spacing w:after="0" w:line="202" w:lineRule="exact"/>
              <w:rPr>
                <w:sz w:val="20"/>
                <w:szCs w:val="20"/>
                <w:color w:val="auto"/>
              </w:rPr>
            </w:pPr>
            <w:r>
              <w:rPr>
                <w:rFonts w:ascii="Arial" w:cs="Arial" w:eastAsia="Arial" w:hAnsi="Arial"/>
                <w:sz w:val="18"/>
                <w:szCs w:val="18"/>
                <w:color w:val="auto"/>
              </w:rPr>
              <w:t>Mainline passenger</w:t>
            </w:r>
          </w:p>
        </w:tc>
        <w:tc>
          <w:tcPr>
            <w:tcW w:w="2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7,747</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7,209</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gridSpan w:val="2"/>
          </w:tcPr>
          <w:p>
            <w:pPr>
              <w:ind w:left="140"/>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8"/>
              </w:rPr>
              <w:t>14,353</w:t>
            </w:r>
          </w:p>
        </w:tc>
        <w:tc>
          <w:tcPr>
            <w:tcW w:w="46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w w:val="98"/>
              </w:rPr>
              <w:t>13,773</w:t>
            </w: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84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Regional passenger</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1,835</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1,786</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3,384</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3,309</w:t>
            </w:r>
          </w:p>
        </w:tc>
        <w:tc>
          <w:tcPr>
            <w:tcW w:w="1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840" w:type="dxa"/>
            <w:vAlign w:val="bottom"/>
          </w:tcPr>
          <w:p>
            <w:pPr>
              <w:ind w:left="340"/>
              <w:spacing w:after="0" w:line="202" w:lineRule="exact"/>
              <w:rPr>
                <w:sz w:val="20"/>
                <w:szCs w:val="20"/>
                <w:color w:val="auto"/>
              </w:rPr>
            </w:pPr>
            <w:r>
              <w:rPr>
                <w:rFonts w:ascii="Arial" w:cs="Arial" w:eastAsia="Arial" w:hAnsi="Arial"/>
                <w:sz w:val="18"/>
                <w:szCs w:val="18"/>
                <w:color w:val="auto"/>
              </w:rPr>
              <w:t>Cargo</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196</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174</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368</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336</w:t>
            </w: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84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1,324</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1,191</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2,617</w:t>
            </w:r>
          </w:p>
        </w:tc>
        <w:tc>
          <w:tcPr>
            <w:tcW w:w="4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2,369</w:t>
            </w:r>
          </w:p>
        </w:tc>
        <w:tc>
          <w:tcPr>
            <w:tcW w:w="14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6840" w:type="dxa"/>
            <w:vAlign w:val="bottom"/>
          </w:tcPr>
          <w:p>
            <w:pPr>
              <w:ind w:left="700"/>
              <w:spacing w:after="0"/>
              <w:rPr>
                <w:sz w:val="20"/>
                <w:szCs w:val="20"/>
                <w:color w:val="auto"/>
              </w:rPr>
            </w:pPr>
            <w:r>
              <w:rPr>
                <w:rFonts w:ascii="Arial" w:cs="Arial" w:eastAsia="Arial" w:hAnsi="Arial"/>
                <w:sz w:val="18"/>
                <w:szCs w:val="18"/>
                <w:color w:val="auto"/>
              </w:rPr>
              <w:t>Total operating revenues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11,102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10,360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20,722</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19,787</w:t>
            </w:r>
          </w:p>
        </w:tc>
        <w:tc>
          <w:tcPr>
            <w:tcW w:w="14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68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Operating expenses:</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840" w:type="dxa"/>
            <w:vAlign w:val="bottom"/>
          </w:tcPr>
          <w:p>
            <w:pPr>
              <w:ind w:left="340"/>
              <w:spacing w:after="0" w:line="202" w:lineRule="exact"/>
              <w:rPr>
                <w:sz w:val="20"/>
                <w:szCs w:val="20"/>
                <w:color w:val="auto"/>
              </w:rPr>
            </w:pPr>
            <w:r>
              <w:rPr>
                <w:rFonts w:ascii="Arial" w:cs="Arial" w:eastAsia="Arial" w:hAnsi="Arial"/>
                <w:sz w:val="18"/>
                <w:szCs w:val="18"/>
                <w:color w:val="auto"/>
              </w:rPr>
              <w:t>Aircraft fuel and related taxes</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1,510</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1,314</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2,912</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2,343</w:t>
            </w: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84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Salaries, wages and benefits</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2,999</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2,668</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5,823</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5,318</w:t>
            </w:r>
          </w:p>
        </w:tc>
        <w:tc>
          <w:tcPr>
            <w:tcW w:w="1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840" w:type="dxa"/>
            <w:vAlign w:val="bottom"/>
          </w:tcPr>
          <w:p>
            <w:pPr>
              <w:ind w:left="340"/>
              <w:spacing w:after="0" w:line="202" w:lineRule="exact"/>
              <w:rPr>
                <w:sz w:val="20"/>
                <w:szCs w:val="20"/>
                <w:color w:val="auto"/>
              </w:rPr>
            </w:pPr>
            <w:r>
              <w:rPr>
                <w:rFonts w:ascii="Arial" w:cs="Arial" w:eastAsia="Arial" w:hAnsi="Arial"/>
                <w:sz w:val="18"/>
                <w:szCs w:val="18"/>
                <w:color w:val="auto"/>
              </w:rPr>
              <w:t>Regional expenses</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1,629</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1,510</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3,199</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2,947</w:t>
            </w: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84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Maintenance, materials and repairs</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495</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453</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987</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871</w:t>
            </w:r>
          </w:p>
        </w:tc>
        <w:tc>
          <w:tcPr>
            <w:tcW w:w="1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840" w:type="dxa"/>
            <w:vAlign w:val="bottom"/>
          </w:tcPr>
          <w:p>
            <w:pPr>
              <w:ind w:left="340"/>
              <w:spacing w:after="0" w:line="202" w:lineRule="exact"/>
              <w:rPr>
                <w:sz w:val="20"/>
                <w:szCs w:val="20"/>
                <w:color w:val="auto"/>
              </w:rPr>
            </w:pPr>
            <w:r>
              <w:rPr>
                <w:rFonts w:ascii="Arial" w:cs="Arial" w:eastAsia="Arial" w:hAnsi="Arial"/>
                <w:sz w:val="18"/>
                <w:szCs w:val="18"/>
                <w:color w:val="auto"/>
              </w:rPr>
              <w:t>Other rent and landing fees</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452</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458</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892</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879</w:t>
            </w: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84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Aircraft rent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294</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302</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589</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609</w:t>
            </w:r>
          </w:p>
        </w:tc>
        <w:tc>
          <w:tcPr>
            <w:tcW w:w="1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840" w:type="dxa"/>
            <w:vAlign w:val="bottom"/>
          </w:tcPr>
          <w:p>
            <w:pPr>
              <w:ind w:left="340"/>
              <w:spacing w:after="0" w:line="202" w:lineRule="exact"/>
              <w:rPr>
                <w:sz w:val="20"/>
                <w:szCs w:val="20"/>
                <w:color w:val="auto"/>
              </w:rPr>
            </w:pPr>
            <w:r>
              <w:rPr>
                <w:rFonts w:ascii="Arial" w:cs="Arial" w:eastAsia="Arial" w:hAnsi="Arial"/>
                <w:sz w:val="18"/>
                <w:szCs w:val="18"/>
                <w:color w:val="auto"/>
              </w:rPr>
              <w:t>Selling expenses</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376</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334</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694</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642</w:t>
            </w: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84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418</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374</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822</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729</w:t>
            </w:r>
          </w:p>
        </w:tc>
        <w:tc>
          <w:tcPr>
            <w:tcW w:w="1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840" w:type="dxa"/>
            <w:vAlign w:val="bottom"/>
          </w:tcPr>
          <w:p>
            <w:pPr>
              <w:ind w:left="340"/>
              <w:spacing w:after="0" w:line="202" w:lineRule="exact"/>
              <w:rPr>
                <w:sz w:val="20"/>
                <w:szCs w:val="20"/>
                <w:color w:val="auto"/>
              </w:rPr>
            </w:pPr>
            <w:r>
              <w:rPr>
                <w:rFonts w:ascii="Arial" w:cs="Arial" w:eastAsia="Arial" w:hAnsi="Arial"/>
                <w:sz w:val="18"/>
                <w:szCs w:val="18"/>
                <w:color w:val="auto"/>
              </w:rPr>
              <w:t>Special items, net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202</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62</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320</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161</w:t>
            </w: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84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1,200</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1,128</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2,354</w:t>
            </w:r>
          </w:p>
        </w:tc>
        <w:tc>
          <w:tcPr>
            <w:tcW w:w="4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2,208</w:t>
            </w:r>
          </w:p>
        </w:tc>
        <w:tc>
          <w:tcPr>
            <w:tcW w:w="140" w:type="dxa"/>
            <w:vAlign w:val="bottom"/>
            <w:shd w:val="clear" w:color="auto" w:fill="CCEEFF"/>
          </w:tcPr>
          <w:p>
            <w:pPr>
              <w:spacing w:after="0"/>
              <w:rPr>
                <w:sz w:val="17"/>
                <w:szCs w:val="17"/>
                <w:color w:val="auto"/>
              </w:rPr>
            </w:pPr>
          </w:p>
        </w:tc>
      </w:tr>
      <w:tr>
        <w:trPr>
          <w:trHeight w:val="217"/>
        </w:trPr>
        <w:tc>
          <w:tcPr>
            <w:tcW w:w="20" w:type="dxa"/>
            <w:vAlign w:val="bottom"/>
          </w:tcPr>
          <w:p>
            <w:pPr>
              <w:spacing w:after="0"/>
              <w:rPr>
                <w:sz w:val="18"/>
                <w:szCs w:val="18"/>
                <w:color w:val="auto"/>
              </w:rPr>
            </w:pPr>
          </w:p>
        </w:tc>
        <w:tc>
          <w:tcPr>
            <w:tcW w:w="684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9,575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18,592</w:t>
            </w:r>
          </w:p>
        </w:tc>
        <w:tc>
          <w:tcPr>
            <w:tcW w:w="4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16,707</w:t>
            </w:r>
          </w:p>
        </w:tc>
        <w:tc>
          <w:tcPr>
            <w:tcW w:w="14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68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Operating income</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1,527</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1,757</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2,130</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3,080</w:t>
            </w:r>
          </w:p>
        </w:tc>
        <w:tc>
          <w:tcPr>
            <w:tcW w:w="1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840" w:type="dxa"/>
            <w:vAlign w:val="bottom"/>
          </w:tcPr>
          <w:p>
            <w:pPr>
              <w:spacing w:after="0" w:line="202" w:lineRule="exact"/>
              <w:rPr>
                <w:sz w:val="20"/>
                <w:szCs w:val="20"/>
                <w:color w:val="auto"/>
              </w:rPr>
            </w:pPr>
            <w:r>
              <w:rPr>
                <w:rFonts w:ascii="Arial" w:cs="Arial" w:eastAsia="Arial" w:hAnsi="Arial"/>
                <w:sz w:val="18"/>
                <w:szCs w:val="18"/>
                <w:b w:val="1"/>
                <w:bCs w:val="1"/>
                <w:color w:val="auto"/>
              </w:rPr>
              <w:t>Nonoperating income (expense):</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84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Interest income</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102</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w:t>
            </w:r>
          </w:p>
        </w:tc>
        <w:tc>
          <w:tcPr>
            <w:tcW w:w="1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840" w:type="dxa"/>
            <w:vAlign w:val="bottom"/>
          </w:tcPr>
          <w:p>
            <w:pPr>
              <w:ind w:left="340"/>
              <w:spacing w:after="0" w:line="202" w:lineRule="exact"/>
              <w:rPr>
                <w:sz w:val="20"/>
                <w:szCs w:val="20"/>
                <w:color w:val="auto"/>
              </w:rPr>
            </w:pPr>
            <w:r>
              <w:rPr>
                <w:rFonts w:ascii="Arial" w:cs="Arial" w:eastAsia="Arial" w:hAnsi="Arial"/>
                <w:sz w:val="18"/>
                <w:szCs w:val="18"/>
                <w:color w:val="auto"/>
              </w:rPr>
              <w:t>Interest expense, net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(246)</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(228)</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(488)</w:t>
            </w:r>
          </w:p>
        </w:tc>
        <w:tc>
          <w:tcPr>
            <w:tcW w:w="120" w:type="dxa"/>
            <w:vAlign w:val="bottom"/>
          </w:tcPr>
          <w:p>
            <w:pPr>
              <w:spacing w:after="0"/>
              <w:rPr>
                <w:sz w:val="17"/>
                <w:szCs w:val="17"/>
                <w:color w:val="auto"/>
              </w:rPr>
            </w:pPr>
          </w:p>
        </w:tc>
        <w:tc>
          <w:tcPr>
            <w:tcW w:w="7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(445)</w:t>
            </w:r>
          </w:p>
        </w:tc>
      </w:tr>
      <w:tr>
        <w:trPr>
          <w:trHeight w:val="203"/>
        </w:trPr>
        <w:tc>
          <w:tcPr>
            <w:tcW w:w="20" w:type="dxa"/>
            <w:vAlign w:val="bottom"/>
          </w:tcPr>
          <w:p>
            <w:pPr>
              <w:spacing w:after="0"/>
              <w:rPr>
                <w:sz w:val="17"/>
                <w:szCs w:val="17"/>
                <w:color w:val="auto"/>
              </w:rPr>
            </w:pPr>
          </w:p>
        </w:tc>
        <w:tc>
          <w:tcPr>
            <w:tcW w:w="684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Other, net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(26)</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(18)</w:t>
            </w: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6840" w:type="dxa"/>
            <w:vAlign w:val="bottom"/>
          </w:tcPr>
          <w:p>
            <w:pPr>
              <w:ind w:left="700"/>
              <w:spacing w:after="0"/>
              <w:rPr>
                <w:sz w:val="20"/>
                <w:szCs w:val="20"/>
                <w:color w:val="auto"/>
              </w:rPr>
            </w:pPr>
            <w:r>
              <w:rPr>
                <w:rFonts w:ascii="Arial" w:cs="Arial" w:eastAsia="Arial" w:hAnsi="Arial"/>
                <w:sz w:val="18"/>
                <w:szCs w:val="18"/>
                <w:color w:val="auto"/>
              </w:rPr>
              <w:t>Total nonoperating expense, net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(229)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(391)</w:t>
            </w: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(417)</w:t>
            </w:r>
          </w:p>
        </w:tc>
      </w:tr>
      <w:tr>
        <w:trPr>
          <w:trHeight w:val="203"/>
        </w:trPr>
        <w:tc>
          <w:tcPr>
            <w:tcW w:w="20" w:type="dxa"/>
            <w:vAlign w:val="bottom"/>
          </w:tcPr>
          <w:p>
            <w:pPr>
              <w:spacing w:after="0"/>
              <w:rPr>
                <w:sz w:val="17"/>
                <w:szCs w:val="17"/>
                <w:color w:val="auto"/>
              </w:rPr>
            </w:pPr>
          </w:p>
        </w:tc>
        <w:tc>
          <w:tcPr>
            <w:tcW w:w="68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Income before income taxes</w:t>
            </w:r>
          </w:p>
        </w:tc>
        <w:tc>
          <w:tcPr>
            <w:tcW w:w="1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1,329</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1,528</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1,739</w:t>
            </w:r>
          </w:p>
        </w:tc>
        <w:tc>
          <w:tcPr>
            <w:tcW w:w="4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2,663</w:t>
            </w:r>
          </w:p>
        </w:tc>
        <w:tc>
          <w:tcPr>
            <w:tcW w:w="14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6840" w:type="dxa"/>
            <w:vAlign w:val="bottom"/>
          </w:tcPr>
          <w:p>
            <w:pPr>
              <w:ind w:left="340"/>
              <w:spacing w:after="0" w:line="202" w:lineRule="exact"/>
              <w:rPr>
                <w:sz w:val="20"/>
                <w:szCs w:val="20"/>
                <w:color w:val="auto"/>
              </w:rPr>
            </w:pPr>
            <w:r>
              <w:rPr>
                <w:rFonts w:ascii="Arial" w:cs="Arial" w:eastAsia="Arial" w:hAnsi="Arial"/>
                <w:sz w:val="18"/>
                <w:szCs w:val="18"/>
                <w:color w:val="auto"/>
              </w:rPr>
              <w:t>Income tax provision</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502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556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650</w:t>
            </w:r>
          </w:p>
        </w:tc>
        <w:tc>
          <w:tcPr>
            <w:tcW w:w="4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980</w:t>
            </w:r>
          </w:p>
        </w:tc>
        <w:tc>
          <w:tcPr>
            <w:tcW w:w="14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68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income</w:t>
            </w:r>
          </w:p>
        </w:tc>
        <w:tc>
          <w:tcPr>
            <w:tcW w:w="2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827</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972</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1,089</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1,683</w:t>
            </w:r>
          </w:p>
        </w:tc>
        <w:tc>
          <w:tcPr>
            <w:tcW w:w="14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65"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AMERICAN AIRLINES,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jc w:val="center"/>
        <w:spacing w:after="0"/>
        <w:rPr>
          <w:sz w:val="20"/>
          <w:szCs w:val="20"/>
          <w:color w:val="auto"/>
        </w:rPr>
      </w:pPr>
      <w:r>
        <w:rPr>
          <w:rFonts w:ascii="Arial" w:cs="Arial" w:eastAsia="Arial" w:hAnsi="Arial"/>
          <w:sz w:val="18"/>
          <w:szCs w:val="18"/>
          <w:b w:val="1"/>
          <w:bCs w:val="1"/>
          <w:color w:val="auto"/>
        </w:rPr>
        <w:t>(In millions)(Unaudited)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640" w:type="dxa"/>
            <w:vAlign w:val="bottom"/>
          </w:tcPr>
          <w:p>
            <w:pPr>
              <w:spacing w:after="0"/>
              <w:rPr>
                <w:sz w:val="15"/>
                <w:szCs w:val="15"/>
                <w:color w:val="auto"/>
              </w:rPr>
            </w:pPr>
          </w:p>
        </w:tc>
        <w:tc>
          <w:tcPr>
            <w:tcW w:w="2640" w:type="dxa"/>
            <w:vAlign w:val="bottom"/>
            <w:gridSpan w:val="10"/>
          </w:tcPr>
          <w:p>
            <w:pPr>
              <w:ind w:left="120"/>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15"/>
                <w:szCs w:val="15"/>
                <w:color w:val="auto"/>
              </w:rPr>
            </w:pPr>
          </w:p>
        </w:tc>
        <w:tc>
          <w:tcPr>
            <w:tcW w:w="2020" w:type="dxa"/>
            <w:vAlign w:val="bottom"/>
            <w:gridSpan w:val="6"/>
          </w:tcPr>
          <w:p>
            <w:pPr>
              <w:jc w:val="right"/>
              <w:ind w:right="14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664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93"/>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113"/>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auto"/>
            </w:tcBorders>
          </w:tcPr>
          <w:p>
            <w:pPr>
              <w:spacing w:after="0"/>
              <w:rPr>
                <w:sz w:val="13"/>
                <w:szCs w:val="13"/>
                <w:color w:val="auto"/>
              </w:rPr>
            </w:pPr>
          </w:p>
        </w:tc>
        <w:tc>
          <w:tcPr>
            <w:tcW w:w="380" w:type="dxa"/>
            <w:vAlign w:val="bottom"/>
            <w:tcBorders>
              <w:bottom w:val="single" w:sz="8" w:color="CCEEFF"/>
            </w:tcBorders>
          </w:tcPr>
          <w:p>
            <w:pPr>
              <w:spacing w:after="0"/>
              <w:rPr>
                <w:sz w:val="13"/>
                <w:szCs w:val="13"/>
                <w:color w:val="auto"/>
              </w:rPr>
            </w:pPr>
          </w:p>
        </w:tc>
        <w:tc>
          <w:tcPr>
            <w:tcW w:w="740" w:type="dxa"/>
            <w:vAlign w:val="bottom"/>
            <w:tcBorders>
              <w:top w:val="single" w:sz="8" w:color="auto"/>
              <w:bottom w:val="single" w:sz="8" w:color="auto"/>
            </w:tcBorders>
            <w:gridSpan w:val="2"/>
          </w:tcPr>
          <w:p>
            <w:pPr>
              <w:jc w:val="right"/>
              <w:ind w:right="56"/>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CCEEFF"/>
            </w:tcBorders>
          </w:tcPr>
          <w:p>
            <w:pPr>
              <w:spacing w:after="0"/>
              <w:rPr>
                <w:sz w:val="13"/>
                <w:szCs w:val="13"/>
                <w:color w:val="auto"/>
              </w:rPr>
            </w:pPr>
          </w:p>
        </w:tc>
        <w:tc>
          <w:tcPr>
            <w:tcW w:w="760" w:type="dxa"/>
            <w:vAlign w:val="bottom"/>
            <w:tcBorders>
              <w:top w:val="single" w:sz="8" w:color="auto"/>
              <w:bottom w:val="single" w:sz="8" w:color="auto"/>
            </w:tcBorders>
            <w:gridSpan w:val="2"/>
          </w:tcPr>
          <w:p>
            <w:pPr>
              <w:jc w:val="right"/>
              <w:ind w:right="50"/>
              <w:spacing w:after="0" w:line="155"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top w:val="single" w:sz="8" w:color="auto"/>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66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income</w:t>
            </w:r>
          </w:p>
        </w:tc>
        <w:tc>
          <w:tcPr>
            <w:tcW w:w="260" w:type="dxa"/>
            <w:vAlign w:val="bottom"/>
            <w:gridSpan w:val="2"/>
            <w:shd w:val="clear" w:color="auto" w:fill="CCEEFF"/>
          </w:tcPr>
          <w:p>
            <w:pPr>
              <w:ind w:left="140"/>
              <w:spacing w:after="0" w:line="196" w:lineRule="exact"/>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827</w:t>
            </w: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972</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$ 1,089</w:t>
            </w: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$ 1,683</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tcPr>
          <w:p>
            <w:pPr>
              <w:spacing w:after="0" w:line="202" w:lineRule="exact"/>
              <w:rPr>
                <w:sz w:val="20"/>
                <w:szCs w:val="20"/>
                <w:color w:val="auto"/>
              </w:rPr>
            </w:pPr>
            <w:r>
              <w:rPr>
                <w:rFonts w:ascii="Arial" w:cs="Arial" w:eastAsia="Arial" w:hAnsi="Arial"/>
                <w:sz w:val="18"/>
                <w:szCs w:val="18"/>
                <w:b w:val="1"/>
                <w:bCs w:val="1"/>
                <w:color w:val="auto"/>
              </w:rPr>
              <w:t>Other comprehensive loss, net of tax:</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Pension, retiree medical and other postretirement benefits</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(15)</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(16)</w:t>
            </w:r>
          </w:p>
        </w:tc>
        <w:tc>
          <w:tcPr>
            <w:tcW w:w="38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(29)</w:t>
            </w:r>
          </w:p>
        </w:tc>
        <w:tc>
          <w:tcPr>
            <w:tcW w:w="36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0"/>
        </w:trPr>
        <w:tc>
          <w:tcPr>
            <w:tcW w:w="6640" w:type="dxa"/>
            <w:vAlign w:val="bottom"/>
          </w:tcPr>
          <w:p>
            <w:pPr>
              <w:ind w:left="180"/>
              <w:spacing w:after="0" w:line="202" w:lineRule="exact"/>
              <w:rPr>
                <w:sz w:val="20"/>
                <w:szCs w:val="20"/>
                <w:color w:val="auto"/>
              </w:rPr>
            </w:pPr>
            <w:r>
              <w:rPr>
                <w:rFonts w:ascii="Arial" w:cs="Arial" w:eastAsia="Arial" w:hAnsi="Arial"/>
                <w:sz w:val="18"/>
                <w:szCs w:val="18"/>
                <w:color w:val="auto"/>
              </w:rPr>
              <w:t>Investments</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3"/>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5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64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b w:val="1"/>
                <w:bCs w:val="1"/>
                <w:color w:val="auto"/>
              </w:rPr>
              <w:t>Total other comprehensive loss, net of tax</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(29)</w:t>
            </w:r>
          </w:p>
        </w:tc>
        <w:tc>
          <w:tcPr>
            <w:tcW w:w="36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8"/>
                <w:szCs w:val="18"/>
                <w:b w:val="1"/>
                <w:bCs w:val="1"/>
                <w:color w:val="auto"/>
              </w:rPr>
              <w:t>Total comprehensive income</w:t>
            </w: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40" w:type="dxa"/>
            <w:vAlign w:val="bottom"/>
            <w:vMerge w:val="continue"/>
          </w:tcPr>
          <w:p>
            <w:pPr>
              <w:spacing w:after="0"/>
              <w:rPr>
                <w:sz w:val="18"/>
                <w:szCs w:val="18"/>
                <w:color w:val="auto"/>
              </w:rPr>
            </w:pP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812</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958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1,060</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1,652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65"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AMERICAN AIRLINES,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jc w:val="center"/>
        <w:spacing w:after="0"/>
        <w:rPr>
          <w:sz w:val="20"/>
          <w:szCs w:val="20"/>
          <w:color w:val="auto"/>
        </w:rPr>
      </w:pPr>
      <w:r>
        <w:rPr>
          <w:rFonts w:ascii="Arial" w:cs="Arial" w:eastAsia="Arial" w:hAnsi="Arial"/>
          <w:sz w:val="18"/>
          <w:szCs w:val="18"/>
          <w:b w:val="1"/>
          <w:bCs w:val="1"/>
          <w:color w:val="auto"/>
        </w:rPr>
        <w:t>(In millions, except shares and par value)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1640" w:type="dxa"/>
            <w:vAlign w:val="bottom"/>
            <w:gridSpan w:val="5"/>
          </w:tcPr>
          <w:p>
            <w:pPr>
              <w:spacing w:after="0"/>
              <w:rPr>
                <w:sz w:val="20"/>
                <w:szCs w:val="20"/>
                <w:color w:val="auto"/>
              </w:rPr>
            </w:pPr>
            <w:r>
              <w:rPr>
                <w:rFonts w:ascii="Arial" w:cs="Arial" w:eastAsia="Arial" w:hAnsi="Arial"/>
                <w:sz w:val="14"/>
                <w:szCs w:val="14"/>
                <w:b w:val="1"/>
                <w:bCs w:val="1"/>
                <w:color w:val="auto"/>
              </w:rPr>
              <w:t>June 30, 2017</w:t>
            </w:r>
          </w:p>
        </w:tc>
        <w:tc>
          <w:tcPr>
            <w:tcW w:w="2380" w:type="dxa"/>
            <w:vAlign w:val="bottom"/>
            <w:gridSpan w:val="6"/>
          </w:tcPr>
          <w:p>
            <w:pPr>
              <w:ind w:left="700"/>
              <w:spacing w:after="0"/>
              <w:rPr>
                <w:sz w:val="20"/>
                <w:szCs w:val="20"/>
                <w:color w:val="auto"/>
              </w:rPr>
            </w:pPr>
            <w:r>
              <w:rPr>
                <w:rFonts w:ascii="Arial" w:cs="Arial" w:eastAsia="Arial" w:hAnsi="Arial"/>
                <w:sz w:val="14"/>
                <w:szCs w:val="14"/>
                <w:b w:val="1"/>
                <w:bCs w:val="1"/>
                <w:color w:val="auto"/>
              </w:rPr>
              <w:t>December 31, 2016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380" w:type="dxa"/>
            <w:vAlign w:val="bottom"/>
          </w:tcPr>
          <w:p>
            <w:pPr>
              <w:spacing w:after="0"/>
              <w:rPr>
                <w:sz w:val="13"/>
                <w:szCs w:val="13"/>
                <w:color w:val="auto"/>
              </w:rPr>
            </w:pPr>
          </w:p>
        </w:tc>
        <w:tc>
          <w:tcPr>
            <w:tcW w:w="920" w:type="dxa"/>
            <w:vAlign w:val="bottom"/>
            <w:tcBorders>
              <w:top w:val="single" w:sz="8" w:color="auto"/>
            </w:tcBorders>
            <w:gridSpan w:val="4"/>
          </w:tcPr>
          <w:p>
            <w:pPr>
              <w:ind w:left="80"/>
              <w:spacing w:after="0" w:line="155" w:lineRule="exact"/>
              <w:rPr>
                <w:sz w:val="20"/>
                <w:szCs w:val="20"/>
                <w:color w:val="auto"/>
              </w:rPr>
            </w:pPr>
            <w:r>
              <w:rPr>
                <w:rFonts w:ascii="Arial" w:cs="Arial" w:eastAsia="Arial" w:hAnsi="Arial"/>
                <w:sz w:val="14"/>
                <w:szCs w:val="14"/>
                <w:b w:val="1"/>
                <w:bCs w:val="1"/>
                <w:color w:val="auto"/>
              </w:rPr>
              <w:t>(Unaudited)</w:t>
            </w: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tcPr>
          <w:p>
            <w:pPr>
              <w:spacing w:after="0" w:line="202" w:lineRule="exact"/>
              <w:rPr>
                <w:sz w:val="20"/>
                <w:szCs w:val="20"/>
                <w:color w:val="auto"/>
              </w:rPr>
            </w:pPr>
            <w:r>
              <w:rPr>
                <w:rFonts w:ascii="Arial" w:cs="Arial" w:eastAsia="Arial" w:hAnsi="Arial"/>
                <w:sz w:val="18"/>
                <w:szCs w:val="18"/>
                <w:b w:val="1"/>
                <w:bCs w:val="1"/>
                <w:color w:val="auto"/>
              </w:rPr>
              <w:t>Current assets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shd w:val="clear" w:color="auto" w:fill="CCEEFF"/>
          </w:tcPr>
          <w:p>
            <w:pPr>
              <w:ind w:left="260"/>
              <w:spacing w:after="0" w:line="202" w:lineRule="exact"/>
              <w:rPr>
                <w:sz w:val="20"/>
                <w:szCs w:val="20"/>
                <w:color w:val="auto"/>
              </w:rPr>
            </w:pPr>
            <w:r>
              <w:rPr>
                <w:rFonts w:ascii="Arial" w:cs="Arial" w:eastAsia="Arial" w:hAnsi="Arial"/>
                <w:sz w:val="18"/>
                <w:szCs w:val="18"/>
                <w:color w:val="auto"/>
              </w:rPr>
              <w:t>Cash</w:t>
            </w:r>
          </w:p>
        </w:tc>
        <w:tc>
          <w:tcPr>
            <w:tcW w:w="20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368</w:t>
            </w: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310</w:t>
            </w: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tcPr>
          <w:p>
            <w:pPr>
              <w:ind w:left="260"/>
              <w:spacing w:after="0" w:line="202" w:lineRule="exact"/>
              <w:rPr>
                <w:sz w:val="20"/>
                <w:szCs w:val="20"/>
                <w:color w:val="auto"/>
              </w:rPr>
            </w:pPr>
            <w:r>
              <w:rPr>
                <w:rFonts w:ascii="Arial" w:cs="Arial" w:eastAsia="Arial" w:hAnsi="Arial"/>
                <w:sz w:val="18"/>
                <w:szCs w:val="18"/>
                <w:color w:val="auto"/>
              </w:rPr>
              <w:t>Short-term investments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6,498</w:t>
            </w: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6,034</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shd w:val="clear" w:color="auto" w:fill="CCEEFF"/>
          </w:tcPr>
          <w:p>
            <w:pPr>
              <w:ind w:left="260"/>
              <w:spacing w:after="0" w:line="202" w:lineRule="exact"/>
              <w:rPr>
                <w:sz w:val="20"/>
                <w:szCs w:val="20"/>
                <w:color w:val="auto"/>
              </w:rPr>
            </w:pPr>
            <w:r>
              <w:rPr>
                <w:rFonts w:ascii="Arial" w:cs="Arial" w:eastAsia="Arial" w:hAnsi="Arial"/>
                <w:sz w:val="18"/>
                <w:szCs w:val="18"/>
                <w:color w:val="auto"/>
              </w:rPr>
              <w:t>Restricted cash and short-term investments</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554</w:t>
            </w: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638</w:t>
            </w: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tcPr>
          <w:p>
            <w:pPr>
              <w:ind w:left="260"/>
              <w:spacing w:after="0" w:line="202" w:lineRule="exact"/>
              <w:rPr>
                <w:sz w:val="20"/>
                <w:szCs w:val="20"/>
                <w:color w:val="auto"/>
              </w:rPr>
            </w:pPr>
            <w:r>
              <w:rPr>
                <w:rFonts w:ascii="Arial" w:cs="Arial" w:eastAsia="Arial" w:hAnsi="Arial"/>
                <w:sz w:val="18"/>
                <w:szCs w:val="18"/>
                <w:color w:val="auto"/>
              </w:rPr>
              <w:t>Accounts receivable, net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1,549</w:t>
            </w: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1,599</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shd w:val="clear" w:color="auto" w:fill="CCEEFF"/>
          </w:tcPr>
          <w:p>
            <w:pPr>
              <w:ind w:left="260"/>
              <w:spacing w:after="0" w:line="202" w:lineRule="exact"/>
              <w:rPr>
                <w:sz w:val="20"/>
                <w:szCs w:val="20"/>
                <w:color w:val="auto"/>
              </w:rPr>
            </w:pPr>
            <w:r>
              <w:rPr>
                <w:rFonts w:ascii="Arial" w:cs="Arial" w:eastAsia="Arial" w:hAnsi="Arial"/>
                <w:sz w:val="18"/>
                <w:szCs w:val="18"/>
                <w:color w:val="auto"/>
              </w:rPr>
              <w:t>Receivables from related parties, net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8,029</w:t>
            </w: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6,810</w:t>
            </w: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tcPr>
          <w:p>
            <w:pPr>
              <w:ind w:left="260"/>
              <w:spacing w:after="0" w:line="202" w:lineRule="exact"/>
              <w:rPr>
                <w:sz w:val="20"/>
                <w:szCs w:val="20"/>
                <w:color w:val="auto"/>
              </w:rPr>
            </w:pPr>
            <w:r>
              <w:rPr>
                <w:rFonts w:ascii="Arial" w:cs="Arial" w:eastAsia="Arial" w:hAnsi="Arial"/>
                <w:sz w:val="18"/>
                <w:szCs w:val="18"/>
                <w:color w:val="auto"/>
              </w:rPr>
              <w:t>Aircraft fuel, spare parts and supplies, net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1,146</w:t>
            </w: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1,032</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shd w:val="clear" w:color="auto" w:fill="CCEEFF"/>
          </w:tcPr>
          <w:p>
            <w:pPr>
              <w:ind w:left="260"/>
              <w:spacing w:after="0" w:line="202" w:lineRule="exact"/>
              <w:rPr>
                <w:sz w:val="20"/>
                <w:szCs w:val="20"/>
                <w:color w:val="auto"/>
              </w:rPr>
            </w:pPr>
            <w:r>
              <w:rPr>
                <w:rFonts w:ascii="Arial" w:cs="Arial" w:eastAsia="Arial" w:hAnsi="Arial"/>
                <w:sz w:val="18"/>
                <w:szCs w:val="18"/>
                <w:color w:val="auto"/>
              </w:rPr>
              <w:t>Prepaid expenses and other</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817</w:t>
            </w: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633</w:t>
            </w: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tcPr>
          <w:p>
            <w:pPr>
              <w:ind w:left="520"/>
              <w:spacing w:after="0"/>
              <w:rPr>
                <w:sz w:val="20"/>
                <w:szCs w:val="20"/>
                <w:color w:val="auto"/>
              </w:rPr>
            </w:pPr>
            <w:r>
              <w:rPr>
                <w:rFonts w:ascii="Arial" w:cs="Arial" w:eastAsia="Arial" w:hAnsi="Arial"/>
                <w:sz w:val="18"/>
                <w:szCs w:val="18"/>
                <w:color w:val="auto"/>
              </w:rPr>
              <w:t>Total current assets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18,961</w:t>
            </w: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17,056</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Operating property and equipment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tcPr>
          <w:p>
            <w:pPr>
              <w:ind w:left="260"/>
              <w:spacing w:after="0" w:line="202" w:lineRule="exact"/>
              <w:rPr>
                <w:sz w:val="20"/>
                <w:szCs w:val="20"/>
                <w:color w:val="auto"/>
              </w:rPr>
            </w:pPr>
            <w:r>
              <w:rPr>
                <w:rFonts w:ascii="Arial" w:cs="Arial" w:eastAsia="Arial" w:hAnsi="Arial"/>
                <w:sz w:val="18"/>
                <w:szCs w:val="18"/>
                <w:color w:val="auto"/>
              </w:rPr>
              <w:t>Flight equipment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38,992</w:t>
            </w: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36,671</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shd w:val="clear" w:color="auto" w:fill="CCEEFF"/>
          </w:tcPr>
          <w:p>
            <w:pPr>
              <w:ind w:left="260"/>
              <w:spacing w:after="0" w:line="202" w:lineRule="exact"/>
              <w:rPr>
                <w:sz w:val="20"/>
                <w:szCs w:val="20"/>
                <w:color w:val="auto"/>
              </w:rPr>
            </w:pPr>
            <w:r>
              <w:rPr>
                <w:rFonts w:ascii="Arial" w:cs="Arial" w:eastAsia="Arial" w:hAnsi="Arial"/>
                <w:sz w:val="18"/>
                <w:szCs w:val="18"/>
                <w:color w:val="auto"/>
              </w:rPr>
              <w:t>Ground property and equipment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7,362</w:t>
            </w: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6,910</w:t>
            </w: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tcPr>
          <w:p>
            <w:pPr>
              <w:ind w:left="260"/>
              <w:spacing w:after="0" w:line="202" w:lineRule="exact"/>
              <w:rPr>
                <w:sz w:val="20"/>
                <w:szCs w:val="20"/>
                <w:color w:val="auto"/>
              </w:rPr>
            </w:pPr>
            <w:r>
              <w:rPr>
                <w:rFonts w:ascii="Arial" w:cs="Arial" w:eastAsia="Arial" w:hAnsi="Arial"/>
                <w:sz w:val="18"/>
                <w:szCs w:val="18"/>
                <w:color w:val="auto"/>
              </w:rPr>
              <w:t>Equipment purchase deposits</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1,212</w:t>
            </w: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1,209</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shd w:val="clear" w:color="auto" w:fill="CCEEFF"/>
          </w:tcPr>
          <w:p>
            <w:pPr>
              <w:ind w:left="520"/>
              <w:spacing w:after="0" w:line="202" w:lineRule="exact"/>
              <w:rPr>
                <w:sz w:val="20"/>
                <w:szCs w:val="20"/>
                <w:color w:val="auto"/>
              </w:rPr>
            </w:pPr>
            <w:r>
              <w:rPr>
                <w:rFonts w:ascii="Arial" w:cs="Arial" w:eastAsia="Arial" w:hAnsi="Arial"/>
                <w:sz w:val="18"/>
                <w:szCs w:val="18"/>
                <w:color w:val="auto"/>
              </w:rPr>
              <w:t>Total property and equipment, at cost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47,566</w:t>
            </w: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44,790</w:t>
            </w: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tcPr>
          <w:p>
            <w:pPr>
              <w:ind w:left="260"/>
              <w:spacing w:after="0" w:line="202" w:lineRule="exact"/>
              <w:rPr>
                <w:sz w:val="20"/>
                <w:szCs w:val="20"/>
                <w:color w:val="auto"/>
              </w:rPr>
            </w:pPr>
            <w:r>
              <w:rPr>
                <w:rFonts w:ascii="Arial" w:cs="Arial" w:eastAsia="Arial" w:hAnsi="Arial"/>
                <w:sz w:val="18"/>
                <w:szCs w:val="18"/>
                <w:color w:val="auto"/>
              </w:rPr>
              <w:t>Less accumulated depreciation and amortization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w w:val="98"/>
              </w:rPr>
              <w:t>(14,842)</w:t>
            </w: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w w:val="98"/>
              </w:rPr>
              <w:t>(13,909)</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shd w:val="clear" w:color="auto" w:fill="CCEEFF"/>
          </w:tcPr>
          <w:p>
            <w:pPr>
              <w:ind w:left="520"/>
              <w:spacing w:after="0" w:line="202" w:lineRule="exact"/>
              <w:rPr>
                <w:sz w:val="20"/>
                <w:szCs w:val="20"/>
                <w:color w:val="auto"/>
              </w:rPr>
            </w:pPr>
            <w:r>
              <w:rPr>
                <w:rFonts w:ascii="Arial" w:cs="Arial" w:eastAsia="Arial" w:hAnsi="Arial"/>
                <w:sz w:val="18"/>
                <w:szCs w:val="18"/>
                <w:color w:val="auto"/>
              </w:rPr>
              <w:t>Total property and equipment, net</w:t>
            </w:r>
          </w:p>
        </w:tc>
        <w:tc>
          <w:tcPr>
            <w:tcW w:w="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32,724</w:t>
            </w: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30,881</w:t>
            </w: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tcPr>
          <w:p>
            <w:pPr>
              <w:spacing w:after="0" w:line="202" w:lineRule="exact"/>
              <w:rPr>
                <w:sz w:val="20"/>
                <w:szCs w:val="20"/>
                <w:color w:val="auto"/>
              </w:rPr>
            </w:pPr>
            <w:r>
              <w:rPr>
                <w:rFonts w:ascii="Arial" w:cs="Arial" w:eastAsia="Arial" w:hAnsi="Arial"/>
                <w:sz w:val="18"/>
                <w:szCs w:val="18"/>
                <w:b w:val="1"/>
                <w:bCs w:val="1"/>
                <w:color w:val="auto"/>
              </w:rPr>
              <w:t>Other assets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shd w:val="clear" w:color="auto" w:fill="CCEEFF"/>
          </w:tcPr>
          <w:p>
            <w:pPr>
              <w:ind w:left="260"/>
              <w:spacing w:after="0" w:line="202" w:lineRule="exact"/>
              <w:rPr>
                <w:sz w:val="20"/>
                <w:szCs w:val="20"/>
                <w:color w:val="auto"/>
              </w:rPr>
            </w:pPr>
            <w:r>
              <w:rPr>
                <w:rFonts w:ascii="Arial" w:cs="Arial" w:eastAsia="Arial" w:hAnsi="Arial"/>
                <w:sz w:val="18"/>
                <w:szCs w:val="18"/>
                <w:color w:val="auto"/>
              </w:rPr>
              <w:t>Goodwill</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4,091</w:t>
            </w: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4,091</w:t>
            </w: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tcPr>
          <w:p>
            <w:pPr>
              <w:ind w:left="260"/>
              <w:spacing w:after="0" w:line="202" w:lineRule="exact"/>
              <w:rPr>
                <w:sz w:val="20"/>
                <w:szCs w:val="20"/>
                <w:color w:val="auto"/>
              </w:rPr>
            </w:pPr>
            <w:r>
              <w:rPr>
                <w:rFonts w:ascii="Arial" w:cs="Arial" w:eastAsia="Arial" w:hAnsi="Arial"/>
                <w:sz w:val="18"/>
                <w:szCs w:val="18"/>
                <w:color w:val="auto"/>
              </w:rPr>
              <w:t>Intangibles, net of accumulated amortization of $602 and $578, respectively</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2,224</w:t>
            </w: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2,173</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shd w:val="clear" w:color="auto" w:fill="CCEEFF"/>
          </w:tcPr>
          <w:p>
            <w:pPr>
              <w:ind w:left="260"/>
              <w:spacing w:after="0" w:line="202" w:lineRule="exact"/>
              <w:rPr>
                <w:sz w:val="20"/>
                <w:szCs w:val="20"/>
                <w:color w:val="auto"/>
              </w:rPr>
            </w:pPr>
            <w:r>
              <w:rPr>
                <w:rFonts w:ascii="Arial" w:cs="Arial" w:eastAsia="Arial" w:hAnsi="Arial"/>
                <w:sz w:val="18"/>
                <w:szCs w:val="18"/>
                <w:color w:val="auto"/>
              </w:rPr>
              <w:t>Deferred tax asset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1,287</w:t>
            </w: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1,912</w:t>
            </w: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tcPr>
          <w:p>
            <w:pPr>
              <w:ind w:left="260"/>
              <w:spacing w:after="0" w:line="202" w:lineRule="exact"/>
              <w:rPr>
                <w:sz w:val="20"/>
                <w:szCs w:val="20"/>
                <w:color w:val="auto"/>
              </w:rPr>
            </w:pPr>
            <w:r>
              <w:rPr>
                <w:rFonts w:ascii="Arial" w:cs="Arial" w:eastAsia="Arial" w:hAnsi="Arial"/>
                <w:sz w:val="18"/>
                <w:szCs w:val="18"/>
                <w:color w:val="auto"/>
              </w:rPr>
              <w:t>Other assets</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2,040</w:t>
            </w: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1,979</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shd w:val="clear" w:color="auto" w:fill="CCEEFF"/>
          </w:tcPr>
          <w:p>
            <w:pPr>
              <w:ind w:left="520"/>
              <w:spacing w:after="0" w:line="202" w:lineRule="exact"/>
              <w:rPr>
                <w:sz w:val="20"/>
                <w:szCs w:val="20"/>
                <w:color w:val="auto"/>
              </w:rPr>
            </w:pPr>
            <w:r>
              <w:rPr>
                <w:rFonts w:ascii="Arial" w:cs="Arial" w:eastAsia="Arial" w:hAnsi="Arial"/>
                <w:sz w:val="18"/>
                <w:szCs w:val="18"/>
                <w:color w:val="auto"/>
              </w:rPr>
              <w:t>Total other assets</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9,642</w:t>
            </w: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10,155</w:t>
            </w: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tcPr>
          <w:p>
            <w:pPr>
              <w:ind w:left="880"/>
              <w:spacing w:after="0"/>
              <w:rPr>
                <w:sz w:val="20"/>
                <w:szCs w:val="20"/>
                <w:color w:val="auto"/>
              </w:rPr>
            </w:pPr>
            <w:r>
              <w:rPr>
                <w:rFonts w:ascii="Arial" w:cs="Arial" w:eastAsia="Arial" w:hAnsi="Arial"/>
                <w:sz w:val="18"/>
                <w:szCs w:val="18"/>
                <w:b w:val="1"/>
                <w:bCs w:val="1"/>
                <w:color w:val="auto"/>
              </w:rPr>
              <w:t>Total assets</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61,327</w:t>
            </w: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58,092</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7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3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tcPr>
          <w:p>
            <w:pPr>
              <w:spacing w:after="0" w:line="202" w:lineRule="exact"/>
              <w:rPr>
                <w:sz w:val="20"/>
                <w:szCs w:val="20"/>
                <w:color w:val="auto"/>
              </w:rPr>
            </w:pPr>
            <w:r>
              <w:rPr>
                <w:rFonts w:ascii="Arial" w:cs="Arial" w:eastAsia="Arial" w:hAnsi="Arial"/>
                <w:sz w:val="18"/>
                <w:szCs w:val="18"/>
                <w:b w:val="1"/>
                <w:bCs w:val="1"/>
                <w:color w:val="auto"/>
              </w:rPr>
              <w:t>Current liabilities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shd w:val="clear" w:color="auto" w:fill="CCEEFF"/>
          </w:tcPr>
          <w:p>
            <w:pPr>
              <w:ind w:left="260"/>
              <w:spacing w:after="0" w:line="202" w:lineRule="exact"/>
              <w:rPr>
                <w:sz w:val="20"/>
                <w:szCs w:val="20"/>
                <w:color w:val="auto"/>
              </w:rPr>
            </w:pPr>
            <w:r>
              <w:rPr>
                <w:rFonts w:ascii="Arial" w:cs="Arial" w:eastAsia="Arial" w:hAnsi="Arial"/>
                <w:sz w:val="18"/>
                <w:szCs w:val="18"/>
                <w:color w:val="auto"/>
              </w:rPr>
              <w:t>Current maturities of long-term debt and capital leases</w:t>
            </w:r>
          </w:p>
        </w:tc>
        <w:tc>
          <w:tcPr>
            <w:tcW w:w="20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1,837</w:t>
            </w: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1,859</w:t>
            </w: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tcPr>
          <w:p>
            <w:pPr>
              <w:ind w:left="260"/>
              <w:spacing w:after="0" w:line="202" w:lineRule="exact"/>
              <w:rPr>
                <w:sz w:val="20"/>
                <w:szCs w:val="20"/>
                <w:color w:val="auto"/>
              </w:rPr>
            </w:pPr>
            <w:r>
              <w:rPr>
                <w:rFonts w:ascii="Arial" w:cs="Arial" w:eastAsia="Arial" w:hAnsi="Arial"/>
                <w:sz w:val="18"/>
                <w:szCs w:val="18"/>
                <w:color w:val="auto"/>
              </w:rPr>
              <w:t>Accounts payable</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1,880</w:t>
            </w: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1,546</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shd w:val="clear" w:color="auto" w:fill="CCEEFF"/>
          </w:tcPr>
          <w:p>
            <w:pPr>
              <w:ind w:left="260"/>
              <w:spacing w:after="0" w:line="202" w:lineRule="exact"/>
              <w:rPr>
                <w:sz w:val="20"/>
                <w:szCs w:val="20"/>
                <w:color w:val="auto"/>
              </w:rPr>
            </w:pPr>
            <w:r>
              <w:rPr>
                <w:rFonts w:ascii="Arial" w:cs="Arial" w:eastAsia="Arial" w:hAnsi="Arial"/>
                <w:sz w:val="18"/>
                <w:szCs w:val="18"/>
                <w:color w:val="auto"/>
              </w:rPr>
              <w:t>Accrued salaries and wages</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1,243</w:t>
            </w: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1,460</w:t>
            </w: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tcPr>
          <w:p>
            <w:pPr>
              <w:ind w:left="260"/>
              <w:spacing w:after="0" w:line="202" w:lineRule="exact"/>
              <w:rPr>
                <w:sz w:val="20"/>
                <w:szCs w:val="20"/>
                <w:color w:val="auto"/>
              </w:rPr>
            </w:pPr>
            <w:r>
              <w:rPr>
                <w:rFonts w:ascii="Arial" w:cs="Arial" w:eastAsia="Arial" w:hAnsi="Arial"/>
                <w:sz w:val="18"/>
                <w:szCs w:val="18"/>
                <w:color w:val="auto"/>
              </w:rPr>
              <w:t>Air traffic liability</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5,222</w:t>
            </w: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3,912</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shd w:val="clear" w:color="auto" w:fill="CCEEFF"/>
          </w:tcPr>
          <w:p>
            <w:pPr>
              <w:ind w:left="260"/>
              <w:spacing w:after="0" w:line="202" w:lineRule="exact"/>
              <w:rPr>
                <w:sz w:val="20"/>
                <w:szCs w:val="20"/>
                <w:color w:val="auto"/>
              </w:rPr>
            </w:pPr>
            <w:r>
              <w:rPr>
                <w:rFonts w:ascii="Arial" w:cs="Arial" w:eastAsia="Arial" w:hAnsi="Arial"/>
                <w:sz w:val="18"/>
                <w:szCs w:val="18"/>
                <w:color w:val="auto"/>
              </w:rPr>
              <w:t>Loyalty program liability</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3,014</w:t>
            </w: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2,789</w:t>
            </w: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tcPr>
          <w:p>
            <w:pPr>
              <w:ind w:left="260"/>
              <w:spacing w:after="0" w:line="202" w:lineRule="exact"/>
              <w:rPr>
                <w:sz w:val="20"/>
                <w:szCs w:val="20"/>
                <w:color w:val="auto"/>
              </w:rPr>
            </w:pPr>
            <w:r>
              <w:rPr>
                <w:rFonts w:ascii="Arial" w:cs="Arial" w:eastAsia="Arial" w:hAnsi="Arial"/>
                <w:sz w:val="18"/>
                <w:szCs w:val="18"/>
                <w:color w:val="auto"/>
              </w:rPr>
              <w:t>Other accrued liabilities</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2,234</w:t>
            </w: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2,106</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shd w:val="clear" w:color="auto" w:fill="CCEEFF"/>
          </w:tcPr>
          <w:p>
            <w:pPr>
              <w:ind w:left="520"/>
              <w:spacing w:after="0" w:line="202" w:lineRule="exact"/>
              <w:rPr>
                <w:sz w:val="20"/>
                <w:szCs w:val="20"/>
                <w:color w:val="auto"/>
              </w:rPr>
            </w:pPr>
            <w:r>
              <w:rPr>
                <w:rFonts w:ascii="Arial" w:cs="Arial" w:eastAsia="Arial" w:hAnsi="Arial"/>
                <w:sz w:val="18"/>
                <w:szCs w:val="18"/>
                <w:color w:val="auto"/>
              </w:rPr>
              <w:t>Total current liabilities</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15,430</w:t>
            </w: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13,672</w:t>
            </w: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tcPr>
          <w:p>
            <w:pPr>
              <w:spacing w:after="0" w:line="202" w:lineRule="exact"/>
              <w:rPr>
                <w:sz w:val="20"/>
                <w:szCs w:val="20"/>
                <w:color w:val="auto"/>
              </w:rPr>
            </w:pPr>
            <w:r>
              <w:rPr>
                <w:rFonts w:ascii="Arial" w:cs="Arial" w:eastAsia="Arial" w:hAnsi="Arial"/>
                <w:sz w:val="18"/>
                <w:szCs w:val="18"/>
                <w:b w:val="1"/>
                <w:bCs w:val="1"/>
                <w:color w:val="auto"/>
              </w:rPr>
              <w:t>Noncurrent liabilities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shd w:val="clear" w:color="auto" w:fill="CCEEFF"/>
          </w:tcPr>
          <w:p>
            <w:pPr>
              <w:ind w:left="260"/>
              <w:spacing w:after="0" w:line="202" w:lineRule="exact"/>
              <w:rPr>
                <w:sz w:val="20"/>
                <w:szCs w:val="20"/>
                <w:color w:val="auto"/>
              </w:rPr>
            </w:pPr>
            <w:r>
              <w:rPr>
                <w:rFonts w:ascii="Arial" w:cs="Arial" w:eastAsia="Arial" w:hAnsi="Arial"/>
                <w:sz w:val="18"/>
                <w:szCs w:val="18"/>
                <w:color w:val="auto"/>
              </w:rPr>
              <w:t>Long-term debt and capital leases, net of current maturities</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21,252</w:t>
            </w: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20,718</w:t>
            </w: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tcPr>
          <w:p>
            <w:pPr>
              <w:ind w:left="260"/>
              <w:spacing w:after="0" w:line="202" w:lineRule="exact"/>
              <w:rPr>
                <w:sz w:val="20"/>
                <w:szCs w:val="20"/>
                <w:color w:val="auto"/>
              </w:rPr>
            </w:pPr>
            <w:r>
              <w:rPr>
                <w:rFonts w:ascii="Arial" w:cs="Arial" w:eastAsia="Arial" w:hAnsi="Arial"/>
                <w:sz w:val="18"/>
                <w:szCs w:val="18"/>
                <w:color w:val="auto"/>
              </w:rPr>
              <w:t>Pension and postretirement benefits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7,458</w:t>
            </w: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7,800</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shd w:val="clear" w:color="auto" w:fill="CCEEFF"/>
          </w:tcPr>
          <w:p>
            <w:pPr>
              <w:ind w:left="260"/>
              <w:spacing w:after="0" w:line="202" w:lineRule="exact"/>
              <w:rPr>
                <w:sz w:val="20"/>
                <w:szCs w:val="20"/>
                <w:color w:val="auto"/>
              </w:rPr>
            </w:pPr>
            <w:r>
              <w:rPr>
                <w:rFonts w:ascii="Arial" w:cs="Arial" w:eastAsia="Arial" w:hAnsi="Arial"/>
                <w:sz w:val="18"/>
                <w:szCs w:val="18"/>
                <w:color w:val="auto"/>
              </w:rPr>
              <w:t>Other liabilities</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3,446</w:t>
            </w: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3,253</w:t>
            </w: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tcPr>
          <w:p>
            <w:pPr>
              <w:ind w:left="520"/>
              <w:spacing w:after="0"/>
              <w:rPr>
                <w:sz w:val="20"/>
                <w:szCs w:val="20"/>
                <w:color w:val="auto"/>
              </w:rPr>
            </w:pPr>
            <w:r>
              <w:rPr>
                <w:rFonts w:ascii="Arial" w:cs="Arial" w:eastAsia="Arial" w:hAnsi="Arial"/>
                <w:sz w:val="18"/>
                <w:szCs w:val="18"/>
                <w:color w:val="auto"/>
              </w:rPr>
              <w:t>Total noncurrent liabilities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32,156</w:t>
            </w: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31,771</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Commitments and contingencies</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tcPr>
          <w:p>
            <w:pPr>
              <w:spacing w:after="0" w:line="202" w:lineRule="exact"/>
              <w:rPr>
                <w:sz w:val="20"/>
                <w:szCs w:val="20"/>
                <w:color w:val="auto"/>
              </w:rPr>
            </w:pPr>
            <w:r>
              <w:rPr>
                <w:rFonts w:ascii="Arial" w:cs="Arial" w:eastAsia="Arial" w:hAnsi="Arial"/>
                <w:sz w:val="18"/>
                <w:szCs w:val="18"/>
                <w:b w:val="1"/>
                <w:bCs w:val="1"/>
                <w:color w:val="auto"/>
              </w:rPr>
              <w:t>Stockholder’s equity</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80" w:type="dxa"/>
            <w:vAlign w:val="bottom"/>
            <w:shd w:val="clear" w:color="auto" w:fill="CCEEFF"/>
          </w:tcPr>
          <w:p>
            <w:pPr>
              <w:ind w:left="260"/>
              <w:spacing w:after="0" w:line="201" w:lineRule="exact"/>
              <w:rPr>
                <w:sz w:val="20"/>
                <w:szCs w:val="20"/>
                <w:color w:val="auto"/>
              </w:rPr>
            </w:pPr>
            <w:r>
              <w:rPr>
                <w:rFonts w:ascii="Arial" w:cs="Arial" w:eastAsia="Arial" w:hAnsi="Arial"/>
                <w:sz w:val="18"/>
                <w:szCs w:val="18"/>
                <w:color w:val="auto"/>
              </w:rPr>
              <w:t>Common stock, $1.00 par value; 1,000 shares authorized, issued and</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shd w:val="clear" w:color="auto" w:fill="CCEEFF"/>
          </w:tcPr>
          <w:p>
            <w:pPr>
              <w:ind w:left="440"/>
              <w:spacing w:after="0" w:line="203" w:lineRule="exact"/>
              <w:rPr>
                <w:sz w:val="20"/>
                <w:szCs w:val="20"/>
                <w:color w:val="auto"/>
              </w:rPr>
            </w:pPr>
            <w:r>
              <w:rPr>
                <w:rFonts w:ascii="Arial" w:cs="Arial" w:eastAsia="Arial" w:hAnsi="Arial"/>
                <w:sz w:val="18"/>
                <w:szCs w:val="18"/>
                <w:color w:val="auto"/>
              </w:rPr>
              <w:t>outstanding</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3"/>
            <w:shd w:val="clear" w:color="auto" w:fill="CCEEFF"/>
          </w:tcPr>
          <w:p>
            <w:pPr>
              <w:jc w:val="right"/>
              <w:ind w:right="820"/>
              <w:spacing w:after="0" w:line="203"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gridSpan w:val="3"/>
            <w:shd w:val="clear" w:color="auto" w:fill="CCEEFF"/>
          </w:tcPr>
          <w:p>
            <w:pPr>
              <w:jc w:val="right"/>
              <w:ind w:right="70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tcPr>
          <w:p>
            <w:pPr>
              <w:ind w:left="260"/>
              <w:spacing w:after="0" w:line="202" w:lineRule="exact"/>
              <w:rPr>
                <w:sz w:val="20"/>
                <w:szCs w:val="20"/>
                <w:color w:val="auto"/>
              </w:rPr>
            </w:pPr>
            <w:r>
              <w:rPr>
                <w:rFonts w:ascii="Arial" w:cs="Arial" w:eastAsia="Arial" w:hAnsi="Arial"/>
                <w:sz w:val="18"/>
                <w:szCs w:val="18"/>
                <w:color w:val="auto"/>
              </w:rPr>
              <w:t>Additional paid-in capital</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16,655</w:t>
            </w: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16,624</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shd w:val="clear" w:color="auto" w:fill="CCEEFF"/>
          </w:tcPr>
          <w:p>
            <w:pPr>
              <w:ind w:left="260"/>
              <w:spacing w:after="0" w:line="202" w:lineRule="exact"/>
              <w:rPr>
                <w:sz w:val="20"/>
                <w:szCs w:val="20"/>
                <w:color w:val="auto"/>
              </w:rPr>
            </w:pPr>
            <w:r>
              <w:rPr>
                <w:rFonts w:ascii="Arial" w:cs="Arial" w:eastAsia="Arial" w:hAnsi="Arial"/>
                <w:sz w:val="18"/>
                <w:szCs w:val="18"/>
                <w:color w:val="auto"/>
              </w:rPr>
              <w:t>Accumulated other comprehensive loss</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(5,211)</w:t>
            </w:r>
          </w:p>
        </w:tc>
        <w:tc>
          <w:tcPr>
            <w:tcW w:w="7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(5,182)</w:t>
            </w: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tcPr>
          <w:p>
            <w:pPr>
              <w:ind w:left="260"/>
              <w:spacing w:after="0" w:line="202" w:lineRule="exact"/>
              <w:rPr>
                <w:sz w:val="20"/>
                <w:szCs w:val="20"/>
                <w:color w:val="auto"/>
              </w:rPr>
            </w:pPr>
            <w:r>
              <w:rPr>
                <w:rFonts w:ascii="Arial" w:cs="Arial" w:eastAsia="Arial" w:hAnsi="Arial"/>
                <w:sz w:val="18"/>
                <w:szCs w:val="18"/>
                <w:color w:val="auto"/>
              </w:rPr>
              <w:t>Retained earnings</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2,297</w:t>
            </w: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1,207</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shd w:val="clear" w:color="auto" w:fill="CCEEFF"/>
          </w:tcPr>
          <w:p>
            <w:pPr>
              <w:ind w:left="520"/>
              <w:spacing w:after="0" w:line="202" w:lineRule="exact"/>
              <w:rPr>
                <w:sz w:val="20"/>
                <w:szCs w:val="20"/>
                <w:color w:val="auto"/>
              </w:rPr>
            </w:pPr>
            <w:r>
              <w:rPr>
                <w:rFonts w:ascii="Arial" w:cs="Arial" w:eastAsia="Arial" w:hAnsi="Arial"/>
                <w:sz w:val="18"/>
                <w:szCs w:val="18"/>
                <w:color w:val="auto"/>
              </w:rPr>
              <w:t>Total stockholder’s equity</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13,741</w:t>
            </w: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12,649</w:t>
            </w: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tcPr>
          <w:p>
            <w:pPr>
              <w:ind w:left="880"/>
              <w:spacing w:after="0"/>
              <w:rPr>
                <w:sz w:val="20"/>
                <w:szCs w:val="20"/>
                <w:color w:val="auto"/>
              </w:rPr>
            </w:pPr>
            <w:r>
              <w:rPr>
                <w:rFonts w:ascii="Arial" w:cs="Arial" w:eastAsia="Arial" w:hAnsi="Arial"/>
                <w:sz w:val="18"/>
                <w:szCs w:val="18"/>
                <w:b w:val="1"/>
                <w:bCs w:val="1"/>
                <w:color w:val="auto"/>
              </w:rPr>
              <w:t>Total liabilities and stockholder’s equity</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61,327</w:t>
            </w: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58,092</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65"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AMERICAN AIRLINES,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jc w:val="center"/>
        <w:spacing w:after="0"/>
        <w:rPr>
          <w:sz w:val="20"/>
          <w:szCs w:val="20"/>
          <w:color w:val="auto"/>
        </w:rPr>
      </w:pPr>
      <w:r>
        <w:rPr>
          <w:rFonts w:ascii="Arial" w:cs="Arial" w:eastAsia="Arial" w:hAnsi="Arial"/>
          <w:sz w:val="18"/>
          <w:szCs w:val="18"/>
          <w:b w:val="1"/>
          <w:bCs w:val="1"/>
          <w:color w:val="auto"/>
        </w:rPr>
        <w:t>(In millions)(Unaudited)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9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18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152"/>
              <w:spacing w:after="0" w:line="155"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top w:val="single" w:sz="8" w:color="auto"/>
              <w:bottom w:val="single" w:sz="8" w:color="CCEEFF"/>
            </w:tcBorders>
          </w:tcPr>
          <w:p>
            <w:pPr>
              <w:spacing w:after="0"/>
              <w:rPr>
                <w:sz w:val="13"/>
                <w:szCs w:val="13"/>
                <w:color w:val="auto"/>
              </w:rPr>
            </w:pPr>
          </w:p>
        </w:tc>
        <w:tc>
          <w:tcPr>
            <w:tcW w:w="200" w:type="dxa"/>
            <w:vAlign w:val="bottom"/>
            <w:tcBorders>
              <w:top w:val="single" w:sz="8" w:color="auto"/>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71"/>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1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cash provided by operating activities</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2,787</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1,449</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80" w:type="dxa"/>
            <w:vAlign w:val="bottom"/>
          </w:tcPr>
          <w:p>
            <w:pPr>
              <w:spacing w:after="0" w:line="202" w:lineRule="exact"/>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80" w:type="dxa"/>
            <w:vAlign w:val="bottom"/>
            <w:shd w:val="clear" w:color="auto" w:fill="CCEEFF"/>
          </w:tcPr>
          <w:p>
            <w:pPr>
              <w:ind w:left="260"/>
              <w:spacing w:after="0" w:line="202" w:lineRule="exact"/>
              <w:rPr>
                <w:sz w:val="20"/>
                <w:szCs w:val="20"/>
                <w:color w:val="auto"/>
              </w:rPr>
            </w:pPr>
            <w:r>
              <w:rPr>
                <w:rFonts w:ascii="Arial" w:cs="Arial" w:eastAsia="Arial" w:hAnsi="Arial"/>
                <w:sz w:val="18"/>
                <w:szCs w:val="18"/>
                <w:color w:val="auto"/>
              </w:rPr>
              <w:t>Capital expenditures and aircraft purchase deposits</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(3,163)</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(3,027)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80" w:type="dxa"/>
            <w:vAlign w:val="bottom"/>
          </w:tcPr>
          <w:p>
            <w:pPr>
              <w:ind w:left="260"/>
              <w:spacing w:after="0" w:line="202" w:lineRule="exact"/>
              <w:rPr>
                <w:sz w:val="20"/>
                <w:szCs w:val="20"/>
                <w:color w:val="auto"/>
              </w:rPr>
            </w:pPr>
            <w:r>
              <w:rPr>
                <w:rFonts w:ascii="Arial" w:cs="Arial" w:eastAsia="Arial" w:hAnsi="Arial"/>
                <w:sz w:val="18"/>
                <w:szCs w:val="18"/>
                <w:color w:val="auto"/>
              </w:rPr>
              <w:t>Purchases of short-term investments</w:t>
            </w:r>
          </w:p>
        </w:tc>
        <w:tc>
          <w:tcPr>
            <w:tcW w:w="100" w:type="dxa"/>
            <w:vAlign w:val="bottom"/>
          </w:tcPr>
          <w:p>
            <w:pPr>
              <w:spacing w:after="0"/>
              <w:rPr>
                <w:sz w:val="17"/>
                <w:szCs w:val="17"/>
                <w:color w:val="auto"/>
              </w:rPr>
            </w:pPr>
          </w:p>
        </w:tc>
        <w:tc>
          <w:tcPr>
            <w:tcW w:w="9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(3,829)</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(3,605)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80" w:type="dxa"/>
            <w:vAlign w:val="bottom"/>
            <w:shd w:val="clear" w:color="auto" w:fill="CCEEFF"/>
          </w:tcPr>
          <w:p>
            <w:pPr>
              <w:ind w:left="260"/>
              <w:spacing w:after="0" w:line="202" w:lineRule="exact"/>
              <w:rPr>
                <w:sz w:val="20"/>
                <w:szCs w:val="20"/>
                <w:color w:val="auto"/>
              </w:rPr>
            </w:pPr>
            <w:r>
              <w:rPr>
                <w:rFonts w:ascii="Arial" w:cs="Arial" w:eastAsia="Arial" w:hAnsi="Arial"/>
                <w:sz w:val="18"/>
                <w:szCs w:val="18"/>
                <w:color w:val="auto"/>
              </w:rPr>
              <w:t>Sales of short-term investments</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3,373</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2,810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80" w:type="dxa"/>
            <w:vAlign w:val="bottom"/>
          </w:tcPr>
          <w:p>
            <w:pPr>
              <w:ind w:left="260"/>
              <w:spacing w:after="0" w:line="202" w:lineRule="exact"/>
              <w:rPr>
                <w:sz w:val="20"/>
                <w:szCs w:val="20"/>
                <w:color w:val="auto"/>
              </w:rPr>
            </w:pPr>
            <w:r>
              <w:rPr>
                <w:rFonts w:ascii="Arial" w:cs="Arial" w:eastAsia="Arial" w:hAnsi="Arial"/>
                <w:sz w:val="18"/>
                <w:szCs w:val="18"/>
                <w:color w:val="auto"/>
              </w:rPr>
              <w:t>Decrease in restricted cash and short-term investments</w:t>
            </w:r>
          </w:p>
        </w:tc>
        <w:tc>
          <w:tcPr>
            <w:tcW w:w="100" w:type="dxa"/>
            <w:vAlign w:val="bottom"/>
          </w:tcPr>
          <w:p>
            <w:pPr>
              <w:spacing w:after="0"/>
              <w:rPr>
                <w:sz w:val="17"/>
                <w:szCs w:val="17"/>
                <w:color w:val="auto"/>
              </w:rPr>
            </w:pPr>
          </w:p>
        </w:tc>
        <w:tc>
          <w:tcPr>
            <w:tcW w:w="9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84</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80" w:type="dxa"/>
            <w:vAlign w:val="bottom"/>
            <w:shd w:val="clear" w:color="auto" w:fill="CCEEFF"/>
          </w:tcPr>
          <w:p>
            <w:pPr>
              <w:ind w:left="260"/>
              <w:spacing w:after="0" w:line="202" w:lineRule="exact"/>
              <w:rPr>
                <w:sz w:val="20"/>
                <w:szCs w:val="20"/>
                <w:color w:val="auto"/>
              </w:rPr>
            </w:pPr>
            <w:r>
              <w:rPr>
                <w:rFonts w:ascii="Arial" w:cs="Arial" w:eastAsia="Arial" w:hAnsi="Arial"/>
                <w:sz w:val="18"/>
                <w:szCs w:val="18"/>
                <w:color w:val="auto"/>
              </w:rPr>
              <w:t>Proceeds from sale of property and equipment and sale-leaseback transactions</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312</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180" w:type="dxa"/>
            <w:vAlign w:val="bottom"/>
          </w:tcPr>
          <w:p>
            <w:pPr>
              <w:ind w:left="52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(3,223)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(3,737)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80" w:type="dxa"/>
            <w:vAlign w:val="bottom"/>
          </w:tcPr>
          <w:p>
            <w:pPr>
              <w:ind w:left="260"/>
              <w:spacing w:after="0" w:line="202" w:lineRule="exact"/>
              <w:rPr>
                <w:sz w:val="20"/>
                <w:szCs w:val="20"/>
                <w:color w:val="auto"/>
              </w:rPr>
            </w:pPr>
            <w:r>
              <w:rPr>
                <w:rFonts w:ascii="Arial" w:cs="Arial" w:eastAsia="Arial" w:hAnsi="Arial"/>
                <w:sz w:val="18"/>
                <w:szCs w:val="18"/>
                <w:color w:val="auto"/>
              </w:rPr>
              <w:t>Proceeds from issuance of long-term debt</w:t>
            </w:r>
          </w:p>
        </w:tc>
        <w:tc>
          <w:tcPr>
            <w:tcW w:w="100" w:type="dxa"/>
            <w:vAlign w:val="bottom"/>
          </w:tcPr>
          <w:p>
            <w:pPr>
              <w:spacing w:after="0"/>
              <w:rPr>
                <w:sz w:val="17"/>
                <w:szCs w:val="17"/>
                <w:color w:val="auto"/>
              </w:rPr>
            </w:pPr>
          </w:p>
        </w:tc>
        <w:tc>
          <w:tcPr>
            <w:tcW w:w="9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1,625</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4,522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80" w:type="dxa"/>
            <w:vAlign w:val="bottom"/>
            <w:shd w:val="clear" w:color="auto" w:fill="CCEEFF"/>
          </w:tcPr>
          <w:p>
            <w:pPr>
              <w:ind w:left="260"/>
              <w:spacing w:after="0" w:line="202" w:lineRule="exact"/>
              <w:rPr>
                <w:sz w:val="20"/>
                <w:szCs w:val="20"/>
                <w:color w:val="auto"/>
              </w:rPr>
            </w:pPr>
            <w:r>
              <w:rPr>
                <w:rFonts w:ascii="Arial" w:cs="Arial" w:eastAsia="Arial" w:hAnsi="Arial"/>
                <w:sz w:val="18"/>
                <w:szCs w:val="18"/>
                <w:color w:val="auto"/>
              </w:rPr>
              <w:t>Payments on long-term debt and capital leases</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(1,101)</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(2,163)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80" w:type="dxa"/>
            <w:vAlign w:val="bottom"/>
          </w:tcPr>
          <w:p>
            <w:pPr>
              <w:ind w:left="260"/>
              <w:spacing w:after="0" w:line="202" w:lineRule="exact"/>
              <w:rPr>
                <w:sz w:val="20"/>
                <w:szCs w:val="20"/>
                <w:color w:val="auto"/>
              </w:rPr>
            </w:pPr>
            <w:r>
              <w:rPr>
                <w:rFonts w:ascii="Arial" w:cs="Arial" w:eastAsia="Arial" w:hAnsi="Arial"/>
                <w:sz w:val="18"/>
                <w:szCs w:val="18"/>
                <w:color w:val="auto"/>
              </w:rPr>
              <w:t>Deferred financing costs</w:t>
            </w:r>
          </w:p>
        </w:tc>
        <w:tc>
          <w:tcPr>
            <w:tcW w:w="100" w:type="dxa"/>
            <w:vAlign w:val="bottom"/>
          </w:tcPr>
          <w:p>
            <w:pPr>
              <w:spacing w:after="0"/>
              <w:rPr>
                <w:sz w:val="17"/>
                <w:szCs w:val="17"/>
                <w:color w:val="auto"/>
              </w:rPr>
            </w:pPr>
          </w:p>
        </w:tc>
        <w:tc>
          <w:tcPr>
            <w:tcW w:w="9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(39)</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80" w:type="dxa"/>
            <w:vAlign w:val="bottom"/>
            <w:shd w:val="clear" w:color="auto" w:fill="CCEEFF"/>
          </w:tcPr>
          <w:p>
            <w:pPr>
              <w:ind w:left="260"/>
              <w:spacing w:after="0" w:line="202" w:lineRule="exact"/>
              <w:rPr>
                <w:sz w:val="20"/>
                <w:szCs w:val="20"/>
                <w:color w:val="auto"/>
              </w:rPr>
            </w:pPr>
            <w:r>
              <w:rPr>
                <w:rFonts w:ascii="Arial" w:cs="Arial" w:eastAsia="Arial" w:hAnsi="Arial"/>
                <w:sz w:val="18"/>
                <w:szCs w:val="18"/>
                <w:color w:val="auto"/>
              </w:rPr>
              <w:t>Other financing activities</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180" w:type="dxa"/>
            <w:vAlign w:val="bottom"/>
          </w:tcPr>
          <w:p>
            <w:pPr>
              <w:ind w:left="52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494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2,349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9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increase in cash</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58</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80" w:type="dxa"/>
            <w:vAlign w:val="bottom"/>
          </w:tcPr>
          <w:p>
            <w:pPr>
              <w:spacing w:after="0" w:line="202" w:lineRule="exact"/>
              <w:rPr>
                <w:sz w:val="20"/>
                <w:szCs w:val="20"/>
                <w:color w:val="auto"/>
              </w:rPr>
            </w:pPr>
            <w:r>
              <w:rPr>
                <w:rFonts w:ascii="Arial" w:cs="Arial" w:eastAsia="Arial" w:hAnsi="Arial"/>
                <w:sz w:val="18"/>
                <w:szCs w:val="18"/>
                <w:color w:val="auto"/>
              </w:rPr>
              <w:t>Cash at beginning of period</w:t>
            </w:r>
          </w:p>
        </w:tc>
        <w:tc>
          <w:tcPr>
            <w:tcW w:w="100" w:type="dxa"/>
            <w:vAlign w:val="bottom"/>
          </w:tcPr>
          <w:p>
            <w:pPr>
              <w:spacing w:after="0"/>
              <w:rPr>
                <w:sz w:val="17"/>
                <w:szCs w:val="17"/>
                <w:color w:val="auto"/>
              </w:rPr>
            </w:pPr>
          </w:p>
        </w:tc>
        <w:tc>
          <w:tcPr>
            <w:tcW w:w="9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310</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364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9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at end of period</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368</w:t>
            </w: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0" w:type="dxa"/>
            <w:vAlign w:val="bottom"/>
            <w:gridSpan w:val="2"/>
            <w:vMerge w:val="restart"/>
          </w:tcPr>
          <w:p>
            <w:pPr>
              <w:spacing w:after="0"/>
              <w:rPr>
                <w:sz w:val="20"/>
                <w:szCs w:val="20"/>
                <w:color w:val="auto"/>
              </w:rPr>
            </w:pPr>
            <w:r>
              <w:rPr>
                <w:rFonts w:ascii="Arial" w:cs="Arial" w:eastAsia="Arial" w:hAnsi="Arial"/>
                <w:sz w:val="18"/>
                <w:szCs w:val="18"/>
                <w:color w:val="auto"/>
              </w:rPr>
              <w:t>Non-cash investing and financing activities: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2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80" w:type="dxa"/>
            <w:vAlign w:val="bottom"/>
            <w:shd w:val="clear" w:color="auto" w:fill="CCEEFF"/>
          </w:tcPr>
          <w:p>
            <w:pPr>
              <w:ind w:left="260"/>
              <w:spacing w:after="0" w:line="202" w:lineRule="exact"/>
              <w:rPr>
                <w:sz w:val="20"/>
                <w:szCs w:val="20"/>
                <w:color w:val="auto"/>
              </w:rPr>
            </w:pPr>
            <w:r>
              <w:rPr>
                <w:rFonts w:ascii="Arial" w:cs="Arial" w:eastAsia="Arial" w:hAnsi="Arial"/>
                <w:sz w:val="18"/>
                <w:szCs w:val="18"/>
                <w:color w:val="auto"/>
              </w:rPr>
              <w:t>Settlement of bankruptcy obligations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80" w:type="dxa"/>
            <w:vAlign w:val="bottom"/>
          </w:tcPr>
          <w:p>
            <w:pPr>
              <w:spacing w:after="0" w:line="202" w:lineRule="exact"/>
              <w:rPr>
                <w:sz w:val="20"/>
                <w:szCs w:val="20"/>
                <w:color w:val="auto"/>
              </w:rPr>
            </w:pPr>
            <w:r>
              <w:rPr>
                <w:rFonts w:ascii="Arial" w:cs="Arial" w:eastAsia="Arial" w:hAnsi="Arial"/>
                <w:sz w:val="18"/>
                <w:szCs w:val="18"/>
                <w:color w:val="auto"/>
              </w:rPr>
              <w:t>Supplemental information:</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80" w:type="dxa"/>
            <w:vAlign w:val="bottom"/>
            <w:shd w:val="clear" w:color="auto" w:fill="CCEEFF"/>
          </w:tcPr>
          <w:p>
            <w:pPr>
              <w:ind w:left="260"/>
              <w:spacing w:after="0" w:line="202" w:lineRule="exact"/>
              <w:rPr>
                <w:sz w:val="20"/>
                <w:szCs w:val="20"/>
                <w:color w:val="auto"/>
              </w:rPr>
            </w:pPr>
            <w:r>
              <w:rPr>
                <w:rFonts w:ascii="Arial" w:cs="Arial" w:eastAsia="Arial" w:hAnsi="Arial"/>
                <w:sz w:val="18"/>
                <w:szCs w:val="18"/>
                <w:color w:val="auto"/>
              </w:rPr>
              <w:t>Interest paid, net</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468</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431</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80" w:type="dxa"/>
            <w:vAlign w:val="bottom"/>
          </w:tcPr>
          <w:p>
            <w:pPr>
              <w:ind w:left="260"/>
              <w:spacing w:after="0"/>
              <w:rPr>
                <w:sz w:val="20"/>
                <w:szCs w:val="20"/>
                <w:color w:val="auto"/>
              </w:rPr>
            </w:pPr>
            <w:r>
              <w:rPr>
                <w:rFonts w:ascii="Arial" w:cs="Arial" w:eastAsia="Arial" w:hAnsi="Arial"/>
                <w:sz w:val="18"/>
                <w:szCs w:val="18"/>
                <w:color w:val="auto"/>
              </w:rPr>
              <w:t>Income taxes paid</w:t>
            </w: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65"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 TO CONDENSED CONSOLIDATED FINANCIAL STATEMENTS OF AMERICAN AIRLINES,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26" w:lineRule="exact"/>
        <w:rPr>
          <w:sz w:val="20"/>
          <w:szCs w:val="20"/>
          <w:color w:val="auto"/>
        </w:rPr>
      </w:pPr>
    </w:p>
    <w:p>
      <w:pPr>
        <w:jc w:val="both"/>
        <w:ind w:firstLine="228"/>
        <w:spacing w:after="0" w:line="239" w:lineRule="auto"/>
        <w:rPr>
          <w:sz w:val="20"/>
          <w:szCs w:val="20"/>
          <w:color w:val="auto"/>
        </w:rPr>
      </w:pPr>
      <w:r>
        <w:rPr>
          <w:rFonts w:ascii="Arial" w:cs="Arial" w:eastAsia="Arial" w:hAnsi="Arial"/>
          <w:sz w:val="18"/>
          <w:szCs w:val="18"/>
          <w:color w:val="auto"/>
        </w:rPr>
        <w:t>The accompanying unaudited condensed consolidated financial statements of American Airlines, Inc. (American) should be read in conjunction with the consolidated financial statements contained in American’s Annual Report on Form 10-K for the year ended December 31, 2016. American is the principal wholly-owned subsidiary of American Airlines Group Inc. (AAG). All significant intercompany transactions have been eliminated.</w:t>
      </w:r>
    </w:p>
    <w:p>
      <w:pPr>
        <w:spacing w:after="0" w:line="202" w:lineRule="exact"/>
        <w:rPr>
          <w:sz w:val="20"/>
          <w:szCs w:val="20"/>
          <w:color w:val="auto"/>
        </w:rPr>
      </w:pPr>
    </w:p>
    <w:p>
      <w:pPr>
        <w:jc w:val="both"/>
        <w:ind w:firstLine="228"/>
        <w:spacing w:after="0" w:line="238" w:lineRule="auto"/>
        <w:rPr>
          <w:sz w:val="20"/>
          <w:szCs w:val="20"/>
          <w:color w:val="auto"/>
        </w:rPr>
      </w:pPr>
      <w:r>
        <w:rPr>
          <w:rFonts w:ascii="Arial" w:cs="Arial" w:eastAsia="Arial" w:hAnsi="Arial"/>
          <w:sz w:val="18"/>
          <w:szCs w:val="18"/>
          <w:color w:val="auto"/>
        </w:rPr>
        <w:t>On December 9, 2013, a subsidiary of AMR Corporation (AMR) merged with and into US Airways Group, Inc. (US Airways Group), a Delaware corporation, which survived as a wholly-owned subsidiary of AAG, and AAG emerged from Chapter 11 (the Merger). Upon closing of the Merger and emergence from Chapter 11, AMR changed its name to American Airlines Group Inc. On December 30, 2015, in order to simplify AAG’s internal corporate structure, US Airways, Inc. (US Airways), a wholly-owned subsidiary of US Airways Group, merged with and into American, with American as the surviving corporation.</w:t>
      </w:r>
    </w:p>
    <w:p>
      <w:pPr>
        <w:spacing w:after="0" w:line="203" w:lineRule="exact"/>
        <w:rPr>
          <w:sz w:val="20"/>
          <w:szCs w:val="20"/>
          <w:color w:val="auto"/>
        </w:rPr>
      </w:pPr>
    </w:p>
    <w:p>
      <w:pPr>
        <w:jc w:val="both"/>
        <w:ind w:firstLine="228"/>
        <w:spacing w:after="0" w:line="236" w:lineRule="auto"/>
        <w:rPr>
          <w:sz w:val="20"/>
          <w:szCs w:val="20"/>
          <w:color w:val="auto"/>
        </w:rPr>
      </w:pPr>
      <w:r>
        <w:rPr>
          <w:rFonts w:ascii="Arial" w:cs="Arial" w:eastAsia="Arial" w:hAnsi="Arial"/>
          <w:sz w:val="18"/>
          <w:szCs w:val="18"/>
          <w:color w:val="auto"/>
        </w:rPr>
        <w:t>Management believes that all adjustments necessary for the fair presentation of results, consisting of normally recurring items, have been included in the unaudited condensed consolidated financial statements for the interim periods presented. The preparation of financial statements in accordance with accounting principles generally accepted in the United States (GAAP) requires management to make certain estimates and assumptions that affect the reported amounts of assets and liabilities, revenues and expenses, and the disclosure of contingent assets and liabilities at the date of the financial statements. Actual results could differ from those estimates. The most significant areas of judgment relate to passenger revenue recognition, impairment of goodwill, impairment of long-lived and intangible assets, the loyalty program, valuation allowance for deferred tax assets, as well as pension and retiree medical and other postretirement benefits. Certain prior period amounts have been reclassified to conform to the current year presentation.</w:t>
      </w:r>
    </w:p>
    <w:p>
      <w:pPr>
        <w:spacing w:after="0" w:line="2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08"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Revenue</w:t>
      </w:r>
    </w:p>
    <w:p>
      <w:pPr>
        <w:spacing w:after="0" w:line="122" w:lineRule="exact"/>
        <w:rPr>
          <w:sz w:val="20"/>
          <w:szCs w:val="20"/>
          <w:color w:val="auto"/>
        </w:rPr>
      </w:pPr>
    </w:p>
    <w:p>
      <w:pPr>
        <w:jc w:val="both"/>
        <w:ind w:firstLine="228"/>
        <w:spacing w:after="0" w:line="236" w:lineRule="auto"/>
        <w:rPr>
          <w:sz w:val="20"/>
          <w:szCs w:val="20"/>
          <w:color w:val="auto"/>
        </w:rPr>
      </w:pPr>
      <w:r>
        <w:rPr>
          <w:rFonts w:ascii="Arial" w:cs="Arial" w:eastAsia="Arial" w:hAnsi="Arial"/>
          <w:sz w:val="18"/>
          <w:szCs w:val="18"/>
          <w:color w:val="auto"/>
        </w:rPr>
        <w:t>In May 2014, the Financial Accounting Standards Board (FASB) issued Accounting Standards Update (ASU) 2014-09, “Revenue from Contracts with Customers (Topic 606).” ASU 2014-09 completes the joint effort by the FASB and International Accounting Standards Board (IASB) to improve financial reporting by creating common revenue recognition guidance for GAAP and International Financial Reporting Standards (IFRS). Subsequently, the FASB has issued several additional ASUs to clarify the implementation. The new revenue standard applies to all companies that enter into contracts with customers to transfer goods or services and is effective for public entities for interim and annual reporting periods beginning after December 15, 2017. American will adopt the new revenue standard effective January 1, 2018. Entities have the choice to apply the new revenue standard either retrospectively to each reporting period presented or by recognizing the cumulative effect of applying the new revenue standard at the date of initial application and not adjusting comparative information. American currently expects to adopt the new revenue standard using the full retrospective method.</w:t>
      </w:r>
    </w:p>
    <w:p>
      <w:pPr>
        <w:spacing w:after="0" w:line="207" w:lineRule="exact"/>
        <w:rPr>
          <w:sz w:val="20"/>
          <w:szCs w:val="20"/>
          <w:color w:val="auto"/>
        </w:rPr>
      </w:pPr>
    </w:p>
    <w:p>
      <w:pPr>
        <w:jc w:val="both"/>
        <w:ind w:firstLine="228"/>
        <w:spacing w:after="0" w:line="236" w:lineRule="auto"/>
        <w:rPr>
          <w:sz w:val="20"/>
          <w:szCs w:val="20"/>
          <w:color w:val="auto"/>
        </w:rPr>
      </w:pPr>
      <w:r>
        <w:rPr>
          <w:rFonts w:ascii="Arial" w:cs="Arial" w:eastAsia="Arial" w:hAnsi="Arial"/>
          <w:sz w:val="18"/>
          <w:szCs w:val="18"/>
          <w:color w:val="auto"/>
        </w:rPr>
        <w:t>American is still in the process of evaluating how the adoption of the new revenue standard will impact its condensed consolidated financial statements. American currently expects that the new revenue standard will materially impact its liability for outstanding mileage credits earned by AAdvantage loyalty program members when flying on American. American currently uses the incremental cost method to account for this portion of its loyalty program liability, which values these mileage credits based on the estimated incremental cost of carrying one additional passenger. The new revenue standard will require American to change its policy and apply a relative selling price approach whereby a portion of each passenger ticket sale attributable to mileage credits earned will be deferred and recognized in passenger revenue upon future mileage redemption. The carrying value of the earned mileage credits recognized in loyalty program liability is expected to be materially greater under the relative selling price approach than the value attributed to these mileage credits under the incremental cost method. The new revenue standard will also require American to reclassify certain ancillary fees to passenger revenue, which are currently included within other operating revenue.</w:t>
      </w:r>
    </w:p>
    <w:p>
      <w:pPr>
        <w:spacing w:after="0" w:line="297"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Leases</w:t>
      </w:r>
    </w:p>
    <w:p>
      <w:pPr>
        <w:spacing w:after="0" w:line="122" w:lineRule="exact"/>
        <w:rPr>
          <w:sz w:val="20"/>
          <w:szCs w:val="20"/>
          <w:color w:val="auto"/>
        </w:rPr>
      </w:pPr>
    </w:p>
    <w:p>
      <w:pPr>
        <w:jc w:val="both"/>
        <w:ind w:firstLine="228"/>
        <w:spacing w:after="0" w:line="237" w:lineRule="auto"/>
        <w:rPr>
          <w:sz w:val="20"/>
          <w:szCs w:val="20"/>
          <w:color w:val="auto"/>
        </w:rPr>
      </w:pPr>
      <w:r>
        <w:rPr>
          <w:rFonts w:ascii="Arial" w:cs="Arial" w:eastAsia="Arial" w:hAnsi="Arial"/>
          <w:sz w:val="18"/>
          <w:szCs w:val="18"/>
          <w:color w:val="auto"/>
        </w:rPr>
        <w:t>In February 2016, the FASB issued ASU 2016-02, “Leases (Topic 842).” ASU 2016-02 requires lessees to recognize a lease liability and a right-of-use asset on the balance sheet and aligns many of the underlying principles of the new lessor model with those in Accounting Standards Codification Topic 606, Revenue from Contracts with Customers. ASU 2016-02 is effective for fiscal years beginning after December 15, 2018, including interim periods within those fiscal years. Early adoption is permitted. Entities are required to adopt the new lease standard using a modified retrospective approach for all leases existing at or commencing after the date of initial application with an option to use certain practical expedients.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65"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NOTES TO CONDENSED CONSOLIDATED FINANCIAL STATEMENTS OF AMERICAN AIRLINES,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American is currently evaluating how the adoption of the new lease standard will impact its condensed consolidated financial statements. Interpretations are on-going and could have a material impact on American’s implementation. Currently, American expects that the adoption of the new lease standard will have a material impact on its condensed consolidated balance sheet due to the recognition of right-of-use assets and lease liabilities principally for certain leases currently accounted for as operating leases.</w:t>
      </w:r>
    </w:p>
    <w:p>
      <w:pPr>
        <w:spacing w:after="0" w:line="292"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Statement of Cash Flows</w:t>
      </w:r>
    </w:p>
    <w:p>
      <w:pPr>
        <w:spacing w:after="0" w:line="122" w:lineRule="exact"/>
        <w:rPr>
          <w:sz w:val="20"/>
          <w:szCs w:val="20"/>
          <w:color w:val="auto"/>
        </w:rPr>
      </w:pPr>
    </w:p>
    <w:p>
      <w:pPr>
        <w:jc w:val="both"/>
        <w:ind w:firstLine="228"/>
        <w:spacing w:after="0" w:line="237" w:lineRule="auto"/>
        <w:rPr>
          <w:sz w:val="20"/>
          <w:szCs w:val="20"/>
          <w:color w:val="auto"/>
        </w:rPr>
      </w:pPr>
      <w:r>
        <w:rPr>
          <w:rFonts w:ascii="Arial" w:cs="Arial" w:eastAsia="Arial" w:hAnsi="Arial"/>
          <w:sz w:val="18"/>
          <w:szCs w:val="18"/>
          <w:color w:val="auto"/>
        </w:rPr>
        <w:t>In November 2016, the FASB issued ASU 2016-18, “Statement of Cash Flows (Topic 230): Restricted Cash.” ASU 2016-18 requires that the change in total cash, cash at beginning of period and cash at end of period on the statement of cash flows include restricted cash and restricted cash equivalents. ASU 2016-18 also requires companies who report cash and restricted cash separately on the balance sheet to reconcile those amounts to the statement of cash flows. This standard is to be applied retrospectively to each period presented and is effective for public entities for fiscal years beginning after December 15, 2017, and interim periods within those fiscal years. Early adoption is permitted. This standard is not expected to have a material impact on American’s condensed consolidated financial statements.</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Retirement Benefits</w:t>
      </w:r>
    </w:p>
    <w:p>
      <w:pPr>
        <w:spacing w:after="0" w:line="122" w:lineRule="exact"/>
        <w:rPr>
          <w:sz w:val="20"/>
          <w:szCs w:val="20"/>
          <w:color w:val="auto"/>
        </w:rPr>
      </w:pPr>
    </w:p>
    <w:p>
      <w:pPr>
        <w:jc w:val="both"/>
        <w:ind w:firstLine="228"/>
        <w:spacing w:after="0" w:line="236" w:lineRule="auto"/>
        <w:rPr>
          <w:sz w:val="20"/>
          <w:szCs w:val="20"/>
          <w:color w:val="auto"/>
        </w:rPr>
      </w:pPr>
      <w:r>
        <w:rPr>
          <w:rFonts w:ascii="Arial" w:cs="Arial" w:eastAsia="Arial" w:hAnsi="Arial"/>
          <w:sz w:val="18"/>
          <w:szCs w:val="18"/>
          <w:color w:val="auto"/>
        </w:rPr>
        <w:t>In March 2017, the FASB issued ASU 2017-07, “Compensation – Retirement Benefits (Topic 715): Improving the Presentation of Net Periodic Pension Cost and Net Periodic Postretirement Benefit Cost.” ASU 2017-07 requires an entity to present the service cost component of net benefit cost in the income statement line items where it reports compensation cost. Entities will present all other components of net benefit cost outside of operating income, if this subtotal is presented. This standard is to be applied retrospectively to each period presented and is effective for public entities for fiscal years beginning after December 15, 2017, and interim periods within those fiscal years. American will adopt this standard on January 1, 2018. The new standard will require all components of American’s net periodic benefit cost (income), with the exception of service cost, currently reported within operating expenses as salaries, wages and benefits, to be reclassified and reported within nonoperating income (expense). The adoption of this new standard will have no impact on pre-tax income or net income reported. See Note 6 for American’s current components of net periodic benefit cost (income).</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Special Items, Net</w:t>
      </w:r>
    </w:p>
    <w:p>
      <w:pPr>
        <w:spacing w:after="0" w:line="12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Special items, net on the condensed consolidated statements of operations consisted of the following (in millions):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6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0" w:type="dxa"/>
            <w:vAlign w:val="bottom"/>
            <w:gridSpan w:val="10"/>
          </w:tcPr>
          <w:p>
            <w:pPr>
              <w:ind w:left="40"/>
              <w:spacing w:after="0"/>
              <w:rPr>
                <w:sz w:val="20"/>
                <w:szCs w:val="20"/>
                <w:color w:val="auto"/>
              </w:rPr>
            </w:pPr>
            <w:r>
              <w:rPr>
                <w:rFonts w:ascii="Arial" w:cs="Arial" w:eastAsia="Arial" w:hAnsi="Arial"/>
                <w:sz w:val="14"/>
                <w:szCs w:val="14"/>
                <w:b w:val="1"/>
                <w:bCs w:val="1"/>
                <w:color w:val="auto"/>
              </w:rPr>
              <w:t>Three Months Ended June 30,</w:t>
            </w:r>
          </w:p>
        </w:tc>
        <w:tc>
          <w:tcPr>
            <w:tcW w:w="2280" w:type="dxa"/>
            <w:vAlign w:val="bottom"/>
            <w:gridSpan w:val="7"/>
          </w:tcPr>
          <w:p>
            <w:pPr>
              <w:ind w:left="8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100" w:type="dxa"/>
            <w:vAlign w:val="bottom"/>
            <w:tcBorders>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ind w:right="32"/>
              <w:spacing w:after="0" w:line="155"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52"/>
              <w:spacing w:after="0" w:line="155"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top w:val="single" w:sz="8" w:color="auto"/>
              <w:bottom w:val="single" w:sz="8" w:color="auto"/>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14"/>
              <w:spacing w:after="0" w:line="155"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CCEEFF"/>
            </w:tcBorders>
          </w:tcPr>
          <w:p>
            <w:pPr>
              <w:spacing w:after="0"/>
              <w:rPr>
                <w:sz w:val="13"/>
                <w:szCs w:val="13"/>
                <w:color w:val="auto"/>
              </w:rPr>
            </w:pPr>
          </w:p>
        </w:tc>
        <w:tc>
          <w:tcPr>
            <w:tcW w:w="840" w:type="dxa"/>
            <w:vAlign w:val="bottom"/>
            <w:tcBorders>
              <w:top w:val="single" w:sz="8" w:color="auto"/>
              <w:bottom w:val="single" w:sz="8" w:color="auto"/>
            </w:tcBorders>
            <w:gridSpan w:val="2"/>
          </w:tcPr>
          <w:p>
            <w:pPr>
              <w:jc w:val="right"/>
              <w:ind w:right="10"/>
              <w:spacing w:after="0" w:line="155"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top w:val="single" w:sz="8" w:color="auto"/>
              <w:bottom w:val="single" w:sz="8" w:color="auto"/>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 xml:space="preserve">Merger integration expenses </w:t>
            </w:r>
            <w:r>
              <w:rPr>
                <w:rFonts w:ascii="Arial" w:cs="Arial" w:eastAsia="Arial" w:hAnsi="Arial"/>
                <w:sz w:val="15"/>
                <w:szCs w:val="15"/>
                <w:color w:val="auto"/>
              </w:rPr>
              <w:t>(1)</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80"/>
              <w:spacing w:after="0" w:line="196" w:lineRule="exact"/>
              <w:rPr>
                <w:sz w:val="20"/>
                <w:szCs w:val="20"/>
                <w:color w:val="auto"/>
              </w:rPr>
            </w:pPr>
            <w:r>
              <w:rPr>
                <w:rFonts w:ascii="Arial" w:cs="Arial" w:eastAsia="Arial" w:hAnsi="Arial"/>
                <w:sz w:val="18"/>
                <w:szCs w:val="18"/>
                <w:color w:val="auto"/>
              </w:rPr>
              <w:t>68</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00"/>
              <w:spacing w:after="0" w:line="196" w:lineRule="exact"/>
              <w:rPr>
                <w:sz w:val="20"/>
                <w:szCs w:val="20"/>
                <w:color w:val="auto"/>
              </w:rPr>
            </w:pPr>
            <w:r>
              <w:rPr>
                <w:rFonts w:ascii="Arial" w:cs="Arial" w:eastAsia="Arial" w:hAnsi="Arial"/>
                <w:sz w:val="18"/>
                <w:szCs w:val="18"/>
                <w:color w:val="auto"/>
              </w:rPr>
              <w:t>97</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  130</w:t>
            </w:r>
          </w:p>
        </w:tc>
        <w:tc>
          <w:tcPr>
            <w:tcW w:w="26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300"/>
              <w:spacing w:after="0" w:line="196" w:lineRule="exact"/>
              <w:rPr>
                <w:sz w:val="20"/>
                <w:szCs w:val="20"/>
                <w:color w:val="auto"/>
              </w:rPr>
            </w:pPr>
            <w:r>
              <w:rPr>
                <w:rFonts w:ascii="Arial" w:cs="Arial" w:eastAsia="Arial" w:hAnsi="Arial"/>
                <w:sz w:val="18"/>
                <w:szCs w:val="18"/>
                <w:color w:val="auto"/>
              </w:rPr>
              <w:t>$  201</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gridSpan w:val="2"/>
          </w:tcPr>
          <w:p>
            <w:pPr>
              <w:spacing w:after="0" w:line="202" w:lineRule="exact"/>
              <w:rPr>
                <w:sz w:val="20"/>
                <w:szCs w:val="20"/>
                <w:color w:val="auto"/>
              </w:rPr>
            </w:pPr>
            <w:r>
              <w:rPr>
                <w:rFonts w:ascii="Arial" w:cs="Arial" w:eastAsia="Arial" w:hAnsi="Arial"/>
                <w:sz w:val="18"/>
                <w:szCs w:val="18"/>
                <w:color w:val="auto"/>
              </w:rPr>
              <w:t xml:space="preserve">Fleet restructuring expenses </w:t>
            </w:r>
            <w:r>
              <w:rPr>
                <w:rFonts w:ascii="Arial" w:cs="Arial" w:eastAsia="Arial" w:hAnsi="Arial"/>
                <w:sz w:val="15"/>
                <w:szCs w:val="15"/>
                <w:color w:val="auto"/>
              </w:rPr>
              <w:t>(2)</w:t>
            </w:r>
          </w:p>
        </w:tc>
        <w:tc>
          <w:tcPr>
            <w:tcW w:w="140" w:type="dxa"/>
            <w:vAlign w:val="bottom"/>
          </w:tcPr>
          <w:p>
            <w:pPr>
              <w:spacing w:after="0"/>
              <w:rPr>
                <w:sz w:val="17"/>
                <w:szCs w:val="17"/>
                <w:color w:val="auto"/>
              </w:rPr>
            </w:pPr>
          </w:p>
        </w:tc>
        <w:tc>
          <w:tcPr>
            <w:tcW w:w="7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48</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15</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111</w:t>
            </w:r>
          </w:p>
        </w:tc>
        <w:tc>
          <w:tcPr>
            <w:tcW w:w="260" w:type="dxa"/>
            <w:vAlign w:val="bottom"/>
          </w:tcPr>
          <w:p>
            <w:pPr>
              <w:spacing w:after="0"/>
              <w:rPr>
                <w:sz w:val="17"/>
                <w:szCs w:val="17"/>
                <w:color w:val="auto"/>
              </w:rPr>
            </w:pPr>
          </w:p>
        </w:tc>
        <w:tc>
          <w:tcPr>
            <w:tcW w:w="1140" w:type="dxa"/>
            <w:vAlign w:val="bottom"/>
            <w:gridSpan w:val="3"/>
          </w:tcPr>
          <w:p>
            <w:pPr>
              <w:jc w:val="right"/>
              <w:ind w:right="300"/>
              <w:spacing w:after="0" w:line="202" w:lineRule="exact"/>
              <w:rPr>
                <w:sz w:val="20"/>
                <w:szCs w:val="20"/>
                <w:color w:val="auto"/>
              </w:rPr>
            </w:pPr>
            <w:r>
              <w:rPr>
                <w:rFonts w:ascii="Arial" w:cs="Arial" w:eastAsia="Arial" w:hAnsi="Arial"/>
                <w:sz w:val="18"/>
                <w:szCs w:val="18"/>
                <w:color w:val="auto"/>
              </w:rPr>
              <w:t>41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Mark-to-market adjustments for bankruptcy obligations and other</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38</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(56)</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20</w:t>
            </w:r>
          </w:p>
        </w:tc>
        <w:tc>
          <w:tcPr>
            <w:tcW w:w="26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(61)</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gridSpan w:val="2"/>
          </w:tcPr>
          <w:p>
            <w:pPr>
              <w:spacing w:after="0" w:line="202" w:lineRule="exact"/>
              <w:rPr>
                <w:sz w:val="20"/>
                <w:szCs w:val="20"/>
                <w:color w:val="auto"/>
              </w:rPr>
            </w:pPr>
            <w:r>
              <w:rPr>
                <w:rFonts w:ascii="Arial" w:cs="Arial" w:eastAsia="Arial" w:hAnsi="Arial"/>
                <w:sz w:val="18"/>
                <w:szCs w:val="18"/>
                <w:color w:val="auto"/>
              </w:rPr>
              <w:t xml:space="preserve">Labor contract expenses </w:t>
            </w:r>
            <w:r>
              <w:rPr>
                <w:rFonts w:ascii="Arial" w:cs="Arial" w:eastAsia="Arial" w:hAnsi="Arial"/>
                <w:sz w:val="15"/>
                <w:szCs w:val="15"/>
                <w:color w:val="auto"/>
              </w:rPr>
              <w:t>(3)</w:t>
            </w:r>
          </w:p>
        </w:tc>
        <w:tc>
          <w:tcPr>
            <w:tcW w:w="140" w:type="dxa"/>
            <w:vAlign w:val="bottom"/>
          </w:tcPr>
          <w:p>
            <w:pPr>
              <w:spacing w:after="0"/>
              <w:rPr>
                <w:sz w:val="17"/>
                <w:szCs w:val="17"/>
                <w:color w:val="auto"/>
              </w:rPr>
            </w:pPr>
          </w:p>
        </w:tc>
        <w:tc>
          <w:tcPr>
            <w:tcW w:w="7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45</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4"/>
          </w:tcPr>
          <w:p>
            <w:pPr>
              <w:jc w:val="right"/>
              <w:ind w:right="74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45</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Other operating charges (credits), net</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3</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14</w:t>
            </w:r>
          </w:p>
        </w:tc>
        <w:tc>
          <w:tcPr>
            <w:tcW w:w="26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(20)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320" w:type="dxa"/>
            <w:vAlign w:val="bottom"/>
            <w:gridSpan w:val="2"/>
          </w:tcPr>
          <w:p>
            <w:pPr>
              <w:ind w:left="160"/>
              <w:spacing w:after="0"/>
              <w:rPr>
                <w:sz w:val="20"/>
                <w:szCs w:val="20"/>
                <w:color w:val="auto"/>
              </w:rPr>
            </w:pPr>
            <w:r>
              <w:rPr>
                <w:rFonts w:ascii="Arial" w:cs="Arial" w:eastAsia="Arial" w:hAnsi="Arial"/>
                <w:sz w:val="18"/>
                <w:szCs w:val="18"/>
                <w:color w:val="auto"/>
              </w:rPr>
              <w:t>Mainline operating special items, net</w:t>
            </w: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202</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62</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320</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161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3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 xml:space="preserve">Regional operating special items, net </w:t>
            </w:r>
            <w:r>
              <w:rPr>
                <w:rFonts w:ascii="Arial" w:cs="Arial" w:eastAsia="Arial" w:hAnsi="Arial"/>
                <w:sz w:val="15"/>
                <w:szCs w:val="15"/>
                <w:color w:val="auto"/>
              </w:rPr>
              <w:t>(4)</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4</w:t>
            </w:r>
          </w:p>
        </w:tc>
        <w:tc>
          <w:tcPr>
            <w:tcW w:w="26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 xml:space="preserve">Nonoperating special items, net </w:t>
            </w:r>
            <w:r>
              <w:rPr>
                <w:rFonts w:ascii="Arial" w:cs="Arial" w:eastAsia="Arial" w:hAnsi="Arial"/>
                <w:sz w:val="15"/>
                <w:szCs w:val="15"/>
                <w:color w:val="auto"/>
              </w:rPr>
              <w:t>(5)</w:t>
            </w:r>
          </w:p>
        </w:tc>
        <w:tc>
          <w:tcPr>
            <w:tcW w:w="14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18"/>
                <w:szCs w:val="18"/>
                <w:color w:val="auto"/>
              </w:rPr>
            </w:pPr>
          </w:p>
        </w:tc>
        <w:tc>
          <w:tcPr>
            <w:tcW w:w="1140" w:type="dxa"/>
            <w:vAlign w:val="bottom"/>
            <w:gridSpan w:val="3"/>
          </w:tcPr>
          <w:p>
            <w:pPr>
              <w:jc w:val="right"/>
              <w:ind w:right="300"/>
              <w:spacing w:after="0"/>
              <w:rPr>
                <w:sz w:val="20"/>
                <w:szCs w:val="20"/>
                <w:color w:val="auto"/>
              </w:rPr>
            </w:pPr>
            <w:r>
              <w:rPr>
                <w:rFonts w:ascii="Arial" w:cs="Arial" w:eastAsia="Arial" w:hAnsi="Arial"/>
                <w:sz w:val="18"/>
                <w:szCs w:val="18"/>
                <w:color w:val="auto"/>
              </w:rPr>
              <w:t>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4" w:lineRule="exact"/>
        <w:rPr>
          <w:sz w:val="20"/>
          <w:szCs w:val="20"/>
          <w:color w:val="auto"/>
        </w:rPr>
      </w:pPr>
    </w:p>
    <w:p>
      <w:pPr>
        <w:jc w:val="both"/>
        <w:ind w:left="460" w:hanging="452"/>
        <w:spacing w:after="0"/>
        <w:tabs>
          <w:tab w:leader="none" w:pos="460" w:val="left"/>
        </w:tabs>
        <w:numPr>
          <w:ilvl w:val="0"/>
          <w:numId w:val="7"/>
        </w:numPr>
        <w:rPr>
          <w:rFonts w:ascii="Arial" w:cs="Arial" w:eastAsia="Arial" w:hAnsi="Arial"/>
          <w:sz w:val="15"/>
          <w:szCs w:val="15"/>
          <w:color w:val="auto"/>
        </w:rPr>
      </w:pPr>
      <w:r>
        <w:rPr>
          <w:rFonts w:ascii="Arial" w:cs="Arial" w:eastAsia="Arial" w:hAnsi="Arial"/>
          <w:sz w:val="18"/>
          <w:szCs w:val="18"/>
          <w:color w:val="auto"/>
        </w:rPr>
        <w:t>Merger integration expenses included costs related to information technology, professional fees, re-branding of aircraft and airport facilities and training. Additionally, the 2016 periods also included costs related to alignment of labor union contracts, re-branded uniforms, relocation and severance.</w:t>
      </w:r>
    </w:p>
    <w:p>
      <w:pPr>
        <w:spacing w:after="0" w:line="108" w:lineRule="exact"/>
        <w:rPr>
          <w:rFonts w:ascii="Arial" w:cs="Arial" w:eastAsia="Arial" w:hAnsi="Arial"/>
          <w:sz w:val="15"/>
          <w:szCs w:val="15"/>
          <w:color w:val="auto"/>
        </w:rPr>
      </w:pPr>
    </w:p>
    <w:p>
      <w:pPr>
        <w:ind w:left="460" w:hanging="452"/>
        <w:spacing w:after="0" w:line="246" w:lineRule="auto"/>
        <w:tabs>
          <w:tab w:leader="none" w:pos="460" w:val="left"/>
        </w:tabs>
        <w:numPr>
          <w:ilvl w:val="0"/>
          <w:numId w:val="7"/>
        </w:numPr>
        <w:rPr>
          <w:rFonts w:ascii="Arial" w:cs="Arial" w:eastAsia="Arial" w:hAnsi="Arial"/>
          <w:sz w:val="15"/>
          <w:szCs w:val="15"/>
          <w:color w:val="auto"/>
        </w:rPr>
      </w:pPr>
      <w:r>
        <w:rPr>
          <w:rFonts w:ascii="Arial" w:cs="Arial" w:eastAsia="Arial" w:hAnsi="Arial"/>
          <w:sz w:val="18"/>
          <w:szCs w:val="18"/>
          <w:color w:val="auto"/>
        </w:rPr>
        <w:t>Fleet restructuring expenses driven by the Merger principally included the acceleration of aircraft depreciation and impairments for aircraft grounded or expected to be grounded earlier than planned.</w:t>
      </w:r>
    </w:p>
    <w:p>
      <w:pPr>
        <w:spacing w:after="0" w:line="102" w:lineRule="exact"/>
        <w:rPr>
          <w:rFonts w:ascii="Arial" w:cs="Arial" w:eastAsia="Arial" w:hAnsi="Arial"/>
          <w:sz w:val="15"/>
          <w:szCs w:val="15"/>
          <w:color w:val="auto"/>
        </w:rPr>
      </w:pPr>
    </w:p>
    <w:p>
      <w:pPr>
        <w:ind w:left="460" w:hanging="452"/>
        <w:spacing w:after="0" w:line="246" w:lineRule="auto"/>
        <w:tabs>
          <w:tab w:leader="none" w:pos="460" w:val="left"/>
        </w:tabs>
        <w:numPr>
          <w:ilvl w:val="0"/>
          <w:numId w:val="7"/>
        </w:numPr>
        <w:rPr>
          <w:rFonts w:ascii="Arial" w:cs="Arial" w:eastAsia="Arial" w:hAnsi="Arial"/>
          <w:sz w:val="15"/>
          <w:szCs w:val="15"/>
          <w:color w:val="auto"/>
        </w:rPr>
      </w:pPr>
      <w:r>
        <w:rPr>
          <w:rFonts w:ascii="Arial" w:cs="Arial" w:eastAsia="Arial" w:hAnsi="Arial"/>
          <w:sz w:val="18"/>
          <w:szCs w:val="18"/>
          <w:color w:val="auto"/>
        </w:rPr>
        <w:t>Labor contract expenses primarily included one-time charges to adjust the vacation accruals for pilots and flight attendants as a result of the mid-contract pay rate adjustments effective in the second quarter of 2017.</w:t>
      </w:r>
    </w:p>
    <w:p>
      <w:pPr>
        <w:spacing w:after="0" w:line="102" w:lineRule="exact"/>
        <w:rPr>
          <w:rFonts w:ascii="Arial" w:cs="Arial" w:eastAsia="Arial" w:hAnsi="Arial"/>
          <w:sz w:val="15"/>
          <w:szCs w:val="15"/>
          <w:color w:val="auto"/>
        </w:rPr>
      </w:pPr>
    </w:p>
    <w:p>
      <w:pPr>
        <w:ind w:left="460" w:hanging="452"/>
        <w:spacing w:after="0"/>
        <w:tabs>
          <w:tab w:leader="none" w:pos="460" w:val="left"/>
        </w:tabs>
        <w:numPr>
          <w:ilvl w:val="0"/>
          <w:numId w:val="7"/>
        </w:numPr>
        <w:rPr>
          <w:rFonts w:ascii="Arial" w:cs="Arial" w:eastAsia="Arial" w:hAnsi="Arial"/>
          <w:sz w:val="15"/>
          <w:szCs w:val="15"/>
          <w:color w:val="auto"/>
        </w:rPr>
      </w:pPr>
      <w:r>
        <w:rPr>
          <w:rFonts w:ascii="Arial" w:cs="Arial" w:eastAsia="Arial" w:hAnsi="Arial"/>
          <w:sz w:val="18"/>
          <w:szCs w:val="18"/>
          <w:color w:val="auto"/>
        </w:rPr>
        <w:t>Regional operating special items, net principally related to Merger integration expenses.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65"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 TO CONDENSED CONSOLIDATED FINANCIAL STATEMENTS OF AMERICAN AIRLINES,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4" w:lineRule="exact"/>
        <w:rPr>
          <w:sz w:val="20"/>
          <w:szCs w:val="20"/>
          <w:color w:val="auto"/>
        </w:rPr>
      </w:pPr>
    </w:p>
    <w:p>
      <w:pPr>
        <w:ind w:left="460" w:hanging="452"/>
        <w:spacing w:after="0" w:line="246" w:lineRule="auto"/>
        <w:tabs>
          <w:tab w:leader="none" w:pos="460" w:val="left"/>
        </w:tabs>
        <w:numPr>
          <w:ilvl w:val="0"/>
          <w:numId w:val="8"/>
        </w:numPr>
        <w:rPr>
          <w:rFonts w:ascii="Arial" w:cs="Arial" w:eastAsia="Arial" w:hAnsi="Arial"/>
          <w:sz w:val="15"/>
          <w:szCs w:val="15"/>
          <w:color w:val="auto"/>
        </w:rPr>
      </w:pPr>
      <w:r>
        <w:rPr>
          <w:rFonts w:ascii="Arial" w:cs="Arial" w:eastAsia="Arial" w:hAnsi="Arial"/>
          <w:sz w:val="18"/>
          <w:szCs w:val="18"/>
          <w:color w:val="auto"/>
        </w:rPr>
        <w:t>Nonoperating special items, net primarily consisted of debt issuance and extinguishment costs associated with term loan refinancings. Additionally, the 2016 periods included costs associated with a bond refinancing.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Debt</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debt and capital lease obligations included in the condensed consolidated balance sheets consisted of (in millions):</w:t>
      </w:r>
    </w:p>
    <w:p>
      <w:pPr>
        <w:spacing w:after="0" w:line="226" w:lineRule="exact"/>
        <w:rPr>
          <w:sz w:val="20"/>
          <w:szCs w:val="20"/>
          <w:color w:val="auto"/>
        </w:rPr>
      </w:pPr>
    </w:p>
    <w:p>
      <w:pPr>
        <w:ind w:left="8920"/>
        <w:spacing w:after="0"/>
        <w:tabs>
          <w:tab w:leader="none" w:pos="10060" w:val="left"/>
        </w:tabs>
        <w:rPr>
          <w:sz w:val="20"/>
          <w:szCs w:val="20"/>
          <w:color w:val="auto"/>
        </w:rPr>
      </w:pPr>
      <w:r>
        <w:rPr>
          <w:rFonts w:ascii="Arial" w:cs="Arial" w:eastAsia="Arial" w:hAnsi="Arial"/>
          <w:sz w:val="14"/>
          <w:szCs w:val="14"/>
          <w:b w:val="1"/>
          <w:bCs w:val="1"/>
          <w:color w:val="auto"/>
        </w:rPr>
        <w:t>June 30, 2017</w:t>
        <w:tab/>
        <w:t>December 31, 2016</w:t>
      </w:r>
    </w:p>
    <w:tbl>
      <w:tblPr>
        <w:tblLayout w:type="fixed"/>
        <w:tblInd w:w="0" w:type="dxa"/>
        <w:tblCellMar>
          <w:top w:w="0" w:type="dxa"/>
          <w:left w:w="0" w:type="dxa"/>
          <w:bottom w:w="0" w:type="dxa"/>
          <w:right w:w="0" w:type="dxa"/>
        </w:tblCellMar>
      </w:tblPr>
      <w:tr>
        <w:trPr>
          <w:trHeight w:val="210"/>
        </w:trPr>
        <w:tc>
          <w:tcPr>
            <w:tcW w:w="8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i w:val="1"/>
                <w:iCs w:val="1"/>
                <w:color w:val="auto"/>
              </w:rPr>
              <w:t>Secured</w:t>
            </w:r>
          </w:p>
        </w:tc>
        <w:tc>
          <w:tcPr>
            <w:tcW w:w="1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03"/>
        </w:trPr>
        <w:tc>
          <w:tcPr>
            <w:tcW w:w="8820" w:type="dxa"/>
            <w:vAlign w:val="bottom"/>
          </w:tcPr>
          <w:p>
            <w:pPr>
              <w:ind w:left="180"/>
              <w:spacing w:after="0" w:line="202" w:lineRule="exact"/>
              <w:rPr>
                <w:sz w:val="20"/>
                <w:szCs w:val="20"/>
                <w:color w:val="auto"/>
              </w:rPr>
            </w:pPr>
            <w:r>
              <w:rPr>
                <w:rFonts w:ascii="Arial" w:cs="Arial" w:eastAsia="Arial" w:hAnsi="Arial"/>
                <w:sz w:val="18"/>
                <w:szCs w:val="18"/>
                <w:color w:val="auto"/>
              </w:rPr>
              <w:t>2013 Credit Facilities, variable interest rate of 3.22%, installments through 2020</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1,825</w:t>
            </w:r>
          </w:p>
        </w:tc>
        <w:tc>
          <w:tcPr>
            <w:tcW w:w="140" w:type="dxa"/>
            <w:vAlign w:val="bottom"/>
          </w:tcPr>
          <w:p>
            <w:pPr>
              <w:spacing w:after="0"/>
              <w:rPr>
                <w:sz w:val="17"/>
                <w:szCs w:val="17"/>
                <w:color w:val="auto"/>
              </w:rPr>
            </w:pPr>
          </w:p>
        </w:tc>
        <w:tc>
          <w:tcPr>
            <w:tcW w:w="40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1,843</w:t>
            </w:r>
          </w:p>
        </w:tc>
        <w:tc>
          <w:tcPr>
            <w:tcW w:w="40" w:type="dxa"/>
            <w:vAlign w:val="bottom"/>
          </w:tcPr>
          <w:p>
            <w:pPr>
              <w:spacing w:after="0"/>
              <w:rPr>
                <w:sz w:val="17"/>
                <w:szCs w:val="17"/>
                <w:color w:val="auto"/>
              </w:rPr>
            </w:pPr>
          </w:p>
        </w:tc>
      </w:tr>
      <w:tr>
        <w:trPr>
          <w:trHeight w:val="203"/>
        </w:trPr>
        <w:tc>
          <w:tcPr>
            <w:tcW w:w="88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2014 Credit Facilities, variable interest rate of 3.12%, installments through 2021</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735</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735</w:t>
            </w: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8820" w:type="dxa"/>
            <w:vAlign w:val="bottom"/>
          </w:tcPr>
          <w:p>
            <w:pPr>
              <w:ind w:left="180"/>
              <w:spacing w:after="0" w:line="202" w:lineRule="exact"/>
              <w:rPr>
                <w:sz w:val="20"/>
                <w:szCs w:val="20"/>
                <w:color w:val="auto"/>
              </w:rPr>
            </w:pPr>
            <w:r>
              <w:rPr>
                <w:rFonts w:ascii="Arial" w:cs="Arial" w:eastAsia="Arial" w:hAnsi="Arial"/>
                <w:sz w:val="18"/>
                <w:szCs w:val="18"/>
                <w:color w:val="auto"/>
              </w:rPr>
              <w:t>April 2016 Credit Facilities, variable interest rate of 3.72%, installments through 2023</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990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1,000</w:t>
            </w:r>
          </w:p>
        </w:tc>
        <w:tc>
          <w:tcPr>
            <w:tcW w:w="40" w:type="dxa"/>
            <w:vAlign w:val="bottom"/>
          </w:tcPr>
          <w:p>
            <w:pPr>
              <w:spacing w:after="0"/>
              <w:rPr>
                <w:sz w:val="17"/>
                <w:szCs w:val="17"/>
                <w:color w:val="auto"/>
              </w:rPr>
            </w:pPr>
          </w:p>
        </w:tc>
      </w:tr>
      <w:tr>
        <w:trPr>
          <w:trHeight w:val="203"/>
        </w:trPr>
        <w:tc>
          <w:tcPr>
            <w:tcW w:w="88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December 2016 Credit Facilities, variable interest rate of 3.66%, installments through 2023</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1,250</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1,250</w:t>
            </w:r>
          </w:p>
        </w:tc>
        <w:tc>
          <w:tcPr>
            <w:tcW w:w="40" w:type="dxa"/>
            <w:vAlign w:val="bottom"/>
            <w:shd w:val="clear" w:color="auto" w:fill="CCEEFF"/>
          </w:tcPr>
          <w:p>
            <w:pPr>
              <w:spacing w:after="0"/>
              <w:rPr>
                <w:sz w:val="17"/>
                <w:szCs w:val="17"/>
                <w:color w:val="auto"/>
              </w:rPr>
            </w:pPr>
          </w:p>
        </w:tc>
      </w:tr>
      <w:tr>
        <w:trPr>
          <w:trHeight w:val="202"/>
        </w:trPr>
        <w:tc>
          <w:tcPr>
            <w:tcW w:w="8820" w:type="dxa"/>
            <w:vAlign w:val="bottom"/>
          </w:tcPr>
          <w:p>
            <w:pPr>
              <w:ind w:left="180"/>
              <w:spacing w:after="0" w:line="201" w:lineRule="exact"/>
              <w:rPr>
                <w:sz w:val="20"/>
                <w:szCs w:val="20"/>
                <w:color w:val="auto"/>
              </w:rPr>
            </w:pPr>
            <w:r>
              <w:rPr>
                <w:rFonts w:ascii="Arial" w:cs="Arial" w:eastAsia="Arial" w:hAnsi="Arial"/>
                <w:sz w:val="18"/>
                <w:szCs w:val="18"/>
                <w:color w:val="auto"/>
              </w:rPr>
              <w:t>Aircraft enhanced equipment trust certificates (EETCs), fixed interest rates ranging from 3.00% to 9.75%,</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8820" w:type="dxa"/>
            <w:vAlign w:val="bottom"/>
          </w:tcPr>
          <w:p>
            <w:pPr>
              <w:ind w:left="360"/>
              <w:spacing w:after="0" w:line="203" w:lineRule="exact"/>
              <w:rPr>
                <w:sz w:val="20"/>
                <w:szCs w:val="20"/>
                <w:color w:val="auto"/>
              </w:rPr>
            </w:pPr>
            <w:r>
              <w:rPr>
                <w:rFonts w:ascii="Arial" w:cs="Arial" w:eastAsia="Arial" w:hAnsi="Arial"/>
                <w:sz w:val="18"/>
                <w:szCs w:val="18"/>
                <w:color w:val="auto"/>
              </w:rPr>
              <w:t>maturing from 2018 to 2029</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200"/>
              <w:spacing w:after="0" w:line="203" w:lineRule="exact"/>
              <w:rPr>
                <w:sz w:val="20"/>
                <w:szCs w:val="20"/>
                <w:color w:val="auto"/>
              </w:rPr>
            </w:pPr>
            <w:r>
              <w:rPr>
                <w:rFonts w:ascii="Arial" w:cs="Arial" w:eastAsia="Arial" w:hAnsi="Arial"/>
                <w:sz w:val="18"/>
                <w:szCs w:val="18"/>
                <w:color w:val="auto"/>
              </w:rPr>
              <w:t>11,328</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gridSpan w:val="2"/>
          </w:tcPr>
          <w:p>
            <w:pPr>
              <w:jc w:val="right"/>
              <w:ind w:right="220"/>
              <w:spacing w:after="0" w:line="203" w:lineRule="exact"/>
              <w:rPr>
                <w:sz w:val="20"/>
                <w:szCs w:val="20"/>
                <w:color w:val="auto"/>
              </w:rPr>
            </w:pPr>
            <w:r>
              <w:rPr>
                <w:rFonts w:ascii="Arial" w:cs="Arial" w:eastAsia="Arial" w:hAnsi="Arial"/>
                <w:sz w:val="18"/>
                <w:szCs w:val="18"/>
                <w:color w:val="auto"/>
              </w:rPr>
              <w:t>10,912</w:t>
            </w:r>
          </w:p>
        </w:tc>
        <w:tc>
          <w:tcPr>
            <w:tcW w:w="40" w:type="dxa"/>
            <w:vAlign w:val="bottom"/>
          </w:tcPr>
          <w:p>
            <w:pPr>
              <w:spacing w:after="0"/>
              <w:rPr>
                <w:sz w:val="17"/>
                <w:szCs w:val="17"/>
                <w:color w:val="auto"/>
              </w:rPr>
            </w:pPr>
          </w:p>
        </w:tc>
      </w:tr>
      <w:tr>
        <w:trPr>
          <w:trHeight w:val="202"/>
        </w:trPr>
        <w:tc>
          <w:tcPr>
            <w:tcW w:w="88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Equipment loans and other notes payable, fixed and variable interest rates ranging from 2.34% to 8.80%,</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8820" w:type="dxa"/>
            <w:vAlign w:val="bottom"/>
            <w:shd w:val="clear" w:color="auto" w:fill="CCEEFF"/>
          </w:tcPr>
          <w:p>
            <w:pPr>
              <w:ind w:left="360"/>
              <w:spacing w:after="0" w:line="203" w:lineRule="exact"/>
              <w:rPr>
                <w:sz w:val="20"/>
                <w:szCs w:val="20"/>
                <w:color w:val="auto"/>
              </w:rPr>
            </w:pPr>
            <w:r>
              <w:rPr>
                <w:rFonts w:ascii="Arial" w:cs="Arial" w:eastAsia="Arial" w:hAnsi="Arial"/>
                <w:sz w:val="18"/>
                <w:szCs w:val="18"/>
                <w:color w:val="auto"/>
              </w:rPr>
              <w:t>maturing from 2017 to 2029</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line="203" w:lineRule="exact"/>
              <w:rPr>
                <w:sz w:val="20"/>
                <w:szCs w:val="20"/>
                <w:color w:val="auto"/>
              </w:rPr>
            </w:pPr>
            <w:r>
              <w:rPr>
                <w:rFonts w:ascii="Arial" w:cs="Arial" w:eastAsia="Arial" w:hAnsi="Arial"/>
                <w:sz w:val="18"/>
                <w:szCs w:val="18"/>
                <w:color w:val="auto"/>
              </w:rPr>
              <w:t>5,525</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line="203" w:lineRule="exact"/>
              <w:rPr>
                <w:sz w:val="20"/>
                <w:szCs w:val="20"/>
                <w:color w:val="auto"/>
              </w:rPr>
            </w:pPr>
            <w:r>
              <w:rPr>
                <w:rFonts w:ascii="Arial" w:cs="Arial" w:eastAsia="Arial" w:hAnsi="Arial"/>
                <w:sz w:val="18"/>
                <w:szCs w:val="18"/>
                <w:color w:val="auto"/>
              </w:rPr>
              <w:t>5,343</w:t>
            </w:r>
          </w:p>
        </w:tc>
        <w:tc>
          <w:tcPr>
            <w:tcW w:w="40" w:type="dxa"/>
            <w:vAlign w:val="bottom"/>
            <w:shd w:val="clear" w:color="auto" w:fill="CCEEFF"/>
          </w:tcPr>
          <w:p>
            <w:pPr>
              <w:spacing w:after="0"/>
              <w:rPr>
                <w:sz w:val="17"/>
                <w:szCs w:val="17"/>
                <w:color w:val="auto"/>
              </w:rPr>
            </w:pPr>
          </w:p>
        </w:tc>
      </w:tr>
      <w:tr>
        <w:trPr>
          <w:trHeight w:val="202"/>
        </w:trPr>
        <w:tc>
          <w:tcPr>
            <w:tcW w:w="8820" w:type="dxa"/>
            <w:vAlign w:val="bottom"/>
          </w:tcPr>
          <w:p>
            <w:pPr>
              <w:ind w:left="180"/>
              <w:spacing w:after="0" w:line="201" w:lineRule="exact"/>
              <w:rPr>
                <w:sz w:val="20"/>
                <w:szCs w:val="20"/>
                <w:color w:val="auto"/>
              </w:rPr>
            </w:pPr>
            <w:r>
              <w:rPr>
                <w:rFonts w:ascii="Arial" w:cs="Arial" w:eastAsia="Arial" w:hAnsi="Arial"/>
                <w:sz w:val="18"/>
                <w:szCs w:val="18"/>
                <w:color w:val="auto"/>
              </w:rPr>
              <w:t>Special facility revenue bonds, fixed interest rates ranging from 5.00% to 5.50%, maturing from 2017 to</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8820" w:type="dxa"/>
            <w:vAlign w:val="bottom"/>
          </w:tcPr>
          <w:p>
            <w:pPr>
              <w:ind w:left="360"/>
              <w:spacing w:after="0" w:line="203" w:lineRule="exact"/>
              <w:rPr>
                <w:sz w:val="20"/>
                <w:szCs w:val="20"/>
                <w:color w:val="auto"/>
              </w:rPr>
            </w:pPr>
            <w:r>
              <w:rPr>
                <w:rFonts w:ascii="Arial" w:cs="Arial" w:eastAsia="Arial" w:hAnsi="Arial"/>
                <w:sz w:val="18"/>
                <w:szCs w:val="18"/>
                <w:color w:val="auto"/>
              </w:rPr>
              <w:t>2035</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Arial" w:cs="Arial" w:eastAsia="Arial" w:hAnsi="Arial"/>
                <w:sz w:val="18"/>
                <w:szCs w:val="18"/>
                <w:color w:val="auto"/>
              </w:rPr>
              <w:t>862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jc w:val="right"/>
              <w:spacing w:after="0" w:line="203" w:lineRule="exact"/>
              <w:rPr>
                <w:sz w:val="20"/>
                <w:szCs w:val="20"/>
                <w:color w:val="auto"/>
              </w:rPr>
            </w:pPr>
            <w:r>
              <w:rPr>
                <w:rFonts w:ascii="Arial" w:cs="Arial" w:eastAsia="Arial" w:hAnsi="Arial"/>
                <w:sz w:val="18"/>
                <w:szCs w:val="18"/>
                <w:color w:val="auto"/>
              </w:rPr>
              <w:t>862</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88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Other secured obligations, fixed interest rates ranging from 3.60% to 12.24%, maturing from 2017 to 2028</w:t>
            </w:r>
          </w:p>
        </w:tc>
        <w:tc>
          <w:tcPr>
            <w:tcW w:w="1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803</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848</w:t>
            </w: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0"/>
        </w:trPr>
        <w:tc>
          <w:tcPr>
            <w:tcW w:w="8820" w:type="dxa"/>
            <w:vAlign w:val="bottom"/>
          </w:tcPr>
          <w:p>
            <w:pPr>
              <w:spacing w:after="0"/>
              <w:rPr>
                <w:sz w:val="20"/>
                <w:szCs w:val="20"/>
                <w:color w:val="auto"/>
              </w:rPr>
            </w:pPr>
            <w:r>
              <w:rPr>
                <w:rFonts w:ascii="Arial" w:cs="Arial" w:eastAsia="Arial" w:hAnsi="Arial"/>
                <w:sz w:val="18"/>
                <w:szCs w:val="18"/>
                <w:color w:val="auto"/>
              </w:rPr>
              <w:t>Total long-term debt and capital lease obligations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23,318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22,793</w:t>
            </w:r>
          </w:p>
        </w:tc>
        <w:tc>
          <w:tcPr>
            <w:tcW w:w="40" w:type="dxa"/>
            <w:vAlign w:val="bottom"/>
          </w:tcPr>
          <w:p>
            <w:pPr>
              <w:spacing w:after="0"/>
              <w:rPr>
                <w:sz w:val="18"/>
                <w:szCs w:val="18"/>
                <w:color w:val="auto"/>
              </w:rPr>
            </w:pPr>
          </w:p>
        </w:tc>
      </w:tr>
      <w:tr>
        <w:trPr>
          <w:trHeight w:val="203"/>
        </w:trPr>
        <w:tc>
          <w:tcPr>
            <w:tcW w:w="88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Less: Total unamortized debt discount, premium and issuance costs</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229</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216</w:t>
            </w: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8820" w:type="dxa"/>
            <w:vAlign w:val="bottom"/>
          </w:tcPr>
          <w:p>
            <w:pPr>
              <w:ind w:left="180"/>
              <w:spacing w:after="0" w:line="202" w:lineRule="exact"/>
              <w:rPr>
                <w:sz w:val="20"/>
                <w:szCs w:val="20"/>
                <w:color w:val="auto"/>
              </w:rPr>
            </w:pPr>
            <w:r>
              <w:rPr>
                <w:rFonts w:ascii="Arial" w:cs="Arial" w:eastAsia="Arial" w:hAnsi="Arial"/>
                <w:sz w:val="18"/>
                <w:szCs w:val="18"/>
                <w:color w:val="auto"/>
              </w:rPr>
              <w:t>Less: Current maturities</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1,837</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1,859</w:t>
            </w:r>
          </w:p>
        </w:tc>
        <w:tc>
          <w:tcPr>
            <w:tcW w:w="40" w:type="dxa"/>
            <w:vAlign w:val="bottom"/>
          </w:tcPr>
          <w:p>
            <w:pPr>
              <w:spacing w:after="0"/>
              <w:rPr>
                <w:sz w:val="17"/>
                <w:szCs w:val="17"/>
                <w:color w:val="auto"/>
              </w:rPr>
            </w:pPr>
          </w:p>
        </w:tc>
      </w:tr>
      <w:tr>
        <w:trPr>
          <w:trHeight w:val="27"/>
        </w:trPr>
        <w:tc>
          <w:tcPr>
            <w:tcW w:w="8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03"/>
        </w:trPr>
        <w:tc>
          <w:tcPr>
            <w:tcW w:w="88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Long-term debt and capital lease obligations, net of current maturities</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21,252</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20,718</w:t>
            </w:r>
          </w:p>
        </w:tc>
        <w:tc>
          <w:tcPr>
            <w:tcW w:w="40" w:type="dxa"/>
            <w:vAlign w:val="bottom"/>
            <w:shd w:val="clear" w:color="auto" w:fill="CCEEFF"/>
          </w:tcPr>
          <w:p>
            <w:pPr>
              <w:spacing w:after="0"/>
              <w:rPr>
                <w:sz w:val="17"/>
                <w:szCs w:val="17"/>
                <w:color w:val="auto"/>
              </w:rPr>
            </w:pPr>
          </w:p>
        </w:tc>
      </w:tr>
      <w:tr>
        <w:trPr>
          <w:trHeight w:val="20"/>
        </w:trPr>
        <w:tc>
          <w:tcPr>
            <w:tcW w:w="8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10680" w:type="dxa"/>
            <w:vAlign w:val="bottom"/>
          </w:tcPr>
          <w:p>
            <w:pPr>
              <w:ind w:left="220"/>
              <w:spacing w:after="0"/>
              <w:rPr>
                <w:sz w:val="20"/>
                <w:szCs w:val="20"/>
                <w:color w:val="auto"/>
              </w:rPr>
            </w:pPr>
            <w:r>
              <w:rPr>
                <w:rFonts w:ascii="Arial" w:cs="Arial" w:eastAsia="Arial" w:hAnsi="Arial"/>
                <w:sz w:val="18"/>
                <w:szCs w:val="18"/>
                <w:color w:val="auto"/>
              </w:rPr>
              <w:t>The table below shows availability under revolving credit facilities, all of which were undrawn, as of June 30, 2017 (in millions):</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10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10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2013 Revolving Facility</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1,400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680" w:type="dxa"/>
            <w:vAlign w:val="bottom"/>
          </w:tcPr>
          <w:p>
            <w:pPr>
              <w:spacing w:after="0" w:line="202" w:lineRule="exact"/>
              <w:rPr>
                <w:sz w:val="20"/>
                <w:szCs w:val="20"/>
                <w:color w:val="auto"/>
              </w:rPr>
            </w:pPr>
            <w:r>
              <w:rPr>
                <w:rFonts w:ascii="Arial" w:cs="Arial" w:eastAsia="Arial" w:hAnsi="Arial"/>
                <w:sz w:val="18"/>
                <w:szCs w:val="18"/>
                <w:color w:val="auto"/>
              </w:rPr>
              <w:t>2014 Revolving Facility</w:t>
            </w:r>
          </w:p>
        </w:tc>
        <w:tc>
          <w:tcPr>
            <w:tcW w:w="160" w:type="dxa"/>
            <w:vAlign w:val="bottom"/>
          </w:tcPr>
          <w:p>
            <w:pPr>
              <w:spacing w:after="0"/>
              <w:rPr>
                <w:sz w:val="17"/>
                <w:szCs w:val="17"/>
                <w:color w:val="auto"/>
              </w:rPr>
            </w:pPr>
          </w:p>
        </w:tc>
        <w:tc>
          <w:tcPr>
            <w:tcW w:w="5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1,025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06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2,425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April 2016 and December 2016 Credit Facilities each provide for a revolving credit facility that may be established in the future.</w:t>
      </w:r>
    </w:p>
    <w:p>
      <w:pPr>
        <w:spacing w:after="0" w:line="19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2017 Aircraft Financing Activities</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2017-1 EETCs</w:t>
      </w:r>
    </w:p>
    <w:p>
      <w:pPr>
        <w:spacing w:after="0" w:line="122" w:lineRule="exact"/>
        <w:rPr>
          <w:sz w:val="20"/>
          <w:szCs w:val="20"/>
          <w:color w:val="auto"/>
        </w:rPr>
      </w:pPr>
    </w:p>
    <w:p>
      <w:pPr>
        <w:jc w:val="both"/>
        <w:ind w:firstLine="228"/>
        <w:spacing w:after="0"/>
        <w:rPr>
          <w:sz w:val="20"/>
          <w:szCs w:val="20"/>
          <w:color w:val="auto"/>
        </w:rPr>
      </w:pPr>
      <w:r>
        <w:rPr>
          <w:rFonts w:ascii="Arial" w:cs="Arial" w:eastAsia="Arial" w:hAnsi="Arial"/>
          <w:sz w:val="18"/>
          <w:szCs w:val="18"/>
          <w:color w:val="auto"/>
        </w:rPr>
        <w:t>In January 2017, American created three pass-through trusts which issued approximately $983 million aggregate principal amount of Series 2017-1 Class AA, Class A and Class B EETCs (the 2017-1 EETCs) in connection with the financing of 24 aircraft delivered to American through May 2017 (the 2017-1 Aircraft).</w:t>
      </w:r>
    </w:p>
    <w:p>
      <w:pPr>
        <w:spacing w:after="0" w:line="203" w:lineRule="exact"/>
        <w:rPr>
          <w:sz w:val="20"/>
          <w:szCs w:val="20"/>
          <w:color w:val="auto"/>
        </w:rPr>
      </w:pPr>
    </w:p>
    <w:p>
      <w:pPr>
        <w:jc w:val="both"/>
        <w:ind w:firstLine="228"/>
        <w:spacing w:after="0" w:line="239" w:lineRule="auto"/>
        <w:rPr>
          <w:sz w:val="20"/>
          <w:szCs w:val="20"/>
          <w:color w:val="auto"/>
        </w:rPr>
      </w:pPr>
      <w:r>
        <w:rPr>
          <w:rFonts w:ascii="Arial" w:cs="Arial" w:eastAsia="Arial" w:hAnsi="Arial"/>
          <w:sz w:val="18"/>
          <w:szCs w:val="18"/>
          <w:color w:val="auto"/>
        </w:rPr>
        <w:t>As of June 30, 2017, all of the proceeds received from the sale of the 2017-1 EETCs have been used to purchase equipment notes issued by American in connection with the financing of new aircraft on or following the delivery thereof. Interest and principal payments on the equipment notes will be payable semi-annually in February and August of each year, with interest payments beginning in August 2017 and principal payments beginning in February 2018. The equipment notes are secured by liens on the 2017-1 Aircraft.</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65"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 TO CONDENSED CONSOLIDATED FINANCIAL STATEMENTS OF AMERICAN AIRLINES,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Certain information regarding the 2017-1 EETC equipment notes, as of June 30, 2017, is set forth in the table below.</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780" w:type="dxa"/>
            <w:vAlign w:val="bottom"/>
          </w:tcPr>
          <w:p>
            <w:pPr>
              <w:spacing w:after="0"/>
              <w:rPr>
                <w:sz w:val="15"/>
                <w:szCs w:val="15"/>
                <w:color w:val="auto"/>
              </w:rPr>
            </w:pPr>
          </w:p>
        </w:tc>
        <w:tc>
          <w:tcPr>
            <w:tcW w:w="20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2017-1 EETCs</w:t>
            </w:r>
          </w:p>
        </w:tc>
        <w:tc>
          <w:tcPr>
            <w:tcW w:w="2060" w:type="dxa"/>
            <w:vAlign w:val="bottom"/>
            <w:tcBorders>
              <w:bottom w:val="single" w:sz="8" w:color="auto"/>
            </w:tcBorders>
          </w:tcPr>
          <w:p>
            <w:pPr>
              <w:spacing w:after="0"/>
              <w:rPr>
                <w:sz w:val="15"/>
                <w:szCs w:val="15"/>
                <w:color w:val="auto"/>
              </w:rPr>
            </w:pPr>
          </w:p>
        </w:tc>
      </w:tr>
      <w:tr>
        <w:trPr>
          <w:trHeight w:val="156"/>
        </w:trPr>
        <w:tc>
          <w:tcPr>
            <w:tcW w:w="4780" w:type="dxa"/>
            <w:vAlign w:val="bottom"/>
          </w:tcPr>
          <w:p>
            <w:pPr>
              <w:spacing w:after="0"/>
              <w:rPr>
                <w:sz w:val="13"/>
                <w:szCs w:val="13"/>
                <w:color w:val="auto"/>
              </w:rPr>
            </w:pPr>
          </w:p>
        </w:tc>
        <w:tc>
          <w:tcPr>
            <w:tcW w:w="2300" w:type="dxa"/>
            <w:vAlign w:val="bottom"/>
            <w:gridSpan w:val="2"/>
          </w:tcPr>
          <w:p>
            <w:pPr>
              <w:jc w:val="center"/>
              <w:ind w:right="220"/>
              <w:spacing w:after="0" w:line="155" w:lineRule="exact"/>
              <w:rPr>
                <w:sz w:val="20"/>
                <w:szCs w:val="20"/>
                <w:color w:val="auto"/>
              </w:rPr>
            </w:pPr>
            <w:r>
              <w:rPr>
                <w:rFonts w:ascii="Arial" w:cs="Arial" w:eastAsia="Arial" w:hAnsi="Arial"/>
                <w:sz w:val="14"/>
                <w:szCs w:val="14"/>
                <w:b w:val="1"/>
                <w:bCs w:val="1"/>
                <w:color w:val="auto"/>
              </w:rPr>
              <w:t>Series AA</w:t>
            </w:r>
          </w:p>
        </w:tc>
        <w:tc>
          <w:tcPr>
            <w:tcW w:w="2280" w:type="dxa"/>
            <w:vAlign w:val="bottom"/>
            <w:gridSpan w:val="2"/>
          </w:tcPr>
          <w:p>
            <w:pPr>
              <w:jc w:val="center"/>
              <w:ind w:right="220"/>
              <w:spacing w:after="0" w:line="155" w:lineRule="exact"/>
              <w:rPr>
                <w:sz w:val="20"/>
                <w:szCs w:val="20"/>
                <w:color w:val="auto"/>
              </w:rPr>
            </w:pPr>
            <w:r>
              <w:rPr>
                <w:rFonts w:ascii="Arial" w:cs="Arial" w:eastAsia="Arial" w:hAnsi="Arial"/>
                <w:sz w:val="14"/>
                <w:szCs w:val="14"/>
                <w:b w:val="1"/>
                <w:bCs w:val="1"/>
                <w:color w:val="auto"/>
              </w:rPr>
              <w:t>Series A</w:t>
            </w:r>
          </w:p>
        </w:tc>
        <w:tc>
          <w:tcPr>
            <w:tcW w:w="206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rPr>
              <w:t>Series B</w:t>
            </w:r>
          </w:p>
        </w:tc>
      </w:tr>
      <w:tr>
        <w:trPr>
          <w:trHeight w:val="196"/>
        </w:trPr>
        <w:tc>
          <w:tcPr>
            <w:tcW w:w="4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Aggregate principal issued</w:t>
            </w:r>
          </w:p>
        </w:tc>
        <w:tc>
          <w:tcPr>
            <w:tcW w:w="208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$537 million</w:t>
            </w:r>
          </w:p>
        </w:tc>
        <w:tc>
          <w:tcPr>
            <w:tcW w:w="220" w:type="dxa"/>
            <w:vAlign w:val="bottom"/>
            <w:tcBorders>
              <w:top w:val="single" w:sz="8" w:color="CCEEFF"/>
            </w:tcBorders>
            <w:shd w:val="clear" w:color="auto" w:fill="CCEEFF"/>
          </w:tcPr>
          <w:p>
            <w:pPr>
              <w:spacing w:after="0"/>
              <w:rPr>
                <w:sz w:val="17"/>
                <w:szCs w:val="17"/>
                <w:color w:val="auto"/>
              </w:rPr>
            </w:pPr>
          </w:p>
        </w:tc>
        <w:tc>
          <w:tcPr>
            <w:tcW w:w="206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$248 million</w:t>
            </w:r>
          </w:p>
        </w:tc>
        <w:tc>
          <w:tcPr>
            <w:tcW w:w="220" w:type="dxa"/>
            <w:vAlign w:val="bottom"/>
            <w:tcBorders>
              <w:top w:val="single" w:sz="8" w:color="CCEEFF"/>
            </w:tcBorders>
            <w:shd w:val="clear" w:color="auto" w:fill="CCEEFF"/>
          </w:tcPr>
          <w:p>
            <w:pPr>
              <w:spacing w:after="0"/>
              <w:rPr>
                <w:sz w:val="17"/>
                <w:szCs w:val="17"/>
                <w:color w:val="auto"/>
              </w:rPr>
            </w:pPr>
          </w:p>
        </w:tc>
        <w:tc>
          <w:tcPr>
            <w:tcW w:w="206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$198 million</w:t>
            </w:r>
          </w:p>
        </w:tc>
      </w:tr>
      <w:tr>
        <w:trPr>
          <w:trHeight w:val="203"/>
        </w:trPr>
        <w:tc>
          <w:tcPr>
            <w:tcW w:w="4780" w:type="dxa"/>
            <w:vAlign w:val="bottom"/>
          </w:tcPr>
          <w:p>
            <w:pPr>
              <w:spacing w:after="0" w:line="202" w:lineRule="exact"/>
              <w:rPr>
                <w:sz w:val="20"/>
                <w:szCs w:val="20"/>
                <w:color w:val="auto"/>
              </w:rPr>
            </w:pPr>
            <w:r>
              <w:rPr>
                <w:rFonts w:ascii="Arial" w:cs="Arial" w:eastAsia="Arial" w:hAnsi="Arial"/>
                <w:sz w:val="18"/>
                <w:szCs w:val="18"/>
                <w:color w:val="auto"/>
              </w:rPr>
              <w:t>Fixed interest rate per annum</w:t>
            </w:r>
          </w:p>
        </w:tc>
        <w:tc>
          <w:tcPr>
            <w:tcW w:w="2080" w:type="dxa"/>
            <w:vAlign w:val="bottom"/>
          </w:tcPr>
          <w:p>
            <w:pPr>
              <w:jc w:val="center"/>
              <w:spacing w:after="0" w:line="202" w:lineRule="exact"/>
              <w:rPr>
                <w:sz w:val="20"/>
                <w:szCs w:val="20"/>
                <w:color w:val="auto"/>
              </w:rPr>
            </w:pPr>
            <w:r>
              <w:rPr>
                <w:rFonts w:ascii="Arial" w:cs="Arial" w:eastAsia="Arial" w:hAnsi="Arial"/>
                <w:sz w:val="18"/>
                <w:szCs w:val="18"/>
                <w:color w:val="auto"/>
              </w:rPr>
              <w:t>3.65%</w:t>
            </w:r>
          </w:p>
        </w:tc>
        <w:tc>
          <w:tcPr>
            <w:tcW w:w="220" w:type="dxa"/>
            <w:vAlign w:val="bottom"/>
          </w:tcPr>
          <w:p>
            <w:pPr>
              <w:spacing w:after="0"/>
              <w:rPr>
                <w:sz w:val="17"/>
                <w:szCs w:val="17"/>
                <w:color w:val="auto"/>
              </w:rPr>
            </w:pPr>
          </w:p>
        </w:tc>
        <w:tc>
          <w:tcPr>
            <w:tcW w:w="2060" w:type="dxa"/>
            <w:vAlign w:val="bottom"/>
          </w:tcPr>
          <w:p>
            <w:pPr>
              <w:jc w:val="center"/>
              <w:spacing w:after="0" w:line="202" w:lineRule="exact"/>
              <w:rPr>
                <w:sz w:val="20"/>
                <w:szCs w:val="20"/>
                <w:color w:val="auto"/>
              </w:rPr>
            </w:pPr>
            <w:r>
              <w:rPr>
                <w:rFonts w:ascii="Arial" w:cs="Arial" w:eastAsia="Arial" w:hAnsi="Arial"/>
                <w:sz w:val="18"/>
                <w:szCs w:val="18"/>
                <w:color w:val="auto"/>
              </w:rPr>
              <w:t>4.00%</w:t>
            </w:r>
          </w:p>
        </w:tc>
        <w:tc>
          <w:tcPr>
            <w:tcW w:w="220" w:type="dxa"/>
            <w:vAlign w:val="bottom"/>
          </w:tcPr>
          <w:p>
            <w:pPr>
              <w:spacing w:after="0"/>
              <w:rPr>
                <w:sz w:val="17"/>
                <w:szCs w:val="17"/>
                <w:color w:val="auto"/>
              </w:rPr>
            </w:pPr>
          </w:p>
        </w:tc>
        <w:tc>
          <w:tcPr>
            <w:tcW w:w="2060" w:type="dxa"/>
            <w:vAlign w:val="bottom"/>
          </w:tcPr>
          <w:p>
            <w:pPr>
              <w:jc w:val="center"/>
              <w:spacing w:after="0" w:line="202" w:lineRule="exact"/>
              <w:rPr>
                <w:sz w:val="20"/>
                <w:szCs w:val="20"/>
                <w:color w:val="auto"/>
              </w:rPr>
            </w:pPr>
            <w:r>
              <w:rPr>
                <w:rFonts w:ascii="Arial" w:cs="Arial" w:eastAsia="Arial" w:hAnsi="Arial"/>
                <w:sz w:val="18"/>
                <w:szCs w:val="18"/>
                <w:color w:val="auto"/>
                <w:w w:val="97"/>
              </w:rPr>
              <w:t>4.95%</w:t>
            </w:r>
          </w:p>
        </w:tc>
      </w:tr>
      <w:tr>
        <w:trPr>
          <w:trHeight w:val="203"/>
        </w:trPr>
        <w:tc>
          <w:tcPr>
            <w:tcW w:w="4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Maturity date</w:t>
            </w:r>
          </w:p>
        </w:tc>
        <w:tc>
          <w:tcPr>
            <w:tcW w:w="2300" w:type="dxa"/>
            <w:vAlign w:val="bottom"/>
            <w:gridSpan w:val="2"/>
            <w:shd w:val="clear" w:color="auto" w:fill="CCEEFF"/>
          </w:tcPr>
          <w:p>
            <w:pPr>
              <w:jc w:val="center"/>
              <w:ind w:right="220"/>
              <w:spacing w:after="0" w:line="202" w:lineRule="exact"/>
              <w:rPr>
                <w:sz w:val="20"/>
                <w:szCs w:val="20"/>
                <w:color w:val="auto"/>
              </w:rPr>
            </w:pPr>
            <w:r>
              <w:rPr>
                <w:rFonts w:ascii="Arial" w:cs="Arial" w:eastAsia="Arial" w:hAnsi="Arial"/>
                <w:sz w:val="18"/>
                <w:szCs w:val="18"/>
                <w:color w:val="auto"/>
                <w:w w:val="99"/>
              </w:rPr>
              <w:t>February 2029</w:t>
            </w:r>
          </w:p>
        </w:tc>
        <w:tc>
          <w:tcPr>
            <w:tcW w:w="2280" w:type="dxa"/>
            <w:vAlign w:val="bottom"/>
            <w:gridSpan w:val="2"/>
            <w:shd w:val="clear" w:color="auto" w:fill="CCEEFF"/>
          </w:tcPr>
          <w:p>
            <w:pPr>
              <w:jc w:val="center"/>
              <w:ind w:right="240"/>
              <w:spacing w:after="0" w:line="202" w:lineRule="exact"/>
              <w:rPr>
                <w:sz w:val="20"/>
                <w:szCs w:val="20"/>
                <w:color w:val="auto"/>
              </w:rPr>
            </w:pPr>
            <w:r>
              <w:rPr>
                <w:rFonts w:ascii="Arial" w:cs="Arial" w:eastAsia="Arial" w:hAnsi="Arial"/>
                <w:sz w:val="18"/>
                <w:szCs w:val="18"/>
                <w:color w:val="auto"/>
                <w:w w:val="99"/>
              </w:rPr>
              <w:t>February 2029</w:t>
            </w:r>
          </w:p>
        </w:tc>
        <w:tc>
          <w:tcPr>
            <w:tcW w:w="20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February 2025</w:t>
            </w:r>
          </w:p>
        </w:tc>
      </w:tr>
    </w:tbl>
    <w:p>
      <w:pPr>
        <w:spacing w:after="0" w:line="15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2016-3 EETCs</w:t>
      </w:r>
    </w:p>
    <w:p>
      <w:pPr>
        <w:spacing w:after="0" w:line="122" w:lineRule="exact"/>
        <w:rPr>
          <w:sz w:val="20"/>
          <w:szCs w:val="20"/>
          <w:color w:val="auto"/>
        </w:rPr>
      </w:pPr>
    </w:p>
    <w:p>
      <w:pPr>
        <w:jc w:val="both"/>
        <w:ind w:firstLine="228"/>
        <w:spacing w:after="0" w:line="238" w:lineRule="auto"/>
        <w:rPr>
          <w:sz w:val="20"/>
          <w:szCs w:val="20"/>
          <w:color w:val="auto"/>
        </w:rPr>
      </w:pPr>
      <w:r>
        <w:rPr>
          <w:rFonts w:ascii="Arial" w:cs="Arial" w:eastAsia="Arial" w:hAnsi="Arial"/>
          <w:sz w:val="18"/>
          <w:szCs w:val="18"/>
          <w:color w:val="auto"/>
        </w:rPr>
        <w:t>During the first quarter of 2017, all remaining proceeds of the Series 2016-3 Class AA and Class A (the 2016-3 EETCs), in the amount of $109 million, were used to purchase equipment notes issued by American in connection with the financing of new aircraft on or following the delivery thereof. Interest and principal payments on the equipment notes are payable semi-annually in April and October of each year, with interest payments that began in April 2017 and principal payments beginning in October 2017. These equipment notes are secured by liens on the aircraft financed with the proceeds of the 2016-3 EETCs.</w:t>
      </w:r>
    </w:p>
    <w:p>
      <w:pPr>
        <w:spacing w:after="0" w:line="17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Certain information regarding the 2016-3 EETC equipment notes, as of June 30, 2017, is set forth in the table below.</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280" w:type="dxa"/>
            <w:vAlign w:val="bottom"/>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2016-3 EETCs</w:t>
            </w:r>
          </w:p>
        </w:tc>
      </w:tr>
      <w:tr>
        <w:trPr>
          <w:trHeight w:val="156"/>
        </w:trPr>
        <w:tc>
          <w:tcPr>
            <w:tcW w:w="7280" w:type="dxa"/>
            <w:vAlign w:val="bottom"/>
            <w:tcBorders>
              <w:bottom w:val="single" w:sz="8" w:color="CCEEFF"/>
            </w:tcBorders>
          </w:tcPr>
          <w:p>
            <w:pPr>
              <w:spacing w:after="0"/>
              <w:rPr>
                <w:sz w:val="13"/>
                <w:szCs w:val="13"/>
                <w:color w:val="auto"/>
              </w:rPr>
            </w:pPr>
          </w:p>
        </w:tc>
        <w:tc>
          <w:tcPr>
            <w:tcW w:w="1560" w:type="dxa"/>
            <w:vAlign w:val="bottom"/>
            <w:tcBorders>
              <w:bottom w:val="single" w:sz="8" w:color="auto"/>
            </w:tcBorders>
          </w:tcPr>
          <w:p>
            <w:pPr>
              <w:jc w:val="center"/>
              <w:ind w:left="314"/>
              <w:spacing w:after="0" w:line="155" w:lineRule="exact"/>
              <w:rPr>
                <w:sz w:val="20"/>
                <w:szCs w:val="20"/>
                <w:color w:val="auto"/>
              </w:rPr>
            </w:pPr>
            <w:r>
              <w:rPr>
                <w:rFonts w:ascii="Arial" w:cs="Arial" w:eastAsia="Arial" w:hAnsi="Arial"/>
                <w:sz w:val="14"/>
                <w:szCs w:val="14"/>
                <w:b w:val="1"/>
                <w:bCs w:val="1"/>
                <w:color w:val="auto"/>
              </w:rPr>
              <w:t>Series AA</w:t>
            </w:r>
          </w:p>
        </w:tc>
        <w:tc>
          <w:tcPr>
            <w:tcW w:w="400" w:type="dxa"/>
            <w:vAlign w:val="bottom"/>
            <w:tcBorders>
              <w:bottom w:val="single" w:sz="8" w:color="auto"/>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196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9"/>
              </w:rPr>
              <w:t>Series A</w:t>
            </w:r>
          </w:p>
        </w:tc>
      </w:tr>
      <w:tr>
        <w:trPr>
          <w:trHeight w:val="196"/>
        </w:trPr>
        <w:tc>
          <w:tcPr>
            <w:tcW w:w="7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Aggregate principal issued</w:t>
            </w:r>
          </w:p>
        </w:tc>
        <w:tc>
          <w:tcPr>
            <w:tcW w:w="1560" w:type="dxa"/>
            <w:vAlign w:val="bottom"/>
            <w:shd w:val="clear" w:color="auto" w:fill="CCEEFF"/>
          </w:tcPr>
          <w:p>
            <w:pPr>
              <w:jc w:val="center"/>
              <w:ind w:left="314"/>
              <w:spacing w:after="0" w:line="196" w:lineRule="exact"/>
              <w:rPr>
                <w:sz w:val="20"/>
                <w:szCs w:val="20"/>
                <w:color w:val="auto"/>
              </w:rPr>
            </w:pPr>
            <w:r>
              <w:rPr>
                <w:rFonts w:ascii="Arial" w:cs="Arial" w:eastAsia="Arial" w:hAnsi="Arial"/>
                <w:sz w:val="18"/>
                <w:szCs w:val="18"/>
                <w:color w:val="auto"/>
                <w:w w:val="99"/>
              </w:rPr>
              <w:t>$558 million</w:t>
            </w: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96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$256 million</w:t>
            </w:r>
          </w:p>
        </w:tc>
      </w:tr>
      <w:tr>
        <w:trPr>
          <w:trHeight w:val="203"/>
        </w:trPr>
        <w:tc>
          <w:tcPr>
            <w:tcW w:w="7280" w:type="dxa"/>
            <w:vAlign w:val="bottom"/>
          </w:tcPr>
          <w:p>
            <w:pPr>
              <w:spacing w:after="0" w:line="202" w:lineRule="exact"/>
              <w:rPr>
                <w:sz w:val="20"/>
                <w:szCs w:val="20"/>
                <w:color w:val="auto"/>
              </w:rPr>
            </w:pPr>
            <w:r>
              <w:rPr>
                <w:rFonts w:ascii="Arial" w:cs="Arial" w:eastAsia="Arial" w:hAnsi="Arial"/>
                <w:sz w:val="18"/>
                <w:szCs w:val="18"/>
                <w:color w:val="auto"/>
              </w:rPr>
              <w:t>Fixed interest rate per annum</w:t>
            </w:r>
          </w:p>
        </w:tc>
        <w:tc>
          <w:tcPr>
            <w:tcW w:w="1560" w:type="dxa"/>
            <w:vAlign w:val="bottom"/>
          </w:tcPr>
          <w:p>
            <w:pPr>
              <w:jc w:val="center"/>
              <w:ind w:left="334"/>
              <w:spacing w:after="0" w:line="202" w:lineRule="exact"/>
              <w:rPr>
                <w:sz w:val="20"/>
                <w:szCs w:val="20"/>
                <w:color w:val="auto"/>
              </w:rPr>
            </w:pPr>
            <w:r>
              <w:rPr>
                <w:rFonts w:ascii="Arial" w:cs="Arial" w:eastAsia="Arial" w:hAnsi="Arial"/>
                <w:sz w:val="18"/>
                <w:szCs w:val="18"/>
                <w:color w:val="auto"/>
                <w:w w:val="97"/>
              </w:rPr>
              <w:t>3.00%</w:t>
            </w:r>
          </w:p>
        </w:tc>
        <w:tc>
          <w:tcPr>
            <w:tcW w:w="2580" w:type="dxa"/>
            <w:vAlign w:val="bottom"/>
            <w:gridSpan w:val="3"/>
          </w:tcPr>
          <w:p>
            <w:pPr>
              <w:jc w:val="center"/>
              <w:ind w:left="539"/>
              <w:spacing w:after="0" w:line="202" w:lineRule="exact"/>
              <w:rPr>
                <w:sz w:val="20"/>
                <w:szCs w:val="20"/>
                <w:color w:val="auto"/>
              </w:rPr>
            </w:pPr>
            <w:r>
              <w:rPr>
                <w:rFonts w:ascii="Arial" w:cs="Arial" w:eastAsia="Arial" w:hAnsi="Arial"/>
                <w:sz w:val="18"/>
                <w:szCs w:val="18"/>
                <w:color w:val="auto"/>
              </w:rPr>
              <w:t>3.25%</w:t>
            </w:r>
          </w:p>
        </w:tc>
      </w:tr>
      <w:tr>
        <w:trPr>
          <w:trHeight w:val="203"/>
        </w:trPr>
        <w:tc>
          <w:tcPr>
            <w:tcW w:w="7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Maturity date</w:t>
            </w:r>
          </w:p>
        </w:tc>
        <w:tc>
          <w:tcPr>
            <w:tcW w:w="1560" w:type="dxa"/>
            <w:vAlign w:val="bottom"/>
            <w:shd w:val="clear" w:color="auto" w:fill="CCEEFF"/>
          </w:tcPr>
          <w:p>
            <w:pPr>
              <w:jc w:val="center"/>
              <w:ind w:left="334"/>
              <w:spacing w:after="0" w:line="202" w:lineRule="exact"/>
              <w:rPr>
                <w:sz w:val="20"/>
                <w:szCs w:val="20"/>
                <w:color w:val="auto"/>
              </w:rPr>
            </w:pPr>
            <w:r>
              <w:rPr>
                <w:rFonts w:ascii="Arial" w:cs="Arial" w:eastAsia="Arial" w:hAnsi="Arial"/>
                <w:sz w:val="18"/>
                <w:szCs w:val="18"/>
                <w:color w:val="auto"/>
              </w:rPr>
              <w:t>October 2028</w:t>
            </w: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9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8"/>
              </w:rPr>
              <w:t>October 2028</w:t>
            </w:r>
          </w:p>
        </w:tc>
      </w:tr>
    </w:tbl>
    <w:p>
      <w:pPr>
        <w:spacing w:after="0" w:line="15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Equipment Loans and Other Notes Payable Issued in 2017</w:t>
      </w:r>
    </w:p>
    <w:p>
      <w:pPr>
        <w:spacing w:after="0" w:line="122" w:lineRule="exact"/>
        <w:rPr>
          <w:sz w:val="20"/>
          <w:szCs w:val="20"/>
          <w:color w:val="auto"/>
        </w:rPr>
      </w:pPr>
    </w:p>
    <w:p>
      <w:pPr>
        <w:jc w:val="both"/>
        <w:ind w:firstLine="228"/>
        <w:spacing w:after="0" w:line="246" w:lineRule="auto"/>
        <w:rPr>
          <w:sz w:val="20"/>
          <w:szCs w:val="20"/>
          <w:color w:val="auto"/>
        </w:rPr>
      </w:pPr>
      <w:r>
        <w:rPr>
          <w:rFonts w:ascii="Arial" w:cs="Arial" w:eastAsia="Arial" w:hAnsi="Arial"/>
          <w:sz w:val="18"/>
          <w:szCs w:val="18"/>
          <w:color w:val="auto"/>
        </w:rPr>
        <w:t>In the first six months of 2017, American entered into agreements under which it borrowed $533 million in connection with the financing of certain aircraft. Debt incurred under these agreements matures in 2021 through 2029.</w:t>
      </w:r>
    </w:p>
    <w:p>
      <w:pPr>
        <w:spacing w:after="0" w:line="1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2017 Other Financing Activities</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2013 Credit Facilities</w:t>
      </w:r>
    </w:p>
    <w:p>
      <w:pPr>
        <w:spacing w:after="0" w:line="122" w:lineRule="exact"/>
        <w:rPr>
          <w:sz w:val="20"/>
          <w:szCs w:val="20"/>
          <w:color w:val="auto"/>
        </w:rPr>
      </w:pPr>
    </w:p>
    <w:p>
      <w:pPr>
        <w:jc w:val="both"/>
        <w:ind w:firstLine="228"/>
        <w:spacing w:after="0" w:line="236" w:lineRule="auto"/>
        <w:rPr>
          <w:sz w:val="20"/>
          <w:szCs w:val="20"/>
          <w:color w:val="auto"/>
        </w:rPr>
      </w:pPr>
      <w:r>
        <w:rPr>
          <w:rFonts w:ascii="Arial" w:cs="Arial" w:eastAsia="Arial" w:hAnsi="Arial"/>
          <w:sz w:val="18"/>
          <w:szCs w:val="18"/>
          <w:color w:val="auto"/>
        </w:rPr>
        <w:t>In March 2017, American and AAG entered into the Second Amendment to the Amended and Restated Credit and Guaranty Agreement, amending the Amended and Restated Credit and Guaranty Agreement dated May 21, 2015 (which amended and restated the Credit and Guaranty Agreement dated June 27, 2013), as previously amended by the First Amendment to Amended and Restated Credit and Guaranty Agreement dated October 26, 2015, pursuant to which American refinanced the $1.8 billion term loan facility due June 2020 established thereunder (the 2013 Term Loan Facility and, together with the $1.4 billion revolving credit facility established under such agreement, the 2013 Credit Facilities) to reduce the LIBOR margin from 2.50% to 2.00% and the base rate margin from 1.50% to 1.00%. The $1.4 billion revolving credit facility under the 2013 Credit Facilities (the 2013 Revolving Facility) remains unchanged. As of June 30, 2017, approximately $ 1.8 billion of principal was outstanding under the 2013 Term Loan Facility and there were no borrowings or letters of credit outstanding under the 2013 Revolving Facility.</w:t>
      </w:r>
    </w:p>
    <w:p>
      <w:pPr>
        <w:spacing w:after="0" w:line="18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2014 Credit Facilities</w:t>
      </w:r>
    </w:p>
    <w:p>
      <w:pPr>
        <w:spacing w:after="0" w:line="122" w:lineRule="exact"/>
        <w:rPr>
          <w:sz w:val="20"/>
          <w:szCs w:val="20"/>
          <w:color w:val="auto"/>
        </w:rPr>
      </w:pPr>
    </w:p>
    <w:p>
      <w:pPr>
        <w:jc w:val="both"/>
        <w:ind w:firstLine="228"/>
        <w:spacing w:after="0"/>
        <w:rPr>
          <w:sz w:val="20"/>
          <w:szCs w:val="20"/>
          <w:color w:val="auto"/>
        </w:rPr>
      </w:pPr>
      <w:r>
        <w:rPr>
          <w:rFonts w:ascii="Arial" w:cs="Arial" w:eastAsia="Arial" w:hAnsi="Arial"/>
          <w:sz w:val="18"/>
          <w:szCs w:val="18"/>
          <w:color w:val="auto"/>
        </w:rPr>
        <w:t>In June 2017, American and AAG entered into the Third Amendment to the Amended and Restated Credit and Guaranty Agreement, amending the Amended and Restated Credit and Guaranty Agreement dated April 20, 2015 (which amended and restated the Credit and Guaranty Agreement dated October 10, 2014), as previously amended by the First Amendment to Amended and Restated Credit and Guaranty Agreement dated October 26, 2015 and the Second Amendment to Amended and Restated Credit and Guaranty Agreement dated September 22, 2016, pursuant to which American refinanced the $735 million term loan facility due October 2021 established thereunder (the 2014 Term Loan Facility and, together with the $1.025 billion revolving credit facility established under such agreement, the 2014 Credit Facilities) to reduce the LIBOR margin from 2.50% to 2.00% and the base rate margin from 1.50% to 1.00%. The $1.025 billion revolving credit facility under the 2014 Credit Facilities (the 2014 Revolving Facility) remains unchanged. As of June 30, 2017, approximately $735 million of principal was outstanding under the 2014 Term Loan Facility and there were no borrowings or letters of credit outstanding under the 2014 Revolving Facility.</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65"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 TO CONDENSED CONSOLIDATED FINANCIAL STATEMENTS OF AMERICAN AIRLINES,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Income Taxes</w:t>
      </w:r>
    </w:p>
    <w:p>
      <w:pPr>
        <w:spacing w:after="0" w:line="126" w:lineRule="exact"/>
        <w:rPr>
          <w:sz w:val="20"/>
          <w:szCs w:val="20"/>
          <w:color w:val="auto"/>
        </w:rPr>
      </w:pPr>
    </w:p>
    <w:p>
      <w:pPr>
        <w:jc w:val="both"/>
        <w:ind w:firstLine="228"/>
        <w:spacing w:after="0" w:line="237" w:lineRule="auto"/>
        <w:rPr>
          <w:sz w:val="20"/>
          <w:szCs w:val="20"/>
          <w:color w:val="auto"/>
        </w:rPr>
      </w:pPr>
      <w:r>
        <w:rPr>
          <w:rFonts w:ascii="Arial" w:cs="Arial" w:eastAsia="Arial" w:hAnsi="Arial"/>
          <w:sz w:val="18"/>
          <w:szCs w:val="18"/>
          <w:color w:val="auto"/>
        </w:rPr>
        <w:t>At December 31, 2016, American had approximately $11.3 billion of gross net operating losses (NOLs) carried over from prior taxable years (NOL Carryforwards) to reduce future federal taxable income, substantially all of which are expected to be available for use in 2017. American is a member of AAG’s consolidated federal and certain state income tax returns. The amount of federal NOL Carryforwards available in those returns is $10.5 billion, substantially all of which is expected to be available for use in 2017. The federal NOL Carryforwards will expire beginning in 2022 if unused. American also had approximately $3.4 billion of NOL Carryforwards to reduce future state taxable income at December 31, 2016, which will expire in years 2017 through 2034 if unused.</w:t>
      </w:r>
    </w:p>
    <w:p>
      <w:pPr>
        <w:spacing w:after="0" w:line="165" w:lineRule="exact"/>
        <w:rPr>
          <w:sz w:val="20"/>
          <w:szCs w:val="20"/>
          <w:color w:val="auto"/>
        </w:rPr>
      </w:pPr>
    </w:p>
    <w:p>
      <w:pPr>
        <w:jc w:val="both"/>
        <w:ind w:right="20" w:firstLine="228"/>
        <w:spacing w:after="0" w:line="246" w:lineRule="auto"/>
        <w:rPr>
          <w:sz w:val="20"/>
          <w:szCs w:val="20"/>
          <w:color w:val="auto"/>
        </w:rPr>
      </w:pPr>
      <w:r>
        <w:rPr>
          <w:rFonts w:ascii="Arial" w:cs="Arial" w:eastAsia="Arial" w:hAnsi="Arial"/>
          <w:sz w:val="18"/>
          <w:szCs w:val="18"/>
          <w:color w:val="auto"/>
        </w:rPr>
        <w:t>At December 31, 2016, American had an alternative minimum tax credit carryforward of approximately $452 million available for federal income tax purposes, which is available for an indefinite period.</w:t>
      </w:r>
    </w:p>
    <w:p>
      <w:pPr>
        <w:spacing w:after="0" w:line="170" w:lineRule="exact"/>
        <w:rPr>
          <w:sz w:val="20"/>
          <w:szCs w:val="20"/>
          <w:color w:val="auto"/>
        </w:rPr>
      </w:pPr>
    </w:p>
    <w:p>
      <w:pPr>
        <w:jc w:val="both"/>
        <w:ind w:firstLine="228"/>
        <w:spacing w:after="0"/>
        <w:rPr>
          <w:sz w:val="20"/>
          <w:szCs w:val="20"/>
          <w:color w:val="auto"/>
        </w:rPr>
      </w:pPr>
      <w:r>
        <w:rPr>
          <w:rFonts w:ascii="Arial" w:cs="Arial" w:eastAsia="Arial" w:hAnsi="Arial"/>
          <w:sz w:val="18"/>
          <w:szCs w:val="18"/>
          <w:color w:val="auto"/>
        </w:rPr>
        <w:t>During the three and six months ended June 30, 2017, American recorded an income tax provision of $502 million and $650 million, respectively, which was substantially non-cash due to the utilization of the NOLs described above. Substantially all of American’s income before income taxes is attributable to the United States.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10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Assets Measured at Fair Value on a Recurring Basis</w:t>
      </w:r>
    </w:p>
    <w:p>
      <w:pPr>
        <w:spacing w:after="0" w:line="126" w:lineRule="exact"/>
        <w:rPr>
          <w:sz w:val="20"/>
          <w:szCs w:val="20"/>
          <w:color w:val="auto"/>
        </w:rPr>
      </w:pPr>
    </w:p>
    <w:p>
      <w:pPr>
        <w:jc w:val="both"/>
        <w:ind w:firstLine="228"/>
        <w:spacing w:after="0" w:line="239" w:lineRule="auto"/>
        <w:rPr>
          <w:sz w:val="20"/>
          <w:szCs w:val="20"/>
          <w:color w:val="auto"/>
        </w:rPr>
      </w:pPr>
      <w:r>
        <w:rPr>
          <w:rFonts w:ascii="Arial" w:cs="Arial" w:eastAsia="Arial" w:hAnsi="Arial"/>
          <w:sz w:val="18"/>
          <w:szCs w:val="18"/>
          <w:color w:val="auto"/>
        </w:rPr>
        <w:t>American utilizes the market approach to measure fair value for its financial assets. The market approach uses prices and other relevant information generated by market transactions involving identical or comparable assets. American’s short-term investments classified as Level 2 primarily utilize broker quotes in a non-active market for valuation of these securities. No changes in valuation techniques or inputs occurred during the six months ended June 30, 2017.</w:t>
      </w:r>
    </w:p>
    <w:p>
      <w:pPr>
        <w:spacing w:after="0" w:line="16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Assets measured at fair value on a recurring basis are summarized below (in millions):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20" w:type="dxa"/>
            <w:vAlign w:val="bottom"/>
            <w:gridSpan w:val="18"/>
          </w:tcPr>
          <w:p>
            <w:pPr>
              <w:ind w:left="400"/>
              <w:spacing w:after="0"/>
              <w:rPr>
                <w:sz w:val="20"/>
                <w:szCs w:val="20"/>
                <w:color w:val="auto"/>
              </w:rPr>
            </w:pPr>
            <w:r>
              <w:rPr>
                <w:rFonts w:ascii="Arial" w:cs="Arial" w:eastAsia="Arial" w:hAnsi="Arial"/>
                <w:sz w:val="14"/>
                <w:szCs w:val="14"/>
                <w:b w:val="1"/>
                <w:bCs w:val="1"/>
                <w:color w:val="auto"/>
              </w:rPr>
              <w:t>Fair Value Measurements as of June 30, 2017</w:t>
            </w:r>
          </w:p>
        </w:tc>
      </w:tr>
      <w:tr>
        <w:trPr>
          <w:trHeight w:val="156"/>
        </w:trPr>
        <w:tc>
          <w:tcPr>
            <w:tcW w:w="69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4"/>
          </w:tcPr>
          <w:p>
            <w:pPr>
              <w:ind w:left="60"/>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gridSpan w:val="3"/>
          </w:tcPr>
          <w:p>
            <w:pPr>
              <w:spacing w:after="0" w:line="155" w:lineRule="exact"/>
              <w:rPr>
                <w:sz w:val="20"/>
                <w:szCs w:val="20"/>
                <w:color w:val="auto"/>
              </w:rPr>
            </w:pPr>
            <w:r>
              <w:rPr>
                <w:rFonts w:ascii="Arial" w:cs="Arial" w:eastAsia="Arial" w:hAnsi="Arial"/>
                <w:sz w:val="14"/>
                <w:szCs w:val="14"/>
                <w:b w:val="1"/>
                <w:bCs w:val="1"/>
                <w:color w:val="auto"/>
              </w:rPr>
              <w:t>Level 1</w:t>
            </w:r>
          </w:p>
        </w:tc>
        <w:tc>
          <w:tcPr>
            <w:tcW w:w="1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gridSpan w:val="3"/>
          </w:tcPr>
          <w:p>
            <w:pPr>
              <w:ind w:left="20"/>
              <w:spacing w:after="0" w:line="155" w:lineRule="exact"/>
              <w:rPr>
                <w:sz w:val="20"/>
                <w:szCs w:val="20"/>
                <w:color w:val="auto"/>
              </w:rPr>
            </w:pPr>
            <w:r>
              <w:rPr>
                <w:rFonts w:ascii="Arial" w:cs="Arial" w:eastAsia="Arial" w:hAnsi="Arial"/>
                <w:sz w:val="14"/>
                <w:szCs w:val="14"/>
                <w:b w:val="1"/>
                <w:bCs w:val="1"/>
                <w:color w:val="auto"/>
              </w:rPr>
              <w:t>Level 2</w:t>
            </w:r>
          </w:p>
        </w:tc>
        <w:tc>
          <w:tcPr>
            <w:tcW w:w="1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Level 3</w:t>
            </w:r>
          </w:p>
        </w:tc>
        <w:tc>
          <w:tcPr>
            <w:tcW w:w="40" w:type="dxa"/>
            <w:vAlign w:val="bottom"/>
          </w:tcPr>
          <w:p>
            <w:pPr>
              <w:spacing w:after="0"/>
              <w:rPr>
                <w:sz w:val="13"/>
                <w:szCs w:val="13"/>
                <w:color w:val="auto"/>
              </w:rPr>
            </w:pPr>
          </w:p>
        </w:tc>
      </w:tr>
      <w:tr>
        <w:trPr>
          <w:trHeight w:val="196"/>
        </w:trPr>
        <w:tc>
          <w:tcPr>
            <w:tcW w:w="6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 xml:space="preserve">Short-term investments </w:t>
            </w:r>
            <w:r>
              <w:rPr>
                <w:rFonts w:ascii="Arial" w:cs="Arial" w:eastAsia="Arial" w:hAnsi="Arial"/>
                <w:sz w:val="15"/>
                <w:szCs w:val="15"/>
                <w:color w:val="auto"/>
              </w:rPr>
              <w:t>(1) (2)</w:t>
            </w:r>
            <w:r>
              <w:rPr>
                <w:rFonts w:ascii="Arial" w:cs="Arial" w:eastAsia="Arial" w:hAnsi="Arial"/>
                <w:sz w:val="18"/>
                <w:szCs w:val="18"/>
                <w:color w:val="auto"/>
              </w:rPr>
              <w:t>:</w:t>
            </w:r>
          </w:p>
        </w:tc>
        <w:tc>
          <w:tcPr>
            <w:tcW w:w="1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03"/>
        </w:trPr>
        <w:tc>
          <w:tcPr>
            <w:tcW w:w="7040" w:type="dxa"/>
            <w:vAlign w:val="bottom"/>
            <w:gridSpan w:val="2"/>
          </w:tcPr>
          <w:p>
            <w:pPr>
              <w:spacing w:after="0" w:line="202" w:lineRule="exact"/>
              <w:rPr>
                <w:sz w:val="20"/>
                <w:szCs w:val="20"/>
                <w:color w:val="auto"/>
              </w:rPr>
            </w:pPr>
            <w:r>
              <w:rPr>
                <w:rFonts w:ascii="Arial" w:cs="Arial" w:eastAsia="Arial" w:hAnsi="Arial"/>
                <w:sz w:val="18"/>
                <w:szCs w:val="18"/>
                <w:color w:val="auto"/>
              </w:rPr>
              <w:t>Money market funds</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347</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347</w:t>
            </w:r>
          </w:p>
        </w:tc>
        <w:tc>
          <w:tcPr>
            <w:tcW w:w="140" w:type="dxa"/>
            <w:vAlign w:val="bottom"/>
          </w:tcPr>
          <w:p>
            <w:pPr>
              <w:spacing w:after="0"/>
              <w:rPr>
                <w:sz w:val="17"/>
                <w:szCs w:val="17"/>
                <w:color w:val="auto"/>
              </w:rPr>
            </w:pPr>
          </w:p>
        </w:tc>
        <w:tc>
          <w:tcPr>
            <w:tcW w:w="2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3"/>
          </w:tcPr>
          <w:p>
            <w:pPr>
              <w:ind w:left="400"/>
              <w:spacing w:after="0" w:line="202" w:lineRule="exact"/>
              <w:rPr>
                <w:sz w:val="20"/>
                <w:szCs w:val="20"/>
                <w:color w:val="auto"/>
              </w:rPr>
            </w:pPr>
            <w:r>
              <w:rPr>
                <w:rFonts w:ascii="Arial" w:cs="Arial" w:eastAsia="Arial" w:hAnsi="Arial"/>
                <w:sz w:val="18"/>
                <w:szCs w:val="18"/>
                <w:color w:val="auto"/>
              </w:rPr>
              <w:t>—</w:t>
            </w:r>
          </w:p>
        </w:tc>
      </w:tr>
      <w:tr>
        <w:trPr>
          <w:trHeight w:val="203"/>
        </w:trPr>
        <w:tc>
          <w:tcPr>
            <w:tcW w:w="70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Corporate obligations</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3,007</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3,007</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3"/>
            <w:shd w:val="clear" w:color="auto" w:fill="CCEEFF"/>
          </w:tcPr>
          <w:p>
            <w:pPr>
              <w:ind w:left="400"/>
              <w:spacing w:after="0" w:line="202" w:lineRule="exact"/>
              <w:rPr>
                <w:sz w:val="20"/>
                <w:szCs w:val="20"/>
                <w:color w:val="auto"/>
              </w:rPr>
            </w:pPr>
            <w:r>
              <w:rPr>
                <w:rFonts w:ascii="Arial" w:cs="Arial" w:eastAsia="Arial" w:hAnsi="Arial"/>
                <w:sz w:val="18"/>
                <w:szCs w:val="18"/>
                <w:color w:val="auto"/>
              </w:rPr>
              <w:t>—</w:t>
            </w:r>
          </w:p>
        </w:tc>
      </w:tr>
      <w:tr>
        <w:trPr>
          <w:trHeight w:val="203"/>
        </w:trPr>
        <w:tc>
          <w:tcPr>
            <w:tcW w:w="7040" w:type="dxa"/>
            <w:vAlign w:val="bottom"/>
            <w:gridSpan w:val="2"/>
          </w:tcPr>
          <w:p>
            <w:pPr>
              <w:spacing w:after="0" w:line="202" w:lineRule="exact"/>
              <w:rPr>
                <w:sz w:val="20"/>
                <w:szCs w:val="20"/>
                <w:color w:val="auto"/>
              </w:rPr>
            </w:pPr>
            <w:r>
              <w:rPr>
                <w:rFonts w:ascii="Arial" w:cs="Arial" w:eastAsia="Arial" w:hAnsi="Arial"/>
                <w:sz w:val="18"/>
                <w:szCs w:val="18"/>
                <w:color w:val="auto"/>
              </w:rPr>
              <w:t>Bank notes/certificates of deposit/time deposits</w:t>
            </w:r>
          </w:p>
        </w:tc>
        <w:tc>
          <w:tcPr>
            <w:tcW w:w="16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3,094</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3"/>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3,094</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3"/>
          </w:tcPr>
          <w:p>
            <w:pPr>
              <w:ind w:left="400"/>
              <w:spacing w:after="0" w:line="202" w:lineRule="exact"/>
              <w:rPr>
                <w:sz w:val="20"/>
                <w:szCs w:val="20"/>
                <w:color w:val="auto"/>
              </w:rPr>
            </w:pPr>
            <w:r>
              <w:rPr>
                <w:rFonts w:ascii="Arial" w:cs="Arial" w:eastAsia="Arial" w:hAnsi="Arial"/>
                <w:sz w:val="18"/>
                <w:szCs w:val="18"/>
                <w:color w:val="auto"/>
              </w:rPr>
              <w:t>—</w:t>
            </w:r>
          </w:p>
        </w:tc>
      </w:tr>
      <w:tr>
        <w:trPr>
          <w:trHeight w:val="203"/>
        </w:trPr>
        <w:tc>
          <w:tcPr>
            <w:tcW w:w="70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Repurchase agreements</w:t>
            </w: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50</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3"/>
            <w:shd w:val="clear" w:color="auto" w:fill="CCEEFF"/>
          </w:tcPr>
          <w:p>
            <w:pPr>
              <w:ind w:left="400"/>
              <w:spacing w:after="0" w:line="202" w:lineRule="exact"/>
              <w:rPr>
                <w:sz w:val="20"/>
                <w:szCs w:val="20"/>
                <w:color w:val="auto"/>
              </w:rPr>
            </w:pPr>
            <w:r>
              <w:rPr>
                <w:rFonts w:ascii="Arial" w:cs="Arial" w:eastAsia="Arial" w:hAnsi="Arial"/>
                <w:sz w:val="18"/>
                <w:szCs w:val="18"/>
                <w:color w:val="auto"/>
              </w:rPr>
              <w:t>—</w:t>
            </w:r>
          </w:p>
        </w:tc>
      </w:tr>
      <w:tr>
        <w:trPr>
          <w:trHeight w:val="210"/>
        </w:trPr>
        <w:tc>
          <w:tcPr>
            <w:tcW w:w="6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6,498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6,151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ind w:left="400"/>
              <w:spacing w:after="0"/>
              <w:rPr>
                <w:sz w:val="20"/>
                <w:szCs w:val="20"/>
                <w:color w:val="auto"/>
              </w:rPr>
            </w:pPr>
            <w:r>
              <w:rPr>
                <w:rFonts w:ascii="Arial" w:cs="Arial" w:eastAsia="Arial" w:hAnsi="Arial"/>
                <w:sz w:val="18"/>
                <w:szCs w:val="18"/>
                <w:color w:val="auto"/>
                <w:w w:val="88"/>
              </w:rPr>
              <w:t>—</w:t>
            </w:r>
          </w:p>
        </w:tc>
        <w:tc>
          <w:tcPr>
            <w:tcW w:w="200" w:type="dxa"/>
            <w:vAlign w:val="bottom"/>
            <w:gridSpan w:val="2"/>
          </w:tcPr>
          <w:p>
            <w:pPr>
              <w:spacing w:after="0"/>
              <w:rPr>
                <w:sz w:val="18"/>
                <w:szCs w:val="18"/>
                <w:color w:val="auto"/>
              </w:rPr>
            </w:pPr>
          </w:p>
        </w:tc>
      </w:tr>
      <w:tr>
        <w:trPr>
          <w:trHeight w:val="203"/>
        </w:trPr>
        <w:tc>
          <w:tcPr>
            <w:tcW w:w="70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 xml:space="preserve">Restricted cash and short-term investments </w:t>
            </w:r>
            <w:r>
              <w:rPr>
                <w:rFonts w:ascii="Arial" w:cs="Arial" w:eastAsia="Arial" w:hAnsi="Arial"/>
                <w:sz w:val="15"/>
                <w:szCs w:val="15"/>
                <w:color w:val="auto"/>
              </w:rPr>
              <w:t>(1)</w:t>
            </w:r>
          </w:p>
        </w:tc>
        <w:tc>
          <w:tcPr>
            <w:tcW w:w="1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554</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106</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448</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ind w:left="400"/>
              <w:spacing w:after="0" w:line="202" w:lineRule="exact"/>
              <w:rPr>
                <w:sz w:val="20"/>
                <w:szCs w:val="20"/>
                <w:color w:val="auto"/>
              </w:rPr>
            </w:pPr>
            <w:r>
              <w:rPr>
                <w:rFonts w:ascii="Arial" w:cs="Arial" w:eastAsia="Arial" w:hAnsi="Arial"/>
                <w:sz w:val="18"/>
                <w:szCs w:val="18"/>
                <w:color w:val="auto"/>
                <w:w w:val="88"/>
              </w:rPr>
              <w:t>—</w:t>
            </w:r>
          </w:p>
        </w:tc>
        <w:tc>
          <w:tcPr>
            <w:tcW w:w="200" w:type="dxa"/>
            <w:vAlign w:val="bottom"/>
            <w:gridSpan w:val="2"/>
            <w:shd w:val="clear" w:color="auto" w:fill="CCEEFF"/>
          </w:tcPr>
          <w:p>
            <w:pPr>
              <w:spacing w:after="0"/>
              <w:rPr>
                <w:sz w:val="17"/>
                <w:szCs w:val="17"/>
                <w:color w:val="auto"/>
              </w:rPr>
            </w:pPr>
          </w:p>
        </w:tc>
      </w:tr>
      <w:tr>
        <w:trPr>
          <w:trHeight w:val="210"/>
        </w:trPr>
        <w:tc>
          <w:tcPr>
            <w:tcW w:w="70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7,052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453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6,599</w:t>
            </w:r>
          </w:p>
        </w:tc>
        <w:tc>
          <w:tcPr>
            <w:tcW w:w="14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3"/>
          </w:tcPr>
          <w:p>
            <w:pPr>
              <w:ind w:left="400"/>
              <w:spacing w:after="0"/>
              <w:rPr>
                <w:sz w:val="20"/>
                <w:szCs w:val="20"/>
                <w:color w:val="auto"/>
              </w:rPr>
            </w:pPr>
            <w:r>
              <w:rPr>
                <w:rFonts w:ascii="Arial" w:cs="Arial" w:eastAsia="Arial" w:hAnsi="Arial"/>
                <w:sz w:val="18"/>
                <w:szCs w:val="18"/>
                <w:color w:val="auto"/>
              </w:rPr>
              <w:t>—</w:t>
            </w:r>
          </w:p>
        </w:tc>
      </w:tr>
      <w:tr>
        <w:trPr>
          <w:trHeight w:val="20"/>
        </w:trPr>
        <w:tc>
          <w:tcPr>
            <w:tcW w:w="6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82" w:lineRule="exact"/>
        <w:rPr>
          <w:sz w:val="20"/>
          <w:szCs w:val="20"/>
          <w:color w:val="auto"/>
        </w:rPr>
      </w:pPr>
    </w:p>
    <w:p>
      <w:pPr>
        <w:ind w:left="460" w:hanging="452"/>
        <w:spacing w:after="0" w:line="246" w:lineRule="auto"/>
        <w:tabs>
          <w:tab w:leader="none" w:pos="460" w:val="left"/>
        </w:tabs>
        <w:numPr>
          <w:ilvl w:val="0"/>
          <w:numId w:val="9"/>
        </w:numPr>
        <w:rPr>
          <w:rFonts w:ascii="Arial" w:cs="Arial" w:eastAsia="Arial" w:hAnsi="Arial"/>
          <w:sz w:val="15"/>
          <w:szCs w:val="15"/>
          <w:color w:val="auto"/>
        </w:rPr>
      </w:pPr>
      <w:r>
        <w:rPr>
          <w:rFonts w:ascii="Arial" w:cs="Arial" w:eastAsia="Arial" w:hAnsi="Arial"/>
          <w:sz w:val="18"/>
          <w:szCs w:val="18"/>
          <w:color w:val="auto"/>
        </w:rPr>
        <w:t>Unrealized gains or losses on short-term investments and restricted cash and short-term investments are recorded in accumulated other comprehensive loss at each measurement date.</w:t>
      </w:r>
    </w:p>
    <w:p>
      <w:pPr>
        <w:spacing w:after="0" w:line="102" w:lineRule="exact"/>
        <w:rPr>
          <w:rFonts w:ascii="Arial" w:cs="Arial" w:eastAsia="Arial" w:hAnsi="Arial"/>
          <w:sz w:val="15"/>
          <w:szCs w:val="15"/>
          <w:color w:val="auto"/>
        </w:rPr>
      </w:pPr>
    </w:p>
    <w:p>
      <w:pPr>
        <w:ind w:left="460" w:hanging="452"/>
        <w:spacing w:after="0" w:line="246" w:lineRule="auto"/>
        <w:tabs>
          <w:tab w:leader="none" w:pos="460" w:val="left"/>
        </w:tabs>
        <w:numPr>
          <w:ilvl w:val="0"/>
          <w:numId w:val="9"/>
        </w:numPr>
        <w:rPr>
          <w:rFonts w:ascii="Arial" w:cs="Arial" w:eastAsia="Arial" w:hAnsi="Arial"/>
          <w:sz w:val="15"/>
          <w:szCs w:val="15"/>
          <w:color w:val="auto"/>
        </w:rPr>
      </w:pPr>
      <w:r>
        <w:rPr>
          <w:rFonts w:ascii="Arial" w:cs="Arial" w:eastAsia="Arial" w:hAnsi="Arial"/>
          <w:sz w:val="18"/>
          <w:szCs w:val="18"/>
          <w:color w:val="auto"/>
        </w:rPr>
        <w:t>All short-term investments are classified as available-for-sale and stated at fair value. American’s short-term investments mature in one year or less except for $1.7 billion of bank notes/certificates of deposit/time deposits and $441 million of corporate obligations.</w:t>
      </w:r>
    </w:p>
    <w:p>
      <w:pPr>
        <w:spacing w:after="0" w:line="1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Fair Value of Debt</w:t>
      </w:r>
    </w:p>
    <w:p>
      <w:pPr>
        <w:spacing w:after="0" w:line="72" w:lineRule="exact"/>
        <w:rPr>
          <w:sz w:val="20"/>
          <w:szCs w:val="20"/>
          <w:color w:val="auto"/>
        </w:rPr>
      </w:pPr>
    </w:p>
    <w:p>
      <w:pPr>
        <w:jc w:val="both"/>
        <w:ind w:firstLine="228"/>
        <w:spacing w:after="0"/>
        <w:rPr>
          <w:sz w:val="20"/>
          <w:szCs w:val="20"/>
          <w:color w:val="auto"/>
        </w:rPr>
      </w:pPr>
      <w:r>
        <w:rPr>
          <w:rFonts w:ascii="Arial" w:cs="Arial" w:eastAsia="Arial" w:hAnsi="Arial"/>
          <w:sz w:val="18"/>
          <w:szCs w:val="18"/>
          <w:color w:val="auto"/>
        </w:rPr>
        <w:t>The fair value of American’s long-term debt was estimated using quoted market prices or discounted cash flow analyses, based on American’s current estimated incremental borrowing rates for similar types of borrowing arrangements. If American’s long-term debt was measured at fair value, it would have been classified as Level 2 in the fair value hierarchy.</w:t>
      </w:r>
    </w:p>
    <w:p>
      <w:pPr>
        <w:spacing w:after="0" w:line="1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carrying value and estimated fair value of American’s long-term debt, including current maturities, were as follows (in millions):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5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80" w:type="dxa"/>
            <w:vAlign w:val="bottom"/>
            <w:gridSpan w:val="7"/>
          </w:tcPr>
          <w:p>
            <w:pPr>
              <w:ind w:left="480"/>
              <w:spacing w:after="0"/>
              <w:rPr>
                <w:sz w:val="20"/>
                <w:szCs w:val="20"/>
                <w:color w:val="auto"/>
              </w:rPr>
            </w:pPr>
            <w:r>
              <w:rPr>
                <w:rFonts w:ascii="Arial" w:cs="Arial" w:eastAsia="Arial" w:hAnsi="Arial"/>
                <w:sz w:val="14"/>
                <w:szCs w:val="14"/>
                <w:b w:val="1"/>
                <w:bCs w:val="1"/>
                <w:color w:val="auto"/>
              </w:rPr>
              <w:t>June 30, 2017</w:t>
            </w:r>
          </w:p>
        </w:tc>
        <w:tc>
          <w:tcPr>
            <w:tcW w:w="120" w:type="dxa"/>
            <w:vAlign w:val="bottom"/>
          </w:tcPr>
          <w:p>
            <w:pPr>
              <w:spacing w:after="0"/>
              <w:rPr>
                <w:sz w:val="15"/>
                <w:szCs w:val="15"/>
                <w:color w:val="auto"/>
              </w:rPr>
            </w:pPr>
          </w:p>
        </w:tc>
        <w:tc>
          <w:tcPr>
            <w:tcW w:w="2060" w:type="dxa"/>
            <w:vAlign w:val="bottom"/>
            <w:gridSpan w:val="7"/>
          </w:tcPr>
          <w:p>
            <w:pPr>
              <w:ind w:left="300"/>
              <w:spacing w:after="0"/>
              <w:rPr>
                <w:sz w:val="20"/>
                <w:szCs w:val="20"/>
                <w:color w:val="auto"/>
              </w:rPr>
            </w:pPr>
            <w:r>
              <w:rPr>
                <w:rFonts w:ascii="Arial" w:cs="Arial" w:eastAsia="Arial" w:hAnsi="Arial"/>
                <w:sz w:val="14"/>
                <w:szCs w:val="14"/>
                <w:b w:val="1"/>
                <w:bCs w:val="1"/>
                <w:color w:val="auto"/>
              </w:rPr>
              <w:t>December 31, 2016</w:t>
            </w:r>
          </w:p>
        </w:tc>
        <w:tc>
          <w:tcPr>
            <w:tcW w:w="0" w:type="dxa"/>
            <w:vAlign w:val="bottom"/>
          </w:tcPr>
          <w:p>
            <w:pPr>
              <w:spacing w:after="0"/>
              <w:rPr>
                <w:sz w:val="1"/>
                <w:szCs w:val="1"/>
                <w:color w:val="auto"/>
              </w:rPr>
            </w:pPr>
          </w:p>
        </w:tc>
      </w:tr>
      <w:tr>
        <w:trPr>
          <w:trHeight w:val="142"/>
        </w:trPr>
        <w:tc>
          <w:tcPr>
            <w:tcW w:w="45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4"/>
          </w:tcPr>
          <w:p>
            <w:pPr>
              <w:jc w:val="center"/>
              <w:ind w:right="380"/>
              <w:spacing w:after="0" w:line="143" w:lineRule="exact"/>
              <w:rPr>
                <w:sz w:val="20"/>
                <w:szCs w:val="20"/>
                <w:color w:val="auto"/>
              </w:rPr>
            </w:pPr>
            <w:r>
              <w:rPr>
                <w:rFonts w:ascii="Arial" w:cs="Arial" w:eastAsia="Arial" w:hAnsi="Arial"/>
                <w:sz w:val="14"/>
                <w:szCs w:val="14"/>
                <w:b w:val="1"/>
                <w:bCs w:val="1"/>
                <w:color w:val="auto"/>
              </w:rPr>
              <w:t>Carrying</w:t>
            </w:r>
          </w:p>
        </w:tc>
        <w:tc>
          <w:tcPr>
            <w:tcW w:w="880" w:type="dxa"/>
            <w:vAlign w:val="bottom"/>
            <w:tcBorders>
              <w:top w:val="single" w:sz="8" w:color="auto"/>
            </w:tcBorders>
            <w:gridSpan w:val="2"/>
          </w:tcPr>
          <w:p>
            <w:pPr>
              <w:jc w:val="center"/>
              <w:ind w:right="100"/>
              <w:spacing w:after="0" w:line="143" w:lineRule="exact"/>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3"/>
          </w:tcPr>
          <w:p>
            <w:pPr>
              <w:jc w:val="center"/>
              <w:ind w:right="280"/>
              <w:spacing w:after="0" w:line="143" w:lineRule="exact"/>
              <w:rPr>
                <w:sz w:val="20"/>
                <w:szCs w:val="20"/>
                <w:color w:val="auto"/>
              </w:rPr>
            </w:pPr>
            <w:r>
              <w:rPr>
                <w:rFonts w:ascii="Arial" w:cs="Arial" w:eastAsia="Arial" w:hAnsi="Arial"/>
                <w:sz w:val="14"/>
                <w:szCs w:val="14"/>
                <w:b w:val="1"/>
                <w:bCs w:val="1"/>
                <w:color w:val="auto"/>
              </w:rPr>
              <w:t>Carrying</w:t>
            </w: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center"/>
              <w:ind w:right="120"/>
              <w:spacing w:after="0" w:line="143" w:lineRule="exact"/>
              <w:rPr>
                <w:sz w:val="20"/>
                <w:szCs w:val="20"/>
                <w:color w:val="auto"/>
              </w:rPr>
            </w:pPr>
            <w:r>
              <w:rPr>
                <w:rFonts w:ascii="Arial" w:cs="Arial" w:eastAsia="Arial" w:hAnsi="Arial"/>
                <w:sz w:val="14"/>
                <w:szCs w:val="14"/>
                <w:b w:val="1"/>
                <w:bCs w:val="1"/>
                <w:color w:val="auto"/>
              </w:rPr>
              <w:t>Fair</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5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rPr>
              <w:t>Value</w:t>
            </w:r>
          </w:p>
        </w:tc>
        <w:tc>
          <w:tcPr>
            <w:tcW w:w="10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5"/>
                <w:szCs w:val="15"/>
                <w:color w:val="auto"/>
              </w:rPr>
            </w:pPr>
          </w:p>
        </w:tc>
        <w:tc>
          <w:tcPr>
            <w:tcW w:w="10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5"/>
                <w:szCs w:val="15"/>
                <w:color w:val="auto"/>
              </w:rPr>
            </w:pPr>
          </w:p>
        </w:tc>
        <w:tc>
          <w:tcPr>
            <w:tcW w:w="9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96"/>
        </w:trPr>
        <w:tc>
          <w:tcPr>
            <w:tcW w:w="45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Long-term debt, including current maturities</w:t>
            </w:r>
          </w:p>
        </w:tc>
        <w:tc>
          <w:tcPr>
            <w:tcW w:w="24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gridSpan w:val="3"/>
            <w:shd w:val="clear" w:color="auto" w:fill="CCEEFF"/>
          </w:tcPr>
          <w:p>
            <w:pPr>
              <w:jc w:val="center"/>
              <w:ind w:right="40"/>
              <w:spacing w:after="0" w:line="196" w:lineRule="exact"/>
              <w:rPr>
                <w:sz w:val="20"/>
                <w:szCs w:val="20"/>
                <w:color w:val="auto"/>
              </w:rPr>
            </w:pPr>
            <w:r>
              <w:rPr>
                <w:rFonts w:ascii="Arial" w:cs="Arial" w:eastAsia="Arial" w:hAnsi="Arial"/>
                <w:sz w:val="18"/>
                <w:szCs w:val="18"/>
                <w:color w:val="auto"/>
              </w:rPr>
              <w:t>$ 23,089</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gridSpan w:val="2"/>
            <w:shd w:val="clear" w:color="auto" w:fill="CCEEFF"/>
          </w:tcPr>
          <w:p>
            <w:pPr>
              <w:jc w:val="center"/>
              <w:ind w:right="160"/>
              <w:spacing w:after="0" w:line="196" w:lineRule="exact"/>
              <w:rPr>
                <w:sz w:val="20"/>
                <w:szCs w:val="20"/>
                <w:color w:val="auto"/>
              </w:rPr>
            </w:pPr>
            <w:r>
              <w:rPr>
                <w:rFonts w:ascii="Arial" w:cs="Arial" w:eastAsia="Arial" w:hAnsi="Arial"/>
                <w:sz w:val="18"/>
                <w:szCs w:val="18"/>
                <w:color w:val="auto"/>
              </w:rPr>
              <w:t>$ 23,582</w:t>
            </w:r>
          </w:p>
        </w:tc>
        <w:tc>
          <w:tcPr>
            <w:tcW w:w="16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gridSpan w:val="3"/>
            <w:shd w:val="clear" w:color="auto" w:fill="CCEEFF"/>
          </w:tcPr>
          <w:p>
            <w:pPr>
              <w:jc w:val="center"/>
              <w:ind w:right="60"/>
              <w:spacing w:after="0" w:line="196" w:lineRule="exact"/>
              <w:rPr>
                <w:sz w:val="20"/>
                <w:szCs w:val="20"/>
                <w:color w:val="auto"/>
              </w:rPr>
            </w:pPr>
            <w:r>
              <w:rPr>
                <w:rFonts w:ascii="Arial" w:cs="Arial" w:eastAsia="Arial" w:hAnsi="Arial"/>
                <w:sz w:val="18"/>
                <w:szCs w:val="18"/>
                <w:color w:val="auto"/>
                <w:w w:val="99"/>
              </w:rPr>
              <w:t>$ 22,577</w:t>
            </w:r>
          </w:p>
        </w:tc>
        <w:tc>
          <w:tcPr>
            <w:tcW w:w="1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gridSpan w:val="3"/>
            <w:shd w:val="clear" w:color="auto" w:fill="CCEEFF"/>
          </w:tcPr>
          <w:p>
            <w:pPr>
              <w:jc w:val="center"/>
              <w:ind w:right="40"/>
              <w:spacing w:after="0" w:line="196" w:lineRule="exact"/>
              <w:rPr>
                <w:sz w:val="20"/>
                <w:szCs w:val="20"/>
                <w:color w:val="auto"/>
              </w:rPr>
            </w:pPr>
            <w:r>
              <w:rPr>
                <w:rFonts w:ascii="Arial" w:cs="Arial" w:eastAsia="Arial" w:hAnsi="Arial"/>
                <w:sz w:val="18"/>
                <w:szCs w:val="18"/>
                <w:color w:val="auto"/>
              </w:rPr>
              <w:t>$ 23,181</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2400" w:type="dxa"/>
            <w:vAlign w:val="bottom"/>
            <w:vMerge w:val="restart"/>
          </w:tcPr>
          <w:p>
            <w:pPr>
              <w:jc w:val="right"/>
              <w:ind w:right="103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540" w:type="dxa"/>
            <w:vAlign w:val="bottom"/>
          </w:tcPr>
          <w:p>
            <w:pPr>
              <w:spacing w:after="0"/>
              <w:rPr>
                <w:sz w:val="24"/>
                <w:szCs w:val="24"/>
                <w:color w:val="auto"/>
              </w:rPr>
            </w:pPr>
          </w:p>
        </w:tc>
        <w:tc>
          <w:tcPr>
            <w:tcW w:w="24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65"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 TO CONDENSED CONSOLIDATED FINANCIAL STATEMENTS OF AMERICAN AIRLINES,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Employee Benefit Plans</w:t>
      </w:r>
    </w:p>
    <w:p>
      <w:pPr>
        <w:spacing w:after="0" w:line="12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tables provide the components of net periodic benefit cost (income) (in millions):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60" w:type="dxa"/>
            <w:vAlign w:val="bottom"/>
            <w:gridSpan w:val="8"/>
          </w:tcPr>
          <w:p>
            <w:pPr>
              <w:ind w:left="40"/>
              <w:spacing w:after="0"/>
              <w:rPr>
                <w:sz w:val="20"/>
                <w:szCs w:val="20"/>
                <w:color w:val="auto"/>
              </w:rPr>
            </w:pPr>
            <w:r>
              <w:rPr>
                <w:rFonts w:ascii="Arial" w:cs="Arial" w:eastAsia="Arial" w:hAnsi="Arial"/>
                <w:sz w:val="14"/>
                <w:szCs w:val="14"/>
                <w:b w:val="1"/>
                <w:bCs w:val="1"/>
                <w:color w:val="auto"/>
              </w:rPr>
              <w:t>Retiree Medical and Other</w:t>
            </w:r>
          </w:p>
        </w:tc>
        <w:tc>
          <w:tcPr>
            <w:tcW w:w="0" w:type="dxa"/>
            <w:vAlign w:val="bottom"/>
          </w:tcPr>
          <w:p>
            <w:pPr>
              <w:spacing w:after="0"/>
              <w:rPr>
                <w:sz w:val="1"/>
                <w:szCs w:val="1"/>
                <w:color w:val="auto"/>
              </w:rPr>
            </w:pPr>
          </w:p>
        </w:tc>
      </w:tr>
      <w:tr>
        <w:trPr>
          <w:trHeight w:val="175"/>
        </w:trPr>
        <w:tc>
          <w:tcPr>
            <w:tcW w:w="66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80" w:type="dxa"/>
            <w:vAlign w:val="bottom"/>
            <w:gridSpan w:val="9"/>
          </w:tcPr>
          <w:p>
            <w:pPr>
              <w:ind w:left="220"/>
              <w:spacing w:after="0"/>
              <w:rPr>
                <w:sz w:val="20"/>
                <w:szCs w:val="20"/>
                <w:color w:val="auto"/>
              </w:rPr>
            </w:pPr>
            <w:r>
              <w:rPr>
                <w:rFonts w:ascii="Arial" w:cs="Arial" w:eastAsia="Arial" w:hAnsi="Arial"/>
                <w:sz w:val="14"/>
                <w:szCs w:val="14"/>
                <w:b w:val="1"/>
                <w:bCs w:val="1"/>
                <w:color w:val="auto"/>
              </w:rPr>
              <w:t>Pension Benefits</w:t>
            </w:r>
          </w:p>
        </w:tc>
        <w:tc>
          <w:tcPr>
            <w:tcW w:w="140" w:type="dxa"/>
            <w:vAlign w:val="bottom"/>
          </w:tcPr>
          <w:p>
            <w:pPr>
              <w:spacing w:after="0"/>
              <w:rPr>
                <w:sz w:val="15"/>
                <w:szCs w:val="15"/>
                <w:color w:val="auto"/>
              </w:rPr>
            </w:pPr>
          </w:p>
        </w:tc>
        <w:tc>
          <w:tcPr>
            <w:tcW w:w="2160" w:type="dxa"/>
            <w:vAlign w:val="bottom"/>
            <w:gridSpan w:val="8"/>
          </w:tcPr>
          <w:p>
            <w:pPr>
              <w:ind w:left="120"/>
              <w:spacing w:after="0"/>
              <w:rPr>
                <w:sz w:val="20"/>
                <w:szCs w:val="20"/>
                <w:color w:val="auto"/>
              </w:rPr>
            </w:pPr>
            <w:r>
              <w:rPr>
                <w:rFonts w:ascii="Arial" w:cs="Arial" w:eastAsia="Arial" w:hAnsi="Arial"/>
                <w:sz w:val="14"/>
                <w:szCs w:val="14"/>
                <w:b w:val="1"/>
                <w:bCs w:val="1"/>
                <w:color w:val="auto"/>
              </w:rPr>
              <w:t>Postretirement Benefits</w:t>
            </w:r>
          </w:p>
        </w:tc>
        <w:tc>
          <w:tcPr>
            <w:tcW w:w="0" w:type="dxa"/>
            <w:vAlign w:val="bottom"/>
          </w:tcPr>
          <w:p>
            <w:pPr>
              <w:spacing w:after="0"/>
              <w:rPr>
                <w:sz w:val="1"/>
                <w:szCs w:val="1"/>
                <w:color w:val="auto"/>
              </w:rPr>
            </w:pPr>
          </w:p>
        </w:tc>
      </w:tr>
      <w:tr>
        <w:trPr>
          <w:trHeight w:val="162"/>
        </w:trPr>
        <w:tc>
          <w:tcPr>
            <w:tcW w:w="6640" w:type="dxa"/>
            <w:vAlign w:val="bottom"/>
            <w:gridSpan w:val="4"/>
            <w:vMerge w:val="continue"/>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020" w:type="dxa"/>
            <w:vAlign w:val="bottom"/>
            <w:tcBorders>
              <w:top w:val="single" w:sz="8" w:color="auto"/>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Service cost</w:t>
            </w:r>
          </w:p>
        </w:tc>
        <w:tc>
          <w:tcPr>
            <w:tcW w:w="46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gridSpan w:val="2"/>
            <w:shd w:val="clear" w:color="auto" w:fill="CCEEFF"/>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gridSpan w:val="2"/>
            <w:shd w:val="clear" w:color="auto" w:fill="CCEEFF"/>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w:t>
            </w:r>
          </w:p>
        </w:tc>
        <w:tc>
          <w:tcPr>
            <w:tcW w:w="1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gridSpan w:val="2"/>
            <w:shd w:val="clear" w:color="auto" w:fill="CCEEFF"/>
          </w:tcPr>
          <w:p>
            <w:pPr>
              <w:jc w:val="right"/>
              <w:ind w:right="80"/>
              <w:spacing w:after="0" w:line="189"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w:t>
            </w:r>
          </w:p>
        </w:tc>
        <w:tc>
          <w:tcPr>
            <w:tcW w:w="1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gridSpan w:val="3"/>
          </w:tcPr>
          <w:p>
            <w:pPr>
              <w:spacing w:after="0" w:line="202" w:lineRule="exact"/>
              <w:rPr>
                <w:sz w:val="20"/>
                <w:szCs w:val="20"/>
                <w:color w:val="auto"/>
              </w:rPr>
            </w:pPr>
            <w:r>
              <w:rPr>
                <w:rFonts w:ascii="Arial" w:cs="Arial" w:eastAsia="Arial" w:hAnsi="Arial"/>
                <w:sz w:val="18"/>
                <w:szCs w:val="18"/>
                <w:color w:val="auto"/>
              </w:rPr>
              <w:t>Interest cost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180</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187</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12</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Expected return on assets</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(196)</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(187)</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gridSpan w:val="3"/>
          </w:tcPr>
          <w:p>
            <w:pPr>
              <w:spacing w:after="0" w:line="202" w:lineRule="exact"/>
              <w:rPr>
                <w:sz w:val="20"/>
                <w:szCs w:val="20"/>
                <w:color w:val="auto"/>
              </w:rPr>
            </w:pPr>
            <w:r>
              <w:rPr>
                <w:rFonts w:ascii="Arial" w:cs="Arial" w:eastAsia="Arial" w:hAnsi="Arial"/>
                <w:sz w:val="18"/>
                <w:szCs w:val="18"/>
                <w:color w:val="auto"/>
              </w:rPr>
              <w:t>Amortization of:</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gridSpan w:val="3"/>
            <w:shd w:val="clear" w:color="auto" w:fill="CCEEFF"/>
          </w:tcPr>
          <w:p>
            <w:pPr>
              <w:ind w:left="160"/>
              <w:spacing w:after="0" w:line="202" w:lineRule="exact"/>
              <w:rPr>
                <w:sz w:val="20"/>
                <w:szCs w:val="20"/>
                <w:color w:val="auto"/>
              </w:rPr>
            </w:pPr>
            <w:r>
              <w:rPr>
                <w:rFonts w:ascii="Arial" w:cs="Arial" w:eastAsia="Arial" w:hAnsi="Arial"/>
                <w:sz w:val="18"/>
                <w:szCs w:val="18"/>
                <w:color w:val="auto"/>
              </w:rPr>
              <w:t>Prior service cost (benefit)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(59)</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gridSpan w:val="3"/>
          </w:tcPr>
          <w:p>
            <w:pPr>
              <w:ind w:left="160"/>
              <w:spacing w:after="0" w:line="202" w:lineRule="exact"/>
              <w:rPr>
                <w:sz w:val="20"/>
                <w:szCs w:val="20"/>
                <w:color w:val="auto"/>
              </w:rPr>
            </w:pPr>
            <w:r>
              <w:rPr>
                <w:rFonts w:ascii="Arial" w:cs="Arial" w:eastAsia="Arial" w:hAnsi="Arial"/>
                <w:sz w:val="18"/>
                <w:szCs w:val="18"/>
                <w:color w:val="auto"/>
              </w:rPr>
              <w:t>Unrecognized net loss (gain)</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36</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31</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6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Net periodic benefit cost (income)</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(59)</w:t>
            </w:r>
          </w:p>
        </w:tc>
        <w:tc>
          <w:tcPr>
            <w:tcW w:w="16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60" w:type="dxa"/>
            <w:vAlign w:val="bottom"/>
            <w:gridSpan w:val="8"/>
          </w:tcPr>
          <w:p>
            <w:pPr>
              <w:ind w:left="40"/>
              <w:spacing w:after="0"/>
              <w:rPr>
                <w:sz w:val="20"/>
                <w:szCs w:val="20"/>
                <w:color w:val="auto"/>
              </w:rPr>
            </w:pPr>
            <w:r>
              <w:rPr>
                <w:rFonts w:ascii="Arial" w:cs="Arial" w:eastAsia="Arial" w:hAnsi="Arial"/>
                <w:sz w:val="14"/>
                <w:szCs w:val="14"/>
                <w:b w:val="1"/>
                <w:bCs w:val="1"/>
                <w:color w:val="auto"/>
              </w:rPr>
              <w:t>Retiree Medical and Other</w:t>
            </w:r>
          </w:p>
        </w:tc>
        <w:tc>
          <w:tcPr>
            <w:tcW w:w="0" w:type="dxa"/>
            <w:vAlign w:val="bottom"/>
          </w:tcPr>
          <w:p>
            <w:pPr>
              <w:spacing w:after="0"/>
              <w:rPr>
                <w:sz w:val="1"/>
                <w:szCs w:val="1"/>
                <w:color w:val="auto"/>
              </w:rPr>
            </w:pPr>
          </w:p>
        </w:tc>
      </w:tr>
      <w:tr>
        <w:trPr>
          <w:trHeight w:val="175"/>
        </w:trPr>
        <w:tc>
          <w:tcPr>
            <w:tcW w:w="66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Six Months Ended June 30,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80" w:type="dxa"/>
            <w:vAlign w:val="bottom"/>
            <w:gridSpan w:val="9"/>
          </w:tcPr>
          <w:p>
            <w:pPr>
              <w:ind w:left="220"/>
              <w:spacing w:after="0"/>
              <w:rPr>
                <w:sz w:val="20"/>
                <w:szCs w:val="20"/>
                <w:color w:val="auto"/>
              </w:rPr>
            </w:pPr>
            <w:r>
              <w:rPr>
                <w:rFonts w:ascii="Arial" w:cs="Arial" w:eastAsia="Arial" w:hAnsi="Arial"/>
                <w:sz w:val="14"/>
                <w:szCs w:val="14"/>
                <w:b w:val="1"/>
                <w:bCs w:val="1"/>
                <w:color w:val="auto"/>
              </w:rPr>
              <w:t>Pension Benefits</w:t>
            </w:r>
          </w:p>
        </w:tc>
        <w:tc>
          <w:tcPr>
            <w:tcW w:w="140" w:type="dxa"/>
            <w:vAlign w:val="bottom"/>
          </w:tcPr>
          <w:p>
            <w:pPr>
              <w:spacing w:after="0"/>
              <w:rPr>
                <w:sz w:val="15"/>
                <w:szCs w:val="15"/>
                <w:color w:val="auto"/>
              </w:rPr>
            </w:pPr>
          </w:p>
        </w:tc>
        <w:tc>
          <w:tcPr>
            <w:tcW w:w="2160" w:type="dxa"/>
            <w:vAlign w:val="bottom"/>
            <w:gridSpan w:val="8"/>
          </w:tcPr>
          <w:p>
            <w:pPr>
              <w:ind w:left="120"/>
              <w:spacing w:after="0"/>
              <w:rPr>
                <w:sz w:val="20"/>
                <w:szCs w:val="20"/>
                <w:color w:val="auto"/>
              </w:rPr>
            </w:pPr>
            <w:r>
              <w:rPr>
                <w:rFonts w:ascii="Arial" w:cs="Arial" w:eastAsia="Arial" w:hAnsi="Arial"/>
                <w:sz w:val="14"/>
                <w:szCs w:val="14"/>
                <w:b w:val="1"/>
                <w:bCs w:val="1"/>
                <w:color w:val="auto"/>
              </w:rPr>
              <w:t>Postretirement Benefits</w:t>
            </w:r>
          </w:p>
        </w:tc>
        <w:tc>
          <w:tcPr>
            <w:tcW w:w="0" w:type="dxa"/>
            <w:vAlign w:val="bottom"/>
          </w:tcPr>
          <w:p>
            <w:pPr>
              <w:spacing w:after="0"/>
              <w:rPr>
                <w:sz w:val="1"/>
                <w:szCs w:val="1"/>
                <w:color w:val="auto"/>
              </w:rPr>
            </w:pPr>
          </w:p>
        </w:tc>
      </w:tr>
      <w:tr>
        <w:trPr>
          <w:trHeight w:val="162"/>
        </w:trPr>
        <w:tc>
          <w:tcPr>
            <w:tcW w:w="6640" w:type="dxa"/>
            <w:vAlign w:val="bottom"/>
            <w:gridSpan w:val="4"/>
            <w:vMerge w:val="continue"/>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86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Service cost</w:t>
            </w:r>
          </w:p>
        </w:tc>
        <w:tc>
          <w:tcPr>
            <w:tcW w:w="4760" w:type="dxa"/>
            <w:vAlign w:val="bottom"/>
            <w:tcBorders>
              <w:top w:val="single" w:sz="8" w:color="CCEEFF"/>
            </w:tcBorders>
            <w:gridSpan w:val="2"/>
            <w:shd w:val="clear" w:color="auto" w:fill="CCEEFF"/>
          </w:tcPr>
          <w:p>
            <w:pPr>
              <w:spacing w:after="0"/>
              <w:rPr>
                <w:sz w:val="16"/>
                <w:szCs w:val="16"/>
                <w:color w:val="auto"/>
              </w:rPr>
            </w:pPr>
          </w:p>
        </w:tc>
        <w:tc>
          <w:tcPr>
            <w:tcW w:w="300" w:type="dxa"/>
            <w:vAlign w:val="bottom"/>
            <w:tcBorders>
              <w:top w:val="single" w:sz="8" w:color="auto"/>
            </w:tcBorders>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w:t>
            </w:r>
          </w:p>
        </w:tc>
        <w:tc>
          <w:tcPr>
            <w:tcW w:w="1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w:t>
            </w:r>
          </w:p>
        </w:tc>
        <w:tc>
          <w:tcPr>
            <w:tcW w:w="1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w:t>
            </w:r>
          </w:p>
        </w:tc>
        <w:tc>
          <w:tcPr>
            <w:tcW w:w="1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gridSpan w:val="2"/>
            <w:shd w:val="clear" w:color="auto" w:fill="CCEEFF"/>
          </w:tcPr>
          <w:p>
            <w:pPr>
              <w:jc w:val="right"/>
              <w:ind w:right="80"/>
              <w:spacing w:after="0" w:line="189"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w:t>
            </w:r>
          </w:p>
        </w:tc>
        <w:tc>
          <w:tcPr>
            <w:tcW w:w="1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gridSpan w:val="3"/>
          </w:tcPr>
          <w:p>
            <w:pPr>
              <w:spacing w:after="0" w:line="202" w:lineRule="exact"/>
              <w:rPr>
                <w:sz w:val="20"/>
                <w:szCs w:val="20"/>
                <w:color w:val="auto"/>
              </w:rPr>
            </w:pPr>
            <w:r>
              <w:rPr>
                <w:rFonts w:ascii="Arial" w:cs="Arial" w:eastAsia="Arial" w:hAnsi="Arial"/>
                <w:sz w:val="18"/>
                <w:szCs w:val="18"/>
                <w:color w:val="auto"/>
              </w:rPr>
              <w:t>Interest cost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359</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373</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19</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24</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Expected return on assets</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(393)</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(373)</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gridSpan w:val="3"/>
          </w:tcPr>
          <w:p>
            <w:pPr>
              <w:spacing w:after="0" w:line="202" w:lineRule="exact"/>
              <w:rPr>
                <w:sz w:val="20"/>
                <w:szCs w:val="20"/>
                <w:color w:val="auto"/>
              </w:rPr>
            </w:pPr>
            <w:r>
              <w:rPr>
                <w:rFonts w:ascii="Arial" w:cs="Arial" w:eastAsia="Arial" w:hAnsi="Arial"/>
                <w:sz w:val="18"/>
                <w:szCs w:val="18"/>
                <w:color w:val="auto"/>
              </w:rPr>
              <w:t>Amortization of:</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gridSpan w:val="3"/>
            <w:shd w:val="clear" w:color="auto" w:fill="CCEEFF"/>
          </w:tcPr>
          <w:p>
            <w:pPr>
              <w:ind w:left="160"/>
              <w:spacing w:after="0" w:line="202" w:lineRule="exact"/>
              <w:rPr>
                <w:sz w:val="20"/>
                <w:szCs w:val="20"/>
                <w:color w:val="auto"/>
              </w:rPr>
            </w:pPr>
            <w:r>
              <w:rPr>
                <w:rFonts w:ascii="Arial" w:cs="Arial" w:eastAsia="Arial" w:hAnsi="Arial"/>
                <w:sz w:val="18"/>
                <w:szCs w:val="18"/>
                <w:color w:val="auto"/>
              </w:rPr>
              <w:t>Prior service cost (benefit)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(119)</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(120)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gridSpan w:val="3"/>
          </w:tcPr>
          <w:p>
            <w:pPr>
              <w:ind w:left="160"/>
              <w:spacing w:after="0" w:line="202" w:lineRule="exact"/>
              <w:rPr>
                <w:sz w:val="20"/>
                <w:szCs w:val="20"/>
                <w:color w:val="auto"/>
              </w:rPr>
            </w:pPr>
            <w:r>
              <w:rPr>
                <w:rFonts w:ascii="Arial" w:cs="Arial" w:eastAsia="Arial" w:hAnsi="Arial"/>
                <w:sz w:val="18"/>
                <w:szCs w:val="18"/>
                <w:color w:val="auto"/>
              </w:rPr>
              <w:t>Unrecognized net loss (gain)</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72</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63</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6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Net periodic benefit cost (income)</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78</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(119)</w:t>
            </w:r>
          </w:p>
        </w:tc>
        <w:tc>
          <w:tcPr>
            <w:tcW w:w="16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(112)</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Effective November 1, 2012, substantially all of American’s defined benefit pension plans were frozen.</w:t>
      </w:r>
    </w:p>
    <w:p>
      <w:pPr>
        <w:spacing w:after="0" w:line="104" w:lineRule="exact"/>
        <w:rPr>
          <w:sz w:val="20"/>
          <w:szCs w:val="20"/>
          <w:color w:val="auto"/>
        </w:rPr>
      </w:pPr>
    </w:p>
    <w:p>
      <w:pPr>
        <w:jc w:val="both"/>
        <w:ind w:firstLine="228"/>
        <w:spacing w:after="0" w:line="246" w:lineRule="auto"/>
        <w:rPr>
          <w:sz w:val="20"/>
          <w:szCs w:val="20"/>
          <w:color w:val="auto"/>
        </w:rPr>
      </w:pPr>
      <w:r>
        <w:rPr>
          <w:rFonts w:ascii="Arial" w:cs="Arial" w:eastAsia="Arial" w:hAnsi="Arial"/>
          <w:sz w:val="18"/>
          <w:szCs w:val="18"/>
          <w:color w:val="auto"/>
        </w:rPr>
        <w:t>In the second quarter of 2017, American contributed $279 million to its defined benefit pension plans, including a supplemental contribution of $254 million in addition to a $25 million minimum required cash contribution.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Accumulated Other Comprehensive Loss</w:t>
      </w:r>
    </w:p>
    <w:p>
      <w:pPr>
        <w:spacing w:after="0" w:line="12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components of accumulated other comprehensive income (loss) (AOCI) are as follows (in millions):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0" w:type="dxa"/>
            <w:vAlign w:val="bottom"/>
          </w:tcPr>
          <w:p>
            <w:pPr>
              <w:spacing w:after="0"/>
              <w:rPr>
                <w:sz w:val="14"/>
                <w:szCs w:val="14"/>
                <w:color w:val="auto"/>
              </w:rPr>
            </w:pPr>
          </w:p>
        </w:tc>
        <w:tc>
          <w:tcPr>
            <w:tcW w:w="164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rPr>
              <w:t>Pension, Retiree</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7400" w:type="dxa"/>
            <w:vAlign w:val="bottom"/>
          </w:tcPr>
          <w:p>
            <w:pPr>
              <w:spacing w:after="0"/>
              <w:rPr>
                <w:sz w:val="14"/>
                <w:szCs w:val="14"/>
                <w:color w:val="auto"/>
              </w:rPr>
            </w:pPr>
          </w:p>
        </w:tc>
        <w:tc>
          <w:tcPr>
            <w:tcW w:w="164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rPr>
              <w:t>Medical and</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7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gridSpan w:val="3"/>
          </w:tcPr>
          <w:p>
            <w:pPr>
              <w:jc w:val="center"/>
              <w:ind w:right="840"/>
              <w:spacing w:after="0"/>
              <w:rPr>
                <w:sz w:val="20"/>
                <w:szCs w:val="20"/>
                <w:color w:val="auto"/>
              </w:rPr>
            </w:pPr>
            <w:r>
              <w:rPr>
                <w:rFonts w:ascii="Arial" w:cs="Arial" w:eastAsia="Arial" w:hAnsi="Arial"/>
                <w:sz w:val="14"/>
                <w:szCs w:val="14"/>
                <w:b w:val="1"/>
                <w:bCs w:val="1"/>
                <w:color w:val="auto"/>
              </w:rPr>
              <w:t>Other</w:t>
            </w:r>
          </w:p>
        </w:tc>
        <w:tc>
          <w:tcPr>
            <w:tcW w:w="60" w:type="dxa"/>
            <w:vAlign w:val="bottom"/>
          </w:tcPr>
          <w:p>
            <w:pPr>
              <w:spacing w:after="0"/>
              <w:rPr>
                <w:sz w:val="14"/>
                <w:szCs w:val="14"/>
                <w:color w:val="auto"/>
              </w:rPr>
            </w:pPr>
          </w:p>
        </w:tc>
        <w:tc>
          <w:tcPr>
            <w:tcW w:w="1520" w:type="dxa"/>
            <w:vAlign w:val="bottom"/>
            <w:gridSpan w:val="5"/>
          </w:tcPr>
          <w:p>
            <w:pPr>
              <w:jc w:val="center"/>
              <w:ind w:right="620"/>
              <w:spacing w:after="0"/>
              <w:rPr>
                <w:sz w:val="20"/>
                <w:szCs w:val="20"/>
                <w:color w:val="auto"/>
              </w:rPr>
            </w:pPr>
            <w:r>
              <w:rPr>
                <w:rFonts w:ascii="Arial" w:cs="Arial" w:eastAsia="Arial" w:hAnsi="Arial"/>
                <w:sz w:val="14"/>
                <w:szCs w:val="14"/>
                <w:b w:val="1"/>
                <w:bCs w:val="1"/>
                <w:color w:val="auto"/>
              </w:rPr>
              <w:t>Income Tax</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9"/>
        </w:trPr>
        <w:tc>
          <w:tcPr>
            <w:tcW w:w="7400" w:type="dxa"/>
            <w:vAlign w:val="bottom"/>
          </w:tcPr>
          <w:p>
            <w:pPr>
              <w:spacing w:after="0"/>
              <w:rPr>
                <w:sz w:val="13"/>
                <w:szCs w:val="13"/>
                <w:color w:val="auto"/>
              </w:rPr>
            </w:pPr>
          </w:p>
        </w:tc>
        <w:tc>
          <w:tcPr>
            <w:tcW w:w="1640" w:type="dxa"/>
            <w:vAlign w:val="bottom"/>
            <w:gridSpan w:val="4"/>
          </w:tcPr>
          <w:p>
            <w:pPr>
              <w:jc w:val="center"/>
              <w:ind w:right="500"/>
              <w:spacing w:after="0" w:line="159" w:lineRule="exact"/>
              <w:rPr>
                <w:sz w:val="20"/>
                <w:szCs w:val="20"/>
                <w:color w:val="auto"/>
              </w:rPr>
            </w:pPr>
            <w:r>
              <w:rPr>
                <w:rFonts w:ascii="Arial" w:cs="Arial" w:eastAsia="Arial" w:hAnsi="Arial"/>
                <w:sz w:val="14"/>
                <w:szCs w:val="14"/>
                <w:b w:val="1"/>
                <w:bCs w:val="1"/>
                <w:color w:val="auto"/>
              </w:rPr>
              <w:t>Postretirement</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4"/>
          </w:tcPr>
          <w:p>
            <w:pPr>
              <w:jc w:val="center"/>
              <w:ind w:right="760"/>
              <w:spacing w:after="0" w:line="159" w:lineRule="exact"/>
              <w:rPr>
                <w:sz w:val="20"/>
                <w:szCs w:val="20"/>
                <w:color w:val="auto"/>
              </w:rPr>
            </w:pPr>
            <w:r>
              <w:rPr>
                <w:rFonts w:ascii="Arial" w:cs="Arial" w:eastAsia="Arial" w:hAnsi="Arial"/>
                <w:sz w:val="14"/>
                <w:szCs w:val="14"/>
                <w:b w:val="1"/>
                <w:bCs w:val="1"/>
                <w:color w:val="auto"/>
              </w:rPr>
              <w:t>Benefit</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9"/>
        </w:trPr>
        <w:tc>
          <w:tcPr>
            <w:tcW w:w="7400" w:type="dxa"/>
            <w:vAlign w:val="bottom"/>
          </w:tcPr>
          <w:p>
            <w:pPr>
              <w:spacing w:after="0"/>
              <w:rPr>
                <w:sz w:val="15"/>
                <w:szCs w:val="15"/>
                <w:color w:val="auto"/>
              </w:rPr>
            </w:pPr>
          </w:p>
        </w:tc>
        <w:tc>
          <w:tcPr>
            <w:tcW w:w="164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rPr>
              <w:t>Benefits</w:t>
            </w:r>
          </w:p>
        </w:tc>
        <w:tc>
          <w:tcPr>
            <w:tcW w:w="1580" w:type="dxa"/>
            <w:vAlign w:val="bottom"/>
            <w:gridSpan w:val="6"/>
          </w:tcPr>
          <w:p>
            <w:pPr>
              <w:ind w:left="40"/>
              <w:spacing w:after="0" w:line="179" w:lineRule="exact"/>
              <w:rPr>
                <w:sz w:val="20"/>
                <w:szCs w:val="20"/>
                <w:color w:val="auto"/>
              </w:rPr>
            </w:pPr>
            <w:r>
              <w:rPr>
                <w:rFonts w:ascii="Arial" w:cs="Arial" w:eastAsia="Arial" w:hAnsi="Arial"/>
                <w:sz w:val="12"/>
                <w:szCs w:val="12"/>
                <w:b w:val="1"/>
                <w:bCs w:val="1"/>
                <w:color w:val="auto"/>
              </w:rPr>
              <w:t xml:space="preserve">(Provision) </w:t>
            </w:r>
            <w:r>
              <w:rPr>
                <w:rFonts w:ascii="Arial" w:cs="Arial" w:eastAsia="Arial" w:hAnsi="Arial"/>
                <w:sz w:val="20"/>
                <w:szCs w:val="20"/>
                <w:b w:val="1"/>
                <w:bCs w:val="1"/>
                <w:color w:val="auto"/>
                <w:vertAlign w:val="superscript"/>
              </w:rPr>
              <w:t>(1)</w:t>
            </w:r>
          </w:p>
        </w:tc>
        <w:tc>
          <w:tcPr>
            <w:tcW w:w="160" w:type="dxa"/>
            <w:vAlign w:val="bottom"/>
          </w:tcPr>
          <w:p>
            <w:pPr>
              <w:spacing w:after="0"/>
              <w:rPr>
                <w:sz w:val="15"/>
                <w:szCs w:val="15"/>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r>
      <w:tr>
        <w:trPr>
          <w:trHeight w:val="196"/>
        </w:trPr>
        <w:tc>
          <w:tcPr>
            <w:tcW w:w="74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Balance at December 31, 2016</w:t>
            </w:r>
          </w:p>
        </w:tc>
        <w:tc>
          <w:tcPr>
            <w:tcW w:w="48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(4,394)</w:t>
            </w:r>
          </w:p>
        </w:tc>
        <w:tc>
          <w:tcPr>
            <w:tcW w:w="5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gridSpan w:val="2"/>
            <w:shd w:val="clear" w:color="auto" w:fill="CCEEFF"/>
          </w:tcPr>
          <w:p>
            <w:pPr>
              <w:ind w:left="60"/>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(788)</w:t>
            </w:r>
          </w:p>
        </w:tc>
        <w:tc>
          <w:tcPr>
            <w:tcW w:w="5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(5,182)</w:t>
            </w:r>
          </w:p>
        </w:tc>
      </w:tr>
      <w:tr>
        <w:trPr>
          <w:trHeight w:val="203"/>
        </w:trPr>
        <w:tc>
          <w:tcPr>
            <w:tcW w:w="7400" w:type="dxa"/>
            <w:vAlign w:val="bottom"/>
          </w:tcPr>
          <w:p>
            <w:pPr>
              <w:ind w:left="180"/>
              <w:spacing w:after="0" w:line="202" w:lineRule="exact"/>
              <w:rPr>
                <w:sz w:val="20"/>
                <w:szCs w:val="20"/>
                <w:color w:val="auto"/>
              </w:rPr>
            </w:pPr>
            <w:r>
              <w:rPr>
                <w:rFonts w:ascii="Arial" w:cs="Arial" w:eastAsia="Arial" w:hAnsi="Arial"/>
                <w:sz w:val="18"/>
                <w:szCs w:val="18"/>
                <w:color w:val="auto"/>
              </w:rPr>
              <w:t>Amounts reclassified from accumulated other comprehensive income (loss)</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(44)</w:t>
            </w: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 xml:space="preserve">15 </w:t>
            </w:r>
            <w:r>
              <w:rPr>
                <w:rFonts w:ascii="Arial" w:cs="Arial" w:eastAsia="Arial" w:hAnsi="Arial"/>
                <w:sz w:val="15"/>
                <w:szCs w:val="15"/>
                <w:color w:val="auto"/>
              </w:rPr>
              <w:t>(2)</w:t>
            </w: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(29)</w:t>
            </w:r>
          </w:p>
        </w:tc>
      </w:tr>
      <w:tr>
        <w:trPr>
          <w:trHeight w:val="27"/>
        </w:trPr>
        <w:tc>
          <w:tcPr>
            <w:tcW w:w="7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74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Net current-period other comprehensive income (loss)</w:t>
            </w: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w:t>
            </w: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15</w:t>
            </w: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(29)</w:t>
            </w:r>
          </w:p>
        </w:tc>
      </w:tr>
      <w:tr>
        <w:trPr>
          <w:trHeight w:val="20"/>
        </w:trPr>
        <w:tc>
          <w:tcPr>
            <w:tcW w:w="7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7400" w:type="dxa"/>
            <w:vAlign w:val="bottom"/>
          </w:tcPr>
          <w:p>
            <w:pPr>
              <w:spacing w:after="0"/>
              <w:rPr>
                <w:sz w:val="20"/>
                <w:szCs w:val="20"/>
                <w:color w:val="auto"/>
              </w:rPr>
            </w:pPr>
            <w:r>
              <w:rPr>
                <w:rFonts w:ascii="Arial" w:cs="Arial" w:eastAsia="Arial" w:hAnsi="Arial"/>
                <w:sz w:val="18"/>
                <w:szCs w:val="18"/>
                <w:color w:val="auto"/>
              </w:rPr>
              <w:t>Balance at June 30, 2017</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(4,438)</w:t>
            </w:r>
          </w:p>
        </w:tc>
        <w:tc>
          <w:tcPr>
            <w:tcW w:w="520" w:type="dxa"/>
            <w:vAlign w:val="bottom"/>
          </w:tcPr>
          <w:p>
            <w:pPr>
              <w:spacing w:after="0"/>
              <w:rPr>
                <w:sz w:val="18"/>
                <w:szCs w:val="18"/>
                <w:color w:val="auto"/>
              </w:rPr>
            </w:pP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(773)</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(5,211)</w:t>
            </w:r>
          </w:p>
        </w:tc>
      </w:tr>
      <w:tr>
        <w:trPr>
          <w:trHeight w:val="20"/>
        </w:trPr>
        <w:tc>
          <w:tcPr>
            <w:tcW w:w="7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82" w:lineRule="exact"/>
        <w:rPr>
          <w:sz w:val="20"/>
          <w:szCs w:val="20"/>
          <w:color w:val="auto"/>
        </w:rPr>
      </w:pPr>
    </w:p>
    <w:p>
      <w:pPr>
        <w:ind w:left="460" w:hanging="452"/>
        <w:spacing w:after="0" w:line="246" w:lineRule="auto"/>
        <w:tabs>
          <w:tab w:leader="none" w:pos="460" w:val="left"/>
        </w:tabs>
        <w:numPr>
          <w:ilvl w:val="0"/>
          <w:numId w:val="10"/>
        </w:numPr>
        <w:rPr>
          <w:rFonts w:ascii="Arial" w:cs="Arial" w:eastAsia="Arial" w:hAnsi="Arial"/>
          <w:sz w:val="15"/>
          <w:szCs w:val="15"/>
          <w:color w:val="auto"/>
        </w:rPr>
      </w:pPr>
      <w:r>
        <w:rPr>
          <w:rFonts w:ascii="Arial" w:cs="Arial" w:eastAsia="Arial" w:hAnsi="Arial"/>
          <w:sz w:val="18"/>
          <w:szCs w:val="18"/>
          <w:color w:val="auto"/>
        </w:rPr>
        <w:t>Relates principally to pension, retiree medical and other postretirement benefits obligations that will not be recognized in net income until the obligations are fully extinguished.</w:t>
      </w:r>
    </w:p>
    <w:p>
      <w:pPr>
        <w:spacing w:after="0" w:line="102" w:lineRule="exact"/>
        <w:rPr>
          <w:rFonts w:ascii="Arial" w:cs="Arial" w:eastAsia="Arial" w:hAnsi="Arial"/>
          <w:sz w:val="15"/>
          <w:szCs w:val="15"/>
          <w:color w:val="auto"/>
        </w:rPr>
      </w:pPr>
    </w:p>
    <w:p>
      <w:pPr>
        <w:ind w:left="460" w:right="20" w:hanging="452"/>
        <w:spacing w:after="0" w:line="246" w:lineRule="auto"/>
        <w:tabs>
          <w:tab w:leader="none" w:pos="460" w:val="left"/>
        </w:tabs>
        <w:numPr>
          <w:ilvl w:val="0"/>
          <w:numId w:val="10"/>
        </w:numPr>
        <w:rPr>
          <w:rFonts w:ascii="Arial" w:cs="Arial" w:eastAsia="Arial" w:hAnsi="Arial"/>
          <w:sz w:val="15"/>
          <w:szCs w:val="15"/>
          <w:color w:val="auto"/>
        </w:rPr>
      </w:pPr>
      <w:r>
        <w:rPr>
          <w:rFonts w:ascii="Arial" w:cs="Arial" w:eastAsia="Arial" w:hAnsi="Arial"/>
          <w:sz w:val="18"/>
          <w:szCs w:val="18"/>
          <w:color w:val="auto"/>
        </w:rPr>
        <w:t>Relates to pension, retiree medical and other postretirement benefits obligations and is recognized within the income tax provision on the condensed consolidated statement of operations.</w:t>
      </w:r>
    </w:p>
    <w:p>
      <w:pPr>
        <w:spacing w:after="0" w:line="8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Reclassifications out of AOCI for the three and six months ended June 30, 2017 and 2016 are as follows (in millions):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30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13"/>
          </w:tcPr>
          <w:p>
            <w:pPr>
              <w:ind w:left="80"/>
              <w:spacing w:after="0"/>
              <w:rPr>
                <w:sz w:val="20"/>
                <w:szCs w:val="20"/>
                <w:color w:val="auto"/>
              </w:rPr>
            </w:pPr>
            <w:r>
              <w:rPr>
                <w:rFonts w:ascii="Arial" w:cs="Arial" w:eastAsia="Arial" w:hAnsi="Arial"/>
                <w:sz w:val="14"/>
                <w:szCs w:val="14"/>
                <w:b w:val="1"/>
                <w:bCs w:val="1"/>
                <w:color w:val="auto"/>
              </w:rPr>
              <w:t>Amounts reclassified from AOCI</w:t>
            </w: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20" w:type="dxa"/>
            <w:vAlign w:val="bottom"/>
          </w:tcPr>
          <w:p>
            <w:pPr>
              <w:jc w:val="center"/>
              <w:spacing w:after="0"/>
              <w:rPr>
                <w:sz w:val="20"/>
                <w:szCs w:val="20"/>
                <w:color w:val="auto"/>
              </w:rPr>
            </w:pPr>
            <w:r>
              <w:rPr>
                <w:rFonts w:ascii="Arial" w:cs="Arial" w:eastAsia="Arial" w:hAnsi="Arial"/>
                <w:sz w:val="14"/>
                <w:szCs w:val="14"/>
                <w:b w:val="1"/>
                <w:bCs w:val="1"/>
                <w:color w:val="auto"/>
              </w:rPr>
              <w:t>Affected line items on the</w:t>
            </w:r>
          </w:p>
        </w:tc>
        <w:tc>
          <w:tcPr>
            <w:tcW w:w="0" w:type="dxa"/>
            <w:vAlign w:val="bottom"/>
          </w:tcPr>
          <w:p>
            <w:pPr>
              <w:spacing w:after="0"/>
              <w:rPr>
                <w:sz w:val="1"/>
                <w:szCs w:val="1"/>
                <w:color w:val="auto"/>
              </w:rPr>
            </w:pPr>
          </w:p>
        </w:tc>
      </w:tr>
      <w:tr>
        <w:trPr>
          <w:trHeight w:val="156"/>
        </w:trPr>
        <w:tc>
          <w:tcPr>
            <w:tcW w:w="1300" w:type="dxa"/>
            <w:vAlign w:val="bottom"/>
            <w:vMerge w:val="restart"/>
          </w:tcPr>
          <w:p>
            <w:pPr>
              <w:spacing w:after="0"/>
              <w:rPr>
                <w:sz w:val="20"/>
                <w:szCs w:val="20"/>
                <w:color w:val="auto"/>
              </w:rPr>
            </w:pPr>
            <w:r>
              <w:rPr>
                <w:rFonts w:ascii="Arial" w:cs="Arial" w:eastAsia="Arial" w:hAnsi="Arial"/>
                <w:sz w:val="14"/>
                <w:szCs w:val="14"/>
                <w:b w:val="1"/>
                <w:bCs w:val="1"/>
                <w:color w:val="auto"/>
              </w:rPr>
              <w:t>AOCI Components</w:t>
            </w:r>
          </w:p>
        </w:tc>
        <w:tc>
          <w:tcPr>
            <w:tcW w:w="3140" w:type="dxa"/>
            <w:vAlign w:val="bottom"/>
            <w:vMerge w:val="restart"/>
          </w:tcPr>
          <w:p>
            <w:pPr>
              <w:spacing w:after="0"/>
              <w:rPr>
                <w:sz w:val="13"/>
                <w:szCs w:val="13"/>
                <w:color w:val="auto"/>
              </w:rPr>
            </w:pPr>
          </w:p>
        </w:tc>
        <w:tc>
          <w:tcPr>
            <w:tcW w:w="440" w:type="dxa"/>
            <w:vAlign w:val="bottom"/>
          </w:tcPr>
          <w:p>
            <w:pPr>
              <w:spacing w:after="0"/>
              <w:rPr>
                <w:sz w:val="13"/>
                <w:szCs w:val="13"/>
                <w:color w:val="auto"/>
              </w:rPr>
            </w:pPr>
          </w:p>
        </w:tc>
        <w:tc>
          <w:tcPr>
            <w:tcW w:w="2160" w:type="dxa"/>
            <w:vAlign w:val="bottom"/>
            <w:gridSpan w:val="11"/>
          </w:tcPr>
          <w:p>
            <w:pPr>
              <w:spacing w:after="0" w:line="155" w:lineRule="exact"/>
              <w:rPr>
                <w:sz w:val="20"/>
                <w:szCs w:val="20"/>
                <w:color w:val="auto"/>
              </w:rPr>
            </w:pPr>
            <w:r>
              <w:rPr>
                <w:rFonts w:ascii="Arial" w:cs="Arial" w:eastAsia="Arial" w:hAnsi="Arial"/>
                <w:sz w:val="14"/>
                <w:szCs w:val="14"/>
                <w:b w:val="1"/>
                <w:bCs w:val="1"/>
                <w:color w:val="auto"/>
              </w:rPr>
              <w:t>Three Months Ended June 30,</w:t>
            </w:r>
          </w:p>
        </w:tc>
        <w:tc>
          <w:tcPr>
            <w:tcW w:w="1860" w:type="dxa"/>
            <w:vAlign w:val="bottom"/>
            <w:gridSpan w:val="9"/>
          </w:tcPr>
          <w:p>
            <w:pPr>
              <w:spacing w:after="0" w:line="155" w:lineRule="exact"/>
              <w:rPr>
                <w:sz w:val="20"/>
                <w:szCs w:val="20"/>
                <w:color w:val="auto"/>
              </w:rPr>
            </w:pPr>
            <w:r>
              <w:rPr>
                <w:rFonts w:ascii="Arial" w:cs="Arial" w:eastAsia="Arial" w:hAnsi="Arial"/>
                <w:sz w:val="14"/>
                <w:szCs w:val="14"/>
                <w:b w:val="1"/>
                <w:bCs w:val="1"/>
                <w:color w:val="auto"/>
              </w:rPr>
              <w:t>Six Months Ended June 30,</w:t>
            </w:r>
          </w:p>
        </w:tc>
        <w:tc>
          <w:tcPr>
            <w:tcW w:w="100" w:type="dxa"/>
            <w:vAlign w:val="bottom"/>
          </w:tcPr>
          <w:p>
            <w:pPr>
              <w:spacing w:after="0"/>
              <w:rPr>
                <w:sz w:val="13"/>
                <w:szCs w:val="13"/>
                <w:color w:val="auto"/>
              </w:rPr>
            </w:pPr>
          </w:p>
        </w:tc>
        <w:tc>
          <w:tcPr>
            <w:tcW w:w="242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rPr>
              <w:t>condensed consolidated</w:t>
            </w:r>
          </w:p>
        </w:tc>
        <w:tc>
          <w:tcPr>
            <w:tcW w:w="0" w:type="dxa"/>
            <w:vAlign w:val="bottom"/>
          </w:tcPr>
          <w:p>
            <w:pPr>
              <w:spacing w:after="0"/>
              <w:rPr>
                <w:sz w:val="1"/>
                <w:szCs w:val="1"/>
                <w:color w:val="auto"/>
              </w:rPr>
            </w:pPr>
          </w:p>
        </w:tc>
      </w:tr>
      <w:tr>
        <w:trPr>
          <w:trHeight w:val="162"/>
        </w:trPr>
        <w:tc>
          <w:tcPr>
            <w:tcW w:w="1300" w:type="dxa"/>
            <w:vAlign w:val="bottom"/>
            <w:tcBorders>
              <w:bottom w:val="single" w:sz="8" w:color="auto"/>
            </w:tcBorders>
            <w:vMerge w:val="continue"/>
          </w:tcPr>
          <w:p>
            <w:pPr>
              <w:spacing w:after="0"/>
              <w:rPr>
                <w:sz w:val="14"/>
                <w:szCs w:val="14"/>
                <w:color w:val="auto"/>
              </w:rPr>
            </w:pPr>
          </w:p>
        </w:tc>
        <w:tc>
          <w:tcPr>
            <w:tcW w:w="314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statements of operations</w:t>
            </w:r>
          </w:p>
        </w:tc>
        <w:tc>
          <w:tcPr>
            <w:tcW w:w="0" w:type="dxa"/>
            <w:vAlign w:val="bottom"/>
          </w:tcPr>
          <w:p>
            <w:pPr>
              <w:spacing w:after="0"/>
              <w:rPr>
                <w:sz w:val="1"/>
                <w:szCs w:val="1"/>
                <w:color w:val="auto"/>
              </w:rPr>
            </w:pPr>
          </w:p>
        </w:tc>
      </w:tr>
      <w:tr>
        <w:trPr>
          <w:trHeight w:val="175"/>
        </w:trPr>
        <w:tc>
          <w:tcPr>
            <w:tcW w:w="444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Amortization of pension, retiree medical and other</w:t>
            </w:r>
          </w:p>
        </w:tc>
        <w:tc>
          <w:tcPr>
            <w:tcW w:w="4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440" w:type="dxa"/>
            <w:vAlign w:val="bottom"/>
            <w:gridSpan w:val="2"/>
            <w:shd w:val="clear" w:color="auto" w:fill="CCEEFF"/>
          </w:tcPr>
          <w:p>
            <w:pPr>
              <w:ind w:left="180"/>
              <w:spacing w:after="0" w:line="203" w:lineRule="exact"/>
              <w:rPr>
                <w:sz w:val="20"/>
                <w:szCs w:val="20"/>
                <w:color w:val="auto"/>
              </w:rPr>
            </w:pPr>
            <w:r>
              <w:rPr>
                <w:rFonts w:ascii="Arial" w:cs="Arial" w:eastAsia="Arial" w:hAnsi="Arial"/>
                <w:sz w:val="18"/>
                <w:szCs w:val="18"/>
                <w:color w:val="auto"/>
              </w:rPr>
              <w:t>postretirement benefits:</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Prior service cost (benefit)</w:t>
            </w:r>
          </w:p>
        </w:tc>
        <w:tc>
          <w:tcPr>
            <w:tcW w:w="72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540" w:type="dxa"/>
            <w:vAlign w:val="bottom"/>
            <w:gridSpan w:val="2"/>
          </w:tcPr>
          <w:p>
            <w:pPr>
              <w:jc w:val="center"/>
              <w:ind w:left="94"/>
              <w:spacing w:after="0" w:line="202" w:lineRule="exact"/>
              <w:rPr>
                <w:sz w:val="20"/>
                <w:szCs w:val="20"/>
                <w:color w:val="auto"/>
              </w:rPr>
            </w:pPr>
            <w:r>
              <w:rPr>
                <w:rFonts w:ascii="Arial" w:cs="Arial" w:eastAsia="Arial" w:hAnsi="Arial"/>
                <w:sz w:val="18"/>
                <w:szCs w:val="18"/>
                <w:color w:val="auto"/>
                <w:w w:val="99"/>
              </w:rPr>
              <w:t>(33)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9"/>
              </w:rPr>
              <w:t>(33)</w:t>
            </w:r>
          </w:p>
        </w:tc>
        <w:tc>
          <w:tcPr>
            <w:tcW w:w="120" w:type="dxa"/>
            <w:vAlign w:val="bottom"/>
          </w:tcPr>
          <w:p>
            <w:pPr>
              <w:spacing w:after="0"/>
              <w:rPr>
                <w:sz w:val="17"/>
                <w:szCs w:val="17"/>
                <w:color w:val="auto"/>
              </w:rPr>
            </w:pPr>
          </w:p>
        </w:tc>
        <w:tc>
          <w:tcPr>
            <w:tcW w:w="2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0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9"/>
              </w:rPr>
              <w:t>(67)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9"/>
              </w:rPr>
              <w:t>(67)</w:t>
            </w:r>
          </w:p>
        </w:tc>
        <w:tc>
          <w:tcPr>
            <w:tcW w:w="100" w:type="dxa"/>
            <w:vAlign w:val="bottom"/>
          </w:tcPr>
          <w:p>
            <w:pPr>
              <w:spacing w:after="0"/>
              <w:rPr>
                <w:sz w:val="17"/>
                <w:szCs w:val="17"/>
                <w:color w:val="auto"/>
              </w:rPr>
            </w:pPr>
          </w:p>
        </w:tc>
        <w:tc>
          <w:tcPr>
            <w:tcW w:w="2420" w:type="dxa"/>
            <w:vAlign w:val="bottom"/>
          </w:tcPr>
          <w:p>
            <w:pPr>
              <w:ind w:left="120"/>
              <w:spacing w:after="0" w:line="202" w:lineRule="exact"/>
              <w:rPr>
                <w:sz w:val="20"/>
                <w:szCs w:val="20"/>
                <w:color w:val="auto"/>
              </w:rPr>
            </w:pPr>
            <w:r>
              <w:rPr>
                <w:rFonts w:ascii="Arial" w:cs="Arial" w:eastAsia="Arial" w:hAnsi="Arial"/>
                <w:sz w:val="18"/>
                <w:szCs w:val="18"/>
                <w:color w:val="auto"/>
                <w:w w:val="99"/>
              </w:rPr>
              <w:t>Salaries, wages and benefits</w:t>
            </w:r>
          </w:p>
        </w:tc>
        <w:tc>
          <w:tcPr>
            <w:tcW w:w="0" w:type="dxa"/>
            <w:vAlign w:val="bottom"/>
          </w:tcPr>
          <w:p>
            <w:pPr>
              <w:spacing w:after="0"/>
              <w:rPr>
                <w:sz w:val="1"/>
                <w:szCs w:val="1"/>
                <w:color w:val="auto"/>
              </w:rPr>
            </w:pPr>
          </w:p>
        </w:tc>
      </w:tr>
      <w:tr>
        <w:trPr>
          <w:trHeight w:val="203"/>
        </w:trPr>
        <w:tc>
          <w:tcPr>
            <w:tcW w:w="444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Actuarial loss</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center"/>
              <w:ind w:left="154"/>
              <w:spacing w:after="0" w:line="202" w:lineRule="exact"/>
              <w:rPr>
                <w:sz w:val="20"/>
                <w:szCs w:val="20"/>
                <w:color w:val="auto"/>
              </w:rPr>
            </w:pPr>
            <w:r>
              <w:rPr>
                <w:rFonts w:ascii="Arial" w:cs="Arial" w:eastAsia="Arial" w:hAnsi="Arial"/>
                <w:sz w:val="18"/>
                <w:szCs w:val="18"/>
                <w:color w:val="auto"/>
                <w:w w:val="99"/>
              </w:rPr>
              <w:t>18</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center"/>
              <w:ind w:left="154"/>
              <w:spacing w:after="0" w:line="202" w:lineRule="exact"/>
              <w:rPr>
                <w:sz w:val="20"/>
                <w:szCs w:val="20"/>
                <w:color w:val="auto"/>
              </w:rPr>
            </w:pPr>
            <w:r>
              <w:rPr>
                <w:rFonts w:ascii="Arial" w:cs="Arial" w:eastAsia="Arial" w:hAnsi="Arial"/>
                <w:sz w:val="18"/>
                <w:szCs w:val="18"/>
                <w:color w:val="auto"/>
                <w:w w:val="99"/>
              </w:rPr>
              <w:t>17</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center"/>
              <w:ind w:left="94"/>
              <w:spacing w:after="0" w:line="202" w:lineRule="exact"/>
              <w:rPr>
                <w:sz w:val="20"/>
                <w:szCs w:val="20"/>
                <w:color w:val="auto"/>
              </w:rPr>
            </w:pPr>
            <w:r>
              <w:rPr>
                <w:rFonts w:ascii="Arial" w:cs="Arial" w:eastAsia="Arial" w:hAnsi="Arial"/>
                <w:sz w:val="18"/>
                <w:szCs w:val="18"/>
                <w:color w:val="auto"/>
                <w:w w:val="99"/>
              </w:rPr>
              <w:t>38</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center"/>
              <w:ind w:left="74"/>
              <w:spacing w:after="0" w:line="202" w:lineRule="exact"/>
              <w:rPr>
                <w:sz w:val="20"/>
                <w:szCs w:val="20"/>
                <w:color w:val="auto"/>
              </w:rPr>
            </w:pPr>
            <w:r>
              <w:rPr>
                <w:rFonts w:ascii="Arial" w:cs="Arial" w:eastAsia="Arial" w:hAnsi="Arial"/>
                <w:sz w:val="18"/>
                <w:szCs w:val="18"/>
                <w:color w:val="auto"/>
                <w:w w:val="99"/>
              </w:rPr>
              <w:t>35</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w w:val="99"/>
              </w:rPr>
              <w:t>Salaries, wages and benefits</w:t>
            </w:r>
          </w:p>
        </w:tc>
        <w:tc>
          <w:tcPr>
            <w:tcW w:w="0" w:type="dxa"/>
            <w:vAlign w:val="bottom"/>
          </w:tcPr>
          <w:p>
            <w:pPr>
              <w:spacing w:after="0"/>
              <w:rPr>
                <w:sz w:val="1"/>
                <w:szCs w:val="1"/>
                <w:color w:val="auto"/>
              </w:rPr>
            </w:pPr>
          </w:p>
        </w:tc>
      </w:tr>
      <w:tr>
        <w:trPr>
          <w:trHeight w:val="210"/>
        </w:trPr>
        <w:tc>
          <w:tcPr>
            <w:tcW w:w="4440" w:type="dxa"/>
            <w:vAlign w:val="bottom"/>
            <w:gridSpan w:val="2"/>
          </w:tcPr>
          <w:p>
            <w:pPr>
              <w:spacing w:after="0"/>
              <w:rPr>
                <w:sz w:val="20"/>
                <w:szCs w:val="20"/>
                <w:color w:val="auto"/>
              </w:rPr>
            </w:pPr>
            <w:r>
              <w:rPr>
                <w:rFonts w:ascii="Arial" w:cs="Arial" w:eastAsia="Arial" w:hAnsi="Arial"/>
                <w:sz w:val="18"/>
                <w:szCs w:val="18"/>
                <w:color w:val="auto"/>
              </w:rPr>
              <w:t>Total reclassifications for the period, net of tax</w:t>
            </w: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center"/>
              <w:ind w:left="94"/>
              <w:spacing w:after="0"/>
              <w:rPr>
                <w:sz w:val="20"/>
                <w:szCs w:val="20"/>
                <w:color w:val="auto"/>
              </w:rPr>
            </w:pPr>
            <w:r>
              <w:rPr>
                <w:rFonts w:ascii="Arial" w:cs="Arial" w:eastAsia="Arial" w:hAnsi="Arial"/>
                <w:sz w:val="18"/>
                <w:szCs w:val="18"/>
                <w:color w:val="auto"/>
                <w:w w:val="99"/>
              </w:rPr>
              <w:t>(15)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w w:val="99"/>
              </w:rPr>
              <w:t>(16)</w:t>
            </w:r>
          </w:p>
        </w:tc>
        <w:tc>
          <w:tcPr>
            <w:tcW w:w="12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center"/>
              <w:spacing w:after="0"/>
              <w:rPr>
                <w:sz w:val="20"/>
                <w:szCs w:val="20"/>
                <w:color w:val="auto"/>
              </w:rPr>
            </w:pPr>
            <w:r>
              <w:rPr>
                <w:rFonts w:ascii="Arial" w:cs="Arial" w:eastAsia="Arial" w:hAnsi="Arial"/>
                <w:sz w:val="18"/>
                <w:szCs w:val="18"/>
                <w:color w:val="auto"/>
                <w:w w:val="99"/>
              </w:rPr>
              <w:t>(29)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center"/>
              <w:spacing w:after="0"/>
              <w:rPr>
                <w:sz w:val="20"/>
                <w:szCs w:val="20"/>
                <w:color w:val="auto"/>
              </w:rPr>
            </w:pPr>
            <w:r>
              <w:rPr>
                <w:rFonts w:ascii="Arial" w:cs="Arial" w:eastAsia="Arial" w:hAnsi="Arial"/>
                <w:sz w:val="18"/>
                <w:szCs w:val="18"/>
                <w:color w:val="auto"/>
                <w:w w:val="99"/>
              </w:rPr>
              <w:t>(32)</w:t>
            </w:r>
          </w:p>
        </w:tc>
        <w:tc>
          <w:tcPr>
            <w:tcW w:w="1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3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65"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 TO CONDENSED CONSOLIDATED FINANCIAL STATEMENTS OF AMERICAN AIRLINES,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Regional Expenses</w:t>
      </w:r>
    </w:p>
    <w:p>
      <w:pPr>
        <w:spacing w:after="0" w:line="126" w:lineRule="exact"/>
        <w:rPr>
          <w:sz w:val="20"/>
          <w:szCs w:val="20"/>
          <w:color w:val="auto"/>
        </w:rPr>
      </w:pPr>
    </w:p>
    <w:p>
      <w:pPr>
        <w:ind w:firstLine="228"/>
        <w:spacing w:after="0" w:line="246" w:lineRule="auto"/>
        <w:rPr>
          <w:sz w:val="20"/>
          <w:szCs w:val="20"/>
          <w:color w:val="auto"/>
        </w:rPr>
      </w:pPr>
      <w:r>
        <w:rPr>
          <w:rFonts w:ascii="Arial" w:cs="Arial" w:eastAsia="Arial" w:hAnsi="Arial"/>
          <w:sz w:val="18"/>
          <w:szCs w:val="18"/>
          <w:color w:val="auto"/>
        </w:rPr>
        <w:t>Expenses associated with American’s third-party regional carriers operating under the brand name American Eagle are classified as regional expenses on the condensed consolidated statements of operations. Regional expenses consist of the following (in millions):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80" w:type="dxa"/>
            <w:vAlign w:val="bottom"/>
            <w:gridSpan w:val="14"/>
          </w:tcPr>
          <w:p>
            <w:pPr>
              <w:ind w:left="60"/>
              <w:spacing w:after="0"/>
              <w:rPr>
                <w:sz w:val="20"/>
                <w:szCs w:val="20"/>
                <w:color w:val="auto"/>
              </w:rPr>
            </w:pPr>
            <w:r>
              <w:rPr>
                <w:rFonts w:ascii="Arial" w:cs="Arial" w:eastAsia="Arial" w:hAnsi="Arial"/>
                <w:sz w:val="14"/>
                <w:szCs w:val="14"/>
                <w:b w:val="1"/>
                <w:bCs w:val="1"/>
                <w:color w:val="auto"/>
              </w:rPr>
              <w:t>Three Months Ended June 30,</w:t>
            </w:r>
          </w:p>
        </w:tc>
        <w:tc>
          <w:tcPr>
            <w:tcW w:w="2140" w:type="dxa"/>
            <w:vAlign w:val="bottom"/>
            <w:gridSpan w:val="8"/>
          </w:tcPr>
          <w:p>
            <w:pPr>
              <w:jc w:val="right"/>
              <w:ind w:right="20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636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gridSpan w:val="2"/>
          </w:tcPr>
          <w:p>
            <w:pPr>
              <w:jc w:val="right"/>
              <w:ind w:right="220"/>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CCEEFF"/>
            </w:tcBorders>
          </w:tcPr>
          <w:p>
            <w:pPr>
              <w:spacing w:after="0"/>
              <w:rPr>
                <w:sz w:val="13"/>
                <w:szCs w:val="13"/>
                <w:color w:val="auto"/>
              </w:rPr>
            </w:pPr>
          </w:p>
        </w:tc>
        <w:tc>
          <w:tcPr>
            <w:tcW w:w="20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gridSpan w:val="2"/>
          </w:tcPr>
          <w:p>
            <w:pPr>
              <w:jc w:val="right"/>
              <w:ind w:right="240"/>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38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73"/>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91"/>
              <w:spacing w:after="0" w:line="155" w:lineRule="exact"/>
              <w:rPr>
                <w:sz w:val="20"/>
                <w:szCs w:val="20"/>
                <w:color w:val="auto"/>
              </w:rPr>
            </w:pPr>
            <w:r>
              <w:rPr>
                <w:rFonts w:ascii="Arial" w:cs="Arial" w:eastAsia="Arial" w:hAnsi="Arial"/>
                <w:sz w:val="14"/>
                <w:szCs w:val="14"/>
                <w:b w:val="1"/>
                <w:bCs w:val="1"/>
                <w:color w:val="auto"/>
                <w:w w:val="96"/>
              </w:rPr>
              <w:t>2016</w:t>
            </w:r>
          </w:p>
        </w:tc>
        <w:tc>
          <w:tcPr>
            <w:tcW w:w="140" w:type="dxa"/>
            <w:vAlign w:val="bottom"/>
            <w:tcBorders>
              <w:top w:val="single" w:sz="8" w:color="auto"/>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6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Aircraft fuel and related taxes</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gridSpan w:val="3"/>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329</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279</w:t>
            </w: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648</w:t>
            </w:r>
          </w:p>
        </w:tc>
        <w:tc>
          <w:tcPr>
            <w:tcW w:w="36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03"/>
        </w:trPr>
        <w:tc>
          <w:tcPr>
            <w:tcW w:w="6500" w:type="dxa"/>
            <w:vAlign w:val="bottom"/>
            <w:gridSpan w:val="2"/>
          </w:tcPr>
          <w:p>
            <w:pPr>
              <w:spacing w:after="0" w:line="202" w:lineRule="exact"/>
              <w:rPr>
                <w:sz w:val="20"/>
                <w:szCs w:val="20"/>
                <w:color w:val="auto"/>
              </w:rPr>
            </w:pPr>
            <w:r>
              <w:rPr>
                <w:rFonts w:ascii="Arial" w:cs="Arial" w:eastAsia="Arial" w:hAnsi="Arial"/>
                <w:sz w:val="18"/>
                <w:szCs w:val="18"/>
                <w:color w:val="auto"/>
              </w:rPr>
              <w:t>Salaries, wages and benefits</w:t>
            </w:r>
          </w:p>
        </w:tc>
        <w:tc>
          <w:tcPr>
            <w:tcW w:w="140" w:type="dxa"/>
            <w:vAlign w:val="bottom"/>
          </w:tcPr>
          <w:p>
            <w:pPr>
              <w:spacing w:after="0"/>
              <w:rPr>
                <w:sz w:val="17"/>
                <w:szCs w:val="17"/>
                <w:color w:val="auto"/>
              </w:rPr>
            </w:pPr>
          </w:p>
        </w:tc>
        <w:tc>
          <w:tcPr>
            <w:tcW w:w="72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86</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83</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161</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03"/>
        </w:trPr>
        <w:tc>
          <w:tcPr>
            <w:tcW w:w="65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Capacity purchases from third-party regional carriers</w:t>
            </w:r>
          </w:p>
        </w:tc>
        <w:tc>
          <w:tcPr>
            <w:tcW w:w="14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827</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799</w:t>
            </w: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1,628</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1,613</w:t>
            </w:r>
          </w:p>
        </w:tc>
        <w:tc>
          <w:tcPr>
            <w:tcW w:w="0" w:type="dxa"/>
            <w:vAlign w:val="bottom"/>
          </w:tcPr>
          <w:p>
            <w:pPr>
              <w:spacing w:after="0"/>
              <w:rPr>
                <w:sz w:val="1"/>
                <w:szCs w:val="1"/>
                <w:color w:val="auto"/>
              </w:rPr>
            </w:pPr>
          </w:p>
        </w:tc>
      </w:tr>
      <w:tr>
        <w:trPr>
          <w:trHeight w:val="203"/>
        </w:trPr>
        <w:tc>
          <w:tcPr>
            <w:tcW w:w="6500" w:type="dxa"/>
            <w:vAlign w:val="bottom"/>
            <w:gridSpan w:val="2"/>
          </w:tcPr>
          <w:p>
            <w:pPr>
              <w:spacing w:after="0" w:line="202" w:lineRule="exact"/>
              <w:rPr>
                <w:sz w:val="20"/>
                <w:szCs w:val="20"/>
                <w:color w:val="auto"/>
              </w:rPr>
            </w:pPr>
            <w:r>
              <w:rPr>
                <w:rFonts w:ascii="Arial" w:cs="Arial" w:eastAsia="Arial" w:hAnsi="Arial"/>
                <w:sz w:val="18"/>
                <w:szCs w:val="18"/>
                <w:color w:val="auto"/>
              </w:rPr>
              <w:t>Maintenance, materials and repairs</w:t>
            </w:r>
          </w:p>
        </w:tc>
        <w:tc>
          <w:tcPr>
            <w:tcW w:w="140" w:type="dxa"/>
            <w:vAlign w:val="bottom"/>
          </w:tcPr>
          <w:p>
            <w:pPr>
              <w:spacing w:after="0"/>
              <w:rPr>
                <w:sz w:val="17"/>
                <w:szCs w:val="17"/>
                <w:color w:val="auto"/>
              </w:rPr>
            </w:pPr>
          </w:p>
        </w:tc>
        <w:tc>
          <w:tcPr>
            <w:tcW w:w="72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2</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3"/>
        </w:trPr>
        <w:tc>
          <w:tcPr>
            <w:tcW w:w="65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Other rent and landing fees</w:t>
            </w:r>
          </w:p>
        </w:tc>
        <w:tc>
          <w:tcPr>
            <w:tcW w:w="14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150</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122</w:t>
            </w: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296</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03"/>
        </w:trPr>
        <w:tc>
          <w:tcPr>
            <w:tcW w:w="6500" w:type="dxa"/>
            <w:vAlign w:val="bottom"/>
            <w:gridSpan w:val="2"/>
          </w:tcPr>
          <w:p>
            <w:pPr>
              <w:spacing w:after="0" w:line="202" w:lineRule="exact"/>
              <w:rPr>
                <w:sz w:val="20"/>
                <w:szCs w:val="20"/>
                <w:color w:val="auto"/>
              </w:rPr>
            </w:pPr>
            <w:r>
              <w:rPr>
                <w:rFonts w:ascii="Arial" w:cs="Arial" w:eastAsia="Arial" w:hAnsi="Arial"/>
                <w:sz w:val="18"/>
                <w:szCs w:val="18"/>
                <w:color w:val="auto"/>
              </w:rPr>
              <w:t>Aircraft rent</w:t>
            </w:r>
          </w:p>
        </w:tc>
        <w:tc>
          <w:tcPr>
            <w:tcW w:w="140" w:type="dxa"/>
            <w:vAlign w:val="bottom"/>
          </w:tcPr>
          <w:p>
            <w:pPr>
              <w:spacing w:after="0"/>
              <w:rPr>
                <w:sz w:val="17"/>
                <w:szCs w:val="17"/>
                <w:color w:val="auto"/>
              </w:rPr>
            </w:pPr>
          </w:p>
        </w:tc>
        <w:tc>
          <w:tcPr>
            <w:tcW w:w="72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7</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7</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14</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3"/>
        </w:trPr>
        <w:tc>
          <w:tcPr>
            <w:tcW w:w="65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Selling expenses</w:t>
            </w:r>
          </w:p>
        </w:tc>
        <w:tc>
          <w:tcPr>
            <w:tcW w:w="14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94</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88</w:t>
            </w: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174</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03"/>
        </w:trPr>
        <w:tc>
          <w:tcPr>
            <w:tcW w:w="6500" w:type="dxa"/>
            <w:vAlign w:val="bottom"/>
            <w:gridSpan w:val="2"/>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7"/>
                <w:szCs w:val="17"/>
                <w:color w:val="auto"/>
              </w:rPr>
            </w:pPr>
          </w:p>
        </w:tc>
        <w:tc>
          <w:tcPr>
            <w:tcW w:w="72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65</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58</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128</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03"/>
        </w:trPr>
        <w:tc>
          <w:tcPr>
            <w:tcW w:w="65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Special items, net</w:t>
            </w:r>
          </w:p>
        </w:tc>
        <w:tc>
          <w:tcPr>
            <w:tcW w:w="14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3"/>
        </w:trPr>
        <w:tc>
          <w:tcPr>
            <w:tcW w:w="6500" w:type="dxa"/>
            <w:vAlign w:val="bottom"/>
            <w:gridSpan w:val="2"/>
          </w:tcPr>
          <w:p>
            <w:pPr>
              <w:spacing w:after="0" w:line="202" w:lineRule="exact"/>
              <w:rPr>
                <w:sz w:val="20"/>
                <w:szCs w:val="20"/>
                <w:color w:val="auto"/>
              </w:rPr>
            </w:pPr>
            <w:r>
              <w:rPr>
                <w:rFonts w:ascii="Arial" w:cs="Arial" w:eastAsia="Arial" w:hAnsi="Arial"/>
                <w:sz w:val="18"/>
                <w:szCs w:val="18"/>
                <w:color w:val="auto"/>
              </w:rPr>
              <w:t>Other</w:t>
            </w:r>
          </w:p>
        </w:tc>
        <w:tc>
          <w:tcPr>
            <w:tcW w:w="140" w:type="dxa"/>
            <w:vAlign w:val="bottom"/>
          </w:tcPr>
          <w:p>
            <w:pPr>
              <w:spacing w:after="0"/>
              <w:rPr>
                <w:sz w:val="17"/>
                <w:szCs w:val="17"/>
                <w:color w:val="auto"/>
              </w:rPr>
            </w:pPr>
          </w:p>
        </w:tc>
        <w:tc>
          <w:tcPr>
            <w:tcW w:w="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143</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50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Total regional expenses</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1,629</w:t>
            </w:r>
          </w:p>
        </w:tc>
        <w:tc>
          <w:tcPr>
            <w:tcW w:w="120" w:type="dxa"/>
            <w:vAlign w:val="bottom"/>
            <w:shd w:val="clear" w:color="auto" w:fill="CCEEFF"/>
          </w:tcPr>
          <w:p>
            <w:pPr>
              <w:spacing w:after="0"/>
              <w:rPr>
                <w:sz w:val="17"/>
                <w:szCs w:val="17"/>
                <w:color w:val="auto"/>
              </w:rPr>
            </w:pPr>
          </w:p>
        </w:tc>
        <w:tc>
          <w:tcPr>
            <w:tcW w:w="500" w:type="dxa"/>
            <w:vAlign w:val="bottom"/>
            <w:gridSpan w:val="3"/>
            <w:shd w:val="clear" w:color="auto" w:fill="CCEEFF"/>
          </w:tcPr>
          <w:p>
            <w:pPr>
              <w:spacing w:after="0"/>
              <w:rPr>
                <w:sz w:val="17"/>
                <w:szCs w:val="17"/>
                <w:color w:val="auto"/>
              </w:rPr>
            </w:pP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1,510</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3,199</w:t>
            </w:r>
          </w:p>
        </w:tc>
        <w:tc>
          <w:tcPr>
            <w:tcW w:w="70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2,947</w:t>
            </w:r>
          </w:p>
        </w:tc>
        <w:tc>
          <w:tcPr>
            <w:tcW w:w="0" w:type="dxa"/>
            <w:vAlign w:val="bottom"/>
          </w:tcPr>
          <w:p>
            <w:pPr>
              <w:spacing w:after="0"/>
              <w:rPr>
                <w:sz w:val="1"/>
                <w:szCs w:val="1"/>
                <w:color w:val="auto"/>
              </w:rPr>
            </w:pPr>
          </w:p>
        </w:tc>
      </w:tr>
      <w:tr>
        <w:trPr>
          <w:trHeight w:val="20"/>
        </w:trPr>
        <w:tc>
          <w:tcPr>
            <w:tcW w:w="65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9. Transactions with Related Parties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50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7360" w:type="dxa"/>
            <w:vAlign w:val="bottom"/>
            <w:gridSpan w:val="6"/>
          </w:tcPr>
          <w:p>
            <w:pPr>
              <w:ind w:left="240"/>
              <w:spacing w:after="0"/>
              <w:rPr>
                <w:sz w:val="20"/>
                <w:szCs w:val="20"/>
                <w:color w:val="auto"/>
              </w:rPr>
            </w:pPr>
            <w:r>
              <w:rPr>
                <w:rFonts w:ascii="Arial" w:cs="Arial" w:eastAsia="Arial" w:hAnsi="Arial"/>
                <w:sz w:val="18"/>
                <w:szCs w:val="18"/>
                <w:color w:val="auto"/>
              </w:rPr>
              <w:t>The following represents the net receivables (payables) to related parties (in millions):</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920" w:type="dxa"/>
            <w:vAlign w:val="bottom"/>
            <w:gridSpan w:val="10"/>
          </w:tcPr>
          <w:p>
            <w:pPr>
              <w:ind w:left="40"/>
              <w:spacing w:after="0"/>
              <w:rPr>
                <w:sz w:val="20"/>
                <w:szCs w:val="20"/>
                <w:color w:val="auto"/>
              </w:rPr>
            </w:pPr>
            <w:r>
              <w:rPr>
                <w:rFonts w:ascii="Arial" w:cs="Arial" w:eastAsia="Arial" w:hAnsi="Arial"/>
                <w:sz w:val="14"/>
                <w:szCs w:val="14"/>
                <w:b w:val="1"/>
                <w:bCs w:val="1"/>
                <w:color w:val="auto"/>
              </w:rPr>
              <w:t>June 30, 2017</w:t>
            </w:r>
          </w:p>
        </w:tc>
        <w:tc>
          <w:tcPr>
            <w:tcW w:w="160" w:type="dxa"/>
            <w:vAlign w:val="bottom"/>
          </w:tcPr>
          <w:p>
            <w:pPr>
              <w:spacing w:after="0"/>
              <w:rPr>
                <w:sz w:val="23"/>
                <w:szCs w:val="23"/>
                <w:color w:val="auto"/>
              </w:rPr>
            </w:pPr>
          </w:p>
        </w:tc>
        <w:tc>
          <w:tcPr>
            <w:tcW w:w="1980" w:type="dxa"/>
            <w:vAlign w:val="bottom"/>
            <w:gridSpan w:val="7"/>
          </w:tcPr>
          <w:p>
            <w:pPr>
              <w:jc w:val="center"/>
              <w:spacing w:after="0"/>
              <w:rPr>
                <w:sz w:val="20"/>
                <w:szCs w:val="20"/>
                <w:color w:val="auto"/>
              </w:rPr>
            </w:pPr>
            <w:r>
              <w:rPr>
                <w:rFonts w:ascii="Arial" w:cs="Arial" w:eastAsia="Arial" w:hAnsi="Arial"/>
                <w:sz w:val="14"/>
                <w:szCs w:val="14"/>
                <w:b w:val="1"/>
                <w:bCs w:val="1"/>
                <w:color w:val="auto"/>
              </w:rPr>
              <w:t>December 31, 2016</w:t>
            </w:r>
          </w:p>
        </w:tc>
        <w:tc>
          <w:tcPr>
            <w:tcW w:w="0" w:type="dxa"/>
            <w:vAlign w:val="bottom"/>
          </w:tcPr>
          <w:p>
            <w:pPr>
              <w:spacing w:after="0"/>
              <w:rPr>
                <w:sz w:val="1"/>
                <w:szCs w:val="1"/>
                <w:color w:val="auto"/>
              </w:rPr>
            </w:pPr>
          </w:p>
        </w:tc>
      </w:tr>
      <w:tr>
        <w:trPr>
          <w:trHeight w:val="196"/>
        </w:trPr>
        <w:tc>
          <w:tcPr>
            <w:tcW w:w="650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 xml:space="preserve">AAG </w:t>
            </w:r>
            <w:r>
              <w:rPr>
                <w:rFonts w:ascii="Arial" w:cs="Arial" w:eastAsia="Arial" w:hAnsi="Arial"/>
                <w:sz w:val="15"/>
                <w:szCs w:val="15"/>
                <w:color w:val="auto"/>
              </w:rPr>
              <w:t>(1)</w:t>
            </w:r>
          </w:p>
        </w:tc>
        <w:tc>
          <w:tcPr>
            <w:tcW w:w="1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gridSpan w:val="6"/>
            <w:shd w:val="clear" w:color="auto" w:fill="CCEEFF"/>
          </w:tcPr>
          <w:p>
            <w:pPr>
              <w:jc w:val="right"/>
              <w:ind w:right="440"/>
              <w:spacing w:after="0" w:line="196" w:lineRule="exact"/>
              <w:rPr>
                <w:sz w:val="20"/>
                <w:szCs w:val="20"/>
                <w:color w:val="auto"/>
              </w:rPr>
            </w:pPr>
            <w:r>
              <w:rPr>
                <w:rFonts w:ascii="Arial" w:cs="Arial" w:eastAsia="Arial" w:hAnsi="Arial"/>
                <w:sz w:val="18"/>
                <w:szCs w:val="18"/>
                <w:color w:val="auto"/>
              </w:rPr>
              <w:t>$ 10,191</w:t>
            </w:r>
          </w:p>
        </w:tc>
        <w:tc>
          <w:tcPr>
            <w:tcW w:w="1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gridSpan w:val="3"/>
            <w:shd w:val="clear" w:color="auto" w:fill="CCEEFF"/>
          </w:tcPr>
          <w:p>
            <w:pPr>
              <w:jc w:val="center"/>
              <w:ind w:right="60"/>
              <w:spacing w:after="0" w:line="196" w:lineRule="exact"/>
              <w:rPr>
                <w:sz w:val="20"/>
                <w:szCs w:val="20"/>
                <w:color w:val="auto"/>
              </w:rPr>
            </w:pPr>
            <w:r>
              <w:rPr>
                <w:rFonts w:ascii="Arial" w:cs="Arial" w:eastAsia="Arial" w:hAnsi="Arial"/>
                <w:sz w:val="18"/>
                <w:szCs w:val="18"/>
                <w:color w:val="auto"/>
              </w:rPr>
              <w:t>$ 8,981</w:t>
            </w:r>
          </w:p>
        </w:tc>
        <w:tc>
          <w:tcPr>
            <w:tcW w:w="5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500" w:type="dxa"/>
            <w:vAlign w:val="bottom"/>
            <w:gridSpan w:val="2"/>
          </w:tcPr>
          <w:p>
            <w:pPr>
              <w:spacing w:after="0" w:line="202" w:lineRule="exact"/>
              <w:rPr>
                <w:sz w:val="20"/>
                <w:szCs w:val="20"/>
                <w:color w:val="auto"/>
              </w:rPr>
            </w:pPr>
            <w:r>
              <w:rPr>
                <w:rFonts w:ascii="Arial" w:cs="Arial" w:eastAsia="Arial" w:hAnsi="Arial"/>
                <w:sz w:val="18"/>
                <w:szCs w:val="18"/>
                <w:color w:val="auto"/>
              </w:rPr>
              <w:t xml:space="preserve">AAG’s wholly-owned subsidiaries </w:t>
            </w:r>
            <w:r>
              <w:rPr>
                <w:rFonts w:ascii="Arial" w:cs="Arial" w:eastAsia="Arial" w:hAnsi="Arial"/>
                <w:sz w:val="15"/>
                <w:szCs w:val="15"/>
                <w:color w:val="auto"/>
              </w:rPr>
              <w:t>(2)</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Borders>
              <w:bottom w:val="single" w:sz="8" w:color="auto"/>
            </w:tcBorders>
            <w:gridSpan w:val="4"/>
          </w:tcPr>
          <w:p>
            <w:pPr>
              <w:jc w:val="right"/>
              <w:spacing w:after="0" w:line="202" w:lineRule="exact"/>
              <w:rPr>
                <w:sz w:val="20"/>
                <w:szCs w:val="20"/>
                <w:color w:val="auto"/>
              </w:rPr>
            </w:pPr>
            <w:r>
              <w:rPr>
                <w:rFonts w:ascii="Arial" w:cs="Arial" w:eastAsia="Arial" w:hAnsi="Arial"/>
                <w:sz w:val="18"/>
                <w:szCs w:val="18"/>
                <w:color w:val="auto"/>
              </w:rPr>
              <w:t>(2,162)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Borders>
              <w:bottom w:val="single" w:sz="8" w:color="auto"/>
            </w:tcBorders>
            <w:gridSpan w:val="3"/>
          </w:tcPr>
          <w:p>
            <w:pPr>
              <w:jc w:val="right"/>
              <w:spacing w:after="0" w:line="202" w:lineRule="exact"/>
              <w:rPr>
                <w:sz w:val="20"/>
                <w:szCs w:val="20"/>
                <w:color w:val="auto"/>
              </w:rPr>
            </w:pPr>
            <w:r>
              <w:rPr>
                <w:rFonts w:ascii="Arial" w:cs="Arial" w:eastAsia="Arial" w:hAnsi="Arial"/>
                <w:sz w:val="18"/>
                <w:szCs w:val="18"/>
                <w:color w:val="auto"/>
              </w:rPr>
              <w:t>(2,171)</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50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5"/>
            <w:shd w:val="clear" w:color="auto" w:fill="CCEEFF"/>
          </w:tcPr>
          <w:p>
            <w:pPr>
              <w:jc w:val="right"/>
              <w:spacing w:after="0" w:line="202" w:lineRule="exact"/>
              <w:rPr>
                <w:sz w:val="20"/>
                <w:szCs w:val="20"/>
                <w:color w:val="auto"/>
              </w:rPr>
            </w:pPr>
            <w:r>
              <w:rPr>
                <w:rFonts w:ascii="Arial" w:cs="Arial" w:eastAsia="Arial" w:hAnsi="Arial"/>
                <w:sz w:val="18"/>
                <w:szCs w:val="18"/>
                <w:color w:val="auto"/>
              </w:rPr>
              <w:t>$ 8,029</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center"/>
              <w:ind w:right="60"/>
              <w:spacing w:after="0" w:line="202" w:lineRule="exact"/>
              <w:rPr>
                <w:sz w:val="20"/>
                <w:szCs w:val="20"/>
                <w:color w:val="auto"/>
              </w:rPr>
            </w:pPr>
            <w:r>
              <w:rPr>
                <w:rFonts w:ascii="Arial" w:cs="Arial" w:eastAsia="Arial" w:hAnsi="Arial"/>
                <w:sz w:val="18"/>
                <w:szCs w:val="18"/>
                <w:color w:val="auto"/>
              </w:rPr>
              <w:t>$ 6,810</w:t>
            </w: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82" w:lineRule="exact"/>
        <w:rPr>
          <w:sz w:val="20"/>
          <w:szCs w:val="20"/>
          <w:color w:val="auto"/>
        </w:rPr>
      </w:pPr>
    </w:p>
    <w:p>
      <w:pPr>
        <w:ind w:left="460" w:right="20" w:hanging="452"/>
        <w:spacing w:after="0" w:line="246" w:lineRule="auto"/>
        <w:tabs>
          <w:tab w:leader="none" w:pos="460" w:val="left"/>
        </w:tabs>
        <w:numPr>
          <w:ilvl w:val="0"/>
          <w:numId w:val="11"/>
        </w:numPr>
        <w:rPr>
          <w:rFonts w:ascii="Arial" w:cs="Arial" w:eastAsia="Arial" w:hAnsi="Arial"/>
          <w:sz w:val="15"/>
          <w:szCs w:val="15"/>
          <w:color w:val="auto"/>
        </w:rPr>
      </w:pPr>
      <w:r>
        <w:rPr>
          <w:rFonts w:ascii="Arial" w:cs="Arial" w:eastAsia="Arial" w:hAnsi="Arial"/>
          <w:sz w:val="18"/>
          <w:szCs w:val="18"/>
          <w:color w:val="auto"/>
        </w:rPr>
        <w:t>The increase in American’s net related party receivable from AAG is primarily due to American providing the cash funding for AAG’s share repurchase and dividend programs.</w:t>
      </w:r>
    </w:p>
    <w:p>
      <w:pPr>
        <w:spacing w:after="0" w:line="102" w:lineRule="exact"/>
        <w:rPr>
          <w:rFonts w:ascii="Arial" w:cs="Arial" w:eastAsia="Arial" w:hAnsi="Arial"/>
          <w:sz w:val="15"/>
          <w:szCs w:val="15"/>
          <w:color w:val="auto"/>
        </w:rPr>
      </w:pPr>
    </w:p>
    <w:p>
      <w:pPr>
        <w:ind w:left="460" w:hanging="452"/>
        <w:spacing w:after="0" w:line="246" w:lineRule="auto"/>
        <w:tabs>
          <w:tab w:leader="none" w:pos="460" w:val="left"/>
        </w:tabs>
        <w:numPr>
          <w:ilvl w:val="0"/>
          <w:numId w:val="11"/>
        </w:numPr>
        <w:rPr>
          <w:rFonts w:ascii="Arial" w:cs="Arial" w:eastAsia="Arial" w:hAnsi="Arial"/>
          <w:sz w:val="15"/>
          <w:szCs w:val="15"/>
          <w:color w:val="auto"/>
        </w:rPr>
      </w:pPr>
      <w:r>
        <w:rPr>
          <w:rFonts w:ascii="Arial" w:cs="Arial" w:eastAsia="Arial" w:hAnsi="Arial"/>
          <w:sz w:val="18"/>
          <w:szCs w:val="18"/>
          <w:color w:val="auto"/>
        </w:rPr>
        <w:t>The net payable to AAG’s wholly-owned subsidiaries consists primarily of amounts due under regional capacity purchase agreements with AAG’s wholly-owned regional airlines operating under the brand name of American Eagle.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Legal Proceedings</w:t>
      </w:r>
    </w:p>
    <w:p>
      <w:pPr>
        <w:spacing w:after="0" w:line="54" w:lineRule="exact"/>
        <w:rPr>
          <w:sz w:val="20"/>
          <w:szCs w:val="20"/>
          <w:color w:val="auto"/>
        </w:rPr>
      </w:pPr>
    </w:p>
    <w:p>
      <w:pPr>
        <w:jc w:val="both"/>
        <w:ind w:firstLine="228"/>
        <w:spacing w:after="0" w:line="242" w:lineRule="auto"/>
        <w:rPr>
          <w:sz w:val="20"/>
          <w:szCs w:val="20"/>
          <w:color w:val="auto"/>
        </w:rPr>
      </w:pPr>
      <w:r>
        <w:rPr>
          <w:rFonts w:ascii="Arial" w:cs="Arial" w:eastAsia="Arial" w:hAnsi="Arial"/>
          <w:sz w:val="18"/>
          <w:szCs w:val="18"/>
          <w:i w:val="1"/>
          <w:iCs w:val="1"/>
          <w:color w:val="auto"/>
        </w:rPr>
        <w:t>Chapter 11 Cases</w:t>
      </w:r>
      <w:r>
        <w:rPr>
          <w:rFonts w:ascii="Arial" w:cs="Arial" w:eastAsia="Arial" w:hAnsi="Arial"/>
          <w:sz w:val="18"/>
          <w:szCs w:val="18"/>
          <w:color w:val="auto"/>
        </w:rPr>
        <w:t>. On November 29, 2011, AMR, American, and certain of AMR’s other direct and indirect domestic subsidiaries (the</w:t>
      </w:r>
      <w:r>
        <w:rPr>
          <w:rFonts w:ascii="Arial" w:cs="Arial" w:eastAsia="Arial" w:hAnsi="Arial"/>
          <w:sz w:val="18"/>
          <w:szCs w:val="18"/>
          <w:i w:val="1"/>
          <w:iCs w:val="1"/>
          <w:color w:val="auto"/>
        </w:rPr>
        <w:t xml:space="preserve"> </w:t>
      </w:r>
      <w:r>
        <w:rPr>
          <w:rFonts w:ascii="Arial" w:cs="Arial" w:eastAsia="Arial" w:hAnsi="Arial"/>
          <w:sz w:val="18"/>
          <w:szCs w:val="18"/>
          <w:color w:val="auto"/>
        </w:rPr>
        <w:t>Debtors) filed voluntary petitions for relief under Chapter 11 of the United States Bankruptcy Code in the United States Bankruptcy Court for the Southern District of New York (the Bankruptcy Court). On October 21, 2013, the Bankruptcy Court entered an order approving and confirming the Debtors’ fourth amended joint plan of reorganization (as amended, the Plan). On the Effective Date, December 9, 2013, the Debtors consummated their reorganization pursuant to the Plan and completed the Merger.</w:t>
      </w:r>
    </w:p>
    <w:p>
      <w:pPr>
        <w:spacing w:after="0" w:line="95" w:lineRule="exact"/>
        <w:rPr>
          <w:sz w:val="20"/>
          <w:szCs w:val="20"/>
          <w:color w:val="auto"/>
        </w:rPr>
      </w:pPr>
    </w:p>
    <w:p>
      <w:pPr>
        <w:jc w:val="both"/>
        <w:ind w:firstLine="228"/>
        <w:spacing w:after="0" w:line="236" w:lineRule="auto"/>
        <w:rPr>
          <w:sz w:val="20"/>
          <w:szCs w:val="20"/>
          <w:color w:val="auto"/>
        </w:rPr>
      </w:pPr>
      <w:r>
        <w:rPr>
          <w:rFonts w:ascii="Arial" w:cs="Arial" w:eastAsia="Arial" w:hAnsi="Arial"/>
          <w:sz w:val="18"/>
          <w:szCs w:val="18"/>
          <w:color w:val="auto"/>
        </w:rPr>
        <w:t>Pursuant to rulings of the Bankruptcy Court, the Plan established the Disputed Claims Reserve to hold shares of AAG common stock reserved for issuance to disputed claimholders at the Effective Date that ultimately become holders of allowed claims. As of June 30, 2017, there were approximately 25.2 million shares of AAG common stock remaining in the Disputed Claims Reserve. As disputed claims are resolved, the claimants will receive distributions of shares from the Disputed Claims Reserve on the same basis as if such distributions had been made on or about the Effective Date. However, American is not required to distribute additional shares above the limits contemplated by the Plan, even if the shares remaining for distribution are not sufficient to fully pay any additional allowed unsecured claims. To the extent that any of the reserved shares remain undistributed upon resolution of all remaining disputed claims, such shares will not be returned to American but rather will be distributed to former AMR stockholders.</w:t>
      </w:r>
    </w:p>
    <w:p>
      <w:pPr>
        <w:spacing w:after="0" w:line="100" w:lineRule="exact"/>
        <w:rPr>
          <w:sz w:val="20"/>
          <w:szCs w:val="20"/>
          <w:color w:val="auto"/>
        </w:rPr>
      </w:pPr>
    </w:p>
    <w:p>
      <w:pPr>
        <w:jc w:val="both"/>
        <w:ind w:firstLine="228"/>
        <w:spacing w:after="0" w:line="237" w:lineRule="auto"/>
        <w:rPr>
          <w:sz w:val="20"/>
          <w:szCs w:val="20"/>
          <w:color w:val="auto"/>
        </w:rPr>
      </w:pPr>
      <w:r>
        <w:rPr>
          <w:rFonts w:ascii="Arial" w:cs="Arial" w:eastAsia="Arial" w:hAnsi="Arial"/>
          <w:sz w:val="18"/>
          <w:szCs w:val="18"/>
          <w:color w:val="auto"/>
        </w:rPr>
        <w:t>There is also pending in the Bankruptcy Court an adversary proceeding relating to an action brought by American to seek a determination that certain non-pension, postemployment benefits are not vested benefits and thus may be modified or terminated without liability to American. On April 18, 2014, the Bankruptcy Court granted American’s motion for summary judgment with respect to certain non-union employees, concluding that their benefits were not vested and could be terminated. The summary judgment motion was denied with respect to all other retirees. The Bankruptcy Court has not yet scheduled a trial on the merits concerning whether those retirees’ benefits are vested, and American cannot predict whether it will receive relief from obligations to provide benefits to any of those retirees. American’s financial</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65"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 TO CONDENSED CONSOLIDATED FINANCIAL STATEMENTS OF AMERICAN AIRLINES,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4"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statements presently reflect these retirement programs without giving effect to any modification or termination of benefits that may ultimately be implemented based upon the outcome of this proceeding.</w:t>
      </w:r>
    </w:p>
    <w:p>
      <w:pPr>
        <w:spacing w:after="0" w:line="179" w:lineRule="exact"/>
        <w:rPr>
          <w:sz w:val="20"/>
          <w:szCs w:val="20"/>
          <w:color w:val="auto"/>
        </w:rPr>
      </w:pPr>
    </w:p>
    <w:p>
      <w:pPr>
        <w:jc w:val="both"/>
        <w:ind w:firstLine="228"/>
        <w:spacing w:after="0" w:line="239" w:lineRule="auto"/>
        <w:rPr>
          <w:sz w:val="20"/>
          <w:szCs w:val="20"/>
          <w:color w:val="auto"/>
        </w:rPr>
      </w:pPr>
      <w:r>
        <w:rPr>
          <w:rFonts w:ascii="Arial" w:cs="Arial" w:eastAsia="Arial" w:hAnsi="Arial"/>
          <w:sz w:val="18"/>
          <w:szCs w:val="18"/>
          <w:i w:val="1"/>
          <w:iCs w:val="1"/>
          <w:color w:val="auto"/>
        </w:rPr>
        <w:t>DOJ Antitrust Civil Investigative Demand</w:t>
      </w:r>
      <w:r>
        <w:rPr>
          <w:rFonts w:ascii="Arial" w:cs="Arial" w:eastAsia="Arial" w:hAnsi="Arial"/>
          <w:sz w:val="18"/>
          <w:szCs w:val="18"/>
          <w:color w:val="auto"/>
        </w:rPr>
        <w:t>. In June 2015, American received a Civil Investigative Demand (CID) from the United States</w:t>
      </w:r>
      <w:r>
        <w:rPr>
          <w:rFonts w:ascii="Arial" w:cs="Arial" w:eastAsia="Arial" w:hAnsi="Arial"/>
          <w:sz w:val="18"/>
          <w:szCs w:val="18"/>
          <w:i w:val="1"/>
          <w:iCs w:val="1"/>
          <w:color w:val="auto"/>
        </w:rPr>
        <w:t xml:space="preserve"> </w:t>
      </w:r>
      <w:r>
        <w:rPr>
          <w:rFonts w:ascii="Arial" w:cs="Arial" w:eastAsia="Arial" w:hAnsi="Arial"/>
          <w:sz w:val="18"/>
          <w:szCs w:val="18"/>
          <w:color w:val="auto"/>
        </w:rPr>
        <w:t>Department of Justice (DOJ) as part of an investigation into whether there have been illegal agreements or coordination of air passenger capacity. The CID seeks documents and other information from American, and other airlines have announced that they have received similar requests. American is cooperating fully with the DOJ investigation. In addition, subsequent to announcement of the delivery of CIDs by the DOJ, American, along with Delta Air Lines, Inc., Southwest Airlines Co., United Airlines, Inc. and, in the case of litigation filed in Canada, Air Canada, have been named as defendants in approximately 100 putative class action lawsuits alleging unlawful agreements with respect to air passenger capacity. The U.S. lawsuits have been consolidated in the Federal District Court for the District of Columbia. On October 28, 2016, the Court denied a motion by the airline defendants to dismiss all claims in the class actions. Both the DOJ investigation and these lawsuits are in their relatively early stages and American intends to defend these matters vigorously.</w:t>
      </w:r>
    </w:p>
    <w:p>
      <w:pPr>
        <w:spacing w:after="0" w:line="184" w:lineRule="exact"/>
        <w:rPr>
          <w:sz w:val="20"/>
          <w:szCs w:val="20"/>
          <w:color w:val="auto"/>
        </w:rPr>
      </w:pPr>
    </w:p>
    <w:p>
      <w:pPr>
        <w:jc w:val="both"/>
        <w:ind w:firstLine="228"/>
        <w:spacing w:after="0"/>
        <w:rPr>
          <w:sz w:val="20"/>
          <w:szCs w:val="20"/>
          <w:color w:val="auto"/>
        </w:rPr>
      </w:pPr>
      <w:r>
        <w:rPr>
          <w:rFonts w:ascii="Arial" w:cs="Arial" w:eastAsia="Arial" w:hAnsi="Arial"/>
          <w:sz w:val="18"/>
          <w:szCs w:val="18"/>
          <w:i w:val="1"/>
          <w:iCs w:val="1"/>
          <w:color w:val="auto"/>
        </w:rPr>
        <w:t>Private Party Antitrust Action</w:t>
      </w:r>
      <w:r>
        <w:rPr>
          <w:rFonts w:ascii="Arial" w:cs="Arial" w:eastAsia="Arial" w:hAnsi="Arial"/>
          <w:sz w:val="18"/>
          <w:szCs w:val="18"/>
          <w:color w:val="auto"/>
        </w:rPr>
        <w:t>. On July 2, 2013, a lawsuit captioned Carolyn Fjord, et al., v. US Airways Group, Inc., et al., was filed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United States District Court for the Northern District of California. The complaint named as defendants US Airways Group and US Airways, alleged that the effect of the Merger may be to create a monopoly in violation of Section 7 of the Clayton Antitrust Act, and sought injunctive relief and/or divestiture. On August 6, 2013, the plaintiffs re-filed their complaint in the Bankruptcy Court, adding AMR and American as defendants. On November 27, 2013, the Bankruptcy Court denied plaintiffs’ motion to preliminarily enjoin the Merger. On May 12, 2017, defendants filed a motion for summary judgment. On June 23, 2017, plaintiffs filed an opposition to defendants’ motion and cross-motion for summary judgment. American believes this lawsuit is without merit and intends to vigorously defend against the allegations.</w:t>
      </w:r>
    </w:p>
    <w:p>
      <w:pPr>
        <w:spacing w:after="0" w:line="185" w:lineRule="exact"/>
        <w:rPr>
          <w:sz w:val="20"/>
          <w:szCs w:val="20"/>
          <w:color w:val="auto"/>
        </w:rPr>
      </w:pPr>
    </w:p>
    <w:p>
      <w:pPr>
        <w:jc w:val="both"/>
        <w:ind w:firstLine="228"/>
        <w:spacing w:after="0" w:line="242" w:lineRule="auto"/>
        <w:rPr>
          <w:sz w:val="20"/>
          <w:szCs w:val="20"/>
          <w:color w:val="auto"/>
        </w:rPr>
      </w:pPr>
      <w:r>
        <w:rPr>
          <w:rFonts w:ascii="Arial" w:cs="Arial" w:eastAsia="Arial" w:hAnsi="Arial"/>
          <w:sz w:val="18"/>
          <w:szCs w:val="18"/>
          <w:i w:val="1"/>
          <w:iCs w:val="1"/>
          <w:color w:val="auto"/>
        </w:rPr>
        <w:t>DOJ Investigation Related to the United States Postal Service</w:t>
      </w:r>
      <w:r>
        <w:rPr>
          <w:rFonts w:ascii="Arial" w:cs="Arial" w:eastAsia="Arial" w:hAnsi="Arial"/>
          <w:sz w:val="18"/>
          <w:szCs w:val="18"/>
          <w:color w:val="auto"/>
        </w:rPr>
        <w:t>. In April 2015, the DOJ informed American of an inquiry regarding American’s</w:t>
      </w:r>
      <w:r>
        <w:rPr>
          <w:rFonts w:ascii="Arial" w:cs="Arial" w:eastAsia="Arial" w:hAnsi="Arial"/>
          <w:sz w:val="18"/>
          <w:szCs w:val="18"/>
          <w:i w:val="1"/>
          <w:iCs w:val="1"/>
          <w:color w:val="auto"/>
        </w:rPr>
        <w:t xml:space="preserve"> </w:t>
      </w:r>
      <w:r>
        <w:rPr>
          <w:rFonts w:ascii="Arial" w:cs="Arial" w:eastAsia="Arial" w:hAnsi="Arial"/>
          <w:sz w:val="18"/>
          <w:szCs w:val="18"/>
          <w:color w:val="auto"/>
        </w:rPr>
        <w:t>2009 and 2011 contracts with the United States Postal Service for the international transportation of mail by air. In October 2015, American received a CID from the DOJ seeking certain information relating to these contracts and the DOJ has also sought information concerning certain of the airlines that transport mail on a codeshare basis. The DOJ has indicated it is investigating potential violations of the False Claims Act or other statutes. American is cooperating fully with the DOJ with regard to its investigation.</w:t>
      </w:r>
    </w:p>
    <w:p>
      <w:pPr>
        <w:spacing w:after="0" w:line="185" w:lineRule="exact"/>
        <w:rPr>
          <w:sz w:val="20"/>
          <w:szCs w:val="20"/>
          <w:color w:val="auto"/>
        </w:rPr>
      </w:pPr>
    </w:p>
    <w:p>
      <w:pPr>
        <w:jc w:val="both"/>
        <w:ind w:firstLine="228"/>
        <w:spacing w:after="0" w:line="241" w:lineRule="auto"/>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In addition to the specifically identified legal proceedings, American and its subsidiaries are also engaged in other legal</w:t>
      </w:r>
      <w:r>
        <w:rPr>
          <w:rFonts w:ascii="Arial" w:cs="Arial" w:eastAsia="Arial" w:hAnsi="Arial"/>
          <w:sz w:val="18"/>
          <w:szCs w:val="18"/>
          <w:i w:val="1"/>
          <w:iCs w:val="1"/>
          <w:color w:val="auto"/>
        </w:rPr>
        <w:t xml:space="preserve"> </w:t>
      </w:r>
      <w:r>
        <w:rPr>
          <w:rFonts w:ascii="Arial" w:cs="Arial" w:eastAsia="Arial" w:hAnsi="Arial"/>
          <w:sz w:val="18"/>
          <w:szCs w:val="18"/>
          <w:color w:val="auto"/>
        </w:rPr>
        <w:t>proceedings from time to time. Legal proceedings can be complex and take many months, or even years, to reach resolution, with the final outcome depending on a number of variables, some of which are not within American’s control. Therefore, although American will vigorously defend itself in each of the actions described above and such other legal proceedings, their ultimate resolution and potential financial and other impacts on American are uncertain but could be material. See Part II, Item 1A. Risk Factors – “</w:t>
      </w:r>
      <w:r>
        <w:rPr>
          <w:rFonts w:ascii="Arial" w:cs="Arial" w:eastAsia="Arial" w:hAnsi="Arial"/>
          <w:sz w:val="18"/>
          <w:szCs w:val="18"/>
          <w:i w:val="1"/>
          <w:iCs w:val="1"/>
          <w:color w:val="auto"/>
        </w:rPr>
        <w:t>We may be a party to litigation in the normal</w:t>
      </w:r>
      <w:r>
        <w:rPr>
          <w:rFonts w:ascii="Arial" w:cs="Arial" w:eastAsia="Arial" w:hAnsi="Arial"/>
          <w:sz w:val="18"/>
          <w:szCs w:val="18"/>
          <w:color w:val="auto"/>
        </w:rPr>
        <w:t xml:space="preserve"> </w:t>
      </w:r>
      <w:r>
        <w:rPr>
          <w:rFonts w:ascii="Arial" w:cs="Arial" w:eastAsia="Arial" w:hAnsi="Arial"/>
          <w:sz w:val="18"/>
          <w:szCs w:val="18"/>
          <w:i w:val="1"/>
          <w:iCs w:val="1"/>
          <w:color w:val="auto"/>
        </w:rPr>
        <w:t>course of business or otherwise, which could affect our financial position and liquidity</w:t>
      </w:r>
      <w:r>
        <w:rPr>
          <w:rFonts w:ascii="Arial" w:cs="Arial" w:eastAsia="Arial" w:hAnsi="Arial"/>
          <w:sz w:val="18"/>
          <w:szCs w:val="18"/>
          <w:color w:val="auto"/>
        </w:rPr>
        <w:t>” for additional discussion.</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65"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  MANAGEMENT’S DISCUSSION AND ANALYSIS OF FINANCIAL CONDITION AND RESULTS OF OPERATIONS</w:t>
      </w:r>
    </w:p>
    <w:p>
      <w:pPr>
        <w:spacing w:after="0" w:line="126" w:lineRule="exact"/>
        <w:rPr>
          <w:sz w:val="20"/>
          <w:szCs w:val="20"/>
          <w:color w:val="auto"/>
        </w:rPr>
      </w:pPr>
    </w:p>
    <w:p>
      <w:pPr>
        <w:jc w:val="both"/>
        <w:ind w:firstLine="228"/>
        <w:spacing w:after="0"/>
        <w:rPr>
          <w:sz w:val="20"/>
          <w:szCs w:val="20"/>
          <w:color w:val="auto"/>
        </w:rPr>
      </w:pPr>
      <w:r>
        <w:rPr>
          <w:rFonts w:ascii="Arial" w:cs="Arial" w:eastAsia="Arial" w:hAnsi="Arial"/>
          <w:sz w:val="18"/>
          <w:szCs w:val="18"/>
          <w:color w:val="auto"/>
        </w:rPr>
        <w:t>Part I, Item 2 of this report should be read in conjunction with Part II, Item 7 of AAG’s and American’s Annual Report on Form 10-K for the year ended December 31, 2016 (the 2016 Form 10-K). The information contained herein is not a comprehensive discussion and analysis of the financial condition and results of operations of AAG and American, but rather updates disclosures made in the 2016 Form 10-K.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126" w:lineRule="exact"/>
        <w:rPr>
          <w:sz w:val="20"/>
          <w:szCs w:val="20"/>
          <w:color w:val="auto"/>
        </w:rPr>
      </w:pPr>
    </w:p>
    <w:p>
      <w:pPr>
        <w:jc w:val="both"/>
        <w:ind w:firstLine="456"/>
        <w:spacing w:after="0" w:line="239" w:lineRule="auto"/>
        <w:rPr>
          <w:sz w:val="20"/>
          <w:szCs w:val="20"/>
          <w:color w:val="auto"/>
        </w:rPr>
      </w:pPr>
      <w:r>
        <w:rPr>
          <w:rFonts w:ascii="Arial" w:cs="Arial" w:eastAsia="Arial" w:hAnsi="Arial"/>
          <w:sz w:val="18"/>
          <w:szCs w:val="18"/>
          <w:color w:val="auto"/>
        </w:rPr>
        <w:t>Together with our wholly-owned regional airline subsidiaries and third-party regional carriers operating as American Eagle, American operates an average of nearly 6,700 flights per day to nearly 350 destinations in more than 50 countries. We have hubs in Charlotte, Chicago, Dallas/Fort Worth, Los Angeles, Miami, New York, Philadelphia, Phoenix and Washington, D.C. In the second quarter of 2017, approximately 52 million passengers boarded our mainline and regional flights.</w:t>
      </w:r>
    </w:p>
    <w:p>
      <w:pPr>
        <w:spacing w:after="0" w:line="94" w:lineRule="exact"/>
        <w:rPr>
          <w:sz w:val="20"/>
          <w:szCs w:val="20"/>
          <w:color w:val="auto"/>
        </w:rPr>
      </w:pPr>
    </w:p>
    <w:p>
      <w:pPr>
        <w:jc w:val="both"/>
        <w:ind w:firstLine="228"/>
        <w:spacing w:after="0" w:line="239" w:lineRule="auto"/>
        <w:rPr>
          <w:sz w:val="20"/>
          <w:szCs w:val="20"/>
          <w:color w:val="auto"/>
        </w:rPr>
      </w:pPr>
      <w:r>
        <w:rPr>
          <w:rFonts w:ascii="Arial" w:cs="Arial" w:eastAsia="Arial" w:hAnsi="Arial"/>
          <w:sz w:val="18"/>
          <w:szCs w:val="18"/>
          <w:color w:val="auto"/>
        </w:rPr>
        <w:t xml:space="preserve">We are committed to consistently delivering safe, reliable and convenient service to our customers in every aspect of our operation, to building the best employee relations in the industry and to providing returns for our stockholders. In January 2017, we were named the 2017 Airline of the Year by </w:t>
      </w:r>
      <w:r>
        <w:rPr>
          <w:rFonts w:ascii="Arial" w:cs="Arial" w:eastAsia="Arial" w:hAnsi="Arial"/>
          <w:sz w:val="18"/>
          <w:szCs w:val="18"/>
          <w:i w:val="1"/>
          <w:iCs w:val="1"/>
          <w:color w:val="auto"/>
        </w:rPr>
        <w:t>Air Transport World</w:t>
      </w:r>
      <w:r>
        <w:rPr>
          <w:rFonts w:ascii="Arial" w:cs="Arial" w:eastAsia="Arial" w:hAnsi="Arial"/>
          <w:sz w:val="18"/>
          <w:szCs w:val="18"/>
          <w:color w:val="auto"/>
        </w:rPr>
        <w:t>, which cited the integration work related to the Merger, our operational and customer service improvements and the investments we are making in our product.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U.S. Airline Industry</w:t>
      </w:r>
    </w:p>
    <w:p>
      <w:pPr>
        <w:spacing w:after="0" w:line="104" w:lineRule="exact"/>
        <w:rPr>
          <w:sz w:val="20"/>
          <w:szCs w:val="20"/>
          <w:color w:val="auto"/>
        </w:rPr>
      </w:pPr>
    </w:p>
    <w:p>
      <w:pPr>
        <w:jc w:val="both"/>
        <w:ind w:firstLine="228"/>
        <w:spacing w:after="0" w:line="237" w:lineRule="auto"/>
        <w:rPr>
          <w:sz w:val="20"/>
          <w:szCs w:val="20"/>
          <w:color w:val="auto"/>
        </w:rPr>
      </w:pPr>
      <w:r>
        <w:rPr>
          <w:rFonts w:ascii="Arial" w:cs="Arial" w:eastAsia="Arial" w:hAnsi="Arial"/>
          <w:sz w:val="18"/>
          <w:szCs w:val="18"/>
          <w:color w:val="auto"/>
        </w:rPr>
        <w:t>The second quarter of 2017 marked the return to year-over-year unit revenue growth for the U.S. airline industry. Improving yields were primarily driven by strong demand in domestic markets. International markets, particularly Latin America, also contributed to positive unit revenue trends. These revenue improvements were offset in part by higher fuel prices. Jet fuel prices tend to follow the price of Brent crude oil. On average, the price of Brent crude oil per barrel was approximately 9% higher in the second quarter of 2017 as compared to the 2016 period. The average daily spot price for Brent crude oil during the second quarter of 2017 was $50 per barrel as compared to an average daily spot price of $46 per barrel during the second quarter of 2016. On a daily basis, Brent crude oil prices fluctuated during the quarter between a high of $55 per barrel to a low of $44 per barrel, and closed the quarter on June 30, 2017 at $47 per barrel.</w:t>
      </w:r>
    </w:p>
    <w:p>
      <w:pPr>
        <w:spacing w:after="0" w:line="145" w:lineRule="exact"/>
        <w:rPr>
          <w:sz w:val="20"/>
          <w:szCs w:val="20"/>
          <w:color w:val="auto"/>
        </w:rPr>
      </w:pPr>
    </w:p>
    <w:p>
      <w:pPr>
        <w:jc w:val="both"/>
        <w:ind w:firstLine="228"/>
        <w:spacing w:after="0" w:line="251" w:lineRule="auto"/>
        <w:rPr>
          <w:sz w:val="20"/>
          <w:szCs w:val="20"/>
          <w:color w:val="auto"/>
        </w:rPr>
      </w:pPr>
      <w:r>
        <w:rPr>
          <w:rFonts w:ascii="Arial" w:cs="Arial" w:eastAsia="Arial" w:hAnsi="Arial"/>
          <w:sz w:val="18"/>
          <w:szCs w:val="18"/>
          <w:color w:val="auto"/>
        </w:rPr>
        <w:t xml:space="preserve">See Part II, Item 1A. Risk Factors – </w:t>
      </w:r>
      <w:r>
        <w:rPr>
          <w:rFonts w:ascii="Arial" w:cs="Arial" w:eastAsia="Arial" w:hAnsi="Arial"/>
          <w:sz w:val="18"/>
          <w:szCs w:val="18"/>
          <w:i w:val="1"/>
          <w:iCs w:val="1"/>
          <w:color w:val="auto"/>
        </w:rPr>
        <w:t>“Downturns in economic conditions could adversely affect our business”</w:t>
      </w:r>
      <w:r>
        <w:rPr>
          <w:rFonts w:ascii="Arial" w:cs="Arial" w:eastAsia="Arial" w:hAnsi="Arial"/>
          <w:sz w:val="18"/>
          <w:szCs w:val="18"/>
          <w:color w:val="auto"/>
        </w:rPr>
        <w:t xml:space="preserve"> and </w:t>
      </w:r>
      <w:r>
        <w:rPr>
          <w:rFonts w:ascii="Arial" w:cs="Arial" w:eastAsia="Arial" w:hAnsi="Arial"/>
          <w:sz w:val="18"/>
          <w:szCs w:val="18"/>
          <w:i w:val="1"/>
          <w:iCs w:val="1"/>
          <w:color w:val="auto"/>
        </w:rPr>
        <w:t>“Our business is very</w:t>
      </w:r>
      <w:r>
        <w:rPr>
          <w:rFonts w:ascii="Arial" w:cs="Arial" w:eastAsia="Arial" w:hAnsi="Arial"/>
          <w:sz w:val="18"/>
          <w:szCs w:val="18"/>
          <w:color w:val="auto"/>
        </w:rPr>
        <w:t xml:space="preserve"> </w:t>
      </w:r>
      <w:r>
        <w:rPr>
          <w:rFonts w:ascii="Arial" w:cs="Arial" w:eastAsia="Arial" w:hAnsi="Arial"/>
          <w:sz w:val="18"/>
          <w:szCs w:val="18"/>
          <w:i w:val="1"/>
          <w:iCs w:val="1"/>
          <w:color w:val="auto"/>
        </w:rPr>
        <w:t>dependent on the price and availability of aircraft fuel. Continued periods of high volatility in fuel costs, increased fuel prices or significant disruptions in the supply of aircraft fuel could have a significant negative impact on our operating results and liquidity.”</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65"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i w:val="1"/>
          <w:i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AAG’s Second Quarter 2017 Results</w:t>
      </w:r>
    </w:p>
    <w:p>
      <w:pPr>
        <w:spacing w:after="0" w:line="230" w:lineRule="exact"/>
        <w:rPr>
          <w:sz w:val="20"/>
          <w:szCs w:val="20"/>
          <w:color w:val="auto"/>
        </w:rPr>
      </w:pPr>
    </w:p>
    <w:p>
      <w:pPr>
        <w:ind w:right="20" w:firstLine="228"/>
        <w:spacing w:after="0" w:line="246" w:lineRule="auto"/>
        <w:rPr>
          <w:sz w:val="20"/>
          <w:szCs w:val="20"/>
          <w:color w:val="auto"/>
        </w:rPr>
      </w:pPr>
      <w:r>
        <w:rPr>
          <w:rFonts w:ascii="Arial" w:cs="Arial" w:eastAsia="Arial" w:hAnsi="Arial"/>
          <w:sz w:val="18"/>
          <w:szCs w:val="18"/>
          <w:color w:val="auto"/>
        </w:rPr>
        <w:t>The selected financial data presented below is derived from AAG’s unaudited condensed consolidated financial statements included in Part I, Item 1A of this report and should be read in conjunction with those financial statements and the related notes thereto.</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20" w:type="dxa"/>
            <w:vAlign w:val="bottom"/>
            <w:gridSpan w:val="6"/>
            <w:vMerge w:val="restart"/>
          </w:tcPr>
          <w:p>
            <w:pPr>
              <w:jc w:val="right"/>
              <w:ind w:right="260"/>
              <w:spacing w:after="0"/>
              <w:rPr>
                <w:sz w:val="20"/>
                <w:szCs w:val="20"/>
                <w:color w:val="auto"/>
              </w:rPr>
            </w:pPr>
            <w:r>
              <w:rPr>
                <w:rFonts w:ascii="Arial" w:cs="Arial" w:eastAsia="Arial" w:hAnsi="Arial"/>
                <w:sz w:val="14"/>
                <w:szCs w:val="14"/>
                <w:b w:val="1"/>
                <w:bCs w:val="1"/>
                <w:color w:val="auto"/>
              </w:rPr>
              <w:t>Three Months Ended June 30,</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540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320" w:type="dxa"/>
            <w:vAlign w:val="bottom"/>
            <w:tcBorders>
              <w:bottom w:val="single" w:sz="8" w:color="auto"/>
            </w:tcBorders>
            <w:gridSpan w:val="6"/>
            <w:vMerge w:val="continue"/>
          </w:tcPr>
          <w:p>
            <w:pPr>
              <w:spacing w:after="0"/>
              <w:rPr>
                <w:sz w:val="7"/>
                <w:szCs w:val="7"/>
                <w:color w:val="auto"/>
              </w:rPr>
            </w:pPr>
          </w:p>
        </w:tc>
        <w:tc>
          <w:tcPr>
            <w:tcW w:w="2100" w:type="dxa"/>
            <w:vAlign w:val="bottom"/>
            <w:gridSpan w:val="4"/>
            <w:vMerge w:val="restart"/>
          </w:tcPr>
          <w:p>
            <w:pPr>
              <w:ind w:left="740"/>
              <w:spacing w:after="0"/>
              <w:rPr>
                <w:sz w:val="20"/>
                <w:szCs w:val="20"/>
                <w:color w:val="auto"/>
              </w:rPr>
            </w:pPr>
            <w:r>
              <w:rPr>
                <w:rFonts w:ascii="Arial" w:cs="Arial" w:eastAsia="Arial" w:hAnsi="Arial"/>
                <w:sz w:val="14"/>
                <w:szCs w:val="14"/>
                <w:b w:val="1"/>
                <w:bCs w:val="1"/>
                <w:color w:val="auto"/>
              </w:rPr>
              <w:t>Increase</w:t>
            </w:r>
          </w:p>
        </w:tc>
        <w:tc>
          <w:tcPr>
            <w:tcW w:w="13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100" w:type="dxa"/>
            <w:vAlign w:val="bottom"/>
            <w:gridSpan w:val="4"/>
            <w:vMerge w:val="continue"/>
          </w:tcPr>
          <w:p>
            <w:pPr>
              <w:spacing w:after="0"/>
              <w:rPr>
                <w:sz w:val="5"/>
                <w:szCs w:val="5"/>
                <w:color w:val="auto"/>
              </w:rPr>
            </w:pPr>
          </w:p>
        </w:tc>
        <w:tc>
          <w:tcPr>
            <w:tcW w:w="1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4"/>
          </w:tcPr>
          <w:p>
            <w:pPr>
              <w:ind w:left="660"/>
              <w:spacing w:after="0"/>
              <w:rPr>
                <w:sz w:val="20"/>
                <w:szCs w:val="20"/>
                <w:color w:val="auto"/>
              </w:rPr>
            </w:pPr>
            <w:r>
              <w:rPr>
                <w:rFonts w:ascii="Arial" w:cs="Arial" w:eastAsia="Arial" w:hAnsi="Arial"/>
                <w:sz w:val="14"/>
                <w:szCs w:val="14"/>
                <w:b w:val="1"/>
                <w:bCs w:val="1"/>
                <w:color w:val="auto"/>
              </w:rPr>
              <w:t>(Decrease)</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80" w:type="dxa"/>
            <w:vAlign w:val="bottom"/>
            <w:gridSpan w:val="7"/>
          </w:tcPr>
          <w:p>
            <w:pPr>
              <w:ind w:left="20"/>
              <w:spacing w:after="0" w:line="155" w:lineRule="exact"/>
              <w:rPr>
                <w:sz w:val="20"/>
                <w:szCs w:val="20"/>
                <w:color w:val="auto"/>
              </w:rPr>
            </w:pPr>
            <w:r>
              <w:rPr>
                <w:rFonts w:ascii="Arial" w:cs="Arial" w:eastAsia="Arial" w:hAnsi="Arial"/>
                <w:sz w:val="14"/>
                <w:szCs w:val="14"/>
                <w:b w:val="1"/>
                <w:bCs w:val="1"/>
                <w:color w:val="auto"/>
              </w:rPr>
              <w:t>(In millions, except percentage changes)</w:t>
            </w: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Mainline and regional passenger revenues</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9,582</w:t>
            </w:r>
          </w:p>
        </w:tc>
        <w:tc>
          <w:tcPr>
            <w:tcW w:w="500" w:type="dxa"/>
            <w:vAlign w:val="bottom"/>
            <w:gridSpan w:val="2"/>
            <w:shd w:val="clear" w:color="auto" w:fill="CCEEFF"/>
          </w:tcPr>
          <w:p>
            <w:pPr>
              <w:jc w:val="right"/>
              <w:ind w:right="8"/>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8,995</w:t>
            </w:r>
          </w:p>
        </w:tc>
        <w:tc>
          <w:tcPr>
            <w:tcW w:w="860" w:type="dxa"/>
            <w:vAlign w:val="bottom"/>
            <w:gridSpan w:val="2"/>
            <w:shd w:val="clear" w:color="auto" w:fill="CCEEFF"/>
          </w:tcPr>
          <w:p>
            <w:pPr>
              <w:ind w:left="760"/>
              <w:spacing w:after="0" w:line="202" w:lineRule="exact"/>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587</w:t>
            </w:r>
          </w:p>
        </w:tc>
        <w:tc>
          <w:tcPr>
            <w:tcW w:w="80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393"/>
              <w:spacing w:after="0" w:line="202"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20" w:type="dxa"/>
            <w:vAlign w:val="bottom"/>
            <w:gridSpan w:val="2"/>
          </w:tcPr>
          <w:p>
            <w:pPr>
              <w:spacing w:after="0" w:line="202" w:lineRule="exact"/>
              <w:rPr>
                <w:sz w:val="20"/>
                <w:szCs w:val="20"/>
                <w:color w:val="auto"/>
              </w:rPr>
            </w:pPr>
            <w:r>
              <w:rPr>
                <w:rFonts w:ascii="Arial" w:cs="Arial" w:eastAsia="Arial" w:hAnsi="Arial"/>
                <w:sz w:val="18"/>
                <w:szCs w:val="18"/>
                <w:color w:val="auto"/>
              </w:rPr>
              <w:t>Other operating revenues</w:t>
            </w:r>
          </w:p>
        </w:tc>
        <w:tc>
          <w:tcPr>
            <w:tcW w:w="120" w:type="dxa"/>
            <w:vAlign w:val="bottom"/>
          </w:tcPr>
          <w:p>
            <w:pPr>
              <w:spacing w:after="0"/>
              <w:rPr>
                <w:sz w:val="17"/>
                <w:szCs w:val="17"/>
                <w:color w:val="auto"/>
              </w:rPr>
            </w:pPr>
          </w:p>
        </w:tc>
        <w:tc>
          <w:tcPr>
            <w:tcW w:w="10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1,327</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1,194</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133</w:t>
            </w:r>
          </w:p>
        </w:tc>
        <w:tc>
          <w:tcPr>
            <w:tcW w:w="800" w:type="dxa"/>
            <w:vAlign w:val="bottom"/>
          </w:tcPr>
          <w:p>
            <w:pPr>
              <w:spacing w:after="0"/>
              <w:rPr>
                <w:sz w:val="17"/>
                <w:szCs w:val="17"/>
                <w:color w:val="auto"/>
              </w:rPr>
            </w:pPr>
          </w:p>
        </w:tc>
        <w:tc>
          <w:tcPr>
            <w:tcW w:w="1340" w:type="dxa"/>
            <w:vAlign w:val="bottom"/>
          </w:tcPr>
          <w:p>
            <w:pPr>
              <w:jc w:val="right"/>
              <w:ind w:right="393"/>
              <w:spacing w:after="0" w:line="202" w:lineRule="exact"/>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 operating revenues</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11,105</w:t>
            </w: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10,363</w:t>
            </w: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742</w:t>
            </w:r>
          </w:p>
        </w:tc>
        <w:tc>
          <w:tcPr>
            <w:tcW w:w="80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393"/>
              <w:spacing w:after="0" w:line="202"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20" w:type="dxa"/>
            <w:vAlign w:val="bottom"/>
            <w:gridSpan w:val="2"/>
          </w:tcPr>
          <w:p>
            <w:pPr>
              <w:spacing w:after="0" w:line="202" w:lineRule="exact"/>
              <w:rPr>
                <w:sz w:val="20"/>
                <w:szCs w:val="20"/>
                <w:color w:val="auto"/>
              </w:rPr>
            </w:pPr>
            <w:r>
              <w:rPr>
                <w:rFonts w:ascii="Arial" w:cs="Arial" w:eastAsia="Arial" w:hAnsi="Arial"/>
                <w:sz w:val="18"/>
                <w:szCs w:val="18"/>
                <w:color w:val="auto"/>
              </w:rPr>
              <w:t>Mainline and regional aircraft fuel and related taxes</w:t>
            </w:r>
          </w:p>
        </w:tc>
        <w:tc>
          <w:tcPr>
            <w:tcW w:w="120" w:type="dxa"/>
            <w:vAlign w:val="bottom"/>
          </w:tcPr>
          <w:p>
            <w:pPr>
              <w:spacing w:after="0"/>
              <w:rPr>
                <w:sz w:val="17"/>
                <w:szCs w:val="17"/>
                <w:color w:val="auto"/>
              </w:rPr>
            </w:pPr>
          </w:p>
        </w:tc>
        <w:tc>
          <w:tcPr>
            <w:tcW w:w="10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1,839</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1,593</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246</w:t>
            </w:r>
          </w:p>
        </w:tc>
        <w:tc>
          <w:tcPr>
            <w:tcW w:w="800" w:type="dxa"/>
            <w:vAlign w:val="bottom"/>
          </w:tcPr>
          <w:p>
            <w:pPr>
              <w:spacing w:after="0"/>
              <w:rPr>
                <w:sz w:val="17"/>
                <w:szCs w:val="17"/>
                <w:color w:val="auto"/>
              </w:rPr>
            </w:pPr>
          </w:p>
        </w:tc>
        <w:tc>
          <w:tcPr>
            <w:tcW w:w="1340" w:type="dxa"/>
            <w:vAlign w:val="bottom"/>
          </w:tcPr>
          <w:p>
            <w:pPr>
              <w:jc w:val="right"/>
              <w:ind w:right="393"/>
              <w:spacing w:after="0" w:line="202" w:lineRule="exact"/>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Salaries, wages and benefits</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3,003</w:t>
            </w: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2,670</w:t>
            </w: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333</w:t>
            </w:r>
          </w:p>
        </w:tc>
        <w:tc>
          <w:tcPr>
            <w:tcW w:w="80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393"/>
              <w:spacing w:after="0" w:line="202" w:lineRule="exact"/>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20" w:type="dxa"/>
            <w:vAlign w:val="bottom"/>
            <w:gridSpan w:val="2"/>
          </w:tcPr>
          <w:p>
            <w:pPr>
              <w:spacing w:after="0" w:line="202" w:lineRule="exact"/>
              <w:rPr>
                <w:sz w:val="20"/>
                <w:szCs w:val="20"/>
                <w:color w:val="auto"/>
              </w:rPr>
            </w:pPr>
            <w:r>
              <w:rPr>
                <w:rFonts w:ascii="Arial" w:cs="Arial" w:eastAsia="Arial" w:hAnsi="Arial"/>
                <w:sz w:val="18"/>
                <w:szCs w:val="18"/>
                <w:color w:val="auto"/>
              </w:rPr>
              <w:t>Total operating expenses</w:t>
            </w:r>
          </w:p>
        </w:tc>
        <w:tc>
          <w:tcPr>
            <w:tcW w:w="120" w:type="dxa"/>
            <w:vAlign w:val="bottom"/>
          </w:tcPr>
          <w:p>
            <w:pPr>
              <w:spacing w:after="0"/>
              <w:rPr>
                <w:sz w:val="17"/>
                <w:szCs w:val="17"/>
                <w:color w:val="auto"/>
              </w:rPr>
            </w:pPr>
          </w:p>
        </w:tc>
        <w:tc>
          <w:tcPr>
            <w:tcW w:w="10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9,570</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8,612</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958</w:t>
            </w:r>
          </w:p>
        </w:tc>
        <w:tc>
          <w:tcPr>
            <w:tcW w:w="800" w:type="dxa"/>
            <w:vAlign w:val="bottom"/>
          </w:tcPr>
          <w:p>
            <w:pPr>
              <w:spacing w:after="0"/>
              <w:rPr>
                <w:sz w:val="17"/>
                <w:szCs w:val="17"/>
                <w:color w:val="auto"/>
              </w:rPr>
            </w:pPr>
          </w:p>
        </w:tc>
        <w:tc>
          <w:tcPr>
            <w:tcW w:w="1340" w:type="dxa"/>
            <w:vAlign w:val="bottom"/>
          </w:tcPr>
          <w:p>
            <w:pPr>
              <w:jc w:val="right"/>
              <w:ind w:right="393"/>
              <w:spacing w:after="0" w:line="202" w:lineRule="exact"/>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Operating income</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1,535</w:t>
            </w: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1,751</w:t>
            </w: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(216)</w:t>
            </w:r>
          </w:p>
        </w:tc>
        <w:tc>
          <w:tcPr>
            <w:tcW w:w="80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353"/>
              <w:spacing w:after="0" w:line="202" w:lineRule="exact"/>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20" w:type="dxa"/>
            <w:vAlign w:val="bottom"/>
            <w:gridSpan w:val="2"/>
          </w:tcPr>
          <w:p>
            <w:pPr>
              <w:spacing w:after="0" w:line="202" w:lineRule="exact"/>
              <w:rPr>
                <w:sz w:val="20"/>
                <w:szCs w:val="20"/>
                <w:color w:val="auto"/>
              </w:rPr>
            </w:pPr>
            <w:r>
              <w:rPr>
                <w:rFonts w:ascii="Arial" w:cs="Arial" w:eastAsia="Arial" w:hAnsi="Arial"/>
                <w:sz w:val="18"/>
                <w:szCs w:val="18"/>
                <w:color w:val="auto"/>
              </w:rPr>
              <w:t>Pre-tax income</w:t>
            </w:r>
          </w:p>
        </w:tc>
        <w:tc>
          <w:tcPr>
            <w:tcW w:w="120" w:type="dxa"/>
            <w:vAlign w:val="bottom"/>
          </w:tcPr>
          <w:p>
            <w:pPr>
              <w:spacing w:after="0"/>
              <w:rPr>
                <w:sz w:val="17"/>
                <w:szCs w:val="17"/>
                <w:color w:val="auto"/>
              </w:rPr>
            </w:pPr>
          </w:p>
        </w:tc>
        <w:tc>
          <w:tcPr>
            <w:tcW w:w="10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1,291</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1,493</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w w:val="99"/>
              </w:rPr>
              <w:t>(202)</w:t>
            </w:r>
          </w:p>
        </w:tc>
        <w:tc>
          <w:tcPr>
            <w:tcW w:w="800" w:type="dxa"/>
            <w:vAlign w:val="bottom"/>
          </w:tcPr>
          <w:p>
            <w:pPr>
              <w:spacing w:after="0"/>
              <w:rPr>
                <w:sz w:val="17"/>
                <w:szCs w:val="17"/>
                <w:color w:val="auto"/>
              </w:rPr>
            </w:pPr>
          </w:p>
        </w:tc>
        <w:tc>
          <w:tcPr>
            <w:tcW w:w="1340" w:type="dxa"/>
            <w:vAlign w:val="bottom"/>
          </w:tcPr>
          <w:p>
            <w:pPr>
              <w:jc w:val="right"/>
              <w:ind w:right="353"/>
              <w:spacing w:after="0" w:line="202" w:lineRule="exact"/>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Income tax provision</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488</w:t>
            </w: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543</w:t>
            </w: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800"/>
              <w:spacing w:after="0" w:line="202" w:lineRule="exact"/>
              <w:rPr>
                <w:sz w:val="20"/>
                <w:szCs w:val="20"/>
                <w:color w:val="auto"/>
              </w:rPr>
            </w:pPr>
            <w:r>
              <w:rPr>
                <w:rFonts w:ascii="Arial" w:cs="Arial" w:eastAsia="Arial" w:hAnsi="Arial"/>
                <w:sz w:val="18"/>
                <w:szCs w:val="18"/>
                <w:color w:val="auto"/>
              </w:rPr>
              <w:t>(55)</w:t>
            </w:r>
          </w:p>
        </w:tc>
        <w:tc>
          <w:tcPr>
            <w:tcW w:w="1340" w:type="dxa"/>
            <w:vAlign w:val="bottom"/>
            <w:shd w:val="clear" w:color="auto" w:fill="CCEEFF"/>
          </w:tcPr>
          <w:p>
            <w:pPr>
              <w:jc w:val="right"/>
              <w:ind w:right="353"/>
              <w:spacing w:after="0" w:line="202"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803</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950</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9"/>
              </w:rPr>
              <w:t>(147)</w:t>
            </w:r>
          </w:p>
        </w:tc>
        <w:tc>
          <w:tcPr>
            <w:tcW w:w="800" w:type="dxa"/>
            <w:vAlign w:val="bottom"/>
          </w:tcPr>
          <w:p>
            <w:pPr>
              <w:spacing w:after="0"/>
              <w:rPr>
                <w:sz w:val="18"/>
                <w:szCs w:val="18"/>
                <w:color w:val="auto"/>
              </w:rPr>
            </w:pPr>
          </w:p>
        </w:tc>
        <w:tc>
          <w:tcPr>
            <w:tcW w:w="1340" w:type="dxa"/>
            <w:vAlign w:val="bottom"/>
          </w:tcPr>
          <w:p>
            <w:pPr>
              <w:jc w:val="right"/>
              <w:ind w:right="353"/>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5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Pre-tax income</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1,291</w:t>
            </w:r>
          </w:p>
        </w:tc>
        <w:tc>
          <w:tcPr>
            <w:tcW w:w="500" w:type="dxa"/>
            <w:vAlign w:val="bottom"/>
            <w:gridSpan w:val="2"/>
            <w:shd w:val="clear" w:color="auto" w:fill="CCEEFF"/>
          </w:tcPr>
          <w:p>
            <w:pPr>
              <w:jc w:val="right"/>
              <w:ind w:right="8"/>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1,493</w:t>
            </w:r>
          </w:p>
        </w:tc>
        <w:tc>
          <w:tcPr>
            <w:tcW w:w="860" w:type="dxa"/>
            <w:vAlign w:val="bottom"/>
            <w:gridSpan w:val="2"/>
            <w:shd w:val="clear" w:color="auto" w:fill="CCEEFF"/>
          </w:tcPr>
          <w:p>
            <w:pPr>
              <w:ind w:left="760"/>
              <w:spacing w:after="0" w:line="202" w:lineRule="exact"/>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(202)</w:t>
            </w:r>
          </w:p>
        </w:tc>
        <w:tc>
          <w:tcPr>
            <w:tcW w:w="80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353"/>
              <w:spacing w:after="0" w:line="202" w:lineRule="exact"/>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2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 xml:space="preserve">Adjusted for: Total pre-tax special items </w:t>
            </w:r>
            <w:r>
              <w:rPr>
                <w:rFonts w:ascii="Arial" w:cs="Arial" w:eastAsia="Arial" w:hAnsi="Arial"/>
                <w:sz w:val="15"/>
                <w:szCs w:val="15"/>
                <w:color w:val="auto"/>
              </w:rPr>
              <w:t>(1)</w:t>
            </w:r>
          </w:p>
        </w:tc>
        <w:tc>
          <w:tcPr>
            <w:tcW w:w="120" w:type="dxa"/>
            <w:vAlign w:val="bottom"/>
          </w:tcPr>
          <w:p>
            <w:pPr>
              <w:spacing w:after="0"/>
              <w:rPr>
                <w:sz w:val="17"/>
                <w:szCs w:val="17"/>
                <w:color w:val="auto"/>
              </w:rPr>
            </w:pPr>
          </w:p>
        </w:tc>
        <w:tc>
          <w:tcPr>
            <w:tcW w:w="10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205</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101</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104</w:t>
            </w:r>
          </w:p>
        </w:tc>
        <w:tc>
          <w:tcPr>
            <w:tcW w:w="800" w:type="dxa"/>
            <w:vAlign w:val="bottom"/>
          </w:tcPr>
          <w:p>
            <w:pPr>
              <w:spacing w:after="0"/>
              <w:rPr>
                <w:sz w:val="17"/>
                <w:szCs w:val="17"/>
                <w:color w:val="auto"/>
              </w:rPr>
            </w:pPr>
          </w:p>
        </w:tc>
        <w:tc>
          <w:tcPr>
            <w:tcW w:w="1340" w:type="dxa"/>
            <w:vAlign w:val="bottom"/>
          </w:tcPr>
          <w:p>
            <w:pPr>
              <w:jc w:val="right"/>
              <w:ind w:right="393"/>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5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Pre-tax income excluding special items</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1,496</w:t>
            </w:r>
          </w:p>
        </w:tc>
        <w:tc>
          <w:tcPr>
            <w:tcW w:w="500" w:type="dxa"/>
            <w:vAlign w:val="bottom"/>
            <w:gridSpan w:val="2"/>
            <w:shd w:val="clear" w:color="auto" w:fill="CCEEFF"/>
          </w:tcPr>
          <w:p>
            <w:pPr>
              <w:jc w:val="right"/>
              <w:ind w:right="8"/>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1,594</w:t>
            </w:r>
          </w:p>
        </w:tc>
        <w:tc>
          <w:tcPr>
            <w:tcW w:w="860" w:type="dxa"/>
            <w:vAlign w:val="bottom"/>
            <w:gridSpan w:val="2"/>
            <w:shd w:val="clear" w:color="auto" w:fill="CCEEFF"/>
          </w:tcPr>
          <w:p>
            <w:pPr>
              <w:ind w:left="760"/>
              <w:spacing w:after="0" w:line="202" w:lineRule="exact"/>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800"/>
              <w:spacing w:after="0" w:line="202" w:lineRule="exact"/>
              <w:rPr>
                <w:sz w:val="20"/>
                <w:szCs w:val="20"/>
                <w:color w:val="auto"/>
              </w:rPr>
            </w:pPr>
            <w:r>
              <w:rPr>
                <w:rFonts w:ascii="Arial" w:cs="Arial" w:eastAsia="Arial" w:hAnsi="Arial"/>
                <w:sz w:val="18"/>
                <w:szCs w:val="18"/>
                <w:color w:val="auto"/>
              </w:rPr>
              <w:t>(98)</w:t>
            </w:r>
          </w:p>
        </w:tc>
        <w:tc>
          <w:tcPr>
            <w:tcW w:w="1340" w:type="dxa"/>
            <w:vAlign w:val="bottom"/>
            <w:shd w:val="clear" w:color="auto" w:fill="CCEEFF"/>
          </w:tcPr>
          <w:p>
            <w:pPr>
              <w:jc w:val="right"/>
              <w:ind w:right="353"/>
              <w:spacing w:after="0" w:line="202"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4" w:lineRule="exact"/>
        <w:rPr>
          <w:sz w:val="20"/>
          <w:szCs w:val="20"/>
          <w:color w:val="auto"/>
        </w:rPr>
      </w:pPr>
    </w:p>
    <w:p>
      <w:pPr>
        <w:ind w:left="460" w:hanging="452"/>
        <w:spacing w:after="0" w:line="267" w:lineRule="auto"/>
        <w:tabs>
          <w:tab w:leader="none" w:pos="460" w:val="left"/>
        </w:tabs>
        <w:numPr>
          <w:ilvl w:val="0"/>
          <w:numId w:val="12"/>
        </w:numPr>
        <w:rPr>
          <w:rFonts w:ascii="Arial" w:cs="Arial" w:eastAsia="Arial" w:hAnsi="Arial"/>
          <w:sz w:val="15"/>
          <w:szCs w:val="15"/>
          <w:color w:val="auto"/>
        </w:rPr>
      </w:pPr>
      <w:r>
        <w:rPr>
          <w:rFonts w:ascii="Arial" w:cs="Arial" w:eastAsia="Arial" w:hAnsi="Arial"/>
          <w:sz w:val="18"/>
          <w:szCs w:val="18"/>
          <w:color w:val="auto"/>
        </w:rPr>
        <w:t xml:space="preserve">See below </w:t>
      </w:r>
      <w:r>
        <w:rPr>
          <w:rFonts w:ascii="Arial" w:cs="Arial" w:eastAsia="Arial" w:hAnsi="Arial"/>
          <w:sz w:val="18"/>
          <w:szCs w:val="18"/>
          <w:i w:val="1"/>
          <w:iCs w:val="1"/>
          <w:color w:val="auto"/>
        </w:rPr>
        <w:t>“Reconciliation of GAAP to Non-GAAP Financial Measures”</w:t>
      </w:r>
      <w:r>
        <w:rPr>
          <w:rFonts w:ascii="Arial" w:cs="Arial" w:eastAsia="Arial" w:hAnsi="Arial"/>
          <w:sz w:val="18"/>
          <w:szCs w:val="18"/>
          <w:color w:val="auto"/>
        </w:rPr>
        <w:t xml:space="preserve"> and Note 2 to AAG’s Condensed Consolidated Financial Statements in Part I, Item 1A for details on the components of special items.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Pre-Tax Income and Net Income</w:t>
      </w:r>
    </w:p>
    <w:p>
      <w:pPr>
        <w:spacing w:after="0" w:line="104" w:lineRule="exact"/>
        <w:rPr>
          <w:sz w:val="20"/>
          <w:szCs w:val="20"/>
          <w:color w:val="auto"/>
        </w:rPr>
      </w:pPr>
    </w:p>
    <w:p>
      <w:pPr>
        <w:jc w:val="both"/>
        <w:ind w:firstLine="228"/>
        <w:spacing w:after="0" w:line="237" w:lineRule="auto"/>
        <w:rPr>
          <w:sz w:val="20"/>
          <w:szCs w:val="20"/>
          <w:color w:val="auto"/>
        </w:rPr>
      </w:pPr>
      <w:r>
        <w:rPr>
          <w:rFonts w:ascii="Arial" w:cs="Arial" w:eastAsia="Arial" w:hAnsi="Arial"/>
          <w:sz w:val="18"/>
          <w:szCs w:val="18"/>
          <w:color w:val="auto"/>
        </w:rPr>
        <w:t>We realized net income of $803 million in the second quarter of 2017 as compared to net income of $950 million in the second quarter of 2016. Pre-tax income was $1.3 billion and $1.5 billion in the second quarters of 2017 and 2016, respectively. Excluding the effects of pre-tax net special items, we recognized pre-tax income of $1.5 billion in the second quarter of 2017 as compared to $1.6 billion in the second quarter of 2016. The quarter-over-quarter declines in our pre-tax income on both a GAAP basis and excluding pre-tax net special items were principally driven by higher salaries, wages and benefits and higher fuel costs. Salaries, wages and benefits costs were higher due to mid-contract pay rate increases for pilots and flight attendants effective in the second quarter of 2017, as well as rate increases for maintenance and fleet service work groups, which became effective in the third quarter of 2016. These increases were offset in part by higher revenues.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w:t>
      </w:r>
    </w:p>
    <w:p>
      <w:pPr>
        <w:spacing w:after="0" w:line="104" w:lineRule="exact"/>
        <w:rPr>
          <w:sz w:val="20"/>
          <w:szCs w:val="20"/>
          <w:color w:val="auto"/>
        </w:rPr>
      </w:pPr>
    </w:p>
    <w:p>
      <w:pPr>
        <w:jc w:val="both"/>
        <w:ind w:firstLine="228"/>
        <w:spacing w:after="0" w:line="237" w:lineRule="auto"/>
        <w:rPr>
          <w:sz w:val="20"/>
          <w:szCs w:val="20"/>
          <w:color w:val="auto"/>
        </w:rPr>
      </w:pPr>
      <w:r>
        <w:rPr>
          <w:rFonts w:ascii="Arial" w:cs="Arial" w:eastAsia="Arial" w:hAnsi="Arial"/>
          <w:sz w:val="18"/>
          <w:szCs w:val="18"/>
          <w:color w:val="auto"/>
        </w:rPr>
        <w:t>In the second quarter of 2017, we reported total operating revenues of $11.1 billion, an increase of $742 million, or 7.2%, as compared to the 2016 period. Mainline and regional passenger revenues were $9.6 billion, an increase of $587 million, or 6.5%, as compared to the 2016 period. The increase in mainline and regional passenger revenues was driven by a 4.3% period-over-period increase in consolidated passenger yields. Domestic consolidated yields increased 6.4% and international yields rose 1.3%, due principally to improved revenue performance in Central/South American and Caribbean regions. The second quarter of 2017 marks our third consecutive quarter of period-over-period increasing yields.</w:t>
      </w:r>
    </w:p>
    <w:p>
      <w:pPr>
        <w:spacing w:after="0" w:line="165" w:lineRule="exact"/>
        <w:rPr>
          <w:sz w:val="20"/>
          <w:szCs w:val="20"/>
          <w:color w:val="auto"/>
        </w:rPr>
      </w:pPr>
    </w:p>
    <w:p>
      <w:pPr>
        <w:jc w:val="both"/>
        <w:ind w:firstLine="228"/>
        <w:spacing w:after="0"/>
        <w:rPr>
          <w:sz w:val="20"/>
          <w:szCs w:val="20"/>
          <w:color w:val="auto"/>
        </w:rPr>
      </w:pPr>
      <w:r>
        <w:rPr>
          <w:rFonts w:ascii="Arial" w:cs="Arial" w:eastAsia="Arial" w:hAnsi="Arial"/>
          <w:sz w:val="18"/>
          <w:szCs w:val="18"/>
          <w:color w:val="auto"/>
        </w:rPr>
        <w:t>Additionally, other revenues increased $133 million primarily due to revenues associated with our loyalty program, principally new co-branded credit card agreements that became effective in the third quarter of 2016. Our mainline and regional total revenue per available seat mile (TRASM) was 15.48 cents in the second quarter of 2017, a 5.7% increase as compared to 14.65 cents in the second quarter of 2016.</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Fuel</w:t>
      </w:r>
    </w:p>
    <w:p>
      <w:pPr>
        <w:spacing w:after="0" w:line="104" w:lineRule="exact"/>
        <w:rPr>
          <w:sz w:val="20"/>
          <w:szCs w:val="20"/>
          <w:color w:val="auto"/>
        </w:rPr>
      </w:pPr>
    </w:p>
    <w:p>
      <w:pPr>
        <w:jc w:val="both"/>
        <w:ind w:firstLine="228"/>
        <w:spacing w:after="0"/>
        <w:rPr>
          <w:sz w:val="20"/>
          <w:szCs w:val="20"/>
          <w:color w:val="auto"/>
        </w:rPr>
      </w:pPr>
      <w:r>
        <w:rPr>
          <w:rFonts w:ascii="Arial" w:cs="Arial" w:eastAsia="Arial" w:hAnsi="Arial"/>
          <w:sz w:val="18"/>
          <w:szCs w:val="18"/>
          <w:color w:val="auto"/>
        </w:rPr>
        <w:t>Our mainline and regional fuel expense totaled $1.8 billion in the second quarter of 2017, which was $246 million, or 15.4%, higher as compared to the 2016 period. This increase was driven by a 14.7% increase in the average price per gallon of fuel to $1.63 in the second quarter of 2017 from $1.42 in the 2016 period.</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69" w:right="239" w:bottom="1440" w:gutter="0" w:footer="0" w:header="0"/>
        </w:sectPr>
      </w:pPr>
    </w:p>
    <w:bookmarkStart w:id="31" w:name="page32"/>
    <w:bookmarkEnd w:id="31"/>
    <w:p>
      <w:pPr>
        <w:jc w:val="both"/>
        <w:ind w:firstLine="228"/>
        <w:spacing w:after="0" w:line="23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of June 30, 2017, we did not have any fuel hedging contracts outstanding to hedge our fuel consumption. As such, and assuming we do not enter into any future transactions to hedge our fuel consumption, we will continue to be fully exposed to fluctuations in fuel prices. Our current policy is not to enter into transactions to hedge our fuel consumption, although we review that policy from time to time based on market conditions and other factors.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Costs</w:t>
      </w:r>
    </w:p>
    <w:p>
      <w:pPr>
        <w:spacing w:after="0" w:line="104" w:lineRule="exact"/>
        <w:rPr>
          <w:sz w:val="20"/>
          <w:szCs w:val="20"/>
          <w:color w:val="auto"/>
        </w:rPr>
      </w:pPr>
    </w:p>
    <w:p>
      <w:pPr>
        <w:jc w:val="both"/>
        <w:ind w:firstLine="456"/>
        <w:spacing w:after="0" w:line="246" w:lineRule="auto"/>
        <w:rPr>
          <w:sz w:val="20"/>
          <w:szCs w:val="20"/>
          <w:color w:val="auto"/>
        </w:rPr>
      </w:pPr>
      <w:r>
        <w:rPr>
          <w:rFonts w:ascii="Arial" w:cs="Arial" w:eastAsia="Arial" w:hAnsi="Arial"/>
          <w:sz w:val="18"/>
          <w:szCs w:val="18"/>
          <w:color w:val="auto"/>
        </w:rPr>
        <w:t>We remain committed to actively managing our cost structure, which we believe is necessary in an industry whose economic prospects are heavily dependent upon two variables we cannot control: the health of the economy and the price of fuel.</w:t>
      </w:r>
    </w:p>
    <w:p>
      <w:pPr>
        <w:spacing w:after="0" w:line="170" w:lineRule="exact"/>
        <w:rPr>
          <w:sz w:val="20"/>
          <w:szCs w:val="20"/>
          <w:color w:val="auto"/>
        </w:rPr>
      </w:pPr>
    </w:p>
    <w:p>
      <w:pPr>
        <w:jc w:val="both"/>
        <w:ind w:firstLine="228"/>
        <w:spacing w:after="0"/>
        <w:rPr>
          <w:sz w:val="20"/>
          <w:szCs w:val="20"/>
          <w:color w:val="auto"/>
        </w:rPr>
      </w:pPr>
      <w:r>
        <w:rPr>
          <w:rFonts w:ascii="Arial" w:cs="Arial" w:eastAsia="Arial" w:hAnsi="Arial"/>
          <w:sz w:val="18"/>
          <w:szCs w:val="18"/>
          <w:color w:val="auto"/>
        </w:rPr>
        <w:t>Our 2017 second quarter mainline cost per available seat mile (CASM) was 12.51 cents, an increase of 10.6%, from 11.32 cents in 2016. The increase was primarily driven by higher salaries, wages and benefits due to the contract pay rate increases described above and higher fuel costs.</w:t>
      </w:r>
    </w:p>
    <w:p>
      <w:pPr>
        <w:spacing w:after="0" w:line="162" w:lineRule="exact"/>
        <w:rPr>
          <w:sz w:val="20"/>
          <w:szCs w:val="20"/>
          <w:color w:val="auto"/>
        </w:rPr>
      </w:pPr>
    </w:p>
    <w:p>
      <w:pPr>
        <w:jc w:val="both"/>
        <w:ind w:right="20" w:firstLine="228"/>
        <w:spacing w:after="0" w:line="246" w:lineRule="auto"/>
        <w:rPr>
          <w:sz w:val="20"/>
          <w:szCs w:val="20"/>
          <w:color w:val="auto"/>
        </w:rPr>
      </w:pPr>
      <w:r>
        <w:rPr>
          <w:rFonts w:ascii="Arial" w:cs="Arial" w:eastAsia="Arial" w:hAnsi="Arial"/>
          <w:sz w:val="18"/>
          <w:szCs w:val="18"/>
          <w:color w:val="auto"/>
        </w:rPr>
        <w:t>Our 2017 second quarter mainline CASM excluding special items and fuel was 9.82 cents, an increase of 7.6%, as compared to the 2016 period, which was also driven by higher salaries, wages and benefits as described above.</w:t>
      </w:r>
    </w:p>
    <w:p>
      <w:pPr>
        <w:spacing w:after="0" w:line="138" w:lineRule="exact"/>
        <w:rPr>
          <w:sz w:val="20"/>
          <w:szCs w:val="20"/>
          <w:color w:val="auto"/>
        </w:rPr>
      </w:pPr>
    </w:p>
    <w:p>
      <w:pPr>
        <w:jc w:val="both"/>
        <w:ind w:firstLine="228"/>
        <w:spacing w:after="0" w:line="267" w:lineRule="auto"/>
        <w:rPr>
          <w:sz w:val="20"/>
          <w:szCs w:val="20"/>
          <w:color w:val="auto"/>
        </w:rPr>
      </w:pPr>
      <w:r>
        <w:rPr>
          <w:rFonts w:ascii="Arial" w:cs="Arial" w:eastAsia="Arial" w:hAnsi="Arial"/>
          <w:sz w:val="18"/>
          <w:szCs w:val="18"/>
          <w:color w:val="auto"/>
        </w:rPr>
        <w:t xml:space="preserve">For a reconciliation of mainline CASM excluding special items and fuel, see below </w:t>
      </w:r>
      <w:r>
        <w:rPr>
          <w:rFonts w:ascii="Arial" w:cs="Arial" w:eastAsia="Arial" w:hAnsi="Arial"/>
          <w:sz w:val="18"/>
          <w:szCs w:val="18"/>
          <w:i w:val="1"/>
          <w:iCs w:val="1"/>
          <w:color w:val="auto"/>
        </w:rPr>
        <w:t>“Reconciliation of GAAP to Non-GAAP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Measures.”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Stockholder Returns</w:t>
      </w:r>
    </w:p>
    <w:p>
      <w:pPr>
        <w:spacing w:after="0" w:line="126" w:lineRule="exact"/>
        <w:rPr>
          <w:sz w:val="20"/>
          <w:szCs w:val="20"/>
          <w:color w:val="auto"/>
        </w:rPr>
      </w:pPr>
    </w:p>
    <w:p>
      <w:pPr>
        <w:jc w:val="both"/>
        <w:ind w:firstLine="228"/>
        <w:spacing w:after="0" w:line="246" w:lineRule="auto"/>
        <w:rPr>
          <w:sz w:val="20"/>
          <w:szCs w:val="20"/>
          <w:color w:val="auto"/>
        </w:rPr>
      </w:pPr>
      <w:r>
        <w:rPr>
          <w:rFonts w:ascii="Arial" w:cs="Arial" w:eastAsia="Arial" w:hAnsi="Arial"/>
          <w:sz w:val="18"/>
          <w:szCs w:val="18"/>
          <w:color w:val="auto"/>
        </w:rPr>
        <w:t>As of June 30, 2017, we had approximately $9.3 billion in total available liquidity, consisting of $6.9 billion in unrestricted cash and investments and $2.4 billion in undrawn revolving credit facilities. We also had restricted cash of $554 million.</w:t>
      </w:r>
    </w:p>
    <w:p>
      <w:pPr>
        <w:spacing w:after="0" w:line="170" w:lineRule="exact"/>
        <w:rPr>
          <w:sz w:val="20"/>
          <w:szCs w:val="20"/>
          <w:color w:val="auto"/>
        </w:rPr>
      </w:pPr>
    </w:p>
    <w:p>
      <w:pPr>
        <w:jc w:val="both"/>
        <w:ind w:firstLine="228"/>
        <w:spacing w:after="0" w:line="238" w:lineRule="auto"/>
        <w:rPr>
          <w:sz w:val="20"/>
          <w:szCs w:val="20"/>
          <w:color w:val="auto"/>
        </w:rPr>
      </w:pPr>
      <w:r>
        <w:rPr>
          <w:rFonts w:ascii="Arial" w:cs="Arial" w:eastAsia="Arial" w:hAnsi="Arial"/>
          <w:sz w:val="18"/>
          <w:szCs w:val="18"/>
          <w:color w:val="auto"/>
        </w:rPr>
        <w:t>During the second quarter of 2017, we returned $500 million to our stockholders, including quarterly dividend payments of $50 million and the repurchase of $ 450 million of common stock, or 10.0 million shares. Since our capital return program commenced in mid-2014, we have returned more than $10.7 billion to stockholders, including $748 million in quarterly dividend payments and $10.0 billion in share repurchases, or 250.0 million shares. In July 2017, our Board of Directors declared a $0.10 per share dividend for stockholders of record on August 14, 2017, and payable on August 28, 2017.</w:t>
      </w:r>
    </w:p>
    <w:p>
      <w:pPr>
        <w:spacing w:after="0" w:line="162" w:lineRule="exact"/>
        <w:rPr>
          <w:sz w:val="20"/>
          <w:szCs w:val="20"/>
          <w:color w:val="auto"/>
        </w:rPr>
      </w:pPr>
    </w:p>
    <w:p>
      <w:pPr>
        <w:jc w:val="both"/>
        <w:ind w:firstLine="228"/>
        <w:spacing w:after="0" w:line="237" w:lineRule="auto"/>
        <w:rPr>
          <w:sz w:val="20"/>
          <w:szCs w:val="20"/>
          <w:color w:val="auto"/>
        </w:rPr>
      </w:pPr>
      <w:r>
        <w:rPr>
          <w:rFonts w:ascii="Arial" w:cs="Arial" w:eastAsia="Arial" w:hAnsi="Arial"/>
          <w:sz w:val="18"/>
          <w:szCs w:val="18"/>
          <w:color w:val="auto"/>
        </w:rPr>
        <w:t>We continue to take advantage of historically low interest rates to finance new aircraft deliveries under our fleet renewal program. During the second quarter of 2017, we issued an aggregate principal amount of $348 million in Enhanced Equipment Trust Certificate (EETC) equipment notes at an average fixed interest rate of 4.00%, as well as $ 378 million in other equipment notes, which primarily bear interest at variable rates based on LIBOR plus a margin, averaging 2.82% at June 30, 2017. We also raised $267 million in proceeds from aircraft sale-leaseback transactions. Additionally, we repriced a $735 million term loan facility. See Note 5 to AAG’s Condensed Consolidated Financial Statements in Part I, Item 1A for additional information on our debt obligations.</w:t>
      </w:r>
    </w:p>
    <w:p>
      <w:pPr>
        <w:spacing w:after="0" w:line="165" w:lineRule="exact"/>
        <w:rPr>
          <w:sz w:val="20"/>
          <w:szCs w:val="20"/>
          <w:color w:val="auto"/>
        </w:rPr>
      </w:pPr>
    </w:p>
    <w:p>
      <w:pPr>
        <w:jc w:val="both"/>
        <w:ind w:firstLine="228"/>
        <w:spacing w:after="0" w:line="239" w:lineRule="auto"/>
        <w:rPr>
          <w:sz w:val="20"/>
          <w:szCs w:val="20"/>
          <w:color w:val="auto"/>
        </w:rPr>
      </w:pPr>
      <w:r>
        <w:rPr>
          <w:rFonts w:ascii="Arial" w:cs="Arial" w:eastAsia="Arial" w:hAnsi="Arial"/>
          <w:sz w:val="18"/>
          <w:szCs w:val="18"/>
          <w:color w:val="auto"/>
        </w:rPr>
        <w:t>As a result of the foregoing factors, we currently have a higher debt level and fewer unencumbered assets than our peers. Accordingly, we believe it is important to retain liquidity levels higher than our network peers given our overall leverage as well as to protect against an adverse economic shock. Our current plan is to maintain minimum total available liquidity of $7.0 billion. We were well above that minimum level at June 30, 2017.</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GAAP to Non-GAAP Financial Measures</w:t>
      </w:r>
    </w:p>
    <w:p>
      <w:pPr>
        <w:spacing w:after="0" w:line="126" w:lineRule="exact"/>
        <w:rPr>
          <w:sz w:val="20"/>
          <w:szCs w:val="20"/>
          <w:color w:val="auto"/>
        </w:rPr>
      </w:pPr>
    </w:p>
    <w:p>
      <w:pPr>
        <w:jc w:val="both"/>
        <w:ind w:firstLine="228"/>
        <w:spacing w:after="0" w:line="237" w:lineRule="auto"/>
        <w:rPr>
          <w:sz w:val="20"/>
          <w:szCs w:val="20"/>
          <w:color w:val="auto"/>
        </w:rPr>
      </w:pPr>
      <w:r>
        <w:rPr>
          <w:rFonts w:ascii="Arial" w:cs="Arial" w:eastAsia="Arial" w:hAnsi="Arial"/>
          <w:sz w:val="18"/>
          <w:szCs w:val="18"/>
          <w:color w:val="auto"/>
        </w:rPr>
        <w:t>We sometimes use financial measures that are derived from the condensed consolidated financial statements but that are not presented in accordance with GAAP to understand and evaluate our current operating performance and to allow for period-to-period comparisons. We believe these non-GAAP financial measures may also provide useful information to investors and others. These non-GAAP measures may not be comparable to similarly titled non-GAAP measures of other companies, and should be considered in addition to and not as a substitute for or superior to, any measure of performance, cash flow or liquidity prepared in accordance with GAAP. We are providing a reconciliation of reported non-GAAP financial measures to their comparable financial measures on a GAAP basis.</w:t>
      </w:r>
    </w:p>
    <w:p>
      <w:pPr>
        <w:spacing w:after="0" w:line="205" w:lineRule="exact"/>
        <w:rPr>
          <w:sz w:val="20"/>
          <w:szCs w:val="20"/>
          <w:color w:val="auto"/>
        </w:rPr>
      </w:pPr>
    </w:p>
    <w:p>
      <w:pPr>
        <w:jc w:val="both"/>
        <w:ind w:firstLine="456"/>
        <w:spacing w:after="0"/>
        <w:rPr>
          <w:sz w:val="20"/>
          <w:szCs w:val="20"/>
          <w:color w:val="auto"/>
        </w:rPr>
      </w:pPr>
      <w:r>
        <w:rPr>
          <w:rFonts w:ascii="Arial" w:cs="Arial" w:eastAsia="Arial" w:hAnsi="Arial"/>
          <w:sz w:val="18"/>
          <w:szCs w:val="18"/>
          <w:color w:val="auto"/>
        </w:rPr>
        <w:t>The table below presents the reconciliation of pre-tax income (GAAP measure) to pre-tax income excluding special items (non-GAAP measure). Management uses this non-GAAP financial measure to evaluate our current operating performance and to allow for period-to-period comparisons. As special items may vary from period-to-period in nature and</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87"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amount, the adjustment to exclude special items allows management an additional tool to better understand our core operating performance.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500" w:type="dxa"/>
            <w:vAlign w:val="bottom"/>
            <w:gridSpan w:val="10"/>
          </w:tcPr>
          <w:p>
            <w:pPr>
              <w:ind w:left="100"/>
              <w:spacing w:after="0"/>
              <w:rPr>
                <w:sz w:val="20"/>
                <w:szCs w:val="20"/>
                <w:color w:val="auto"/>
              </w:rPr>
            </w:pPr>
            <w:r>
              <w:rPr>
                <w:rFonts w:ascii="Arial" w:cs="Arial" w:eastAsia="Arial" w:hAnsi="Arial"/>
                <w:sz w:val="14"/>
                <w:szCs w:val="14"/>
                <w:b w:val="1"/>
                <w:bCs w:val="1"/>
                <w:color w:val="auto"/>
              </w:rPr>
              <w:t>Three Months Ended June 30,</w:t>
            </w:r>
          </w:p>
        </w:tc>
        <w:tc>
          <w:tcPr>
            <w:tcW w:w="2040" w:type="dxa"/>
            <w:vAlign w:val="bottom"/>
            <w:gridSpan w:val="7"/>
          </w:tcPr>
          <w:p>
            <w:pPr>
              <w:jc w:val="right"/>
              <w:ind w:right="80"/>
              <w:spacing w:after="0"/>
              <w:rPr>
                <w:sz w:val="20"/>
                <w:szCs w:val="20"/>
                <w:color w:val="auto"/>
              </w:rPr>
            </w:pPr>
            <w:r>
              <w:rPr>
                <w:rFonts w:ascii="Arial" w:cs="Arial" w:eastAsia="Arial" w:hAnsi="Arial"/>
                <w:sz w:val="14"/>
                <w:szCs w:val="14"/>
                <w:b w:val="1"/>
                <w:bCs w:val="1"/>
                <w:color w:val="auto"/>
              </w:rPr>
              <w:t>Six Months Ended June 30,</w:t>
            </w:r>
          </w:p>
        </w:tc>
      </w:tr>
      <w:tr>
        <w:trPr>
          <w:trHeight w:val="156"/>
        </w:trPr>
        <w:tc>
          <w:tcPr>
            <w:tcW w:w="20" w:type="dxa"/>
            <w:vAlign w:val="bottom"/>
          </w:tcPr>
          <w:p>
            <w:pPr>
              <w:spacing w:after="0"/>
              <w:rPr>
                <w:sz w:val="13"/>
                <w:szCs w:val="13"/>
                <w:color w:val="auto"/>
              </w:rPr>
            </w:pPr>
          </w:p>
        </w:tc>
        <w:tc>
          <w:tcPr>
            <w:tcW w:w="4980" w:type="dxa"/>
            <w:vAlign w:val="bottom"/>
            <w:tcBorders>
              <w:bottom w:val="single" w:sz="8" w:color="CCEEFF"/>
            </w:tcBorders>
          </w:tcPr>
          <w:p>
            <w:pPr>
              <w:spacing w:after="0"/>
              <w:rPr>
                <w:sz w:val="13"/>
                <w:szCs w:val="13"/>
                <w:color w:val="auto"/>
              </w:rPr>
            </w:pPr>
          </w:p>
        </w:tc>
        <w:tc>
          <w:tcPr>
            <w:tcW w:w="188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93"/>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93"/>
              <w:spacing w:after="0" w:line="155"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top w:val="single" w:sz="8" w:color="auto"/>
              <w:bottom w:val="single" w:sz="8" w:color="auto"/>
            </w:tcBorders>
          </w:tcPr>
          <w:p>
            <w:pPr>
              <w:spacing w:after="0"/>
              <w:rPr>
                <w:sz w:val="13"/>
                <w:szCs w:val="13"/>
                <w:color w:val="auto"/>
              </w:rPr>
            </w:pPr>
          </w:p>
        </w:tc>
        <w:tc>
          <w:tcPr>
            <w:tcW w:w="280" w:type="dxa"/>
            <w:vAlign w:val="bottom"/>
            <w:tcBorders>
              <w:bottom w:val="single" w:sz="8" w:color="CCEEFF"/>
            </w:tcBorders>
          </w:tcPr>
          <w:p>
            <w:pPr>
              <w:spacing w:after="0"/>
              <w:rPr>
                <w:sz w:val="13"/>
                <w:szCs w:val="13"/>
                <w:color w:val="auto"/>
              </w:rPr>
            </w:pPr>
          </w:p>
        </w:tc>
        <w:tc>
          <w:tcPr>
            <w:tcW w:w="720" w:type="dxa"/>
            <w:vAlign w:val="bottom"/>
            <w:tcBorders>
              <w:top w:val="single" w:sz="8" w:color="auto"/>
              <w:bottom w:val="single" w:sz="8" w:color="auto"/>
            </w:tcBorders>
            <w:gridSpan w:val="2"/>
          </w:tcPr>
          <w:p>
            <w:pPr>
              <w:jc w:val="right"/>
              <w:ind w:right="30"/>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CCEEFF"/>
            </w:tcBorders>
          </w:tcPr>
          <w:p>
            <w:pPr>
              <w:spacing w:after="0"/>
              <w:rPr>
                <w:sz w:val="13"/>
                <w:szCs w:val="13"/>
                <w:color w:val="auto"/>
              </w:rPr>
            </w:pPr>
          </w:p>
        </w:tc>
        <w:tc>
          <w:tcPr>
            <w:tcW w:w="760" w:type="dxa"/>
            <w:vAlign w:val="bottom"/>
            <w:tcBorders>
              <w:top w:val="single" w:sz="8" w:color="auto"/>
              <w:bottom w:val="single" w:sz="8" w:color="auto"/>
            </w:tcBorders>
            <w:gridSpan w:val="2"/>
          </w:tcPr>
          <w:p>
            <w:pPr>
              <w:jc w:val="right"/>
              <w:ind w:right="140"/>
              <w:spacing w:after="0" w:line="155"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top w:val="single" w:sz="8" w:color="auto"/>
              <w:bottom w:val="single" w:sz="8" w:color="auto"/>
            </w:tcBorders>
          </w:tcPr>
          <w:p>
            <w:pPr>
              <w:spacing w:after="0"/>
              <w:rPr>
                <w:sz w:val="13"/>
                <w:szCs w:val="13"/>
                <w:color w:val="auto"/>
              </w:rPr>
            </w:pPr>
          </w:p>
        </w:tc>
      </w:tr>
      <w:tr>
        <w:trPr>
          <w:trHeight w:val="176"/>
        </w:trPr>
        <w:tc>
          <w:tcPr>
            <w:tcW w:w="20" w:type="dxa"/>
            <w:vAlign w:val="bottom"/>
          </w:tcPr>
          <w:p>
            <w:pPr>
              <w:spacing w:after="0"/>
              <w:rPr>
                <w:sz w:val="15"/>
                <w:szCs w:val="15"/>
                <w:color w:val="auto"/>
              </w:rPr>
            </w:pPr>
          </w:p>
        </w:tc>
        <w:tc>
          <w:tcPr>
            <w:tcW w:w="6860" w:type="dxa"/>
            <w:vAlign w:val="bottom"/>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Reconciliation of Pre-Tax Income Excluding Special Items:</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4980" w:type="dxa"/>
            <w:vAlign w:val="bottom"/>
            <w:tcBorders>
              <w:top w:val="single" w:sz="8" w:color="auto"/>
            </w:tcBorders>
          </w:tcPr>
          <w:p>
            <w:pPr>
              <w:spacing w:after="0" w:line="202" w:lineRule="exact"/>
              <w:rPr>
                <w:sz w:val="20"/>
                <w:szCs w:val="20"/>
                <w:color w:val="auto"/>
              </w:rPr>
            </w:pPr>
            <w:r>
              <w:rPr>
                <w:rFonts w:ascii="Arial" w:cs="Arial" w:eastAsia="Arial" w:hAnsi="Arial"/>
                <w:sz w:val="18"/>
                <w:szCs w:val="18"/>
                <w:color w:val="auto"/>
              </w:rPr>
              <w:t>Pre-tax income</w:t>
            </w:r>
          </w:p>
        </w:tc>
        <w:tc>
          <w:tcPr>
            <w:tcW w:w="188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CCEEFF"/>
            </w:tcBorders>
            <w:gridSpan w:val="2"/>
          </w:tcPr>
          <w:p>
            <w:pPr>
              <w:jc w:val="right"/>
              <w:ind w:right="120"/>
              <w:spacing w:after="0" w:line="202" w:lineRule="exact"/>
              <w:rPr>
                <w:sz w:val="20"/>
                <w:szCs w:val="20"/>
                <w:color w:val="auto"/>
              </w:rPr>
            </w:pPr>
            <w:r>
              <w:rPr>
                <w:rFonts w:ascii="Arial" w:cs="Arial" w:eastAsia="Arial" w:hAnsi="Arial"/>
                <w:sz w:val="18"/>
                <w:szCs w:val="18"/>
                <w:color w:val="auto"/>
              </w:rPr>
              <w:t>1,291</w:t>
            </w:r>
          </w:p>
        </w:tc>
        <w:tc>
          <w:tcPr>
            <w:tcW w:w="3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jc w:val="right"/>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CCEEFF"/>
            </w:tcBorders>
            <w:gridSpan w:val="2"/>
          </w:tcPr>
          <w:p>
            <w:pPr>
              <w:jc w:val="right"/>
              <w:ind w:right="140"/>
              <w:spacing w:after="0" w:line="202" w:lineRule="exact"/>
              <w:rPr>
                <w:sz w:val="20"/>
                <w:szCs w:val="20"/>
                <w:color w:val="auto"/>
              </w:rPr>
            </w:pPr>
            <w:r>
              <w:rPr>
                <w:rFonts w:ascii="Arial" w:cs="Arial" w:eastAsia="Arial" w:hAnsi="Arial"/>
                <w:sz w:val="18"/>
                <w:szCs w:val="18"/>
                <w:color w:val="auto"/>
              </w:rPr>
              <w:t>1,493</w:t>
            </w:r>
          </w:p>
        </w:tc>
        <w:tc>
          <w:tcPr>
            <w:tcW w:w="280" w:type="dxa"/>
            <w:vAlign w:val="bottom"/>
            <w:tcBorders>
              <w:top w:val="single" w:sz="8" w:color="CCEEFF"/>
            </w:tcBorders>
          </w:tcPr>
          <w:p>
            <w:pPr>
              <w:spacing w:after="0"/>
              <w:rPr>
                <w:sz w:val="17"/>
                <w:szCs w:val="17"/>
                <w:color w:val="auto"/>
              </w:rPr>
            </w:pPr>
          </w:p>
        </w:tc>
        <w:tc>
          <w:tcPr>
            <w:tcW w:w="860" w:type="dxa"/>
            <w:vAlign w:val="bottom"/>
            <w:tcBorders>
              <w:top w:val="single" w:sz="8" w:color="CCEEFF"/>
            </w:tcBorders>
            <w:gridSpan w:val="3"/>
          </w:tcPr>
          <w:p>
            <w:pPr>
              <w:jc w:val="right"/>
              <w:ind w:right="120"/>
              <w:spacing w:after="0" w:line="202" w:lineRule="exact"/>
              <w:rPr>
                <w:sz w:val="20"/>
                <w:szCs w:val="20"/>
                <w:color w:val="auto"/>
              </w:rPr>
            </w:pPr>
            <w:r>
              <w:rPr>
                <w:rFonts w:ascii="Arial" w:cs="Arial" w:eastAsia="Arial" w:hAnsi="Arial"/>
                <w:sz w:val="18"/>
                <w:szCs w:val="18"/>
                <w:color w:val="auto"/>
              </w:rPr>
              <w:t>$ 1,656</w:t>
            </w:r>
          </w:p>
        </w:tc>
        <w:tc>
          <w:tcPr>
            <w:tcW w:w="28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gridSpan w:val="3"/>
          </w:tcPr>
          <w:p>
            <w:pPr>
              <w:jc w:val="right"/>
              <w:ind w:right="140"/>
              <w:spacing w:after="0" w:line="202" w:lineRule="exact"/>
              <w:rPr>
                <w:sz w:val="20"/>
                <w:szCs w:val="20"/>
                <w:color w:val="auto"/>
              </w:rPr>
            </w:pPr>
            <w:r>
              <w:rPr>
                <w:rFonts w:ascii="Arial" w:cs="Arial" w:eastAsia="Arial" w:hAnsi="Arial"/>
                <w:sz w:val="18"/>
                <w:szCs w:val="18"/>
                <w:color w:val="auto"/>
              </w:rPr>
              <w:t>$ 2,610</w:t>
            </w:r>
          </w:p>
        </w:tc>
      </w:tr>
      <w:tr>
        <w:trPr>
          <w:trHeight w:val="203"/>
        </w:trPr>
        <w:tc>
          <w:tcPr>
            <w:tcW w:w="20" w:type="dxa"/>
            <w:vAlign w:val="bottom"/>
          </w:tcPr>
          <w:p>
            <w:pPr>
              <w:spacing w:after="0"/>
              <w:rPr>
                <w:sz w:val="17"/>
                <w:szCs w:val="17"/>
                <w:color w:val="auto"/>
              </w:rPr>
            </w:pPr>
          </w:p>
        </w:tc>
        <w:tc>
          <w:tcPr>
            <w:tcW w:w="68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 xml:space="preserve">Pre-tax special items </w:t>
            </w:r>
            <w:r>
              <w:rPr>
                <w:rFonts w:ascii="Arial" w:cs="Arial" w:eastAsia="Arial" w:hAnsi="Arial"/>
                <w:sz w:val="15"/>
                <w:szCs w:val="15"/>
                <w:color w:val="auto"/>
              </w:rPr>
              <w:t>(1)</w:t>
            </w: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86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Operating special items, net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203</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65</w:t>
            </w:r>
          </w:p>
        </w:tc>
        <w:tc>
          <w:tcPr>
            <w:tcW w:w="280" w:type="dxa"/>
            <w:vAlign w:val="bottom"/>
          </w:tcPr>
          <w:p>
            <w:pPr>
              <w:spacing w:after="0"/>
              <w:rPr>
                <w:sz w:val="17"/>
                <w:szCs w:val="17"/>
                <w:color w:val="auto"/>
              </w:rPr>
            </w:pPr>
          </w:p>
        </w:tc>
        <w:tc>
          <w:tcPr>
            <w:tcW w:w="86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324</w:t>
            </w:r>
          </w:p>
        </w:tc>
        <w:tc>
          <w:tcPr>
            <w:tcW w:w="280" w:type="dxa"/>
            <w:vAlign w:val="bottom"/>
          </w:tcPr>
          <w:p>
            <w:pPr>
              <w:spacing w:after="0"/>
              <w:rPr>
                <w:sz w:val="17"/>
                <w:szCs w:val="17"/>
                <w:color w:val="auto"/>
              </w:rPr>
            </w:pPr>
          </w:p>
        </w:tc>
        <w:tc>
          <w:tcPr>
            <w:tcW w:w="90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169</w:t>
            </w:r>
          </w:p>
        </w:tc>
      </w:tr>
      <w:tr>
        <w:trPr>
          <w:trHeight w:val="203"/>
        </w:trPr>
        <w:tc>
          <w:tcPr>
            <w:tcW w:w="20" w:type="dxa"/>
            <w:vAlign w:val="bottom"/>
          </w:tcPr>
          <w:p>
            <w:pPr>
              <w:spacing w:after="0"/>
              <w:rPr>
                <w:sz w:val="17"/>
                <w:szCs w:val="17"/>
                <w:color w:val="auto"/>
              </w:rPr>
            </w:pPr>
          </w:p>
        </w:tc>
        <w:tc>
          <w:tcPr>
            <w:tcW w:w="686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Nonoperating special items, net</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36</w:t>
            </w:r>
          </w:p>
        </w:tc>
        <w:tc>
          <w:tcPr>
            <w:tcW w:w="28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w:t>
            </w:r>
          </w:p>
        </w:tc>
        <w:tc>
          <w:tcPr>
            <w:tcW w:w="28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36</w:t>
            </w:r>
          </w:p>
        </w:tc>
      </w:tr>
      <w:tr>
        <w:trPr>
          <w:trHeight w:val="20"/>
        </w:trPr>
        <w:tc>
          <w:tcPr>
            <w:tcW w:w="500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6880" w:type="dxa"/>
            <w:vAlign w:val="bottom"/>
            <w:gridSpan w:val="3"/>
          </w:tcPr>
          <w:p>
            <w:pPr>
              <w:spacing w:after="0"/>
              <w:rPr>
                <w:sz w:val="20"/>
                <w:szCs w:val="20"/>
                <w:color w:val="auto"/>
              </w:rPr>
            </w:pPr>
            <w:r>
              <w:rPr>
                <w:rFonts w:ascii="Arial" w:cs="Arial" w:eastAsia="Arial" w:hAnsi="Arial"/>
                <w:sz w:val="18"/>
                <w:szCs w:val="18"/>
                <w:color w:val="auto"/>
              </w:rPr>
              <w:t>Total pre-tax special items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331</w:t>
            </w:r>
          </w:p>
        </w:tc>
        <w:tc>
          <w:tcPr>
            <w:tcW w:w="280" w:type="dxa"/>
            <w:vAlign w:val="bottom"/>
          </w:tcPr>
          <w:p>
            <w:pPr>
              <w:spacing w:after="0"/>
              <w:rPr>
                <w:sz w:val="18"/>
                <w:szCs w:val="18"/>
                <w:color w:val="auto"/>
              </w:rPr>
            </w:pPr>
          </w:p>
        </w:tc>
        <w:tc>
          <w:tcPr>
            <w:tcW w:w="900" w:type="dxa"/>
            <w:vAlign w:val="bottom"/>
            <w:gridSpan w:val="3"/>
          </w:tcPr>
          <w:p>
            <w:pPr>
              <w:jc w:val="right"/>
              <w:ind w:right="140"/>
              <w:spacing w:after="0"/>
              <w:rPr>
                <w:sz w:val="20"/>
                <w:szCs w:val="20"/>
                <w:color w:val="auto"/>
              </w:rPr>
            </w:pPr>
            <w:r>
              <w:rPr>
                <w:rFonts w:ascii="Arial" w:cs="Arial" w:eastAsia="Arial" w:hAnsi="Arial"/>
                <w:sz w:val="18"/>
                <w:szCs w:val="18"/>
                <w:color w:val="auto"/>
              </w:rPr>
              <w:t>205</w:t>
            </w:r>
          </w:p>
        </w:tc>
      </w:tr>
      <w:tr>
        <w:trPr>
          <w:trHeight w:val="27"/>
        </w:trPr>
        <w:tc>
          <w:tcPr>
            <w:tcW w:w="20" w:type="dxa"/>
            <w:vAlign w:val="bottom"/>
          </w:tcPr>
          <w:p>
            <w:pPr>
              <w:spacing w:after="0"/>
              <w:rPr>
                <w:sz w:val="2"/>
                <w:szCs w:val="2"/>
                <w:color w:val="auto"/>
              </w:rPr>
            </w:pPr>
          </w:p>
        </w:tc>
        <w:tc>
          <w:tcPr>
            <w:tcW w:w="49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686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Pre-tax income excluding special items</w:t>
            </w:r>
          </w:p>
        </w:tc>
        <w:tc>
          <w:tcPr>
            <w:tcW w:w="2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1,496</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1,594</w:t>
            </w:r>
          </w:p>
        </w:tc>
        <w:tc>
          <w:tcPr>
            <w:tcW w:w="28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$ 1,987</w:t>
            </w:r>
          </w:p>
        </w:tc>
        <w:tc>
          <w:tcPr>
            <w:tcW w:w="28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$ 2,815</w:t>
            </w: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228"/>
        <w:spacing w:after="0" w:line="237" w:lineRule="auto"/>
        <w:rPr>
          <w:sz w:val="20"/>
          <w:szCs w:val="20"/>
          <w:color w:val="auto"/>
        </w:rPr>
      </w:pPr>
      <w:r>
        <w:rPr>
          <w:rFonts w:ascii="Arial" w:cs="Arial" w:eastAsia="Arial" w:hAnsi="Arial"/>
          <w:sz w:val="18"/>
          <w:szCs w:val="18"/>
          <w:color w:val="auto"/>
        </w:rPr>
        <w:t>Additionally, the table below presents the reconciliation of mainline operating costs (GAAP measure) to mainline operating costs excluding special items and fuel (non-GAAP measure). Management uses mainline operating costs excluding special items and fuel to evaluate our current operating performance and for period-to-period comparisons. The price of fuel, over which we have no control, impacts the comparability of period-to-period financial performance. The adjustment to exclude aircraft fuel and special items allows management an additional tool to better understand and analyze our non-fuel costs and core operating performance. Amounts may not recalculate due to rounding.</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5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40" w:type="dxa"/>
            <w:vAlign w:val="bottom"/>
            <w:gridSpan w:val="11"/>
          </w:tcPr>
          <w:p>
            <w:pPr>
              <w:ind w:left="120"/>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5"/>
                <w:szCs w:val="15"/>
                <w:color w:val="auto"/>
              </w:rPr>
            </w:pPr>
          </w:p>
        </w:tc>
        <w:tc>
          <w:tcPr>
            <w:tcW w:w="2120" w:type="dxa"/>
            <w:vAlign w:val="bottom"/>
            <w:gridSpan w:val="7"/>
          </w:tcPr>
          <w:p>
            <w:pPr>
              <w:jc w:val="right"/>
              <w:ind w:right="26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740" w:type="dxa"/>
            <w:vAlign w:val="bottom"/>
            <w:tcBorders>
              <w:bottom w:val="single" w:sz="8" w:color="CCEEFF"/>
            </w:tcBorders>
          </w:tcPr>
          <w:p>
            <w:pPr>
              <w:spacing w:after="0"/>
              <w:rPr>
                <w:sz w:val="13"/>
                <w:szCs w:val="13"/>
                <w:color w:val="auto"/>
              </w:rPr>
            </w:pPr>
          </w:p>
        </w:tc>
        <w:tc>
          <w:tcPr>
            <w:tcW w:w="80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11"/>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51"/>
              <w:spacing w:after="0" w:line="155"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top w:val="single" w:sz="8" w:color="auto"/>
              <w:bottom w:val="single" w:sz="8" w:color="auto"/>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153"/>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151"/>
              <w:spacing w:after="0" w:line="155"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top w:val="single" w:sz="8" w:color="auto"/>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40" w:type="dxa"/>
            <w:vAlign w:val="bottom"/>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Reconciliation of Mainline CASM Excluding Special Items and Fuel:</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4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(In millions)</w:t>
            </w:r>
          </w:p>
        </w:tc>
        <w:tc>
          <w:tcPr>
            <w:tcW w:w="80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62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64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70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70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 operating expenses</w:t>
            </w:r>
          </w:p>
        </w:tc>
        <w:tc>
          <w:tcPr>
            <w:tcW w:w="26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9,570</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8,612</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18,593</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16,711</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40" w:type="dxa"/>
            <w:vAlign w:val="bottom"/>
            <w:gridSpan w:val="2"/>
          </w:tcPr>
          <w:p>
            <w:pPr>
              <w:spacing w:after="0" w:line="202" w:lineRule="exact"/>
              <w:rPr>
                <w:sz w:val="20"/>
                <w:szCs w:val="20"/>
                <w:color w:val="auto"/>
              </w:rPr>
            </w:pPr>
            <w:r>
              <w:rPr>
                <w:rFonts w:ascii="Arial" w:cs="Arial" w:eastAsia="Arial" w:hAnsi="Arial"/>
                <w:sz w:val="18"/>
                <w:szCs w:val="18"/>
                <w:color w:val="auto"/>
              </w:rPr>
              <w:t>Less regional expenses:</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4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Fuel and related taxes</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(329)</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(279)</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(648)</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Other</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(1,291)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(1,239)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(2,546)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(2,452)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 mainline operating expenses</w:t>
            </w:r>
          </w:p>
        </w:tc>
        <w:tc>
          <w:tcPr>
            <w:tcW w:w="1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7,950</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7,094</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15,399</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13,761</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4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 xml:space="preserve">Adjusted for: Special items, net </w:t>
            </w:r>
            <w:r>
              <w:rPr>
                <w:rFonts w:ascii="Arial" w:cs="Arial" w:eastAsia="Arial" w:hAnsi="Arial"/>
                <w:sz w:val="15"/>
                <w:szCs w:val="15"/>
                <w:color w:val="auto"/>
              </w:rPr>
              <w:t>(1)</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(202)</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(62)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(320)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4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Adjusted for: Aircraft fuel and related taxes</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(1,510)</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(1,314)</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(2,912)</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(2,343)</w:t>
            </w:r>
          </w:p>
        </w:tc>
        <w:tc>
          <w:tcPr>
            <w:tcW w:w="0" w:type="dxa"/>
            <w:vAlign w:val="bottom"/>
          </w:tcPr>
          <w:p>
            <w:pPr>
              <w:spacing w:after="0"/>
              <w:rPr>
                <w:sz w:val="1"/>
                <w:szCs w:val="1"/>
                <w:color w:val="auto"/>
              </w:rPr>
            </w:pPr>
          </w:p>
        </w:tc>
      </w:tr>
      <w:tr>
        <w:trPr>
          <w:trHeight w:val="20"/>
        </w:trPr>
        <w:tc>
          <w:tcPr>
            <w:tcW w:w="57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60" w:type="dxa"/>
            <w:vAlign w:val="bottom"/>
            <w:gridSpan w:val="3"/>
          </w:tcPr>
          <w:p>
            <w:pPr>
              <w:spacing w:after="0"/>
              <w:rPr>
                <w:sz w:val="20"/>
                <w:szCs w:val="20"/>
                <w:color w:val="auto"/>
              </w:rPr>
            </w:pPr>
            <w:r>
              <w:rPr>
                <w:rFonts w:ascii="Arial" w:cs="Arial" w:eastAsia="Arial" w:hAnsi="Arial"/>
                <w:sz w:val="18"/>
                <w:szCs w:val="18"/>
                <w:color w:val="auto"/>
              </w:rPr>
              <w:t>Mainline operating expenses excluding special items and fuel</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6,238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5,718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12,167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11,257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(In millions)</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40" w:type="dxa"/>
            <w:vAlign w:val="bottom"/>
            <w:gridSpan w:val="2"/>
          </w:tcPr>
          <w:p>
            <w:pPr>
              <w:spacing w:after="0"/>
              <w:rPr>
                <w:sz w:val="20"/>
                <w:szCs w:val="20"/>
                <w:color w:val="auto"/>
              </w:rPr>
            </w:pPr>
            <w:r>
              <w:rPr>
                <w:rFonts w:ascii="Arial" w:cs="Arial" w:eastAsia="Arial" w:hAnsi="Arial"/>
                <w:sz w:val="18"/>
                <w:szCs w:val="18"/>
                <w:color w:val="auto"/>
              </w:rPr>
              <w:t>Available Seat Miles (ASM)</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63,520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62,670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120,083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120,234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7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(In cents)</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40" w:type="dxa"/>
            <w:vAlign w:val="bottom"/>
            <w:gridSpan w:val="2"/>
          </w:tcPr>
          <w:p>
            <w:pPr>
              <w:spacing w:after="0" w:line="202" w:lineRule="exact"/>
              <w:rPr>
                <w:sz w:val="20"/>
                <w:szCs w:val="20"/>
                <w:color w:val="auto"/>
              </w:rPr>
            </w:pPr>
            <w:r>
              <w:rPr>
                <w:rFonts w:ascii="Arial" w:cs="Arial" w:eastAsia="Arial" w:hAnsi="Arial"/>
                <w:sz w:val="18"/>
                <w:szCs w:val="18"/>
                <w:color w:val="auto"/>
              </w:rPr>
              <w:t>Mainline CASM</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12.51</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11.32</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12.82</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11.45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4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Adjusted for: Special items, net per ASM</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(0.32)</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(0.10)</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(0.27)</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Adjusted for: Aircraft fuel and related taxes per ASM</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(2.38)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(2.10)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(2.42)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Mainline CASM excluding special items and fuel</w:t>
            </w:r>
          </w:p>
        </w:tc>
        <w:tc>
          <w:tcPr>
            <w:tcW w:w="140" w:type="dxa"/>
            <w:vAlign w:val="bottom"/>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9.82</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9.12</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10.13</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9.36</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82" w:lineRule="exact"/>
        <w:rPr>
          <w:sz w:val="20"/>
          <w:szCs w:val="20"/>
          <w:color w:val="auto"/>
        </w:rPr>
      </w:pPr>
    </w:p>
    <w:p>
      <w:pPr>
        <w:jc w:val="center"/>
        <w:ind w:left="5620" w:right="960" w:hanging="5612"/>
        <w:spacing w:after="0" w:line="418" w:lineRule="auto"/>
        <w:tabs>
          <w:tab w:leader="none" w:pos="460" w:val="left"/>
        </w:tabs>
        <w:numPr>
          <w:ilvl w:val="0"/>
          <w:numId w:val="13"/>
        </w:numPr>
        <w:rPr>
          <w:rFonts w:ascii="Arial" w:cs="Arial" w:eastAsia="Arial" w:hAnsi="Arial"/>
          <w:sz w:val="15"/>
          <w:szCs w:val="15"/>
          <w:color w:val="auto"/>
        </w:rPr>
      </w:pPr>
      <w:r>
        <w:rPr>
          <w:rFonts w:ascii="Arial" w:cs="Arial" w:eastAsia="Arial" w:hAnsi="Arial"/>
          <w:sz w:val="18"/>
          <w:szCs w:val="18"/>
          <w:color w:val="auto"/>
        </w:rPr>
        <w:t>See Note 2 to AAG’s Condensed Consolidated Financial Statements in Part I, Item 1A for further information on special items. 33</w:t>
      </w:r>
    </w:p>
    <w:p>
      <w:pPr>
        <w:sectPr>
          <w:pgSz w:w="11900" w:h="16838" w:orient="portrait"/>
          <w:cols w:equalWidth="0" w:num="1">
            <w:col w:w="11420"/>
          </w:cols>
          <w:pgMar w:left="240" w:top="287"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AAG’s Results of Operations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Statistics</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sets forth selected mainline and regional operating data for the three and six months ended June 30, 2017 and 2016.</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800" w:type="dxa"/>
            <w:vAlign w:val="bottom"/>
          </w:tcPr>
          <w:p>
            <w:pPr>
              <w:spacing w:after="0"/>
              <w:rPr>
                <w:sz w:val="15"/>
                <w:szCs w:val="15"/>
                <w:color w:val="auto"/>
              </w:rPr>
            </w:pPr>
          </w:p>
        </w:tc>
        <w:tc>
          <w:tcPr>
            <w:tcW w:w="2460" w:type="dxa"/>
            <w:vAlign w:val="bottom"/>
            <w:tcBorders>
              <w:bottom w:val="single" w:sz="8" w:color="auto"/>
            </w:tcBorders>
            <w:gridSpan w:val="3"/>
          </w:tcPr>
          <w:p>
            <w:pPr>
              <w:jc w:val="right"/>
              <w:ind w:right="111"/>
              <w:spacing w:after="0"/>
              <w:rPr>
                <w:sz w:val="20"/>
                <w:szCs w:val="20"/>
                <w:color w:val="auto"/>
              </w:rPr>
            </w:pPr>
            <w:r>
              <w:rPr>
                <w:rFonts w:ascii="Arial" w:cs="Arial" w:eastAsia="Arial" w:hAnsi="Arial"/>
                <w:sz w:val="14"/>
                <w:szCs w:val="14"/>
                <w:b w:val="1"/>
                <w:bCs w:val="1"/>
                <w:color w:val="auto"/>
              </w:rPr>
              <w:t>Three Months Ended June 30,</w:t>
            </w:r>
          </w:p>
        </w:tc>
        <w:tc>
          <w:tcPr>
            <w:tcW w:w="180" w:type="dxa"/>
            <w:vAlign w:val="bottom"/>
          </w:tcPr>
          <w:p>
            <w:pPr>
              <w:spacing w:after="0"/>
              <w:rPr>
                <w:sz w:val="15"/>
                <w:szCs w:val="15"/>
                <w:color w:val="auto"/>
              </w:rPr>
            </w:pPr>
          </w:p>
        </w:tc>
        <w:tc>
          <w:tcPr>
            <w:tcW w:w="9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Increase</w:t>
            </w:r>
          </w:p>
        </w:tc>
        <w:tc>
          <w:tcPr>
            <w:tcW w:w="2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200" w:type="dxa"/>
            <w:vAlign w:val="bottom"/>
          </w:tcPr>
          <w:p>
            <w:pPr>
              <w:spacing w:after="0"/>
              <w:rPr>
                <w:sz w:val="15"/>
                <w:szCs w:val="15"/>
                <w:color w:val="auto"/>
              </w:rPr>
            </w:pPr>
          </w:p>
        </w:tc>
        <w:tc>
          <w:tcPr>
            <w:tcW w:w="8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Increase</w:t>
            </w:r>
          </w:p>
        </w:tc>
      </w:tr>
      <w:tr>
        <w:trPr>
          <w:trHeight w:val="149"/>
        </w:trPr>
        <w:tc>
          <w:tcPr>
            <w:tcW w:w="4800" w:type="dxa"/>
            <w:vAlign w:val="bottom"/>
          </w:tcPr>
          <w:p>
            <w:pPr>
              <w:spacing w:after="0"/>
              <w:rPr>
                <w:sz w:val="12"/>
                <w:szCs w:val="12"/>
                <w:color w:val="auto"/>
              </w:rPr>
            </w:pPr>
          </w:p>
        </w:tc>
        <w:tc>
          <w:tcPr>
            <w:tcW w:w="1180" w:type="dxa"/>
            <w:vAlign w:val="bottom"/>
          </w:tcPr>
          <w:p>
            <w:pPr>
              <w:jc w:val="right"/>
              <w:ind w:right="352"/>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1180" w:type="dxa"/>
            <w:vAlign w:val="bottom"/>
          </w:tcPr>
          <w:p>
            <w:pPr>
              <w:jc w:val="right"/>
              <w:ind w:right="331"/>
              <w:spacing w:after="0" w:line="142" w:lineRule="exact"/>
              <w:rPr>
                <w:sz w:val="20"/>
                <w:szCs w:val="20"/>
                <w:color w:val="auto"/>
              </w:rPr>
            </w:pPr>
            <w:r>
              <w:rPr>
                <w:rFonts w:ascii="Arial" w:cs="Arial" w:eastAsia="Arial" w:hAnsi="Arial"/>
                <w:sz w:val="14"/>
                <w:szCs w:val="14"/>
                <w:b w:val="1"/>
                <w:bCs w:val="1"/>
                <w:color w:val="auto"/>
              </w:rPr>
              <w:t>2016</w:t>
            </w:r>
          </w:p>
        </w:tc>
        <w:tc>
          <w:tcPr>
            <w:tcW w:w="110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rPr>
              <w:t>(Decrease)</w:t>
            </w:r>
          </w:p>
        </w:tc>
        <w:tc>
          <w:tcPr>
            <w:tcW w:w="960" w:type="dxa"/>
            <w:vAlign w:val="bottom"/>
          </w:tcPr>
          <w:p>
            <w:pPr>
              <w:jc w:val="right"/>
              <w:ind w:right="232"/>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960" w:type="dxa"/>
            <w:vAlign w:val="bottom"/>
          </w:tcPr>
          <w:p>
            <w:pPr>
              <w:jc w:val="right"/>
              <w:ind w:right="231"/>
              <w:spacing w:after="0" w:line="142" w:lineRule="exact"/>
              <w:rPr>
                <w:sz w:val="20"/>
                <w:szCs w:val="20"/>
                <w:color w:val="auto"/>
              </w:rPr>
            </w:pPr>
            <w:r>
              <w:rPr>
                <w:rFonts w:ascii="Arial" w:cs="Arial" w:eastAsia="Arial" w:hAnsi="Arial"/>
                <w:sz w:val="14"/>
                <w:szCs w:val="14"/>
                <w:b w:val="1"/>
                <w:bCs w:val="1"/>
                <w:color w:val="auto"/>
              </w:rPr>
              <w:t>2016</w:t>
            </w:r>
          </w:p>
        </w:tc>
        <w:tc>
          <w:tcPr>
            <w:tcW w:w="1040" w:type="dxa"/>
            <w:vAlign w:val="bottom"/>
            <w:gridSpan w:val="4"/>
          </w:tcPr>
          <w:p>
            <w:pPr>
              <w:jc w:val="center"/>
              <w:ind w:left="11"/>
              <w:spacing w:after="0" w:line="142" w:lineRule="exact"/>
              <w:rPr>
                <w:sz w:val="20"/>
                <w:szCs w:val="20"/>
                <w:color w:val="auto"/>
              </w:rPr>
            </w:pPr>
            <w:r>
              <w:rPr>
                <w:rFonts w:ascii="Arial" w:cs="Arial" w:eastAsia="Arial" w:hAnsi="Arial"/>
                <w:sz w:val="14"/>
                <w:szCs w:val="14"/>
                <w:b w:val="1"/>
                <w:bCs w:val="1"/>
                <w:color w:val="auto"/>
              </w:rPr>
              <w:t>(Decrease)</w:t>
            </w:r>
          </w:p>
        </w:tc>
      </w:tr>
      <w:tr>
        <w:trPr>
          <w:trHeight w:val="203"/>
        </w:trPr>
        <w:tc>
          <w:tcPr>
            <w:tcW w:w="48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Mainline</w:t>
            </w: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03"/>
        </w:trPr>
        <w:tc>
          <w:tcPr>
            <w:tcW w:w="4800" w:type="dxa"/>
            <w:vAlign w:val="bottom"/>
          </w:tcPr>
          <w:p>
            <w:pPr>
              <w:ind w:left="180"/>
              <w:spacing w:after="0" w:line="202" w:lineRule="exact"/>
              <w:rPr>
                <w:sz w:val="20"/>
                <w:szCs w:val="20"/>
                <w:color w:val="auto"/>
              </w:rPr>
            </w:pPr>
            <w:r>
              <w:rPr>
                <w:rFonts w:ascii="Arial" w:cs="Arial" w:eastAsia="Arial" w:hAnsi="Arial"/>
                <w:sz w:val="18"/>
                <w:szCs w:val="18"/>
                <w:color w:val="auto"/>
              </w:rPr>
              <w:t xml:space="preserve">Revenue passenger miles (millions) </w:t>
            </w:r>
            <w:r>
              <w:rPr>
                <w:rFonts w:ascii="Arial" w:cs="Arial" w:eastAsia="Arial" w:hAnsi="Arial"/>
                <w:sz w:val="15"/>
                <w:szCs w:val="15"/>
                <w:color w:val="auto"/>
              </w:rPr>
              <w:t>(a)</w:t>
            </w:r>
          </w:p>
        </w:tc>
        <w:tc>
          <w:tcPr>
            <w:tcW w:w="118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53,177</w:t>
            </w:r>
          </w:p>
        </w:tc>
        <w:tc>
          <w:tcPr>
            <w:tcW w:w="100" w:type="dxa"/>
            <w:vAlign w:val="bottom"/>
          </w:tcPr>
          <w:p>
            <w:pPr>
              <w:spacing w:after="0"/>
              <w:rPr>
                <w:sz w:val="17"/>
                <w:szCs w:val="17"/>
                <w:color w:val="auto"/>
              </w:rPr>
            </w:pPr>
          </w:p>
        </w:tc>
        <w:tc>
          <w:tcPr>
            <w:tcW w:w="1180" w:type="dxa"/>
            <w:vAlign w:val="bottom"/>
          </w:tcPr>
          <w:p>
            <w:pPr>
              <w:jc w:val="right"/>
              <w:ind w:right="251"/>
              <w:spacing w:after="0" w:line="202" w:lineRule="exact"/>
              <w:rPr>
                <w:sz w:val="20"/>
                <w:szCs w:val="20"/>
                <w:color w:val="auto"/>
              </w:rPr>
            </w:pPr>
            <w:r>
              <w:rPr>
                <w:rFonts w:ascii="Arial" w:cs="Arial" w:eastAsia="Arial" w:hAnsi="Arial"/>
                <w:sz w:val="18"/>
                <w:szCs w:val="18"/>
                <w:color w:val="auto"/>
              </w:rPr>
              <w:t>51,927</w:t>
            </w:r>
          </w:p>
        </w:tc>
        <w:tc>
          <w:tcPr>
            <w:tcW w:w="6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2.4</w:t>
            </w:r>
          </w:p>
        </w:tc>
        <w:tc>
          <w:tcPr>
            <w:tcW w:w="280" w:type="dxa"/>
            <w:vAlign w:val="bottom"/>
          </w:tcPr>
          <w:p>
            <w:pPr>
              <w:ind w:left="4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96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98,388</w:t>
            </w:r>
          </w:p>
        </w:tc>
        <w:tc>
          <w:tcPr>
            <w:tcW w:w="100" w:type="dxa"/>
            <w:vAlign w:val="bottom"/>
          </w:tcPr>
          <w:p>
            <w:pPr>
              <w:spacing w:after="0"/>
              <w:rPr>
                <w:sz w:val="17"/>
                <w:szCs w:val="17"/>
                <w:color w:val="auto"/>
              </w:rPr>
            </w:pPr>
          </w:p>
        </w:tc>
        <w:tc>
          <w:tcPr>
            <w:tcW w:w="960" w:type="dxa"/>
            <w:vAlign w:val="bottom"/>
          </w:tcPr>
          <w:p>
            <w:pPr>
              <w:jc w:val="right"/>
              <w:ind w:right="111"/>
              <w:spacing w:after="0" w:line="202" w:lineRule="exact"/>
              <w:rPr>
                <w:sz w:val="20"/>
                <w:szCs w:val="20"/>
                <w:color w:val="auto"/>
              </w:rPr>
            </w:pPr>
            <w:r>
              <w:rPr>
                <w:rFonts w:ascii="Arial" w:cs="Arial" w:eastAsia="Arial" w:hAnsi="Arial"/>
                <w:sz w:val="18"/>
                <w:szCs w:val="18"/>
                <w:color w:val="auto"/>
              </w:rPr>
              <w:t>98,147</w:t>
            </w:r>
          </w:p>
        </w:tc>
        <w:tc>
          <w:tcPr>
            <w:tcW w:w="680" w:type="dxa"/>
            <w:vAlign w:val="bottom"/>
            <w:gridSpan w:val="2"/>
          </w:tcPr>
          <w:p>
            <w:pPr>
              <w:jc w:val="right"/>
              <w:ind w:right="28"/>
              <w:spacing w:after="0" w:line="202" w:lineRule="exact"/>
              <w:rPr>
                <w:sz w:val="20"/>
                <w:szCs w:val="20"/>
                <w:color w:val="auto"/>
              </w:rPr>
            </w:pPr>
            <w:r>
              <w:rPr>
                <w:rFonts w:ascii="Arial" w:cs="Arial" w:eastAsia="Arial" w:hAnsi="Arial"/>
                <w:sz w:val="18"/>
                <w:szCs w:val="18"/>
                <w:color w:val="auto"/>
              </w:rPr>
              <w:t>0.2</w:t>
            </w:r>
          </w:p>
        </w:tc>
        <w:tc>
          <w:tcPr>
            <w:tcW w:w="260" w:type="dxa"/>
            <w:vAlign w:val="bottom"/>
          </w:tcPr>
          <w:p>
            <w:pPr>
              <w:ind w:left="4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r>
      <w:tr>
        <w:trPr>
          <w:trHeight w:val="203"/>
        </w:trPr>
        <w:tc>
          <w:tcPr>
            <w:tcW w:w="48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 xml:space="preserve">Available seat miles (millions) </w:t>
            </w:r>
            <w:r>
              <w:rPr>
                <w:rFonts w:ascii="Arial" w:cs="Arial" w:eastAsia="Arial" w:hAnsi="Arial"/>
                <w:sz w:val="15"/>
                <w:szCs w:val="15"/>
                <w:color w:val="auto"/>
              </w:rPr>
              <w:t>(b)</w:t>
            </w:r>
          </w:p>
        </w:tc>
        <w:tc>
          <w:tcPr>
            <w:tcW w:w="1180" w:type="dxa"/>
            <w:vAlign w:val="bottom"/>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63,520</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251"/>
              <w:spacing w:after="0" w:line="202" w:lineRule="exact"/>
              <w:rPr>
                <w:sz w:val="20"/>
                <w:szCs w:val="20"/>
                <w:color w:val="auto"/>
              </w:rPr>
            </w:pPr>
            <w:r>
              <w:rPr>
                <w:rFonts w:ascii="Arial" w:cs="Arial" w:eastAsia="Arial" w:hAnsi="Arial"/>
                <w:sz w:val="18"/>
                <w:szCs w:val="18"/>
                <w:color w:val="auto"/>
              </w:rPr>
              <w:t>62,670</w:t>
            </w:r>
          </w:p>
        </w:tc>
        <w:tc>
          <w:tcPr>
            <w:tcW w:w="6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1.4</w:t>
            </w:r>
          </w:p>
        </w:tc>
        <w:tc>
          <w:tcPr>
            <w:tcW w:w="2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120,083</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11"/>
              <w:spacing w:after="0" w:line="202" w:lineRule="exact"/>
              <w:rPr>
                <w:sz w:val="20"/>
                <w:szCs w:val="20"/>
                <w:color w:val="auto"/>
              </w:rPr>
            </w:pPr>
            <w:r>
              <w:rPr>
                <w:rFonts w:ascii="Arial" w:cs="Arial" w:eastAsia="Arial" w:hAnsi="Arial"/>
                <w:sz w:val="18"/>
                <w:szCs w:val="18"/>
                <w:color w:val="auto"/>
              </w:rPr>
              <w:t>120,234</w:t>
            </w:r>
          </w:p>
        </w:tc>
        <w:tc>
          <w:tcPr>
            <w:tcW w:w="6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(0.1)</w:t>
            </w:r>
          </w:p>
        </w:tc>
        <w:tc>
          <w:tcPr>
            <w:tcW w:w="2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r>
      <w:tr>
        <w:trPr>
          <w:trHeight w:val="203"/>
        </w:trPr>
        <w:tc>
          <w:tcPr>
            <w:tcW w:w="4800" w:type="dxa"/>
            <w:vAlign w:val="bottom"/>
          </w:tcPr>
          <w:p>
            <w:pPr>
              <w:ind w:left="180"/>
              <w:spacing w:after="0" w:line="202" w:lineRule="exact"/>
              <w:rPr>
                <w:sz w:val="20"/>
                <w:szCs w:val="20"/>
                <w:color w:val="auto"/>
              </w:rPr>
            </w:pPr>
            <w:r>
              <w:rPr>
                <w:rFonts w:ascii="Arial" w:cs="Arial" w:eastAsia="Arial" w:hAnsi="Arial"/>
                <w:sz w:val="18"/>
                <w:szCs w:val="18"/>
                <w:color w:val="auto"/>
              </w:rPr>
              <w:t xml:space="preserve">Passenger load factor (percent) </w:t>
            </w:r>
            <w:r>
              <w:rPr>
                <w:rFonts w:ascii="Arial" w:cs="Arial" w:eastAsia="Arial" w:hAnsi="Arial"/>
                <w:sz w:val="15"/>
                <w:szCs w:val="15"/>
                <w:color w:val="auto"/>
              </w:rPr>
              <w:t>(c)</w:t>
            </w:r>
          </w:p>
        </w:tc>
        <w:tc>
          <w:tcPr>
            <w:tcW w:w="118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83.7</w:t>
            </w:r>
          </w:p>
        </w:tc>
        <w:tc>
          <w:tcPr>
            <w:tcW w:w="100" w:type="dxa"/>
            <w:vAlign w:val="bottom"/>
          </w:tcPr>
          <w:p>
            <w:pPr>
              <w:spacing w:after="0"/>
              <w:rPr>
                <w:sz w:val="17"/>
                <w:szCs w:val="17"/>
                <w:color w:val="auto"/>
              </w:rPr>
            </w:pPr>
          </w:p>
        </w:tc>
        <w:tc>
          <w:tcPr>
            <w:tcW w:w="1180" w:type="dxa"/>
            <w:vAlign w:val="bottom"/>
          </w:tcPr>
          <w:p>
            <w:pPr>
              <w:jc w:val="right"/>
              <w:ind w:right="251"/>
              <w:spacing w:after="0" w:line="202" w:lineRule="exact"/>
              <w:rPr>
                <w:sz w:val="20"/>
                <w:szCs w:val="20"/>
                <w:color w:val="auto"/>
              </w:rPr>
            </w:pPr>
            <w:r>
              <w:rPr>
                <w:rFonts w:ascii="Arial" w:cs="Arial" w:eastAsia="Arial" w:hAnsi="Arial"/>
                <w:sz w:val="18"/>
                <w:szCs w:val="18"/>
                <w:color w:val="auto"/>
              </w:rPr>
              <w:t>82.9</w:t>
            </w:r>
          </w:p>
        </w:tc>
        <w:tc>
          <w:tcPr>
            <w:tcW w:w="6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0.8</w:t>
            </w:r>
          </w:p>
        </w:tc>
        <w:tc>
          <w:tcPr>
            <w:tcW w:w="46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pts</w:t>
            </w:r>
          </w:p>
        </w:tc>
        <w:tc>
          <w:tcPr>
            <w:tcW w:w="96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81.9</w:t>
            </w:r>
          </w:p>
        </w:tc>
        <w:tc>
          <w:tcPr>
            <w:tcW w:w="100" w:type="dxa"/>
            <w:vAlign w:val="bottom"/>
          </w:tcPr>
          <w:p>
            <w:pPr>
              <w:spacing w:after="0"/>
              <w:rPr>
                <w:sz w:val="17"/>
                <w:szCs w:val="17"/>
                <w:color w:val="auto"/>
              </w:rPr>
            </w:pPr>
          </w:p>
        </w:tc>
        <w:tc>
          <w:tcPr>
            <w:tcW w:w="960" w:type="dxa"/>
            <w:vAlign w:val="bottom"/>
          </w:tcPr>
          <w:p>
            <w:pPr>
              <w:jc w:val="right"/>
              <w:ind w:right="111"/>
              <w:spacing w:after="0" w:line="202" w:lineRule="exact"/>
              <w:rPr>
                <w:sz w:val="20"/>
                <w:szCs w:val="20"/>
                <w:color w:val="auto"/>
              </w:rPr>
            </w:pPr>
            <w:r>
              <w:rPr>
                <w:rFonts w:ascii="Arial" w:cs="Arial" w:eastAsia="Arial" w:hAnsi="Arial"/>
                <w:sz w:val="18"/>
                <w:szCs w:val="18"/>
                <w:color w:val="auto"/>
              </w:rPr>
              <w:t>81.6</w:t>
            </w:r>
          </w:p>
        </w:tc>
        <w:tc>
          <w:tcPr>
            <w:tcW w:w="680" w:type="dxa"/>
            <w:vAlign w:val="bottom"/>
            <w:gridSpan w:val="2"/>
          </w:tcPr>
          <w:p>
            <w:pPr>
              <w:jc w:val="right"/>
              <w:ind w:right="8"/>
              <w:spacing w:after="0" w:line="202" w:lineRule="exact"/>
              <w:rPr>
                <w:sz w:val="20"/>
                <w:szCs w:val="20"/>
                <w:color w:val="auto"/>
              </w:rPr>
            </w:pPr>
            <w:r>
              <w:rPr>
                <w:rFonts w:ascii="Arial" w:cs="Arial" w:eastAsia="Arial" w:hAnsi="Arial"/>
                <w:sz w:val="18"/>
                <w:szCs w:val="18"/>
                <w:color w:val="auto"/>
              </w:rPr>
              <w:t>0.3</w:t>
            </w:r>
          </w:p>
        </w:tc>
        <w:tc>
          <w:tcPr>
            <w:tcW w:w="36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pts</w:t>
            </w:r>
          </w:p>
        </w:tc>
      </w:tr>
      <w:tr>
        <w:trPr>
          <w:trHeight w:val="203"/>
        </w:trPr>
        <w:tc>
          <w:tcPr>
            <w:tcW w:w="48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 xml:space="preserve">Yield (cents) </w:t>
            </w:r>
            <w:r>
              <w:rPr>
                <w:rFonts w:ascii="Arial" w:cs="Arial" w:eastAsia="Arial" w:hAnsi="Arial"/>
                <w:sz w:val="15"/>
                <w:szCs w:val="15"/>
                <w:color w:val="auto"/>
              </w:rPr>
              <w:t>(d)</w:t>
            </w:r>
          </w:p>
        </w:tc>
        <w:tc>
          <w:tcPr>
            <w:tcW w:w="1180" w:type="dxa"/>
            <w:vAlign w:val="bottom"/>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14.57</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251"/>
              <w:spacing w:after="0" w:line="202" w:lineRule="exact"/>
              <w:rPr>
                <w:sz w:val="20"/>
                <w:szCs w:val="20"/>
                <w:color w:val="auto"/>
              </w:rPr>
            </w:pPr>
            <w:r>
              <w:rPr>
                <w:rFonts w:ascii="Arial" w:cs="Arial" w:eastAsia="Arial" w:hAnsi="Arial"/>
                <w:sz w:val="18"/>
                <w:szCs w:val="18"/>
                <w:color w:val="auto"/>
              </w:rPr>
              <w:t>13.88</w:t>
            </w:r>
          </w:p>
        </w:tc>
        <w:tc>
          <w:tcPr>
            <w:tcW w:w="6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4.9</w:t>
            </w:r>
          </w:p>
        </w:tc>
        <w:tc>
          <w:tcPr>
            <w:tcW w:w="2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14.59</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11"/>
              <w:spacing w:after="0" w:line="202" w:lineRule="exact"/>
              <w:rPr>
                <w:sz w:val="20"/>
                <w:szCs w:val="20"/>
                <w:color w:val="auto"/>
              </w:rPr>
            </w:pPr>
            <w:r>
              <w:rPr>
                <w:rFonts w:ascii="Arial" w:cs="Arial" w:eastAsia="Arial" w:hAnsi="Arial"/>
                <w:sz w:val="18"/>
                <w:szCs w:val="18"/>
                <w:color w:val="auto"/>
              </w:rPr>
              <w:t>14.03</w:t>
            </w:r>
          </w:p>
        </w:tc>
        <w:tc>
          <w:tcPr>
            <w:tcW w:w="680" w:type="dxa"/>
            <w:vAlign w:val="bottom"/>
            <w:gridSpan w:val="2"/>
            <w:shd w:val="clear" w:color="auto" w:fill="CCEEFF"/>
          </w:tcPr>
          <w:p>
            <w:pPr>
              <w:jc w:val="right"/>
              <w:ind w:right="28"/>
              <w:spacing w:after="0" w:line="202" w:lineRule="exact"/>
              <w:rPr>
                <w:sz w:val="20"/>
                <w:szCs w:val="20"/>
                <w:color w:val="auto"/>
              </w:rPr>
            </w:pPr>
            <w:r>
              <w:rPr>
                <w:rFonts w:ascii="Arial" w:cs="Arial" w:eastAsia="Arial" w:hAnsi="Arial"/>
                <w:sz w:val="18"/>
                <w:szCs w:val="18"/>
                <w:color w:val="auto"/>
              </w:rPr>
              <w:t>4.0</w:t>
            </w:r>
          </w:p>
        </w:tc>
        <w:tc>
          <w:tcPr>
            <w:tcW w:w="2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r>
      <w:tr>
        <w:trPr>
          <w:trHeight w:val="203"/>
        </w:trPr>
        <w:tc>
          <w:tcPr>
            <w:tcW w:w="4800" w:type="dxa"/>
            <w:vAlign w:val="bottom"/>
          </w:tcPr>
          <w:p>
            <w:pPr>
              <w:ind w:left="180"/>
              <w:spacing w:after="0" w:line="202" w:lineRule="exact"/>
              <w:rPr>
                <w:sz w:val="20"/>
                <w:szCs w:val="20"/>
                <w:color w:val="auto"/>
              </w:rPr>
            </w:pPr>
            <w:r>
              <w:rPr>
                <w:rFonts w:ascii="Arial" w:cs="Arial" w:eastAsia="Arial" w:hAnsi="Arial"/>
                <w:sz w:val="18"/>
                <w:szCs w:val="18"/>
                <w:color w:val="auto"/>
              </w:rPr>
              <w:t xml:space="preserve">Passenger revenue per available seat mile (cents) </w:t>
            </w:r>
            <w:r>
              <w:rPr>
                <w:rFonts w:ascii="Arial" w:cs="Arial" w:eastAsia="Arial" w:hAnsi="Arial"/>
                <w:sz w:val="15"/>
                <w:szCs w:val="15"/>
                <w:color w:val="auto"/>
              </w:rPr>
              <w:t>(e)</w:t>
            </w:r>
          </w:p>
        </w:tc>
        <w:tc>
          <w:tcPr>
            <w:tcW w:w="118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12.20</w:t>
            </w:r>
          </w:p>
        </w:tc>
        <w:tc>
          <w:tcPr>
            <w:tcW w:w="100" w:type="dxa"/>
            <w:vAlign w:val="bottom"/>
          </w:tcPr>
          <w:p>
            <w:pPr>
              <w:spacing w:after="0"/>
              <w:rPr>
                <w:sz w:val="17"/>
                <w:szCs w:val="17"/>
                <w:color w:val="auto"/>
              </w:rPr>
            </w:pPr>
          </w:p>
        </w:tc>
        <w:tc>
          <w:tcPr>
            <w:tcW w:w="1180" w:type="dxa"/>
            <w:vAlign w:val="bottom"/>
          </w:tcPr>
          <w:p>
            <w:pPr>
              <w:jc w:val="right"/>
              <w:ind w:right="251"/>
              <w:spacing w:after="0" w:line="202" w:lineRule="exact"/>
              <w:rPr>
                <w:sz w:val="20"/>
                <w:szCs w:val="20"/>
                <w:color w:val="auto"/>
              </w:rPr>
            </w:pPr>
            <w:r>
              <w:rPr>
                <w:rFonts w:ascii="Arial" w:cs="Arial" w:eastAsia="Arial" w:hAnsi="Arial"/>
                <w:sz w:val="18"/>
                <w:szCs w:val="18"/>
                <w:color w:val="auto"/>
              </w:rPr>
              <w:t>11.50</w:t>
            </w:r>
          </w:p>
        </w:tc>
        <w:tc>
          <w:tcPr>
            <w:tcW w:w="6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6.0</w:t>
            </w:r>
          </w:p>
        </w:tc>
        <w:tc>
          <w:tcPr>
            <w:tcW w:w="280" w:type="dxa"/>
            <w:vAlign w:val="bottom"/>
          </w:tcPr>
          <w:p>
            <w:pPr>
              <w:ind w:left="4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96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11.95</w:t>
            </w:r>
          </w:p>
        </w:tc>
        <w:tc>
          <w:tcPr>
            <w:tcW w:w="100" w:type="dxa"/>
            <w:vAlign w:val="bottom"/>
          </w:tcPr>
          <w:p>
            <w:pPr>
              <w:spacing w:after="0"/>
              <w:rPr>
                <w:sz w:val="17"/>
                <w:szCs w:val="17"/>
                <w:color w:val="auto"/>
              </w:rPr>
            </w:pPr>
          </w:p>
        </w:tc>
        <w:tc>
          <w:tcPr>
            <w:tcW w:w="960" w:type="dxa"/>
            <w:vAlign w:val="bottom"/>
          </w:tcPr>
          <w:p>
            <w:pPr>
              <w:jc w:val="right"/>
              <w:ind w:right="111"/>
              <w:spacing w:after="0" w:line="202" w:lineRule="exact"/>
              <w:rPr>
                <w:sz w:val="20"/>
                <w:szCs w:val="20"/>
                <w:color w:val="auto"/>
              </w:rPr>
            </w:pPr>
            <w:r>
              <w:rPr>
                <w:rFonts w:ascii="Arial" w:cs="Arial" w:eastAsia="Arial" w:hAnsi="Arial"/>
                <w:sz w:val="18"/>
                <w:szCs w:val="18"/>
                <w:color w:val="auto"/>
              </w:rPr>
              <w:t>11.46</w:t>
            </w:r>
          </w:p>
        </w:tc>
        <w:tc>
          <w:tcPr>
            <w:tcW w:w="680" w:type="dxa"/>
            <w:vAlign w:val="bottom"/>
            <w:gridSpan w:val="2"/>
          </w:tcPr>
          <w:p>
            <w:pPr>
              <w:jc w:val="right"/>
              <w:ind w:right="28"/>
              <w:spacing w:after="0" w:line="202" w:lineRule="exact"/>
              <w:rPr>
                <w:sz w:val="20"/>
                <w:szCs w:val="20"/>
                <w:color w:val="auto"/>
              </w:rPr>
            </w:pPr>
            <w:r>
              <w:rPr>
                <w:rFonts w:ascii="Arial" w:cs="Arial" w:eastAsia="Arial" w:hAnsi="Arial"/>
                <w:sz w:val="18"/>
                <w:szCs w:val="18"/>
                <w:color w:val="auto"/>
              </w:rPr>
              <w:t>4.3</w:t>
            </w:r>
          </w:p>
        </w:tc>
        <w:tc>
          <w:tcPr>
            <w:tcW w:w="260" w:type="dxa"/>
            <w:vAlign w:val="bottom"/>
          </w:tcPr>
          <w:p>
            <w:pPr>
              <w:ind w:left="4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r>
      <w:tr>
        <w:trPr>
          <w:trHeight w:val="203"/>
        </w:trPr>
        <w:tc>
          <w:tcPr>
            <w:tcW w:w="48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 xml:space="preserve">Operating cost per available seat mile (cents) </w:t>
            </w:r>
            <w:r>
              <w:rPr>
                <w:rFonts w:ascii="Arial" w:cs="Arial" w:eastAsia="Arial" w:hAnsi="Arial"/>
                <w:sz w:val="15"/>
                <w:szCs w:val="15"/>
                <w:color w:val="auto"/>
              </w:rPr>
              <w:t>(f)</w:t>
            </w:r>
          </w:p>
        </w:tc>
        <w:tc>
          <w:tcPr>
            <w:tcW w:w="1180" w:type="dxa"/>
            <w:vAlign w:val="bottom"/>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12.51</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251"/>
              <w:spacing w:after="0" w:line="202" w:lineRule="exact"/>
              <w:rPr>
                <w:sz w:val="20"/>
                <w:szCs w:val="20"/>
                <w:color w:val="auto"/>
              </w:rPr>
            </w:pPr>
            <w:r>
              <w:rPr>
                <w:rFonts w:ascii="Arial" w:cs="Arial" w:eastAsia="Arial" w:hAnsi="Arial"/>
                <w:sz w:val="18"/>
                <w:szCs w:val="18"/>
                <w:color w:val="auto"/>
              </w:rPr>
              <w:t>11.32</w:t>
            </w:r>
          </w:p>
        </w:tc>
        <w:tc>
          <w:tcPr>
            <w:tcW w:w="6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10.6</w:t>
            </w:r>
          </w:p>
        </w:tc>
        <w:tc>
          <w:tcPr>
            <w:tcW w:w="2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12.82</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11"/>
              <w:spacing w:after="0" w:line="202" w:lineRule="exact"/>
              <w:rPr>
                <w:sz w:val="20"/>
                <w:szCs w:val="20"/>
                <w:color w:val="auto"/>
              </w:rPr>
            </w:pPr>
            <w:r>
              <w:rPr>
                <w:rFonts w:ascii="Arial" w:cs="Arial" w:eastAsia="Arial" w:hAnsi="Arial"/>
                <w:sz w:val="18"/>
                <w:szCs w:val="18"/>
                <w:color w:val="auto"/>
              </w:rPr>
              <w:t>11.45</w:t>
            </w:r>
          </w:p>
        </w:tc>
        <w:tc>
          <w:tcPr>
            <w:tcW w:w="680" w:type="dxa"/>
            <w:vAlign w:val="bottom"/>
            <w:gridSpan w:val="2"/>
            <w:shd w:val="clear" w:color="auto" w:fill="CCEEFF"/>
          </w:tcPr>
          <w:p>
            <w:pPr>
              <w:jc w:val="right"/>
              <w:ind w:right="28"/>
              <w:spacing w:after="0" w:line="202" w:lineRule="exact"/>
              <w:rPr>
                <w:sz w:val="20"/>
                <w:szCs w:val="20"/>
                <w:color w:val="auto"/>
              </w:rPr>
            </w:pPr>
            <w:r>
              <w:rPr>
                <w:rFonts w:ascii="Arial" w:cs="Arial" w:eastAsia="Arial" w:hAnsi="Arial"/>
                <w:sz w:val="18"/>
                <w:szCs w:val="18"/>
                <w:color w:val="auto"/>
              </w:rPr>
              <w:t>12.0</w:t>
            </w:r>
          </w:p>
        </w:tc>
        <w:tc>
          <w:tcPr>
            <w:tcW w:w="2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r>
      <w:tr>
        <w:trPr>
          <w:trHeight w:val="203"/>
        </w:trPr>
        <w:tc>
          <w:tcPr>
            <w:tcW w:w="4800" w:type="dxa"/>
            <w:vAlign w:val="bottom"/>
          </w:tcPr>
          <w:p>
            <w:pPr>
              <w:ind w:left="180"/>
              <w:spacing w:after="0" w:line="202" w:lineRule="exact"/>
              <w:rPr>
                <w:sz w:val="20"/>
                <w:szCs w:val="20"/>
                <w:color w:val="auto"/>
              </w:rPr>
            </w:pPr>
            <w:r>
              <w:rPr>
                <w:rFonts w:ascii="Arial" w:cs="Arial" w:eastAsia="Arial" w:hAnsi="Arial"/>
                <w:sz w:val="18"/>
                <w:szCs w:val="18"/>
                <w:color w:val="auto"/>
              </w:rPr>
              <w:t>Aircraft at end of period</w:t>
            </w:r>
          </w:p>
        </w:tc>
        <w:tc>
          <w:tcPr>
            <w:tcW w:w="118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956</w:t>
            </w:r>
          </w:p>
        </w:tc>
        <w:tc>
          <w:tcPr>
            <w:tcW w:w="100" w:type="dxa"/>
            <w:vAlign w:val="bottom"/>
          </w:tcPr>
          <w:p>
            <w:pPr>
              <w:spacing w:after="0"/>
              <w:rPr>
                <w:sz w:val="17"/>
                <w:szCs w:val="17"/>
                <w:color w:val="auto"/>
              </w:rPr>
            </w:pPr>
          </w:p>
        </w:tc>
        <w:tc>
          <w:tcPr>
            <w:tcW w:w="1180" w:type="dxa"/>
            <w:vAlign w:val="bottom"/>
          </w:tcPr>
          <w:p>
            <w:pPr>
              <w:jc w:val="right"/>
              <w:ind w:right="251"/>
              <w:spacing w:after="0" w:line="202" w:lineRule="exact"/>
              <w:rPr>
                <w:sz w:val="20"/>
                <w:szCs w:val="20"/>
                <w:color w:val="auto"/>
              </w:rPr>
            </w:pPr>
            <w:r>
              <w:rPr>
                <w:rFonts w:ascii="Arial" w:cs="Arial" w:eastAsia="Arial" w:hAnsi="Arial"/>
                <w:sz w:val="18"/>
                <w:szCs w:val="18"/>
                <w:color w:val="auto"/>
              </w:rPr>
              <w:t>947</w:t>
            </w:r>
          </w:p>
        </w:tc>
        <w:tc>
          <w:tcPr>
            <w:tcW w:w="6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w:t>
            </w:r>
          </w:p>
        </w:tc>
        <w:tc>
          <w:tcPr>
            <w:tcW w:w="280" w:type="dxa"/>
            <w:vAlign w:val="bottom"/>
          </w:tcPr>
          <w:p>
            <w:pPr>
              <w:ind w:left="4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96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956</w:t>
            </w:r>
          </w:p>
        </w:tc>
        <w:tc>
          <w:tcPr>
            <w:tcW w:w="100" w:type="dxa"/>
            <w:vAlign w:val="bottom"/>
          </w:tcPr>
          <w:p>
            <w:pPr>
              <w:spacing w:after="0"/>
              <w:rPr>
                <w:sz w:val="17"/>
                <w:szCs w:val="17"/>
                <w:color w:val="auto"/>
              </w:rPr>
            </w:pPr>
          </w:p>
        </w:tc>
        <w:tc>
          <w:tcPr>
            <w:tcW w:w="960" w:type="dxa"/>
            <w:vAlign w:val="bottom"/>
          </w:tcPr>
          <w:p>
            <w:pPr>
              <w:jc w:val="right"/>
              <w:ind w:right="111"/>
              <w:spacing w:after="0" w:line="202" w:lineRule="exact"/>
              <w:rPr>
                <w:sz w:val="20"/>
                <w:szCs w:val="20"/>
                <w:color w:val="auto"/>
              </w:rPr>
            </w:pPr>
            <w:r>
              <w:rPr>
                <w:rFonts w:ascii="Arial" w:cs="Arial" w:eastAsia="Arial" w:hAnsi="Arial"/>
                <w:sz w:val="18"/>
                <w:szCs w:val="18"/>
                <w:color w:val="auto"/>
              </w:rPr>
              <w:t>947</w:t>
            </w:r>
          </w:p>
        </w:tc>
        <w:tc>
          <w:tcPr>
            <w:tcW w:w="680" w:type="dxa"/>
            <w:vAlign w:val="bottom"/>
            <w:gridSpan w:val="2"/>
          </w:tcPr>
          <w:p>
            <w:pPr>
              <w:jc w:val="right"/>
              <w:ind w:right="28"/>
              <w:spacing w:after="0" w:line="202" w:lineRule="exact"/>
              <w:rPr>
                <w:sz w:val="20"/>
                <w:szCs w:val="20"/>
                <w:color w:val="auto"/>
              </w:rPr>
            </w:pPr>
            <w:r>
              <w:rPr>
                <w:rFonts w:ascii="Arial" w:cs="Arial" w:eastAsia="Arial" w:hAnsi="Arial"/>
                <w:sz w:val="18"/>
                <w:szCs w:val="18"/>
                <w:color w:val="auto"/>
              </w:rPr>
              <w:t>1.0</w:t>
            </w:r>
          </w:p>
        </w:tc>
        <w:tc>
          <w:tcPr>
            <w:tcW w:w="260" w:type="dxa"/>
            <w:vAlign w:val="bottom"/>
          </w:tcPr>
          <w:p>
            <w:pPr>
              <w:ind w:left="4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r>
      <w:tr>
        <w:trPr>
          <w:trHeight w:val="203"/>
        </w:trPr>
        <w:tc>
          <w:tcPr>
            <w:tcW w:w="48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Fuel consumption (gallons in millions)</w:t>
            </w:r>
          </w:p>
        </w:tc>
        <w:tc>
          <w:tcPr>
            <w:tcW w:w="1180" w:type="dxa"/>
            <w:vAlign w:val="bottom"/>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934</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251"/>
              <w:spacing w:after="0" w:line="202" w:lineRule="exact"/>
              <w:rPr>
                <w:sz w:val="20"/>
                <w:szCs w:val="20"/>
                <w:color w:val="auto"/>
              </w:rPr>
            </w:pPr>
            <w:r>
              <w:rPr>
                <w:rFonts w:ascii="Arial" w:cs="Arial" w:eastAsia="Arial" w:hAnsi="Arial"/>
                <w:sz w:val="18"/>
                <w:szCs w:val="18"/>
                <w:color w:val="auto"/>
              </w:rPr>
              <w:t>931</w:t>
            </w:r>
          </w:p>
        </w:tc>
        <w:tc>
          <w:tcPr>
            <w:tcW w:w="6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0.4</w:t>
            </w:r>
          </w:p>
        </w:tc>
        <w:tc>
          <w:tcPr>
            <w:tcW w:w="2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1,766</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11"/>
              <w:spacing w:after="0" w:line="202" w:lineRule="exact"/>
              <w:rPr>
                <w:sz w:val="20"/>
                <w:szCs w:val="20"/>
                <w:color w:val="auto"/>
              </w:rPr>
            </w:pPr>
            <w:r>
              <w:rPr>
                <w:rFonts w:ascii="Arial" w:cs="Arial" w:eastAsia="Arial" w:hAnsi="Arial"/>
                <w:sz w:val="18"/>
                <w:szCs w:val="18"/>
                <w:color w:val="auto"/>
              </w:rPr>
              <w:t>1,786</w:t>
            </w:r>
          </w:p>
        </w:tc>
        <w:tc>
          <w:tcPr>
            <w:tcW w:w="6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w:t>
            </w:r>
          </w:p>
        </w:tc>
        <w:tc>
          <w:tcPr>
            <w:tcW w:w="2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r>
      <w:tr>
        <w:trPr>
          <w:trHeight w:val="202"/>
        </w:trPr>
        <w:tc>
          <w:tcPr>
            <w:tcW w:w="4800" w:type="dxa"/>
            <w:vAlign w:val="bottom"/>
          </w:tcPr>
          <w:p>
            <w:pPr>
              <w:ind w:left="180"/>
              <w:spacing w:after="0" w:line="201" w:lineRule="exact"/>
              <w:rPr>
                <w:sz w:val="20"/>
                <w:szCs w:val="20"/>
                <w:color w:val="auto"/>
              </w:rPr>
            </w:pPr>
            <w:r>
              <w:rPr>
                <w:rFonts w:ascii="Arial" w:cs="Arial" w:eastAsia="Arial" w:hAnsi="Arial"/>
                <w:sz w:val="18"/>
                <w:szCs w:val="18"/>
                <w:color w:val="auto"/>
              </w:rPr>
              <w:t>Average aircraft fuel price including related taxes</w:t>
            </w: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800" w:type="dxa"/>
            <w:vAlign w:val="bottom"/>
          </w:tcPr>
          <w:p>
            <w:pPr>
              <w:ind w:left="360"/>
              <w:spacing w:after="0" w:line="203" w:lineRule="exact"/>
              <w:rPr>
                <w:sz w:val="20"/>
                <w:szCs w:val="20"/>
                <w:color w:val="auto"/>
              </w:rPr>
            </w:pPr>
            <w:r>
              <w:rPr>
                <w:rFonts w:ascii="Arial" w:cs="Arial" w:eastAsia="Arial" w:hAnsi="Arial"/>
                <w:sz w:val="18"/>
                <w:szCs w:val="18"/>
                <w:color w:val="auto"/>
              </w:rPr>
              <w:t>(dollars per gallon)</w:t>
            </w:r>
          </w:p>
        </w:tc>
        <w:tc>
          <w:tcPr>
            <w:tcW w:w="1180" w:type="dxa"/>
            <w:vAlign w:val="bottom"/>
          </w:tcPr>
          <w:p>
            <w:pPr>
              <w:jc w:val="right"/>
              <w:ind w:right="252"/>
              <w:spacing w:after="0" w:line="203" w:lineRule="exact"/>
              <w:rPr>
                <w:sz w:val="20"/>
                <w:szCs w:val="20"/>
                <w:color w:val="auto"/>
              </w:rPr>
            </w:pPr>
            <w:r>
              <w:rPr>
                <w:rFonts w:ascii="Arial" w:cs="Arial" w:eastAsia="Arial" w:hAnsi="Arial"/>
                <w:sz w:val="18"/>
                <w:szCs w:val="18"/>
                <w:color w:val="auto"/>
              </w:rPr>
              <w:t>1.62</w:t>
            </w:r>
          </w:p>
        </w:tc>
        <w:tc>
          <w:tcPr>
            <w:tcW w:w="100" w:type="dxa"/>
            <w:vAlign w:val="bottom"/>
          </w:tcPr>
          <w:p>
            <w:pPr>
              <w:spacing w:after="0"/>
              <w:rPr>
                <w:sz w:val="17"/>
                <w:szCs w:val="17"/>
                <w:color w:val="auto"/>
              </w:rPr>
            </w:pPr>
          </w:p>
        </w:tc>
        <w:tc>
          <w:tcPr>
            <w:tcW w:w="1180" w:type="dxa"/>
            <w:vAlign w:val="bottom"/>
          </w:tcPr>
          <w:p>
            <w:pPr>
              <w:jc w:val="right"/>
              <w:ind w:right="251"/>
              <w:spacing w:after="0" w:line="203" w:lineRule="exact"/>
              <w:rPr>
                <w:sz w:val="20"/>
                <w:szCs w:val="20"/>
                <w:color w:val="auto"/>
              </w:rPr>
            </w:pPr>
            <w:r>
              <w:rPr>
                <w:rFonts w:ascii="Arial" w:cs="Arial" w:eastAsia="Arial" w:hAnsi="Arial"/>
                <w:sz w:val="18"/>
                <w:szCs w:val="18"/>
                <w:color w:val="auto"/>
              </w:rPr>
              <w:t>1.41</w:t>
            </w:r>
          </w:p>
        </w:tc>
        <w:tc>
          <w:tcPr>
            <w:tcW w:w="64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14.5</w:t>
            </w:r>
          </w:p>
        </w:tc>
        <w:tc>
          <w:tcPr>
            <w:tcW w:w="280" w:type="dxa"/>
            <w:vAlign w:val="bottom"/>
          </w:tcPr>
          <w:p>
            <w:pPr>
              <w:ind w:left="40"/>
              <w:spacing w:after="0" w:line="203"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960" w:type="dxa"/>
            <w:vAlign w:val="bottom"/>
          </w:tcPr>
          <w:p>
            <w:pPr>
              <w:jc w:val="right"/>
              <w:ind w:right="112"/>
              <w:spacing w:after="0" w:line="203" w:lineRule="exact"/>
              <w:rPr>
                <w:sz w:val="20"/>
                <w:szCs w:val="20"/>
                <w:color w:val="auto"/>
              </w:rPr>
            </w:pPr>
            <w:r>
              <w:rPr>
                <w:rFonts w:ascii="Arial" w:cs="Arial" w:eastAsia="Arial" w:hAnsi="Arial"/>
                <w:sz w:val="18"/>
                <w:szCs w:val="18"/>
                <w:color w:val="auto"/>
              </w:rPr>
              <w:t>1.65</w:t>
            </w:r>
          </w:p>
        </w:tc>
        <w:tc>
          <w:tcPr>
            <w:tcW w:w="100" w:type="dxa"/>
            <w:vAlign w:val="bottom"/>
          </w:tcPr>
          <w:p>
            <w:pPr>
              <w:spacing w:after="0"/>
              <w:rPr>
                <w:sz w:val="17"/>
                <w:szCs w:val="17"/>
                <w:color w:val="auto"/>
              </w:rPr>
            </w:pPr>
          </w:p>
        </w:tc>
        <w:tc>
          <w:tcPr>
            <w:tcW w:w="960" w:type="dxa"/>
            <w:vAlign w:val="bottom"/>
          </w:tcPr>
          <w:p>
            <w:pPr>
              <w:jc w:val="right"/>
              <w:ind w:right="111"/>
              <w:spacing w:after="0" w:line="203" w:lineRule="exact"/>
              <w:rPr>
                <w:sz w:val="20"/>
                <w:szCs w:val="20"/>
                <w:color w:val="auto"/>
              </w:rPr>
            </w:pPr>
            <w:r>
              <w:rPr>
                <w:rFonts w:ascii="Arial" w:cs="Arial" w:eastAsia="Arial" w:hAnsi="Arial"/>
                <w:sz w:val="18"/>
                <w:szCs w:val="18"/>
                <w:color w:val="auto"/>
              </w:rPr>
              <w:t>1.31</w:t>
            </w:r>
          </w:p>
        </w:tc>
        <w:tc>
          <w:tcPr>
            <w:tcW w:w="680" w:type="dxa"/>
            <w:vAlign w:val="bottom"/>
            <w:gridSpan w:val="2"/>
          </w:tcPr>
          <w:p>
            <w:pPr>
              <w:jc w:val="right"/>
              <w:ind w:right="28"/>
              <w:spacing w:after="0" w:line="203" w:lineRule="exact"/>
              <w:rPr>
                <w:sz w:val="20"/>
                <w:szCs w:val="20"/>
                <w:color w:val="auto"/>
              </w:rPr>
            </w:pPr>
            <w:r>
              <w:rPr>
                <w:rFonts w:ascii="Arial" w:cs="Arial" w:eastAsia="Arial" w:hAnsi="Arial"/>
                <w:sz w:val="18"/>
                <w:szCs w:val="18"/>
                <w:color w:val="auto"/>
              </w:rPr>
              <w:t>25.7</w:t>
            </w:r>
          </w:p>
        </w:tc>
        <w:tc>
          <w:tcPr>
            <w:tcW w:w="260" w:type="dxa"/>
            <w:vAlign w:val="bottom"/>
          </w:tcPr>
          <w:p>
            <w:pPr>
              <w:ind w:left="40"/>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r>
      <w:tr>
        <w:trPr>
          <w:trHeight w:val="203"/>
        </w:trPr>
        <w:tc>
          <w:tcPr>
            <w:tcW w:w="48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Full-time equivalent employees at end of period</w:t>
            </w:r>
          </w:p>
        </w:tc>
        <w:tc>
          <w:tcPr>
            <w:tcW w:w="1180" w:type="dxa"/>
            <w:vAlign w:val="bottom"/>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106,100</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251"/>
              <w:spacing w:after="0" w:line="202" w:lineRule="exact"/>
              <w:rPr>
                <w:sz w:val="20"/>
                <w:szCs w:val="20"/>
                <w:color w:val="auto"/>
              </w:rPr>
            </w:pPr>
            <w:r>
              <w:rPr>
                <w:rFonts w:ascii="Arial" w:cs="Arial" w:eastAsia="Arial" w:hAnsi="Arial"/>
                <w:sz w:val="18"/>
                <w:szCs w:val="18"/>
                <w:color w:val="auto"/>
              </w:rPr>
              <w:t>103,100</w:t>
            </w:r>
          </w:p>
        </w:tc>
        <w:tc>
          <w:tcPr>
            <w:tcW w:w="6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2.9</w:t>
            </w:r>
          </w:p>
        </w:tc>
        <w:tc>
          <w:tcPr>
            <w:tcW w:w="2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106,100</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11"/>
              <w:spacing w:after="0" w:line="202" w:lineRule="exact"/>
              <w:rPr>
                <w:sz w:val="20"/>
                <w:szCs w:val="20"/>
                <w:color w:val="auto"/>
              </w:rPr>
            </w:pPr>
            <w:r>
              <w:rPr>
                <w:rFonts w:ascii="Arial" w:cs="Arial" w:eastAsia="Arial" w:hAnsi="Arial"/>
                <w:sz w:val="18"/>
                <w:szCs w:val="18"/>
                <w:color w:val="auto"/>
              </w:rPr>
              <w:t>103,100</w:t>
            </w:r>
          </w:p>
        </w:tc>
        <w:tc>
          <w:tcPr>
            <w:tcW w:w="680" w:type="dxa"/>
            <w:vAlign w:val="bottom"/>
            <w:gridSpan w:val="2"/>
            <w:shd w:val="clear" w:color="auto" w:fill="CCEEFF"/>
          </w:tcPr>
          <w:p>
            <w:pPr>
              <w:jc w:val="right"/>
              <w:ind w:right="28"/>
              <w:spacing w:after="0" w:line="202" w:lineRule="exact"/>
              <w:rPr>
                <w:sz w:val="20"/>
                <w:szCs w:val="20"/>
                <w:color w:val="auto"/>
              </w:rPr>
            </w:pPr>
            <w:r>
              <w:rPr>
                <w:rFonts w:ascii="Arial" w:cs="Arial" w:eastAsia="Arial" w:hAnsi="Arial"/>
                <w:sz w:val="18"/>
                <w:szCs w:val="18"/>
                <w:color w:val="auto"/>
              </w:rPr>
              <w:t>2.9</w:t>
            </w:r>
          </w:p>
        </w:tc>
        <w:tc>
          <w:tcPr>
            <w:tcW w:w="2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r>
      <w:tr>
        <w:trPr>
          <w:trHeight w:val="419"/>
        </w:trPr>
        <w:tc>
          <w:tcPr>
            <w:tcW w:w="4800" w:type="dxa"/>
            <w:vAlign w:val="bottom"/>
          </w:tcPr>
          <w:p>
            <w:pPr>
              <w:spacing w:after="0"/>
              <w:rPr>
                <w:sz w:val="20"/>
                <w:szCs w:val="20"/>
                <w:color w:val="auto"/>
              </w:rPr>
            </w:pPr>
            <w:r>
              <w:rPr>
                <w:rFonts w:ascii="Arial" w:cs="Arial" w:eastAsia="Arial" w:hAnsi="Arial"/>
                <w:sz w:val="18"/>
                <w:szCs w:val="18"/>
                <w:b w:val="1"/>
                <w:bCs w:val="1"/>
                <w:color w:val="auto"/>
              </w:rPr>
              <w:t>Total Mainline and Regional</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48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 xml:space="preserve">Revenue passenger miles (millions) </w:t>
            </w:r>
            <w:r>
              <w:rPr>
                <w:rFonts w:ascii="Arial" w:cs="Arial" w:eastAsia="Arial" w:hAnsi="Arial"/>
                <w:sz w:val="15"/>
                <w:szCs w:val="15"/>
                <w:color w:val="auto"/>
              </w:rPr>
              <w:t>(a)</w:t>
            </w:r>
          </w:p>
        </w:tc>
        <w:tc>
          <w:tcPr>
            <w:tcW w:w="1180" w:type="dxa"/>
            <w:vAlign w:val="bottom"/>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59,564</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251"/>
              <w:spacing w:after="0" w:line="202" w:lineRule="exact"/>
              <w:rPr>
                <w:sz w:val="20"/>
                <w:szCs w:val="20"/>
                <w:color w:val="auto"/>
              </w:rPr>
            </w:pPr>
            <w:r>
              <w:rPr>
                <w:rFonts w:ascii="Arial" w:cs="Arial" w:eastAsia="Arial" w:hAnsi="Arial"/>
                <w:sz w:val="18"/>
                <w:szCs w:val="18"/>
                <w:color w:val="auto"/>
              </w:rPr>
              <w:t>58,336</w:t>
            </w:r>
          </w:p>
        </w:tc>
        <w:tc>
          <w:tcPr>
            <w:tcW w:w="6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2.1</w:t>
            </w:r>
          </w:p>
        </w:tc>
        <w:tc>
          <w:tcPr>
            <w:tcW w:w="2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110,548</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11"/>
              <w:spacing w:after="0" w:line="202" w:lineRule="exact"/>
              <w:rPr>
                <w:sz w:val="20"/>
                <w:szCs w:val="20"/>
                <w:color w:val="auto"/>
              </w:rPr>
            </w:pPr>
            <w:r>
              <w:rPr>
                <w:rFonts w:ascii="Arial" w:cs="Arial" w:eastAsia="Arial" w:hAnsi="Arial"/>
                <w:sz w:val="18"/>
                <w:szCs w:val="18"/>
                <w:color w:val="auto"/>
              </w:rPr>
              <w:t>110,106</w:t>
            </w:r>
          </w:p>
        </w:tc>
        <w:tc>
          <w:tcPr>
            <w:tcW w:w="680" w:type="dxa"/>
            <w:vAlign w:val="bottom"/>
            <w:gridSpan w:val="2"/>
            <w:shd w:val="clear" w:color="auto" w:fill="CCEEFF"/>
          </w:tcPr>
          <w:p>
            <w:pPr>
              <w:jc w:val="right"/>
              <w:ind w:right="28"/>
              <w:spacing w:after="0" w:line="202" w:lineRule="exact"/>
              <w:rPr>
                <w:sz w:val="20"/>
                <w:szCs w:val="20"/>
                <w:color w:val="auto"/>
              </w:rPr>
            </w:pPr>
            <w:r>
              <w:rPr>
                <w:rFonts w:ascii="Arial" w:cs="Arial" w:eastAsia="Arial" w:hAnsi="Arial"/>
                <w:sz w:val="18"/>
                <w:szCs w:val="18"/>
                <w:color w:val="auto"/>
              </w:rPr>
              <w:t>0.4</w:t>
            </w:r>
          </w:p>
        </w:tc>
        <w:tc>
          <w:tcPr>
            <w:tcW w:w="2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r>
      <w:tr>
        <w:trPr>
          <w:trHeight w:val="203"/>
        </w:trPr>
        <w:tc>
          <w:tcPr>
            <w:tcW w:w="4800" w:type="dxa"/>
            <w:vAlign w:val="bottom"/>
          </w:tcPr>
          <w:p>
            <w:pPr>
              <w:ind w:left="180"/>
              <w:spacing w:after="0" w:line="202" w:lineRule="exact"/>
              <w:rPr>
                <w:sz w:val="20"/>
                <w:szCs w:val="20"/>
                <w:color w:val="auto"/>
              </w:rPr>
            </w:pPr>
            <w:r>
              <w:rPr>
                <w:rFonts w:ascii="Arial" w:cs="Arial" w:eastAsia="Arial" w:hAnsi="Arial"/>
                <w:sz w:val="18"/>
                <w:szCs w:val="18"/>
                <w:color w:val="auto"/>
              </w:rPr>
              <w:t xml:space="preserve">Available seat miles (millions) </w:t>
            </w:r>
            <w:r>
              <w:rPr>
                <w:rFonts w:ascii="Arial" w:cs="Arial" w:eastAsia="Arial" w:hAnsi="Arial"/>
                <w:sz w:val="15"/>
                <w:szCs w:val="15"/>
                <w:color w:val="auto"/>
              </w:rPr>
              <w:t>(b)</w:t>
            </w:r>
          </w:p>
        </w:tc>
        <w:tc>
          <w:tcPr>
            <w:tcW w:w="118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71,743</w:t>
            </w:r>
          </w:p>
        </w:tc>
        <w:tc>
          <w:tcPr>
            <w:tcW w:w="100" w:type="dxa"/>
            <w:vAlign w:val="bottom"/>
          </w:tcPr>
          <w:p>
            <w:pPr>
              <w:spacing w:after="0"/>
              <w:rPr>
                <w:sz w:val="17"/>
                <w:szCs w:val="17"/>
                <w:color w:val="auto"/>
              </w:rPr>
            </w:pPr>
          </w:p>
        </w:tc>
        <w:tc>
          <w:tcPr>
            <w:tcW w:w="1180" w:type="dxa"/>
            <w:vAlign w:val="bottom"/>
          </w:tcPr>
          <w:p>
            <w:pPr>
              <w:jc w:val="right"/>
              <w:ind w:right="251"/>
              <w:spacing w:after="0" w:line="202" w:lineRule="exact"/>
              <w:rPr>
                <w:sz w:val="20"/>
                <w:szCs w:val="20"/>
                <w:color w:val="auto"/>
              </w:rPr>
            </w:pPr>
            <w:r>
              <w:rPr>
                <w:rFonts w:ascii="Arial" w:cs="Arial" w:eastAsia="Arial" w:hAnsi="Arial"/>
                <w:sz w:val="18"/>
                <w:szCs w:val="18"/>
                <w:color w:val="auto"/>
              </w:rPr>
              <w:t>70,751</w:t>
            </w:r>
          </w:p>
        </w:tc>
        <w:tc>
          <w:tcPr>
            <w:tcW w:w="6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w:t>
            </w:r>
          </w:p>
        </w:tc>
        <w:tc>
          <w:tcPr>
            <w:tcW w:w="280" w:type="dxa"/>
            <w:vAlign w:val="bottom"/>
          </w:tcPr>
          <w:p>
            <w:pPr>
              <w:ind w:left="4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96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136,083</w:t>
            </w:r>
          </w:p>
        </w:tc>
        <w:tc>
          <w:tcPr>
            <w:tcW w:w="100" w:type="dxa"/>
            <w:vAlign w:val="bottom"/>
          </w:tcPr>
          <w:p>
            <w:pPr>
              <w:spacing w:after="0"/>
              <w:rPr>
                <w:sz w:val="17"/>
                <w:szCs w:val="17"/>
                <w:color w:val="auto"/>
              </w:rPr>
            </w:pPr>
          </w:p>
        </w:tc>
        <w:tc>
          <w:tcPr>
            <w:tcW w:w="960" w:type="dxa"/>
            <w:vAlign w:val="bottom"/>
          </w:tcPr>
          <w:p>
            <w:pPr>
              <w:jc w:val="right"/>
              <w:ind w:right="111"/>
              <w:spacing w:after="0" w:line="202" w:lineRule="exact"/>
              <w:rPr>
                <w:sz w:val="20"/>
                <w:szCs w:val="20"/>
                <w:color w:val="auto"/>
              </w:rPr>
            </w:pPr>
            <w:r>
              <w:rPr>
                <w:rFonts w:ascii="Arial" w:cs="Arial" w:eastAsia="Arial" w:hAnsi="Arial"/>
                <w:sz w:val="18"/>
                <w:szCs w:val="18"/>
                <w:color w:val="auto"/>
              </w:rPr>
              <w:t>135,815</w:t>
            </w:r>
          </w:p>
        </w:tc>
        <w:tc>
          <w:tcPr>
            <w:tcW w:w="680" w:type="dxa"/>
            <w:vAlign w:val="bottom"/>
            <w:gridSpan w:val="2"/>
          </w:tcPr>
          <w:p>
            <w:pPr>
              <w:jc w:val="right"/>
              <w:ind w:right="28"/>
              <w:spacing w:after="0" w:line="202" w:lineRule="exact"/>
              <w:rPr>
                <w:sz w:val="20"/>
                <w:szCs w:val="20"/>
                <w:color w:val="auto"/>
              </w:rPr>
            </w:pPr>
            <w:r>
              <w:rPr>
                <w:rFonts w:ascii="Arial" w:cs="Arial" w:eastAsia="Arial" w:hAnsi="Arial"/>
                <w:sz w:val="18"/>
                <w:szCs w:val="18"/>
                <w:color w:val="auto"/>
              </w:rPr>
              <w:t>0.2</w:t>
            </w:r>
          </w:p>
        </w:tc>
        <w:tc>
          <w:tcPr>
            <w:tcW w:w="260" w:type="dxa"/>
            <w:vAlign w:val="bottom"/>
          </w:tcPr>
          <w:p>
            <w:pPr>
              <w:ind w:left="4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r>
      <w:tr>
        <w:trPr>
          <w:trHeight w:val="203"/>
        </w:trPr>
        <w:tc>
          <w:tcPr>
            <w:tcW w:w="48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 xml:space="preserve">Passenger load factor (percent) </w:t>
            </w:r>
            <w:r>
              <w:rPr>
                <w:rFonts w:ascii="Arial" w:cs="Arial" w:eastAsia="Arial" w:hAnsi="Arial"/>
                <w:sz w:val="15"/>
                <w:szCs w:val="15"/>
                <w:color w:val="auto"/>
              </w:rPr>
              <w:t>(c)</w:t>
            </w:r>
          </w:p>
        </w:tc>
        <w:tc>
          <w:tcPr>
            <w:tcW w:w="1180" w:type="dxa"/>
            <w:vAlign w:val="bottom"/>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83.0</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251"/>
              <w:spacing w:after="0" w:line="202" w:lineRule="exact"/>
              <w:rPr>
                <w:sz w:val="20"/>
                <w:szCs w:val="20"/>
                <w:color w:val="auto"/>
              </w:rPr>
            </w:pPr>
            <w:r>
              <w:rPr>
                <w:rFonts w:ascii="Arial" w:cs="Arial" w:eastAsia="Arial" w:hAnsi="Arial"/>
                <w:sz w:val="18"/>
                <w:szCs w:val="18"/>
                <w:color w:val="auto"/>
              </w:rPr>
              <w:t>82.5</w:t>
            </w:r>
          </w:p>
        </w:tc>
        <w:tc>
          <w:tcPr>
            <w:tcW w:w="6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0.5</w:t>
            </w:r>
          </w:p>
        </w:tc>
        <w:tc>
          <w:tcPr>
            <w:tcW w:w="46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rPr>
              <w:t>pts</w:t>
            </w:r>
          </w:p>
        </w:tc>
        <w:tc>
          <w:tcPr>
            <w:tcW w:w="96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81.2</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11"/>
              <w:spacing w:after="0" w:line="202" w:lineRule="exact"/>
              <w:rPr>
                <w:sz w:val="20"/>
                <w:szCs w:val="20"/>
                <w:color w:val="auto"/>
              </w:rPr>
            </w:pPr>
            <w:r>
              <w:rPr>
                <w:rFonts w:ascii="Arial" w:cs="Arial" w:eastAsia="Arial" w:hAnsi="Arial"/>
                <w:sz w:val="18"/>
                <w:szCs w:val="18"/>
                <w:color w:val="auto"/>
              </w:rPr>
              <w:t>81.1</w:t>
            </w:r>
          </w:p>
        </w:tc>
        <w:tc>
          <w:tcPr>
            <w:tcW w:w="680" w:type="dxa"/>
            <w:vAlign w:val="bottom"/>
            <w:gridSpan w:val="2"/>
            <w:shd w:val="clear" w:color="auto" w:fill="CCEEFF"/>
          </w:tcPr>
          <w:p>
            <w:pPr>
              <w:jc w:val="right"/>
              <w:ind w:right="8"/>
              <w:spacing w:after="0" w:line="202" w:lineRule="exact"/>
              <w:rPr>
                <w:sz w:val="20"/>
                <w:szCs w:val="20"/>
                <w:color w:val="auto"/>
              </w:rPr>
            </w:pPr>
            <w:r>
              <w:rPr>
                <w:rFonts w:ascii="Arial" w:cs="Arial" w:eastAsia="Arial" w:hAnsi="Arial"/>
                <w:sz w:val="18"/>
                <w:szCs w:val="18"/>
                <w:color w:val="auto"/>
              </w:rPr>
              <w:t>0.1</w:t>
            </w:r>
          </w:p>
        </w:tc>
        <w:tc>
          <w:tcPr>
            <w:tcW w:w="36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rPr>
              <w:t>pts</w:t>
            </w:r>
          </w:p>
        </w:tc>
      </w:tr>
      <w:tr>
        <w:trPr>
          <w:trHeight w:val="203"/>
        </w:trPr>
        <w:tc>
          <w:tcPr>
            <w:tcW w:w="4800" w:type="dxa"/>
            <w:vAlign w:val="bottom"/>
          </w:tcPr>
          <w:p>
            <w:pPr>
              <w:ind w:left="180"/>
              <w:spacing w:after="0" w:line="202" w:lineRule="exact"/>
              <w:rPr>
                <w:sz w:val="20"/>
                <w:szCs w:val="20"/>
                <w:color w:val="auto"/>
              </w:rPr>
            </w:pPr>
            <w:r>
              <w:rPr>
                <w:rFonts w:ascii="Arial" w:cs="Arial" w:eastAsia="Arial" w:hAnsi="Arial"/>
                <w:sz w:val="18"/>
                <w:szCs w:val="18"/>
                <w:color w:val="auto"/>
              </w:rPr>
              <w:t xml:space="preserve">Yield (cents) </w:t>
            </w:r>
            <w:r>
              <w:rPr>
                <w:rFonts w:ascii="Arial" w:cs="Arial" w:eastAsia="Arial" w:hAnsi="Arial"/>
                <w:sz w:val="15"/>
                <w:szCs w:val="15"/>
                <w:color w:val="auto"/>
              </w:rPr>
              <w:t>(d)</w:t>
            </w:r>
          </w:p>
        </w:tc>
        <w:tc>
          <w:tcPr>
            <w:tcW w:w="118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16.09</w:t>
            </w:r>
          </w:p>
        </w:tc>
        <w:tc>
          <w:tcPr>
            <w:tcW w:w="100" w:type="dxa"/>
            <w:vAlign w:val="bottom"/>
          </w:tcPr>
          <w:p>
            <w:pPr>
              <w:spacing w:after="0"/>
              <w:rPr>
                <w:sz w:val="17"/>
                <w:szCs w:val="17"/>
                <w:color w:val="auto"/>
              </w:rPr>
            </w:pPr>
          </w:p>
        </w:tc>
        <w:tc>
          <w:tcPr>
            <w:tcW w:w="1180" w:type="dxa"/>
            <w:vAlign w:val="bottom"/>
          </w:tcPr>
          <w:p>
            <w:pPr>
              <w:jc w:val="right"/>
              <w:ind w:right="251"/>
              <w:spacing w:after="0" w:line="202" w:lineRule="exact"/>
              <w:rPr>
                <w:sz w:val="20"/>
                <w:szCs w:val="20"/>
                <w:color w:val="auto"/>
              </w:rPr>
            </w:pPr>
            <w:r>
              <w:rPr>
                <w:rFonts w:ascii="Arial" w:cs="Arial" w:eastAsia="Arial" w:hAnsi="Arial"/>
                <w:sz w:val="18"/>
                <w:szCs w:val="18"/>
                <w:color w:val="auto"/>
              </w:rPr>
              <w:t>15.42</w:t>
            </w:r>
          </w:p>
        </w:tc>
        <w:tc>
          <w:tcPr>
            <w:tcW w:w="6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4.3</w:t>
            </w:r>
          </w:p>
        </w:tc>
        <w:tc>
          <w:tcPr>
            <w:tcW w:w="280" w:type="dxa"/>
            <w:vAlign w:val="bottom"/>
          </w:tcPr>
          <w:p>
            <w:pPr>
              <w:ind w:left="4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96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16.04</w:t>
            </w:r>
          </w:p>
        </w:tc>
        <w:tc>
          <w:tcPr>
            <w:tcW w:w="100" w:type="dxa"/>
            <w:vAlign w:val="bottom"/>
          </w:tcPr>
          <w:p>
            <w:pPr>
              <w:spacing w:after="0"/>
              <w:rPr>
                <w:sz w:val="17"/>
                <w:szCs w:val="17"/>
                <w:color w:val="auto"/>
              </w:rPr>
            </w:pPr>
          </w:p>
        </w:tc>
        <w:tc>
          <w:tcPr>
            <w:tcW w:w="960" w:type="dxa"/>
            <w:vAlign w:val="bottom"/>
          </w:tcPr>
          <w:p>
            <w:pPr>
              <w:jc w:val="right"/>
              <w:ind w:right="111"/>
              <w:spacing w:after="0" w:line="202" w:lineRule="exact"/>
              <w:rPr>
                <w:sz w:val="20"/>
                <w:szCs w:val="20"/>
                <w:color w:val="auto"/>
              </w:rPr>
            </w:pPr>
            <w:r>
              <w:rPr>
                <w:rFonts w:ascii="Arial" w:cs="Arial" w:eastAsia="Arial" w:hAnsi="Arial"/>
                <w:sz w:val="18"/>
                <w:szCs w:val="18"/>
                <w:color w:val="auto"/>
              </w:rPr>
              <w:t>15.51</w:t>
            </w:r>
          </w:p>
        </w:tc>
        <w:tc>
          <w:tcPr>
            <w:tcW w:w="680" w:type="dxa"/>
            <w:vAlign w:val="bottom"/>
            <w:gridSpan w:val="2"/>
          </w:tcPr>
          <w:p>
            <w:pPr>
              <w:jc w:val="right"/>
              <w:ind w:right="28"/>
              <w:spacing w:after="0" w:line="202" w:lineRule="exact"/>
              <w:rPr>
                <w:sz w:val="20"/>
                <w:szCs w:val="20"/>
                <w:color w:val="auto"/>
              </w:rPr>
            </w:pPr>
            <w:r>
              <w:rPr>
                <w:rFonts w:ascii="Arial" w:cs="Arial" w:eastAsia="Arial" w:hAnsi="Arial"/>
                <w:sz w:val="18"/>
                <w:szCs w:val="18"/>
                <w:color w:val="auto"/>
              </w:rPr>
              <w:t>3.4</w:t>
            </w:r>
          </w:p>
        </w:tc>
        <w:tc>
          <w:tcPr>
            <w:tcW w:w="260" w:type="dxa"/>
            <w:vAlign w:val="bottom"/>
          </w:tcPr>
          <w:p>
            <w:pPr>
              <w:ind w:left="4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r>
      <w:tr>
        <w:trPr>
          <w:trHeight w:val="203"/>
        </w:trPr>
        <w:tc>
          <w:tcPr>
            <w:tcW w:w="48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 xml:space="preserve">Passenger revenue per available seat mile (cents) </w:t>
            </w:r>
            <w:r>
              <w:rPr>
                <w:rFonts w:ascii="Arial" w:cs="Arial" w:eastAsia="Arial" w:hAnsi="Arial"/>
                <w:sz w:val="15"/>
                <w:szCs w:val="15"/>
                <w:color w:val="auto"/>
              </w:rPr>
              <w:t>(e)</w:t>
            </w:r>
          </w:p>
        </w:tc>
        <w:tc>
          <w:tcPr>
            <w:tcW w:w="1180" w:type="dxa"/>
            <w:vAlign w:val="bottom"/>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13.36</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251"/>
              <w:spacing w:after="0" w:line="202" w:lineRule="exact"/>
              <w:rPr>
                <w:sz w:val="20"/>
                <w:szCs w:val="20"/>
                <w:color w:val="auto"/>
              </w:rPr>
            </w:pPr>
            <w:r>
              <w:rPr>
                <w:rFonts w:ascii="Arial" w:cs="Arial" w:eastAsia="Arial" w:hAnsi="Arial"/>
                <w:sz w:val="18"/>
                <w:szCs w:val="18"/>
                <w:color w:val="auto"/>
              </w:rPr>
              <w:t>12.71</w:t>
            </w:r>
          </w:p>
        </w:tc>
        <w:tc>
          <w:tcPr>
            <w:tcW w:w="6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5.0</w:t>
            </w:r>
          </w:p>
        </w:tc>
        <w:tc>
          <w:tcPr>
            <w:tcW w:w="2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13.03</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11"/>
              <w:spacing w:after="0" w:line="202" w:lineRule="exact"/>
              <w:rPr>
                <w:sz w:val="20"/>
                <w:szCs w:val="20"/>
                <w:color w:val="auto"/>
              </w:rPr>
            </w:pPr>
            <w:r>
              <w:rPr>
                <w:rFonts w:ascii="Arial" w:cs="Arial" w:eastAsia="Arial" w:hAnsi="Arial"/>
                <w:sz w:val="18"/>
                <w:szCs w:val="18"/>
                <w:color w:val="auto"/>
              </w:rPr>
              <w:t>12.58</w:t>
            </w:r>
          </w:p>
        </w:tc>
        <w:tc>
          <w:tcPr>
            <w:tcW w:w="680" w:type="dxa"/>
            <w:vAlign w:val="bottom"/>
            <w:gridSpan w:val="2"/>
            <w:shd w:val="clear" w:color="auto" w:fill="CCEEFF"/>
          </w:tcPr>
          <w:p>
            <w:pPr>
              <w:jc w:val="right"/>
              <w:ind w:right="28"/>
              <w:spacing w:after="0" w:line="202" w:lineRule="exact"/>
              <w:rPr>
                <w:sz w:val="20"/>
                <w:szCs w:val="20"/>
                <w:color w:val="auto"/>
              </w:rPr>
            </w:pPr>
            <w:r>
              <w:rPr>
                <w:rFonts w:ascii="Arial" w:cs="Arial" w:eastAsia="Arial" w:hAnsi="Arial"/>
                <w:sz w:val="18"/>
                <w:szCs w:val="18"/>
                <w:color w:val="auto"/>
              </w:rPr>
              <w:t>3.6</w:t>
            </w:r>
          </w:p>
        </w:tc>
        <w:tc>
          <w:tcPr>
            <w:tcW w:w="2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r>
      <w:tr>
        <w:trPr>
          <w:trHeight w:val="203"/>
        </w:trPr>
        <w:tc>
          <w:tcPr>
            <w:tcW w:w="4800" w:type="dxa"/>
            <w:vAlign w:val="bottom"/>
          </w:tcPr>
          <w:p>
            <w:pPr>
              <w:ind w:left="180"/>
              <w:spacing w:after="0" w:line="202" w:lineRule="exact"/>
              <w:rPr>
                <w:sz w:val="20"/>
                <w:szCs w:val="20"/>
                <w:color w:val="auto"/>
              </w:rPr>
            </w:pPr>
            <w:r>
              <w:rPr>
                <w:rFonts w:ascii="Arial" w:cs="Arial" w:eastAsia="Arial" w:hAnsi="Arial"/>
                <w:sz w:val="18"/>
                <w:szCs w:val="18"/>
                <w:color w:val="auto"/>
              </w:rPr>
              <w:t xml:space="preserve">Total revenue per available seat mile (cents) </w:t>
            </w:r>
            <w:r>
              <w:rPr>
                <w:rFonts w:ascii="Arial" w:cs="Arial" w:eastAsia="Arial" w:hAnsi="Arial"/>
                <w:sz w:val="15"/>
                <w:szCs w:val="15"/>
                <w:color w:val="auto"/>
              </w:rPr>
              <w:t>(g)</w:t>
            </w:r>
          </w:p>
        </w:tc>
        <w:tc>
          <w:tcPr>
            <w:tcW w:w="118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15.48</w:t>
            </w:r>
          </w:p>
        </w:tc>
        <w:tc>
          <w:tcPr>
            <w:tcW w:w="100" w:type="dxa"/>
            <w:vAlign w:val="bottom"/>
          </w:tcPr>
          <w:p>
            <w:pPr>
              <w:spacing w:after="0"/>
              <w:rPr>
                <w:sz w:val="17"/>
                <w:szCs w:val="17"/>
                <w:color w:val="auto"/>
              </w:rPr>
            </w:pPr>
          </w:p>
        </w:tc>
        <w:tc>
          <w:tcPr>
            <w:tcW w:w="1180" w:type="dxa"/>
            <w:vAlign w:val="bottom"/>
          </w:tcPr>
          <w:p>
            <w:pPr>
              <w:jc w:val="right"/>
              <w:ind w:right="251"/>
              <w:spacing w:after="0" w:line="202" w:lineRule="exact"/>
              <w:rPr>
                <w:sz w:val="20"/>
                <w:szCs w:val="20"/>
                <w:color w:val="auto"/>
              </w:rPr>
            </w:pPr>
            <w:r>
              <w:rPr>
                <w:rFonts w:ascii="Arial" w:cs="Arial" w:eastAsia="Arial" w:hAnsi="Arial"/>
                <w:sz w:val="18"/>
                <w:szCs w:val="18"/>
                <w:color w:val="auto"/>
              </w:rPr>
              <w:t>14.65</w:t>
            </w:r>
          </w:p>
        </w:tc>
        <w:tc>
          <w:tcPr>
            <w:tcW w:w="6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5.7</w:t>
            </w:r>
          </w:p>
        </w:tc>
        <w:tc>
          <w:tcPr>
            <w:tcW w:w="280" w:type="dxa"/>
            <w:vAlign w:val="bottom"/>
          </w:tcPr>
          <w:p>
            <w:pPr>
              <w:ind w:left="4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96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15.23</w:t>
            </w:r>
          </w:p>
        </w:tc>
        <w:tc>
          <w:tcPr>
            <w:tcW w:w="100" w:type="dxa"/>
            <w:vAlign w:val="bottom"/>
          </w:tcPr>
          <w:p>
            <w:pPr>
              <w:spacing w:after="0"/>
              <w:rPr>
                <w:sz w:val="17"/>
                <w:szCs w:val="17"/>
                <w:color w:val="auto"/>
              </w:rPr>
            </w:pPr>
          </w:p>
        </w:tc>
        <w:tc>
          <w:tcPr>
            <w:tcW w:w="960" w:type="dxa"/>
            <w:vAlign w:val="bottom"/>
          </w:tcPr>
          <w:p>
            <w:pPr>
              <w:jc w:val="right"/>
              <w:ind w:right="111"/>
              <w:spacing w:after="0" w:line="202" w:lineRule="exact"/>
              <w:rPr>
                <w:sz w:val="20"/>
                <w:szCs w:val="20"/>
                <w:color w:val="auto"/>
              </w:rPr>
            </w:pPr>
            <w:r>
              <w:rPr>
                <w:rFonts w:ascii="Arial" w:cs="Arial" w:eastAsia="Arial" w:hAnsi="Arial"/>
                <w:sz w:val="18"/>
                <w:szCs w:val="18"/>
                <w:color w:val="auto"/>
              </w:rPr>
              <w:t>14.58</w:t>
            </w:r>
          </w:p>
        </w:tc>
        <w:tc>
          <w:tcPr>
            <w:tcW w:w="680" w:type="dxa"/>
            <w:vAlign w:val="bottom"/>
            <w:gridSpan w:val="2"/>
          </w:tcPr>
          <w:p>
            <w:pPr>
              <w:jc w:val="right"/>
              <w:ind w:right="28"/>
              <w:spacing w:after="0" w:line="202" w:lineRule="exact"/>
              <w:rPr>
                <w:sz w:val="20"/>
                <w:szCs w:val="20"/>
                <w:color w:val="auto"/>
              </w:rPr>
            </w:pPr>
            <w:r>
              <w:rPr>
                <w:rFonts w:ascii="Arial" w:cs="Arial" w:eastAsia="Arial" w:hAnsi="Arial"/>
                <w:sz w:val="18"/>
                <w:szCs w:val="18"/>
                <w:color w:val="auto"/>
              </w:rPr>
              <w:t>4.5</w:t>
            </w:r>
          </w:p>
        </w:tc>
        <w:tc>
          <w:tcPr>
            <w:tcW w:w="260" w:type="dxa"/>
            <w:vAlign w:val="bottom"/>
          </w:tcPr>
          <w:p>
            <w:pPr>
              <w:ind w:left="4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r>
      <w:tr>
        <w:trPr>
          <w:trHeight w:val="203"/>
        </w:trPr>
        <w:tc>
          <w:tcPr>
            <w:tcW w:w="48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Aircraft at end of period</w:t>
            </w:r>
          </w:p>
        </w:tc>
        <w:tc>
          <w:tcPr>
            <w:tcW w:w="1180" w:type="dxa"/>
            <w:vAlign w:val="bottom"/>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1,583</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251"/>
              <w:spacing w:after="0" w:line="202" w:lineRule="exact"/>
              <w:rPr>
                <w:sz w:val="20"/>
                <w:szCs w:val="20"/>
                <w:color w:val="auto"/>
              </w:rPr>
            </w:pPr>
            <w:r>
              <w:rPr>
                <w:rFonts w:ascii="Arial" w:cs="Arial" w:eastAsia="Arial" w:hAnsi="Arial"/>
                <w:sz w:val="18"/>
                <w:szCs w:val="18"/>
                <w:color w:val="auto"/>
              </w:rPr>
              <w:t>1,547</w:t>
            </w:r>
          </w:p>
        </w:tc>
        <w:tc>
          <w:tcPr>
            <w:tcW w:w="6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2.3</w:t>
            </w:r>
          </w:p>
        </w:tc>
        <w:tc>
          <w:tcPr>
            <w:tcW w:w="2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1,583</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11"/>
              <w:spacing w:after="0" w:line="202" w:lineRule="exact"/>
              <w:rPr>
                <w:sz w:val="20"/>
                <w:szCs w:val="20"/>
                <w:color w:val="auto"/>
              </w:rPr>
            </w:pPr>
            <w:r>
              <w:rPr>
                <w:rFonts w:ascii="Arial" w:cs="Arial" w:eastAsia="Arial" w:hAnsi="Arial"/>
                <w:sz w:val="18"/>
                <w:szCs w:val="18"/>
                <w:color w:val="auto"/>
              </w:rPr>
              <w:t>1,547</w:t>
            </w:r>
          </w:p>
        </w:tc>
        <w:tc>
          <w:tcPr>
            <w:tcW w:w="680" w:type="dxa"/>
            <w:vAlign w:val="bottom"/>
            <w:gridSpan w:val="2"/>
            <w:shd w:val="clear" w:color="auto" w:fill="CCEEFF"/>
          </w:tcPr>
          <w:p>
            <w:pPr>
              <w:jc w:val="right"/>
              <w:ind w:right="28"/>
              <w:spacing w:after="0" w:line="202" w:lineRule="exact"/>
              <w:rPr>
                <w:sz w:val="20"/>
                <w:szCs w:val="20"/>
                <w:color w:val="auto"/>
              </w:rPr>
            </w:pPr>
            <w:r>
              <w:rPr>
                <w:rFonts w:ascii="Arial" w:cs="Arial" w:eastAsia="Arial" w:hAnsi="Arial"/>
                <w:sz w:val="18"/>
                <w:szCs w:val="18"/>
                <w:color w:val="auto"/>
              </w:rPr>
              <w:t>2.3</w:t>
            </w:r>
          </w:p>
        </w:tc>
        <w:tc>
          <w:tcPr>
            <w:tcW w:w="2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r>
      <w:tr>
        <w:trPr>
          <w:trHeight w:val="203"/>
        </w:trPr>
        <w:tc>
          <w:tcPr>
            <w:tcW w:w="4800" w:type="dxa"/>
            <w:vAlign w:val="bottom"/>
          </w:tcPr>
          <w:p>
            <w:pPr>
              <w:ind w:left="180"/>
              <w:spacing w:after="0" w:line="202" w:lineRule="exact"/>
              <w:rPr>
                <w:sz w:val="20"/>
                <w:szCs w:val="20"/>
                <w:color w:val="auto"/>
              </w:rPr>
            </w:pPr>
            <w:r>
              <w:rPr>
                <w:rFonts w:ascii="Arial" w:cs="Arial" w:eastAsia="Arial" w:hAnsi="Arial"/>
                <w:sz w:val="18"/>
                <w:szCs w:val="18"/>
                <w:color w:val="auto"/>
              </w:rPr>
              <w:t>Fuel consumption (gallons in millions)</w:t>
            </w:r>
          </w:p>
        </w:tc>
        <w:tc>
          <w:tcPr>
            <w:tcW w:w="118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1,129</w:t>
            </w:r>
          </w:p>
        </w:tc>
        <w:tc>
          <w:tcPr>
            <w:tcW w:w="100" w:type="dxa"/>
            <w:vAlign w:val="bottom"/>
          </w:tcPr>
          <w:p>
            <w:pPr>
              <w:spacing w:after="0"/>
              <w:rPr>
                <w:sz w:val="17"/>
                <w:szCs w:val="17"/>
                <w:color w:val="auto"/>
              </w:rPr>
            </w:pPr>
          </w:p>
        </w:tc>
        <w:tc>
          <w:tcPr>
            <w:tcW w:w="1180" w:type="dxa"/>
            <w:vAlign w:val="bottom"/>
          </w:tcPr>
          <w:p>
            <w:pPr>
              <w:jc w:val="right"/>
              <w:ind w:right="251"/>
              <w:spacing w:after="0" w:line="202" w:lineRule="exact"/>
              <w:rPr>
                <w:sz w:val="20"/>
                <w:szCs w:val="20"/>
                <w:color w:val="auto"/>
              </w:rPr>
            </w:pPr>
            <w:r>
              <w:rPr>
                <w:rFonts w:ascii="Arial" w:cs="Arial" w:eastAsia="Arial" w:hAnsi="Arial"/>
                <w:sz w:val="18"/>
                <w:szCs w:val="18"/>
                <w:color w:val="auto"/>
              </w:rPr>
              <w:t>1,122</w:t>
            </w:r>
          </w:p>
        </w:tc>
        <w:tc>
          <w:tcPr>
            <w:tcW w:w="6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0.6</w:t>
            </w:r>
          </w:p>
        </w:tc>
        <w:tc>
          <w:tcPr>
            <w:tcW w:w="280" w:type="dxa"/>
            <w:vAlign w:val="bottom"/>
          </w:tcPr>
          <w:p>
            <w:pPr>
              <w:ind w:left="4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96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2,143</w:t>
            </w:r>
          </w:p>
        </w:tc>
        <w:tc>
          <w:tcPr>
            <w:tcW w:w="100" w:type="dxa"/>
            <w:vAlign w:val="bottom"/>
          </w:tcPr>
          <w:p>
            <w:pPr>
              <w:spacing w:after="0"/>
              <w:rPr>
                <w:sz w:val="17"/>
                <w:szCs w:val="17"/>
                <w:color w:val="auto"/>
              </w:rPr>
            </w:pPr>
          </w:p>
        </w:tc>
        <w:tc>
          <w:tcPr>
            <w:tcW w:w="960" w:type="dxa"/>
            <w:vAlign w:val="bottom"/>
          </w:tcPr>
          <w:p>
            <w:pPr>
              <w:jc w:val="right"/>
              <w:ind w:right="111"/>
              <w:spacing w:after="0" w:line="202" w:lineRule="exact"/>
              <w:rPr>
                <w:sz w:val="20"/>
                <w:szCs w:val="20"/>
                <w:color w:val="auto"/>
              </w:rPr>
            </w:pPr>
            <w:r>
              <w:rPr>
                <w:rFonts w:ascii="Arial" w:cs="Arial" w:eastAsia="Arial" w:hAnsi="Arial"/>
                <w:sz w:val="18"/>
                <w:szCs w:val="18"/>
                <w:color w:val="auto"/>
              </w:rPr>
              <w:t>2,155</w:t>
            </w:r>
          </w:p>
        </w:tc>
        <w:tc>
          <w:tcPr>
            <w:tcW w:w="6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(0.6)</w:t>
            </w:r>
          </w:p>
        </w:tc>
        <w:tc>
          <w:tcPr>
            <w:tcW w:w="260" w:type="dxa"/>
            <w:vAlign w:val="bottom"/>
          </w:tcPr>
          <w:p>
            <w:pPr>
              <w:ind w:left="4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r>
      <w:tr>
        <w:trPr>
          <w:trHeight w:val="202"/>
        </w:trPr>
        <w:tc>
          <w:tcPr>
            <w:tcW w:w="48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Average aircraft fuel price including related taxes</w:t>
            </w: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4800" w:type="dxa"/>
            <w:vAlign w:val="bottom"/>
            <w:shd w:val="clear" w:color="auto" w:fill="CCEEFF"/>
          </w:tcPr>
          <w:p>
            <w:pPr>
              <w:ind w:left="360"/>
              <w:spacing w:after="0" w:line="203" w:lineRule="exact"/>
              <w:rPr>
                <w:sz w:val="20"/>
                <w:szCs w:val="20"/>
                <w:color w:val="auto"/>
              </w:rPr>
            </w:pPr>
            <w:r>
              <w:rPr>
                <w:rFonts w:ascii="Arial" w:cs="Arial" w:eastAsia="Arial" w:hAnsi="Arial"/>
                <w:sz w:val="18"/>
                <w:szCs w:val="18"/>
                <w:color w:val="auto"/>
              </w:rPr>
              <w:t>(dollars per gallon)</w:t>
            </w:r>
          </w:p>
        </w:tc>
        <w:tc>
          <w:tcPr>
            <w:tcW w:w="1180" w:type="dxa"/>
            <w:vAlign w:val="bottom"/>
            <w:shd w:val="clear" w:color="auto" w:fill="CCEEFF"/>
          </w:tcPr>
          <w:p>
            <w:pPr>
              <w:jc w:val="right"/>
              <w:ind w:right="252"/>
              <w:spacing w:after="0" w:line="203" w:lineRule="exact"/>
              <w:rPr>
                <w:sz w:val="20"/>
                <w:szCs w:val="20"/>
                <w:color w:val="auto"/>
              </w:rPr>
            </w:pPr>
            <w:r>
              <w:rPr>
                <w:rFonts w:ascii="Arial" w:cs="Arial" w:eastAsia="Arial" w:hAnsi="Arial"/>
                <w:sz w:val="18"/>
                <w:szCs w:val="18"/>
                <w:color w:val="auto"/>
              </w:rPr>
              <w:t>1.63</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251"/>
              <w:spacing w:after="0" w:line="203" w:lineRule="exact"/>
              <w:rPr>
                <w:sz w:val="20"/>
                <w:szCs w:val="20"/>
                <w:color w:val="auto"/>
              </w:rPr>
            </w:pPr>
            <w:r>
              <w:rPr>
                <w:rFonts w:ascii="Arial" w:cs="Arial" w:eastAsia="Arial" w:hAnsi="Arial"/>
                <w:sz w:val="18"/>
                <w:szCs w:val="18"/>
                <w:color w:val="auto"/>
              </w:rPr>
              <w:t>1.42</w:t>
            </w:r>
          </w:p>
        </w:tc>
        <w:tc>
          <w:tcPr>
            <w:tcW w:w="64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14.7</w:t>
            </w:r>
          </w:p>
        </w:tc>
        <w:tc>
          <w:tcPr>
            <w:tcW w:w="280" w:type="dxa"/>
            <w:vAlign w:val="bottom"/>
            <w:shd w:val="clear" w:color="auto" w:fill="CCEEFF"/>
          </w:tcPr>
          <w:p>
            <w:pPr>
              <w:ind w:left="40"/>
              <w:spacing w:after="0" w:line="203"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12"/>
              <w:spacing w:after="0" w:line="203" w:lineRule="exact"/>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11"/>
              <w:spacing w:after="0" w:line="203" w:lineRule="exact"/>
              <w:rPr>
                <w:sz w:val="20"/>
                <w:szCs w:val="20"/>
                <w:color w:val="auto"/>
              </w:rPr>
            </w:pPr>
            <w:r>
              <w:rPr>
                <w:rFonts w:ascii="Arial" w:cs="Arial" w:eastAsia="Arial" w:hAnsi="Arial"/>
                <w:sz w:val="18"/>
                <w:szCs w:val="18"/>
                <w:color w:val="auto"/>
              </w:rPr>
              <w:t>1.32</w:t>
            </w:r>
          </w:p>
        </w:tc>
        <w:tc>
          <w:tcPr>
            <w:tcW w:w="680" w:type="dxa"/>
            <w:vAlign w:val="bottom"/>
            <w:gridSpan w:val="2"/>
            <w:shd w:val="clear" w:color="auto" w:fill="CCEEFF"/>
          </w:tcPr>
          <w:p>
            <w:pPr>
              <w:jc w:val="right"/>
              <w:ind w:right="28"/>
              <w:spacing w:after="0" w:line="203" w:lineRule="exact"/>
              <w:rPr>
                <w:sz w:val="20"/>
                <w:szCs w:val="20"/>
                <w:color w:val="auto"/>
              </w:rPr>
            </w:pPr>
            <w:r>
              <w:rPr>
                <w:rFonts w:ascii="Arial" w:cs="Arial" w:eastAsia="Arial" w:hAnsi="Arial"/>
                <w:sz w:val="18"/>
                <w:szCs w:val="18"/>
                <w:color w:val="auto"/>
              </w:rPr>
              <w:t>26.0</w:t>
            </w:r>
          </w:p>
        </w:tc>
        <w:tc>
          <w:tcPr>
            <w:tcW w:w="260" w:type="dxa"/>
            <w:vAlign w:val="bottom"/>
            <w:shd w:val="clear" w:color="auto" w:fill="CCEEFF"/>
          </w:tcPr>
          <w:p>
            <w:pPr>
              <w:ind w:left="40"/>
              <w:spacing w:after="0" w:line="203"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r>
      <w:tr>
        <w:trPr>
          <w:trHeight w:val="217"/>
        </w:trPr>
        <w:tc>
          <w:tcPr>
            <w:tcW w:w="4800" w:type="dxa"/>
            <w:vAlign w:val="bottom"/>
          </w:tcPr>
          <w:p>
            <w:pPr>
              <w:ind w:left="180"/>
              <w:spacing w:after="0"/>
              <w:rPr>
                <w:sz w:val="20"/>
                <w:szCs w:val="20"/>
                <w:color w:val="auto"/>
              </w:rPr>
            </w:pPr>
            <w:r>
              <w:rPr>
                <w:rFonts w:ascii="Arial" w:cs="Arial" w:eastAsia="Arial" w:hAnsi="Arial"/>
                <w:sz w:val="18"/>
                <w:szCs w:val="18"/>
                <w:color w:val="auto"/>
              </w:rPr>
              <w:t xml:space="preserve">Full-time equivalent employees at end of period </w:t>
            </w:r>
            <w:r>
              <w:rPr>
                <w:rFonts w:ascii="Arial" w:cs="Arial" w:eastAsia="Arial" w:hAnsi="Arial"/>
                <w:sz w:val="15"/>
                <w:szCs w:val="15"/>
                <w:color w:val="auto"/>
              </w:rPr>
              <w:t>(h)</w:t>
            </w:r>
          </w:p>
        </w:tc>
        <w:tc>
          <w:tcPr>
            <w:tcW w:w="1180" w:type="dxa"/>
            <w:vAlign w:val="bottom"/>
          </w:tcPr>
          <w:p>
            <w:pPr>
              <w:jc w:val="right"/>
              <w:ind w:right="252"/>
              <w:spacing w:after="0"/>
              <w:rPr>
                <w:sz w:val="20"/>
                <w:szCs w:val="20"/>
                <w:color w:val="auto"/>
              </w:rPr>
            </w:pPr>
            <w:r>
              <w:rPr>
                <w:rFonts w:ascii="Arial" w:cs="Arial" w:eastAsia="Arial" w:hAnsi="Arial"/>
                <w:sz w:val="18"/>
                <w:szCs w:val="18"/>
                <w:color w:val="auto"/>
              </w:rPr>
              <w:t>128,300</w:t>
            </w:r>
          </w:p>
        </w:tc>
        <w:tc>
          <w:tcPr>
            <w:tcW w:w="100" w:type="dxa"/>
            <w:vAlign w:val="bottom"/>
          </w:tcPr>
          <w:p>
            <w:pPr>
              <w:spacing w:after="0"/>
              <w:rPr>
                <w:sz w:val="18"/>
                <w:szCs w:val="18"/>
                <w:color w:val="auto"/>
              </w:rPr>
            </w:pPr>
          </w:p>
        </w:tc>
        <w:tc>
          <w:tcPr>
            <w:tcW w:w="1180" w:type="dxa"/>
            <w:vAlign w:val="bottom"/>
          </w:tcPr>
          <w:p>
            <w:pPr>
              <w:jc w:val="right"/>
              <w:ind w:right="251"/>
              <w:spacing w:after="0"/>
              <w:rPr>
                <w:sz w:val="20"/>
                <w:szCs w:val="20"/>
                <w:color w:val="auto"/>
              </w:rPr>
            </w:pPr>
            <w:r>
              <w:rPr>
                <w:rFonts w:ascii="Arial" w:cs="Arial" w:eastAsia="Arial" w:hAnsi="Arial"/>
                <w:sz w:val="18"/>
                <w:szCs w:val="18"/>
                <w:color w:val="auto"/>
              </w:rPr>
              <w:t>123,500</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280" w:type="dxa"/>
            <w:vAlign w:val="bottom"/>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128,300</w:t>
            </w:r>
          </w:p>
        </w:tc>
        <w:tc>
          <w:tcPr>
            <w:tcW w:w="100" w:type="dxa"/>
            <w:vAlign w:val="bottom"/>
          </w:tcPr>
          <w:p>
            <w:pPr>
              <w:spacing w:after="0"/>
              <w:rPr>
                <w:sz w:val="18"/>
                <w:szCs w:val="18"/>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123,500</w:t>
            </w:r>
          </w:p>
        </w:tc>
        <w:tc>
          <w:tcPr>
            <w:tcW w:w="680" w:type="dxa"/>
            <w:vAlign w:val="bottom"/>
            <w:gridSpan w:val="2"/>
          </w:tcPr>
          <w:p>
            <w:pPr>
              <w:jc w:val="right"/>
              <w:ind w:right="28"/>
              <w:spacing w:after="0"/>
              <w:rPr>
                <w:sz w:val="20"/>
                <w:szCs w:val="20"/>
                <w:color w:val="auto"/>
              </w:rPr>
            </w:pPr>
            <w:r>
              <w:rPr>
                <w:rFonts w:ascii="Arial" w:cs="Arial" w:eastAsia="Arial" w:hAnsi="Arial"/>
                <w:sz w:val="18"/>
                <w:szCs w:val="18"/>
                <w:color w:val="auto"/>
              </w:rPr>
              <w:t>3.9</w:t>
            </w:r>
          </w:p>
        </w:tc>
        <w:tc>
          <w:tcPr>
            <w:tcW w:w="260" w:type="dxa"/>
            <w:vAlign w:val="bottom"/>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4"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5"/>
          <w:szCs w:val="15"/>
          <w:color w:val="auto"/>
        </w:rPr>
      </w:pPr>
      <w:r>
        <w:rPr>
          <w:rFonts w:ascii="Arial" w:cs="Arial" w:eastAsia="Arial" w:hAnsi="Arial"/>
          <w:sz w:val="18"/>
          <w:szCs w:val="18"/>
          <w:color w:val="auto"/>
        </w:rPr>
        <w:t>Revenue passenger mile (RPM) – A basic measure of sales volume. One RPM represents one passenger flown one mile.</w:t>
      </w:r>
    </w:p>
    <w:p>
      <w:pPr>
        <w:spacing w:after="0" w:line="117" w:lineRule="exact"/>
        <w:rPr>
          <w:rFonts w:ascii="Arial" w:cs="Arial" w:eastAsia="Arial" w:hAnsi="Arial"/>
          <w:sz w:val="15"/>
          <w:szCs w:val="15"/>
          <w:color w:val="auto"/>
        </w:rPr>
      </w:pPr>
    </w:p>
    <w:p>
      <w:pPr>
        <w:ind w:left="460" w:hanging="452"/>
        <w:spacing w:after="0"/>
        <w:tabs>
          <w:tab w:leader="none" w:pos="460" w:val="left"/>
        </w:tabs>
        <w:numPr>
          <w:ilvl w:val="0"/>
          <w:numId w:val="14"/>
        </w:numPr>
        <w:rPr>
          <w:rFonts w:ascii="Arial" w:cs="Arial" w:eastAsia="Arial" w:hAnsi="Arial"/>
          <w:sz w:val="15"/>
          <w:szCs w:val="15"/>
          <w:color w:val="auto"/>
        </w:rPr>
      </w:pPr>
      <w:r>
        <w:rPr>
          <w:rFonts w:ascii="Arial" w:cs="Arial" w:eastAsia="Arial" w:hAnsi="Arial"/>
          <w:sz w:val="18"/>
          <w:szCs w:val="18"/>
          <w:color w:val="auto"/>
        </w:rPr>
        <w:t>Available seat mile (ASM) – A basic measure of production. One ASM represents one seat flown one mile.</w:t>
      </w:r>
    </w:p>
    <w:p>
      <w:pPr>
        <w:spacing w:after="0" w:line="117" w:lineRule="exact"/>
        <w:rPr>
          <w:rFonts w:ascii="Arial" w:cs="Arial" w:eastAsia="Arial" w:hAnsi="Arial"/>
          <w:sz w:val="15"/>
          <w:szCs w:val="15"/>
          <w:color w:val="auto"/>
        </w:rPr>
      </w:pPr>
    </w:p>
    <w:p>
      <w:pPr>
        <w:ind w:left="460" w:hanging="452"/>
        <w:spacing w:after="0"/>
        <w:tabs>
          <w:tab w:leader="none" w:pos="460" w:val="left"/>
        </w:tabs>
        <w:numPr>
          <w:ilvl w:val="0"/>
          <w:numId w:val="14"/>
        </w:numPr>
        <w:rPr>
          <w:rFonts w:ascii="Arial" w:cs="Arial" w:eastAsia="Arial" w:hAnsi="Arial"/>
          <w:sz w:val="15"/>
          <w:szCs w:val="15"/>
          <w:color w:val="auto"/>
        </w:rPr>
      </w:pPr>
      <w:r>
        <w:rPr>
          <w:rFonts w:ascii="Arial" w:cs="Arial" w:eastAsia="Arial" w:hAnsi="Arial"/>
          <w:sz w:val="18"/>
          <w:szCs w:val="18"/>
          <w:color w:val="auto"/>
        </w:rPr>
        <w:t>Passenger load factor – The percentage of available seats that are filled with revenue passengers.</w:t>
      </w:r>
    </w:p>
    <w:p>
      <w:pPr>
        <w:spacing w:after="0" w:line="117" w:lineRule="exact"/>
        <w:rPr>
          <w:rFonts w:ascii="Arial" w:cs="Arial" w:eastAsia="Arial" w:hAnsi="Arial"/>
          <w:sz w:val="15"/>
          <w:szCs w:val="15"/>
          <w:color w:val="auto"/>
        </w:rPr>
      </w:pPr>
    </w:p>
    <w:p>
      <w:pPr>
        <w:ind w:left="460" w:hanging="452"/>
        <w:spacing w:after="0"/>
        <w:tabs>
          <w:tab w:leader="none" w:pos="460" w:val="left"/>
        </w:tabs>
        <w:numPr>
          <w:ilvl w:val="0"/>
          <w:numId w:val="14"/>
        </w:numPr>
        <w:rPr>
          <w:rFonts w:ascii="Arial" w:cs="Arial" w:eastAsia="Arial" w:hAnsi="Arial"/>
          <w:sz w:val="15"/>
          <w:szCs w:val="15"/>
          <w:color w:val="auto"/>
        </w:rPr>
      </w:pPr>
      <w:r>
        <w:rPr>
          <w:rFonts w:ascii="Arial" w:cs="Arial" w:eastAsia="Arial" w:hAnsi="Arial"/>
          <w:sz w:val="18"/>
          <w:szCs w:val="18"/>
          <w:color w:val="auto"/>
        </w:rPr>
        <w:t>Yield – A measure of airline revenue derived by dividing passenger revenue by RPMs.</w:t>
      </w:r>
    </w:p>
    <w:p>
      <w:pPr>
        <w:spacing w:after="0" w:line="117" w:lineRule="exact"/>
        <w:rPr>
          <w:rFonts w:ascii="Arial" w:cs="Arial" w:eastAsia="Arial" w:hAnsi="Arial"/>
          <w:sz w:val="15"/>
          <w:szCs w:val="15"/>
          <w:color w:val="auto"/>
        </w:rPr>
      </w:pPr>
    </w:p>
    <w:p>
      <w:pPr>
        <w:ind w:left="460" w:hanging="452"/>
        <w:spacing w:after="0"/>
        <w:tabs>
          <w:tab w:leader="none" w:pos="460" w:val="left"/>
        </w:tabs>
        <w:numPr>
          <w:ilvl w:val="0"/>
          <w:numId w:val="14"/>
        </w:numPr>
        <w:rPr>
          <w:rFonts w:ascii="Arial" w:cs="Arial" w:eastAsia="Arial" w:hAnsi="Arial"/>
          <w:sz w:val="15"/>
          <w:szCs w:val="15"/>
          <w:color w:val="auto"/>
        </w:rPr>
      </w:pPr>
      <w:r>
        <w:rPr>
          <w:rFonts w:ascii="Arial" w:cs="Arial" w:eastAsia="Arial" w:hAnsi="Arial"/>
          <w:sz w:val="18"/>
          <w:szCs w:val="18"/>
          <w:color w:val="auto"/>
        </w:rPr>
        <w:t>Passenger revenue per available seat mile (PRASM) – Passenger revenues divided by ASMs.</w:t>
      </w:r>
    </w:p>
    <w:p>
      <w:pPr>
        <w:spacing w:after="0" w:line="117" w:lineRule="exact"/>
        <w:rPr>
          <w:rFonts w:ascii="Arial" w:cs="Arial" w:eastAsia="Arial" w:hAnsi="Arial"/>
          <w:sz w:val="15"/>
          <w:szCs w:val="15"/>
          <w:color w:val="auto"/>
        </w:rPr>
      </w:pPr>
    </w:p>
    <w:p>
      <w:pPr>
        <w:ind w:left="460" w:hanging="452"/>
        <w:spacing w:after="0"/>
        <w:tabs>
          <w:tab w:leader="none" w:pos="460" w:val="left"/>
        </w:tabs>
        <w:numPr>
          <w:ilvl w:val="0"/>
          <w:numId w:val="14"/>
        </w:numPr>
        <w:rPr>
          <w:rFonts w:ascii="Arial" w:cs="Arial" w:eastAsia="Arial" w:hAnsi="Arial"/>
          <w:sz w:val="15"/>
          <w:szCs w:val="15"/>
          <w:color w:val="auto"/>
        </w:rPr>
      </w:pPr>
      <w:r>
        <w:rPr>
          <w:rFonts w:ascii="Arial" w:cs="Arial" w:eastAsia="Arial" w:hAnsi="Arial"/>
          <w:sz w:val="18"/>
          <w:szCs w:val="18"/>
          <w:color w:val="auto"/>
        </w:rPr>
        <w:t>Operating cost per available seat mile (CASM) – Operating expenses divided by ASMs.</w:t>
      </w:r>
    </w:p>
    <w:p>
      <w:pPr>
        <w:spacing w:after="0" w:line="117" w:lineRule="exact"/>
        <w:rPr>
          <w:rFonts w:ascii="Arial" w:cs="Arial" w:eastAsia="Arial" w:hAnsi="Arial"/>
          <w:sz w:val="15"/>
          <w:szCs w:val="15"/>
          <w:color w:val="auto"/>
        </w:rPr>
      </w:pPr>
    </w:p>
    <w:p>
      <w:pPr>
        <w:ind w:left="460" w:hanging="452"/>
        <w:spacing w:after="0"/>
        <w:tabs>
          <w:tab w:leader="none" w:pos="460" w:val="left"/>
        </w:tabs>
        <w:numPr>
          <w:ilvl w:val="0"/>
          <w:numId w:val="14"/>
        </w:numPr>
        <w:rPr>
          <w:rFonts w:ascii="Arial" w:cs="Arial" w:eastAsia="Arial" w:hAnsi="Arial"/>
          <w:sz w:val="15"/>
          <w:szCs w:val="15"/>
          <w:color w:val="auto"/>
        </w:rPr>
      </w:pPr>
      <w:r>
        <w:rPr>
          <w:rFonts w:ascii="Arial" w:cs="Arial" w:eastAsia="Arial" w:hAnsi="Arial"/>
          <w:sz w:val="18"/>
          <w:szCs w:val="18"/>
          <w:color w:val="auto"/>
        </w:rPr>
        <w:t>Total revenue per available seat mile (TRASM) – Total revenues divided by total mainline and regional ASMs.</w:t>
      </w:r>
    </w:p>
    <w:p>
      <w:pPr>
        <w:spacing w:after="0" w:line="117" w:lineRule="exact"/>
        <w:rPr>
          <w:rFonts w:ascii="Arial" w:cs="Arial" w:eastAsia="Arial" w:hAnsi="Arial"/>
          <w:sz w:val="15"/>
          <w:szCs w:val="15"/>
          <w:color w:val="auto"/>
        </w:rPr>
      </w:pPr>
    </w:p>
    <w:p>
      <w:pPr>
        <w:jc w:val="center"/>
        <w:ind w:left="5620" w:right="860" w:hanging="5612"/>
        <w:spacing w:after="0" w:line="418" w:lineRule="auto"/>
        <w:tabs>
          <w:tab w:leader="none" w:pos="460" w:val="left"/>
        </w:tabs>
        <w:numPr>
          <w:ilvl w:val="0"/>
          <w:numId w:val="14"/>
        </w:numPr>
        <w:rPr>
          <w:rFonts w:ascii="Arial" w:cs="Arial" w:eastAsia="Arial" w:hAnsi="Arial"/>
          <w:sz w:val="15"/>
          <w:szCs w:val="15"/>
          <w:color w:val="auto"/>
        </w:rPr>
      </w:pPr>
      <w:r>
        <w:rPr>
          <w:rFonts w:ascii="Arial" w:cs="Arial" w:eastAsia="Arial" w:hAnsi="Arial"/>
          <w:sz w:val="18"/>
          <w:szCs w:val="18"/>
          <w:color w:val="auto"/>
        </w:rPr>
        <w:t>Regional full-time equivalent employees only include our wholly-owned regional airline subsidiaries, Envoy, Piedmont and PSA. 34</w:t>
      </w:r>
    </w:p>
    <w:p>
      <w:pPr>
        <w:sectPr>
          <w:pgSz w:w="11900" w:h="16838" w:orient="portrait"/>
          <w:cols w:equalWidth="0" w:num="1">
            <w:col w:w="11420"/>
          </w:cols>
          <w:pgMar w:left="240" w:top="265"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Three Months Ended June 30, 2017 Compared to Three Months Ended June 30, 2016</w:t>
      </w:r>
    </w:p>
    <w:p>
      <w:pPr>
        <w:spacing w:after="0" w:line="126" w:lineRule="exact"/>
        <w:rPr>
          <w:sz w:val="20"/>
          <w:szCs w:val="20"/>
          <w:color w:val="auto"/>
        </w:rPr>
      </w:pPr>
    </w:p>
    <w:p>
      <w:pPr>
        <w:jc w:val="both"/>
        <w:ind w:firstLine="228"/>
        <w:spacing w:after="0" w:line="246" w:lineRule="auto"/>
        <w:rPr>
          <w:sz w:val="20"/>
          <w:szCs w:val="20"/>
          <w:color w:val="auto"/>
        </w:rPr>
      </w:pPr>
      <w:r>
        <w:rPr>
          <w:rFonts w:ascii="Arial" w:cs="Arial" w:eastAsia="Arial" w:hAnsi="Arial"/>
          <w:sz w:val="18"/>
          <w:szCs w:val="18"/>
          <w:color w:val="auto"/>
        </w:rPr>
        <w:t>We realized pre-tax income of $1.3 billion and $1.5 billion in the second quarters of 2017 and 2016, respectively. Excluding the effects of pre-tax net special items, pre-tax income was $1.5 billion and $1.6 billion in the second quarters of 2017 and 2016, respectively.</w:t>
      </w:r>
    </w:p>
    <w:p>
      <w:pPr>
        <w:spacing w:after="0" w:line="197" w:lineRule="exact"/>
        <w:rPr>
          <w:sz w:val="20"/>
          <w:szCs w:val="20"/>
          <w:color w:val="auto"/>
        </w:rPr>
      </w:pPr>
    </w:p>
    <w:p>
      <w:pPr>
        <w:jc w:val="both"/>
        <w:ind w:firstLine="228"/>
        <w:spacing w:after="0" w:line="246" w:lineRule="auto"/>
        <w:rPr>
          <w:sz w:val="20"/>
          <w:szCs w:val="20"/>
          <w:color w:val="auto"/>
        </w:rPr>
      </w:pPr>
      <w:r>
        <w:rPr>
          <w:rFonts w:ascii="Arial" w:cs="Arial" w:eastAsia="Arial" w:hAnsi="Arial"/>
          <w:sz w:val="18"/>
          <w:szCs w:val="18"/>
          <w:color w:val="auto"/>
        </w:rPr>
        <w:t>Our second quarter 2017 pre-tax results on both a GAAP basis and excluding pre-tax net special items were principally driven by higher salaries, wages and benefits and higher fuel costs, which were offset in part by higher revenues.</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Operating Revenues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rPr>
              <w:t>Three Months Ended</w:t>
            </w: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Percent</w:t>
            </w:r>
          </w:p>
        </w:tc>
      </w:tr>
      <w:tr>
        <w:trPr>
          <w:trHeight w:val="175"/>
        </w:trPr>
        <w:tc>
          <w:tcPr>
            <w:tcW w:w="638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rPr>
              <w:t>June 30,</w:t>
            </w:r>
          </w:p>
        </w:tc>
        <w:tc>
          <w:tcPr>
            <w:tcW w:w="6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96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rPr>
              <w:t>Increase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Increase</w:t>
            </w:r>
          </w:p>
        </w:tc>
      </w:tr>
      <w:tr>
        <w:trPr>
          <w:trHeight w:val="156"/>
        </w:trPr>
        <w:tc>
          <w:tcPr>
            <w:tcW w:w="638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57"/>
              <w:spacing w:after="0" w:line="155"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53"/>
              <w:spacing w:after="0" w:line="155" w:lineRule="exact"/>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3"/>
          </w:tcPr>
          <w:p>
            <w:pPr>
              <w:jc w:val="right"/>
              <w:ind w:right="660"/>
              <w:spacing w:after="0" w:line="155" w:lineRule="exact"/>
              <w:rPr>
                <w:sz w:val="20"/>
                <w:szCs w:val="20"/>
                <w:color w:val="auto"/>
              </w:rPr>
            </w:pPr>
            <w:r>
              <w:rPr>
                <w:rFonts w:ascii="Arial" w:cs="Arial" w:eastAsia="Arial" w:hAnsi="Arial"/>
                <w:sz w:val="14"/>
                <w:szCs w:val="14"/>
                <w:b w:val="1"/>
                <w:bCs w:val="1"/>
                <w:color w:val="auto"/>
              </w:rPr>
              <w:t>(Decrease)</w:t>
            </w:r>
          </w:p>
        </w:tc>
        <w:tc>
          <w:tcPr>
            <w:tcW w:w="102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(Decrease)</w:t>
            </w:r>
          </w:p>
        </w:tc>
      </w:tr>
      <w:tr>
        <w:trPr>
          <w:trHeight w:val="156"/>
        </w:trPr>
        <w:tc>
          <w:tcPr>
            <w:tcW w:w="6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40" w:type="dxa"/>
            <w:vAlign w:val="bottom"/>
            <w:gridSpan w:val="7"/>
          </w:tcPr>
          <w:p>
            <w:pPr>
              <w:jc w:val="right"/>
              <w:ind w:right="120"/>
              <w:spacing w:after="0" w:line="155" w:lineRule="exact"/>
              <w:rPr>
                <w:sz w:val="20"/>
                <w:szCs w:val="20"/>
                <w:color w:val="auto"/>
              </w:rPr>
            </w:pPr>
            <w:r>
              <w:rPr>
                <w:rFonts w:ascii="Arial" w:cs="Arial" w:eastAsia="Arial" w:hAnsi="Arial"/>
                <w:sz w:val="14"/>
                <w:szCs w:val="14"/>
                <w:b w:val="1"/>
                <w:bCs w:val="1"/>
                <w:color w:val="auto"/>
              </w:rPr>
              <w:t>(In millions, except percentage changes)</w:t>
            </w:r>
          </w:p>
        </w:tc>
        <w:tc>
          <w:tcPr>
            <w:tcW w:w="1020" w:type="dxa"/>
            <w:vAlign w:val="bottom"/>
          </w:tcPr>
          <w:p>
            <w:pPr>
              <w:spacing w:after="0"/>
              <w:rPr>
                <w:sz w:val="13"/>
                <w:szCs w:val="13"/>
                <w:color w:val="auto"/>
              </w:rPr>
            </w:pPr>
          </w:p>
        </w:tc>
      </w:tr>
      <w:tr>
        <w:trPr>
          <w:trHeight w:val="203"/>
        </w:trPr>
        <w:tc>
          <w:tcPr>
            <w:tcW w:w="64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Mainline passenger</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7,747</w:t>
            </w:r>
          </w:p>
        </w:tc>
        <w:tc>
          <w:tcPr>
            <w:tcW w:w="4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7,209</w:t>
            </w:r>
          </w:p>
        </w:tc>
        <w:tc>
          <w:tcPr>
            <w:tcW w:w="1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$538</w:t>
            </w:r>
          </w:p>
        </w:tc>
        <w:tc>
          <w:tcPr>
            <w:tcW w:w="8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277"/>
              <w:spacing w:after="0" w:line="202" w:lineRule="exact"/>
              <w:rPr>
                <w:sz w:val="20"/>
                <w:szCs w:val="20"/>
                <w:color w:val="auto"/>
              </w:rPr>
            </w:pPr>
            <w:r>
              <w:rPr>
                <w:rFonts w:ascii="Arial" w:cs="Arial" w:eastAsia="Arial" w:hAnsi="Arial"/>
                <w:sz w:val="18"/>
                <w:szCs w:val="18"/>
                <w:color w:val="auto"/>
              </w:rPr>
              <w:t>7.5</w:t>
            </w:r>
          </w:p>
        </w:tc>
      </w:tr>
      <w:tr>
        <w:trPr>
          <w:trHeight w:val="203"/>
        </w:trPr>
        <w:tc>
          <w:tcPr>
            <w:tcW w:w="6440" w:type="dxa"/>
            <w:vAlign w:val="bottom"/>
            <w:gridSpan w:val="2"/>
          </w:tcPr>
          <w:p>
            <w:pPr>
              <w:spacing w:after="0" w:line="202" w:lineRule="exact"/>
              <w:rPr>
                <w:sz w:val="20"/>
                <w:szCs w:val="20"/>
                <w:color w:val="auto"/>
              </w:rPr>
            </w:pPr>
            <w:r>
              <w:rPr>
                <w:rFonts w:ascii="Arial" w:cs="Arial" w:eastAsia="Arial" w:hAnsi="Arial"/>
                <w:sz w:val="18"/>
                <w:szCs w:val="18"/>
                <w:color w:val="auto"/>
              </w:rPr>
              <w:t>Regional passenger</w:t>
            </w:r>
          </w:p>
        </w:tc>
        <w:tc>
          <w:tcPr>
            <w:tcW w:w="140" w:type="dxa"/>
            <w:vAlign w:val="bottom"/>
          </w:tcPr>
          <w:p>
            <w:pPr>
              <w:spacing w:after="0"/>
              <w:rPr>
                <w:sz w:val="17"/>
                <w:szCs w:val="17"/>
                <w:color w:val="auto"/>
              </w:rPr>
            </w:pPr>
          </w:p>
        </w:tc>
        <w:tc>
          <w:tcPr>
            <w:tcW w:w="7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1,835</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1,786</w:t>
            </w:r>
          </w:p>
        </w:tc>
        <w:tc>
          <w:tcPr>
            <w:tcW w:w="1960" w:type="dxa"/>
            <w:vAlign w:val="bottom"/>
            <w:gridSpan w:val="3"/>
          </w:tcPr>
          <w:p>
            <w:pPr>
              <w:jc w:val="right"/>
              <w:ind w:right="820"/>
              <w:spacing w:after="0" w:line="202" w:lineRule="exact"/>
              <w:rPr>
                <w:sz w:val="20"/>
                <w:szCs w:val="20"/>
                <w:color w:val="auto"/>
              </w:rPr>
            </w:pPr>
            <w:r>
              <w:rPr>
                <w:rFonts w:ascii="Arial" w:cs="Arial" w:eastAsia="Arial" w:hAnsi="Arial"/>
                <w:sz w:val="18"/>
                <w:szCs w:val="18"/>
                <w:color w:val="auto"/>
              </w:rPr>
              <w:t>49</w:t>
            </w:r>
          </w:p>
        </w:tc>
        <w:tc>
          <w:tcPr>
            <w:tcW w:w="1020" w:type="dxa"/>
            <w:vAlign w:val="bottom"/>
          </w:tcPr>
          <w:p>
            <w:pPr>
              <w:jc w:val="right"/>
              <w:ind w:right="277"/>
              <w:spacing w:after="0" w:line="202" w:lineRule="exact"/>
              <w:rPr>
                <w:sz w:val="20"/>
                <w:szCs w:val="20"/>
                <w:color w:val="auto"/>
              </w:rPr>
            </w:pPr>
            <w:r>
              <w:rPr>
                <w:rFonts w:ascii="Arial" w:cs="Arial" w:eastAsia="Arial" w:hAnsi="Arial"/>
                <w:sz w:val="18"/>
                <w:szCs w:val="18"/>
                <w:color w:val="auto"/>
              </w:rPr>
              <w:t>2.8</w:t>
            </w:r>
          </w:p>
        </w:tc>
      </w:tr>
      <w:tr>
        <w:trPr>
          <w:trHeight w:val="203"/>
        </w:trPr>
        <w:tc>
          <w:tcPr>
            <w:tcW w:w="64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Cargo</w:t>
            </w: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196</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174</w:t>
            </w:r>
          </w:p>
        </w:tc>
        <w:tc>
          <w:tcPr>
            <w:tcW w:w="1960" w:type="dxa"/>
            <w:vAlign w:val="bottom"/>
            <w:gridSpan w:val="3"/>
            <w:shd w:val="clear" w:color="auto" w:fill="CCEEFF"/>
          </w:tcPr>
          <w:p>
            <w:pPr>
              <w:jc w:val="right"/>
              <w:ind w:right="820"/>
              <w:spacing w:after="0" w:line="202" w:lineRule="exact"/>
              <w:rPr>
                <w:sz w:val="20"/>
                <w:szCs w:val="20"/>
                <w:color w:val="auto"/>
              </w:rPr>
            </w:pPr>
            <w:r>
              <w:rPr>
                <w:rFonts w:ascii="Arial" w:cs="Arial" w:eastAsia="Arial" w:hAnsi="Arial"/>
                <w:sz w:val="18"/>
                <w:szCs w:val="18"/>
                <w:color w:val="auto"/>
              </w:rPr>
              <w:t>22</w:t>
            </w:r>
          </w:p>
        </w:tc>
        <w:tc>
          <w:tcPr>
            <w:tcW w:w="1020" w:type="dxa"/>
            <w:vAlign w:val="bottom"/>
            <w:shd w:val="clear" w:color="auto" w:fill="CCEEFF"/>
          </w:tcPr>
          <w:p>
            <w:pPr>
              <w:jc w:val="right"/>
              <w:ind w:right="277"/>
              <w:spacing w:after="0" w:line="202" w:lineRule="exact"/>
              <w:rPr>
                <w:sz w:val="20"/>
                <w:szCs w:val="20"/>
                <w:color w:val="auto"/>
              </w:rPr>
            </w:pPr>
            <w:r>
              <w:rPr>
                <w:rFonts w:ascii="Arial" w:cs="Arial" w:eastAsia="Arial" w:hAnsi="Arial"/>
                <w:sz w:val="18"/>
                <w:szCs w:val="18"/>
                <w:color w:val="auto"/>
              </w:rPr>
              <w:t>13.1</w:t>
            </w:r>
          </w:p>
        </w:tc>
      </w:tr>
      <w:tr>
        <w:trPr>
          <w:trHeight w:val="203"/>
        </w:trPr>
        <w:tc>
          <w:tcPr>
            <w:tcW w:w="6440" w:type="dxa"/>
            <w:vAlign w:val="bottom"/>
            <w:gridSpan w:val="2"/>
          </w:tcPr>
          <w:p>
            <w:pPr>
              <w:spacing w:after="0" w:line="202" w:lineRule="exact"/>
              <w:rPr>
                <w:sz w:val="20"/>
                <w:szCs w:val="20"/>
                <w:color w:val="auto"/>
              </w:rPr>
            </w:pPr>
            <w:r>
              <w:rPr>
                <w:rFonts w:ascii="Arial" w:cs="Arial" w:eastAsia="Arial" w:hAnsi="Arial"/>
                <w:sz w:val="18"/>
                <w:szCs w:val="18"/>
                <w:color w:val="auto"/>
              </w:rPr>
              <w:t>Other</w:t>
            </w:r>
          </w:p>
        </w:tc>
        <w:tc>
          <w:tcPr>
            <w:tcW w:w="140" w:type="dxa"/>
            <w:vAlign w:val="bottom"/>
          </w:tcPr>
          <w:p>
            <w:pPr>
              <w:spacing w:after="0"/>
              <w:rPr>
                <w:sz w:val="17"/>
                <w:szCs w:val="17"/>
                <w:color w:val="auto"/>
              </w:rPr>
            </w:pPr>
          </w:p>
        </w:tc>
        <w:tc>
          <w:tcPr>
            <w:tcW w:w="7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1,327</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1,194</w:t>
            </w: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133</w:t>
            </w:r>
          </w:p>
        </w:tc>
        <w:tc>
          <w:tcPr>
            <w:tcW w:w="820" w:type="dxa"/>
            <w:vAlign w:val="bottom"/>
          </w:tcPr>
          <w:p>
            <w:pPr>
              <w:spacing w:after="0"/>
              <w:rPr>
                <w:sz w:val="17"/>
                <w:szCs w:val="17"/>
                <w:color w:val="auto"/>
              </w:rPr>
            </w:pPr>
          </w:p>
        </w:tc>
        <w:tc>
          <w:tcPr>
            <w:tcW w:w="1020" w:type="dxa"/>
            <w:vAlign w:val="bottom"/>
          </w:tcPr>
          <w:p>
            <w:pPr>
              <w:jc w:val="right"/>
              <w:ind w:right="277"/>
              <w:spacing w:after="0" w:line="202" w:lineRule="exact"/>
              <w:rPr>
                <w:sz w:val="20"/>
                <w:szCs w:val="20"/>
                <w:color w:val="auto"/>
              </w:rPr>
            </w:pPr>
            <w:r>
              <w:rPr>
                <w:rFonts w:ascii="Arial" w:cs="Arial" w:eastAsia="Arial" w:hAnsi="Arial"/>
                <w:sz w:val="18"/>
                <w:szCs w:val="18"/>
                <w:color w:val="auto"/>
              </w:rPr>
              <w:t>11.1</w:t>
            </w:r>
          </w:p>
        </w:tc>
      </w:tr>
      <w:tr>
        <w:trPr>
          <w:trHeight w:val="27"/>
        </w:trPr>
        <w:tc>
          <w:tcPr>
            <w:tcW w:w="6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03"/>
        </w:trPr>
        <w:tc>
          <w:tcPr>
            <w:tcW w:w="644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Total operating revenues</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11,105</w:t>
            </w:r>
          </w:p>
        </w:tc>
        <w:tc>
          <w:tcPr>
            <w:tcW w:w="4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10,363</w:t>
            </w:r>
          </w:p>
        </w:tc>
        <w:tc>
          <w:tcPr>
            <w:tcW w:w="1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742</w:t>
            </w:r>
          </w:p>
        </w:tc>
        <w:tc>
          <w:tcPr>
            <w:tcW w:w="8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277"/>
              <w:spacing w:after="0" w:line="202" w:lineRule="exact"/>
              <w:rPr>
                <w:sz w:val="20"/>
                <w:szCs w:val="20"/>
                <w:color w:val="auto"/>
              </w:rPr>
            </w:pPr>
            <w:r>
              <w:rPr>
                <w:rFonts w:ascii="Arial" w:cs="Arial" w:eastAsia="Arial" w:hAnsi="Arial"/>
                <w:sz w:val="18"/>
                <w:szCs w:val="18"/>
                <w:color w:val="auto"/>
              </w:rPr>
              <w:t>7.2</w:t>
            </w:r>
          </w:p>
        </w:tc>
      </w:tr>
      <w:tr>
        <w:trPr>
          <w:trHeight w:val="20"/>
        </w:trPr>
        <w:tc>
          <w:tcPr>
            <w:tcW w:w="6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22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This table presents our total passenger revenues and the period-over-period change in certain operating statistics: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20" w:type="dxa"/>
            <w:vAlign w:val="bottom"/>
            <w:gridSpan w:val="4"/>
          </w:tcPr>
          <w:p>
            <w:pPr>
              <w:ind w:left="60"/>
              <w:spacing w:after="0"/>
              <w:rPr>
                <w:sz w:val="20"/>
                <w:szCs w:val="20"/>
                <w:color w:val="auto"/>
              </w:rPr>
            </w:pPr>
            <w:r>
              <w:rPr>
                <w:rFonts w:ascii="Arial" w:cs="Arial" w:eastAsia="Arial" w:hAnsi="Arial"/>
                <w:sz w:val="14"/>
                <w:szCs w:val="14"/>
                <w:b w:val="1"/>
                <w:bCs w:val="1"/>
                <w:color w:val="auto"/>
              </w:rPr>
              <w:t>Increase (Decrease)</w:t>
            </w: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460" w:type="dxa"/>
            <w:vAlign w:val="bottom"/>
          </w:tcPr>
          <w:p>
            <w:pPr>
              <w:spacing w:after="0"/>
              <w:rPr>
                <w:sz w:val="15"/>
                <w:szCs w:val="15"/>
                <w:color w:val="auto"/>
              </w:rPr>
            </w:pPr>
          </w:p>
        </w:tc>
        <w:tc>
          <w:tcPr>
            <w:tcW w:w="2240" w:type="dxa"/>
            <w:vAlign w:val="bottom"/>
            <w:gridSpan w:val="4"/>
            <w:vMerge w:val="restart"/>
          </w:tcPr>
          <w:p>
            <w:pPr>
              <w:jc w:val="center"/>
              <w:ind w:right="260"/>
              <w:spacing w:after="0"/>
              <w:rPr>
                <w:sz w:val="20"/>
                <w:szCs w:val="20"/>
                <w:color w:val="auto"/>
              </w:rPr>
            </w:pPr>
            <w:r>
              <w:rPr>
                <w:rFonts w:ascii="Arial" w:cs="Arial" w:eastAsia="Arial" w:hAnsi="Arial"/>
                <w:sz w:val="14"/>
                <w:szCs w:val="14"/>
                <w:b w:val="1"/>
                <w:bCs w:val="1"/>
                <w:color w:val="auto"/>
              </w:rPr>
              <w:t>Three Months Ended</w:t>
            </w:r>
          </w:p>
        </w:tc>
        <w:tc>
          <w:tcPr>
            <w:tcW w:w="10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960" w:type="dxa"/>
            <w:vAlign w:val="bottom"/>
            <w:tcBorders>
              <w:bottom w:val="single" w:sz="8" w:color="auto"/>
            </w:tcBorders>
            <w:gridSpan w:val="8"/>
          </w:tcPr>
          <w:p>
            <w:pPr>
              <w:ind w:left="300"/>
              <w:spacing w:after="0"/>
              <w:rPr>
                <w:sz w:val="20"/>
                <w:szCs w:val="20"/>
                <w:color w:val="auto"/>
              </w:rPr>
            </w:pPr>
            <w:r>
              <w:rPr>
                <w:rFonts w:ascii="Arial" w:cs="Arial" w:eastAsia="Arial" w:hAnsi="Arial"/>
                <w:sz w:val="14"/>
                <w:szCs w:val="14"/>
                <w:b w:val="1"/>
                <w:bCs w:val="1"/>
                <w:color w:val="auto"/>
              </w:rPr>
              <w:t>vs. Three Months Ended June 30, 2016</w:t>
            </w:r>
          </w:p>
        </w:tc>
        <w:tc>
          <w:tcPr>
            <w:tcW w:w="5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460" w:type="dxa"/>
            <w:vAlign w:val="bottom"/>
          </w:tcPr>
          <w:p>
            <w:pPr>
              <w:spacing w:after="0"/>
              <w:rPr>
                <w:sz w:val="12"/>
                <w:szCs w:val="12"/>
                <w:color w:val="auto"/>
              </w:rPr>
            </w:pPr>
          </w:p>
        </w:tc>
        <w:tc>
          <w:tcPr>
            <w:tcW w:w="2240" w:type="dxa"/>
            <w:vAlign w:val="bottom"/>
            <w:gridSpan w:val="4"/>
            <w:vMerge w:val="continue"/>
          </w:tcPr>
          <w:p>
            <w:pPr>
              <w:spacing w:after="0"/>
              <w:rPr>
                <w:sz w:val="12"/>
                <w:szCs w:val="12"/>
                <w:color w:val="auto"/>
              </w:rPr>
            </w:pPr>
          </w:p>
        </w:tc>
        <w:tc>
          <w:tcPr>
            <w:tcW w:w="1240" w:type="dxa"/>
            <w:vAlign w:val="bottom"/>
            <w:gridSpan w:val="2"/>
          </w:tcPr>
          <w:p>
            <w:pPr>
              <w:jc w:val="center"/>
              <w:ind w:right="220"/>
              <w:spacing w:after="0" w:line="143" w:lineRule="exact"/>
              <w:rPr>
                <w:sz w:val="20"/>
                <w:szCs w:val="20"/>
                <w:color w:val="auto"/>
              </w:rPr>
            </w:pPr>
            <w:r>
              <w:rPr>
                <w:rFonts w:ascii="Arial" w:cs="Arial" w:eastAsia="Arial" w:hAnsi="Arial"/>
                <w:sz w:val="14"/>
                <w:szCs w:val="14"/>
                <w:b w:val="1"/>
                <w:bCs w:val="1"/>
                <w:color w:val="auto"/>
              </w:rPr>
              <w:t>Passenger</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center"/>
              <w:ind w:right="280"/>
              <w:spacing w:after="0" w:line="143" w:lineRule="exact"/>
              <w:rPr>
                <w:sz w:val="20"/>
                <w:szCs w:val="20"/>
                <w:color w:val="auto"/>
              </w:rPr>
            </w:pPr>
            <w:r>
              <w:rPr>
                <w:rFonts w:ascii="Arial" w:cs="Arial" w:eastAsia="Arial" w:hAnsi="Arial"/>
                <w:sz w:val="14"/>
                <w:szCs w:val="14"/>
                <w:b w:val="1"/>
                <w:bCs w:val="1"/>
                <w:color w:val="auto"/>
              </w:rPr>
              <w:t>Load</w:t>
            </w:r>
          </w:p>
        </w:tc>
        <w:tc>
          <w:tcPr>
            <w:tcW w:w="1260" w:type="dxa"/>
            <w:vAlign w:val="bottom"/>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rPr>
              <w:t>Passenger</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460" w:type="dxa"/>
            <w:vAlign w:val="bottom"/>
          </w:tcPr>
          <w:p>
            <w:pPr>
              <w:spacing w:after="0"/>
              <w:rPr>
                <w:sz w:val="15"/>
                <w:szCs w:val="15"/>
                <w:color w:val="auto"/>
              </w:rPr>
            </w:pPr>
          </w:p>
        </w:tc>
        <w:tc>
          <w:tcPr>
            <w:tcW w:w="224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rPr>
              <w:t>June 30, 2017</w:t>
            </w: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Revenue</w:t>
            </w:r>
          </w:p>
        </w:tc>
        <w:tc>
          <w:tcPr>
            <w:tcW w:w="880" w:type="dxa"/>
            <w:vAlign w:val="bottom"/>
            <w:gridSpan w:val="2"/>
          </w:tcPr>
          <w:p>
            <w:pPr>
              <w:ind w:left="140"/>
              <w:spacing w:after="0"/>
              <w:rPr>
                <w:sz w:val="20"/>
                <w:szCs w:val="20"/>
                <w:color w:val="auto"/>
              </w:rPr>
            </w:pPr>
            <w:r>
              <w:rPr>
                <w:rFonts w:ascii="Arial" w:cs="Arial" w:eastAsia="Arial" w:hAnsi="Arial"/>
                <w:sz w:val="14"/>
                <w:szCs w:val="14"/>
                <w:b w:val="1"/>
                <w:bCs w:val="1"/>
                <w:color w:val="auto"/>
              </w:rPr>
              <w:t>RPMs</w:t>
            </w:r>
          </w:p>
        </w:tc>
        <w:tc>
          <w:tcPr>
            <w:tcW w:w="760" w:type="dxa"/>
            <w:vAlign w:val="bottom"/>
            <w:gridSpan w:val="2"/>
          </w:tcPr>
          <w:p>
            <w:pPr>
              <w:ind w:left="80"/>
              <w:spacing w:after="0"/>
              <w:rPr>
                <w:sz w:val="20"/>
                <w:szCs w:val="20"/>
                <w:color w:val="auto"/>
              </w:rPr>
            </w:pPr>
            <w:r>
              <w:rPr>
                <w:rFonts w:ascii="Arial" w:cs="Arial" w:eastAsia="Arial" w:hAnsi="Arial"/>
                <w:sz w:val="14"/>
                <w:szCs w:val="14"/>
                <w:b w:val="1"/>
                <w:bCs w:val="1"/>
                <w:color w:val="auto"/>
              </w:rPr>
              <w:t>ASMs</w:t>
            </w: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Factor</w:t>
            </w: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Yield</w:t>
            </w: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98"/>
              </w:rPr>
              <w:t>PRASM</w:t>
            </w:r>
          </w:p>
        </w:tc>
        <w:tc>
          <w:tcPr>
            <w:tcW w:w="0" w:type="dxa"/>
            <w:vAlign w:val="bottom"/>
          </w:tcPr>
          <w:p>
            <w:pPr>
              <w:spacing w:after="0"/>
              <w:rPr>
                <w:sz w:val="1"/>
                <w:szCs w:val="1"/>
                <w:color w:val="auto"/>
              </w:rPr>
            </w:pPr>
          </w:p>
        </w:tc>
      </w:tr>
      <w:tr>
        <w:trPr>
          <w:trHeight w:val="156"/>
        </w:trPr>
        <w:tc>
          <w:tcPr>
            <w:tcW w:w="3460" w:type="dxa"/>
            <w:vAlign w:val="bottom"/>
          </w:tcPr>
          <w:p>
            <w:pPr>
              <w:spacing w:after="0"/>
              <w:rPr>
                <w:sz w:val="13"/>
                <w:szCs w:val="13"/>
                <w:color w:val="auto"/>
              </w:rPr>
            </w:pPr>
          </w:p>
        </w:tc>
        <w:tc>
          <w:tcPr>
            <w:tcW w:w="1980" w:type="dxa"/>
            <w:vAlign w:val="bottom"/>
            <w:tcBorders>
              <w:top w:val="single" w:sz="8" w:color="auto"/>
            </w:tcBorders>
            <w:gridSpan w:val="3"/>
          </w:tcPr>
          <w:p>
            <w:pPr>
              <w:jc w:val="center"/>
              <w:spacing w:after="0" w:line="155" w:lineRule="exact"/>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3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Mainline passenger</w:t>
            </w:r>
          </w:p>
        </w:tc>
        <w:tc>
          <w:tcPr>
            <w:tcW w:w="1980" w:type="dxa"/>
            <w:vAlign w:val="bottom"/>
            <w:gridSpan w:val="3"/>
            <w:shd w:val="clear" w:color="auto" w:fill="CCEEFF"/>
          </w:tcPr>
          <w:p>
            <w:pPr>
              <w:jc w:val="right"/>
              <w:ind w:right="700"/>
              <w:spacing w:after="0" w:line="202" w:lineRule="exact"/>
              <w:rPr>
                <w:sz w:val="20"/>
                <w:szCs w:val="20"/>
                <w:color w:val="auto"/>
              </w:rPr>
            </w:pPr>
            <w:r>
              <w:rPr>
                <w:rFonts w:ascii="Arial" w:cs="Arial" w:eastAsia="Arial" w:hAnsi="Arial"/>
                <w:sz w:val="18"/>
                <w:szCs w:val="18"/>
                <w:color w:val="auto"/>
              </w:rPr>
              <w:t>$7,747</w:t>
            </w: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17"/>
              <w:spacing w:after="0" w:line="202" w:lineRule="exact"/>
              <w:rPr>
                <w:sz w:val="20"/>
                <w:szCs w:val="20"/>
                <w:color w:val="auto"/>
              </w:rPr>
            </w:pPr>
            <w:r>
              <w:rPr>
                <w:rFonts w:ascii="Arial" w:cs="Arial" w:eastAsia="Arial" w:hAnsi="Arial"/>
                <w:sz w:val="18"/>
                <w:szCs w:val="18"/>
                <w:color w:val="auto"/>
              </w:rPr>
              <w:t>7.5%</w:t>
            </w: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w:t>
            </w: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w:t>
            </w: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0.8 pts</w:t>
            </w:r>
          </w:p>
        </w:tc>
        <w:tc>
          <w:tcPr>
            <w:tcW w:w="1020" w:type="dxa"/>
            <w:vAlign w:val="bottom"/>
            <w:shd w:val="clear" w:color="auto" w:fill="CCEEFF"/>
          </w:tcPr>
          <w:p>
            <w:pPr>
              <w:jc w:val="right"/>
              <w:ind w:right="117"/>
              <w:spacing w:after="0" w:line="202" w:lineRule="exact"/>
              <w:rPr>
                <w:sz w:val="20"/>
                <w:szCs w:val="20"/>
                <w:color w:val="auto"/>
              </w:rPr>
            </w:pPr>
            <w:r>
              <w:rPr>
                <w:rFonts w:ascii="Arial" w:cs="Arial" w:eastAsia="Arial" w:hAnsi="Arial"/>
                <w:sz w:val="18"/>
                <w:szCs w:val="18"/>
                <w:color w:val="auto"/>
              </w:rPr>
              <w:t>4.9%</w:t>
            </w: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0"/>
        </w:trPr>
        <w:tc>
          <w:tcPr>
            <w:tcW w:w="3460" w:type="dxa"/>
            <w:vAlign w:val="bottom"/>
          </w:tcPr>
          <w:p>
            <w:pPr>
              <w:spacing w:after="0" w:line="202" w:lineRule="exact"/>
              <w:rPr>
                <w:sz w:val="20"/>
                <w:szCs w:val="20"/>
                <w:color w:val="auto"/>
              </w:rPr>
            </w:pPr>
            <w:r>
              <w:rPr>
                <w:rFonts w:ascii="Arial" w:cs="Arial" w:eastAsia="Arial" w:hAnsi="Arial"/>
                <w:sz w:val="18"/>
                <w:szCs w:val="18"/>
                <w:color w:val="auto"/>
              </w:rPr>
              <w:t>Regional passenger</w:t>
            </w:r>
          </w:p>
        </w:tc>
        <w:tc>
          <w:tcPr>
            <w:tcW w:w="700" w:type="dxa"/>
            <w:vAlign w:val="bottom"/>
          </w:tcPr>
          <w:p>
            <w:pPr>
              <w:spacing w:after="0"/>
              <w:rPr>
                <w:sz w:val="18"/>
                <w:szCs w:val="18"/>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1,835</w:t>
            </w: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117"/>
              <w:spacing w:after="0" w:line="202" w:lineRule="exact"/>
              <w:rPr>
                <w:sz w:val="20"/>
                <w:szCs w:val="20"/>
                <w:color w:val="auto"/>
              </w:rPr>
            </w:pPr>
            <w:r>
              <w:rPr>
                <w:rFonts w:ascii="Arial" w:cs="Arial" w:eastAsia="Arial" w:hAnsi="Arial"/>
                <w:sz w:val="18"/>
                <w:szCs w:val="18"/>
                <w:color w:val="auto"/>
              </w:rPr>
              <w:t>2.8%</w:t>
            </w:r>
          </w:p>
        </w:tc>
        <w:tc>
          <w:tcPr>
            <w:tcW w:w="220" w:type="dxa"/>
            <w:vAlign w:val="bottom"/>
          </w:tcPr>
          <w:p>
            <w:pPr>
              <w:spacing w:after="0"/>
              <w:rPr>
                <w:sz w:val="18"/>
                <w:szCs w:val="18"/>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(0.3)%</w:t>
            </w:r>
          </w:p>
        </w:tc>
        <w:tc>
          <w:tcPr>
            <w:tcW w:w="220" w:type="dxa"/>
            <w:vAlign w:val="bottom"/>
          </w:tcPr>
          <w:p>
            <w:pPr>
              <w:spacing w:after="0"/>
              <w:rPr>
                <w:sz w:val="18"/>
                <w:szCs w:val="18"/>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1.7%</w:t>
            </w:r>
          </w:p>
        </w:tc>
        <w:tc>
          <w:tcPr>
            <w:tcW w:w="220" w:type="dxa"/>
            <w:vAlign w:val="bottom"/>
          </w:tcPr>
          <w:p>
            <w:pPr>
              <w:spacing w:after="0"/>
              <w:rPr>
                <w:sz w:val="18"/>
                <w:szCs w:val="18"/>
                <w:color w:val="auto"/>
              </w:rPr>
            </w:pPr>
          </w:p>
        </w:tc>
        <w:tc>
          <w:tcPr>
            <w:tcW w:w="10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(1.6)pts</w:t>
            </w:r>
          </w:p>
        </w:tc>
        <w:tc>
          <w:tcPr>
            <w:tcW w:w="1020" w:type="dxa"/>
            <w:vAlign w:val="bottom"/>
          </w:tcPr>
          <w:p>
            <w:pPr>
              <w:jc w:val="right"/>
              <w:ind w:right="117"/>
              <w:spacing w:after="0" w:line="202" w:lineRule="exact"/>
              <w:rPr>
                <w:sz w:val="20"/>
                <w:szCs w:val="20"/>
                <w:color w:val="auto"/>
              </w:rPr>
            </w:pPr>
            <w:r>
              <w:rPr>
                <w:rFonts w:ascii="Arial" w:cs="Arial" w:eastAsia="Arial" w:hAnsi="Arial"/>
                <w:sz w:val="18"/>
                <w:szCs w:val="18"/>
                <w:color w:val="auto"/>
              </w:rPr>
              <w:t>3.1%</w:t>
            </w:r>
          </w:p>
        </w:tc>
        <w:tc>
          <w:tcPr>
            <w:tcW w:w="240" w:type="dxa"/>
            <w:vAlign w:val="bottom"/>
          </w:tcPr>
          <w:p>
            <w:pPr>
              <w:spacing w:after="0"/>
              <w:rPr>
                <w:sz w:val="18"/>
                <w:szCs w:val="18"/>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3"/>
        </w:trPr>
        <w:tc>
          <w:tcPr>
            <w:tcW w:w="34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Total passenger revenues</w:t>
            </w:r>
          </w:p>
        </w:tc>
        <w:tc>
          <w:tcPr>
            <w:tcW w:w="1980" w:type="dxa"/>
            <w:vAlign w:val="bottom"/>
            <w:gridSpan w:val="3"/>
            <w:shd w:val="clear" w:color="auto" w:fill="CCEEFF"/>
          </w:tcPr>
          <w:p>
            <w:pPr>
              <w:jc w:val="right"/>
              <w:ind w:right="70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9,582</w:t>
            </w: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17"/>
              <w:spacing w:after="0" w:line="202" w:lineRule="exact"/>
              <w:rPr>
                <w:sz w:val="20"/>
                <w:szCs w:val="20"/>
                <w:color w:val="auto"/>
              </w:rPr>
            </w:pPr>
            <w:r>
              <w:rPr>
                <w:rFonts w:ascii="Arial" w:cs="Arial" w:eastAsia="Arial" w:hAnsi="Arial"/>
                <w:sz w:val="18"/>
                <w:szCs w:val="18"/>
                <w:color w:val="auto"/>
              </w:rPr>
              <w:t>6.5%</w:t>
            </w: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w:t>
            </w: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0.5 pts</w:t>
            </w:r>
          </w:p>
        </w:tc>
        <w:tc>
          <w:tcPr>
            <w:tcW w:w="1020" w:type="dxa"/>
            <w:vAlign w:val="bottom"/>
            <w:shd w:val="clear" w:color="auto" w:fill="CCEEFF"/>
          </w:tcPr>
          <w:p>
            <w:pPr>
              <w:jc w:val="right"/>
              <w:ind w:right="117"/>
              <w:spacing w:after="0" w:line="202" w:lineRule="exact"/>
              <w:rPr>
                <w:sz w:val="20"/>
                <w:szCs w:val="20"/>
                <w:color w:val="auto"/>
              </w:rPr>
            </w:pPr>
            <w:r>
              <w:rPr>
                <w:rFonts w:ascii="Arial" w:cs="Arial" w:eastAsia="Arial" w:hAnsi="Arial"/>
                <w:sz w:val="18"/>
                <w:szCs w:val="18"/>
                <w:color w:val="auto"/>
              </w:rPr>
              <w:t>4.3%</w:t>
            </w: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228"/>
        <w:spacing w:after="0"/>
        <w:rPr>
          <w:sz w:val="20"/>
          <w:szCs w:val="20"/>
          <w:color w:val="auto"/>
        </w:rPr>
      </w:pPr>
      <w:r>
        <w:rPr>
          <w:rFonts w:ascii="Arial" w:cs="Arial" w:eastAsia="Arial" w:hAnsi="Arial"/>
          <w:sz w:val="18"/>
          <w:szCs w:val="18"/>
          <w:color w:val="auto"/>
        </w:rPr>
        <w:t>Total passenger revenues increased $587 million, or 6.5%, in the second quarter of 2017 from the 2016 period primarily driven by a 4.3% period-over-period increase in consolidated passenger yields. Domestic consolidated yields increased 6.4% and international yields rose 1.3%, due principally to improved revenue performance in Central/South American and Caribbean regions.</w:t>
      </w:r>
    </w:p>
    <w:p>
      <w:pPr>
        <w:spacing w:after="0" w:line="203" w:lineRule="exact"/>
        <w:rPr>
          <w:sz w:val="20"/>
          <w:szCs w:val="20"/>
          <w:color w:val="auto"/>
        </w:rPr>
      </w:pPr>
    </w:p>
    <w:p>
      <w:pPr>
        <w:jc w:val="both"/>
        <w:ind w:firstLine="228"/>
        <w:spacing w:after="0" w:line="246" w:lineRule="auto"/>
        <w:rPr>
          <w:sz w:val="20"/>
          <w:szCs w:val="20"/>
          <w:color w:val="auto"/>
        </w:rPr>
      </w:pPr>
      <w:r>
        <w:rPr>
          <w:rFonts w:ascii="Arial" w:cs="Arial" w:eastAsia="Arial" w:hAnsi="Arial"/>
          <w:sz w:val="18"/>
          <w:szCs w:val="18"/>
          <w:color w:val="auto"/>
        </w:rPr>
        <w:t>Cargo revenue increased $22 million, or 13.1%, in the second quarter of 2017 from the 2016 period primarily driven by an increase in freight volume.</w:t>
      </w:r>
    </w:p>
    <w:p>
      <w:pPr>
        <w:spacing w:after="0" w:line="197" w:lineRule="exact"/>
        <w:rPr>
          <w:sz w:val="20"/>
          <w:szCs w:val="20"/>
          <w:color w:val="auto"/>
        </w:rPr>
      </w:pPr>
    </w:p>
    <w:p>
      <w:pPr>
        <w:jc w:val="both"/>
        <w:ind w:firstLine="228"/>
        <w:spacing w:after="0" w:line="237" w:lineRule="auto"/>
        <w:rPr>
          <w:sz w:val="20"/>
          <w:szCs w:val="20"/>
          <w:color w:val="auto"/>
        </w:rPr>
      </w:pPr>
      <w:r>
        <w:rPr>
          <w:rFonts w:ascii="Arial" w:cs="Arial" w:eastAsia="Arial" w:hAnsi="Arial"/>
          <w:sz w:val="18"/>
          <w:szCs w:val="18"/>
          <w:color w:val="auto"/>
        </w:rPr>
        <w:t>Other revenue primarily includes revenue associated with our loyalty program, baggage fees, ticketing change fees, airport clubs and inflight services. Other revenue increased $133 million, or 11.1%, in the second quarter of 2017 from the 2016 period primarily driven by an increase in loyalty program revenue. In the second quarters of 2017 and 2016, other revenue associated with our loyalty program was $581 million and $461 million, respectively, of which $549 million and $430 million, respectively, related to the marketing component of mileage sales and other marketing related payments. This period-over-period increase was primarily due to revenues associated with our new co-branded credit card agreements that became effective in the third quarter of 2016.</w:t>
      </w:r>
    </w:p>
    <w:p>
      <w:pPr>
        <w:spacing w:after="0" w:line="205" w:lineRule="exact"/>
        <w:rPr>
          <w:sz w:val="20"/>
          <w:szCs w:val="20"/>
          <w:color w:val="auto"/>
        </w:rPr>
      </w:pPr>
    </w:p>
    <w:p>
      <w:pPr>
        <w:jc w:val="both"/>
        <w:ind w:firstLine="228"/>
        <w:spacing w:after="0"/>
        <w:rPr>
          <w:sz w:val="20"/>
          <w:szCs w:val="20"/>
          <w:color w:val="auto"/>
        </w:rPr>
      </w:pPr>
      <w:r>
        <w:rPr>
          <w:rFonts w:ascii="Arial" w:cs="Arial" w:eastAsia="Arial" w:hAnsi="Arial"/>
          <w:sz w:val="18"/>
          <w:szCs w:val="18"/>
          <w:color w:val="auto"/>
        </w:rPr>
        <w:t>Total operating revenues in the second quarter of 2017 increased $742 million, or 7.2%, from the 2016 period driven principally by a 6.5% increase in total passenger revenues as described above. Our mainline and regional TRASM was 15.48 cents in the second quarter of 2017, a 5.7% increase as compared to 14.65 cents in the 2016 period.</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65" w:right="239" w:bottom="1440" w:gutter="0" w:footer="0" w:header="0"/>
        </w:sectPr>
      </w:pPr>
    </w:p>
    <w:bookmarkStart w:id="35" w:name="page36"/>
    <w:bookmarkEnd w:id="35"/>
    <w:p>
      <w:pPr>
        <w:ind w:left="240"/>
        <w:spacing w:after="0"/>
        <w:rPr>
          <w:sz w:val="20"/>
          <w:szCs w:val="20"/>
          <w:color w:val="auto"/>
        </w:rPr>
      </w:pPr>
      <w:r>
        <w:rPr>
          <w:rFonts w:ascii="Arial" w:cs="Arial" w:eastAsia="Arial" w:hAnsi="Arial"/>
          <w:sz w:val="18"/>
          <w:szCs w:val="18"/>
          <w:i w:val="1"/>
          <w:i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Mainline Operating Expenses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rPr>
              <w:t>Three Months Ended</w:t>
            </w: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jc w:val="center"/>
              <w:ind w:right="14"/>
              <w:spacing w:after="0"/>
              <w:rPr>
                <w:sz w:val="20"/>
                <w:szCs w:val="20"/>
                <w:color w:val="auto"/>
              </w:rPr>
            </w:pPr>
            <w:r>
              <w:rPr>
                <w:rFonts w:ascii="Arial" w:cs="Arial" w:eastAsia="Arial" w:hAnsi="Arial"/>
                <w:sz w:val="14"/>
                <w:szCs w:val="14"/>
                <w:b w:val="1"/>
                <w:bCs w:val="1"/>
                <w:color w:val="auto"/>
              </w:rPr>
              <w:t>Percent</w:t>
            </w:r>
          </w:p>
        </w:tc>
      </w:tr>
      <w:tr>
        <w:trPr>
          <w:trHeight w:val="175"/>
        </w:trPr>
        <w:tc>
          <w:tcPr>
            <w:tcW w:w="64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center"/>
              <w:ind w:right="700"/>
              <w:spacing w:after="0"/>
              <w:rPr>
                <w:sz w:val="20"/>
                <w:szCs w:val="20"/>
                <w:color w:val="auto"/>
              </w:rPr>
            </w:pPr>
            <w:r>
              <w:rPr>
                <w:rFonts w:ascii="Arial" w:cs="Arial" w:eastAsia="Arial" w:hAnsi="Arial"/>
                <w:sz w:val="14"/>
                <w:szCs w:val="14"/>
                <w:b w:val="1"/>
                <w:bCs w:val="1"/>
                <w:color w:val="auto"/>
              </w:rPr>
              <w:t>June 30,</w:t>
            </w:r>
          </w:p>
        </w:tc>
        <w:tc>
          <w:tcPr>
            <w:tcW w:w="194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rPr>
              <w:t>Increase</w:t>
            </w:r>
          </w:p>
        </w:tc>
        <w:tc>
          <w:tcPr>
            <w:tcW w:w="1000" w:type="dxa"/>
            <w:vAlign w:val="bottom"/>
          </w:tcPr>
          <w:p>
            <w:pPr>
              <w:jc w:val="center"/>
              <w:ind w:right="14"/>
              <w:spacing w:after="0"/>
              <w:rPr>
                <w:sz w:val="20"/>
                <w:szCs w:val="20"/>
                <w:color w:val="auto"/>
              </w:rPr>
            </w:pPr>
            <w:r>
              <w:rPr>
                <w:rFonts w:ascii="Arial" w:cs="Arial" w:eastAsia="Arial" w:hAnsi="Arial"/>
                <w:sz w:val="14"/>
                <w:szCs w:val="14"/>
                <w:b w:val="1"/>
                <w:bCs w:val="1"/>
                <w:color w:val="auto"/>
              </w:rPr>
              <w:t>Increase</w:t>
            </w:r>
          </w:p>
        </w:tc>
      </w:tr>
      <w:tr>
        <w:trPr>
          <w:trHeight w:val="156"/>
        </w:trPr>
        <w:tc>
          <w:tcPr>
            <w:tcW w:w="64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53"/>
              <w:spacing w:after="0" w:line="155" w:lineRule="exact"/>
              <w:rPr>
                <w:sz w:val="20"/>
                <w:szCs w:val="20"/>
                <w:color w:val="auto"/>
              </w:rPr>
            </w:pPr>
            <w:r>
              <w:rPr>
                <w:rFonts w:ascii="Arial" w:cs="Arial" w:eastAsia="Arial" w:hAnsi="Arial"/>
                <w:sz w:val="14"/>
                <w:szCs w:val="14"/>
                <w:b w:val="1"/>
                <w:bCs w:val="1"/>
                <w:color w:val="auto"/>
              </w:rPr>
              <w:t>2017</w:t>
            </w:r>
          </w:p>
        </w:tc>
        <w:tc>
          <w:tcPr>
            <w:tcW w:w="1200" w:type="dxa"/>
            <w:vAlign w:val="bottom"/>
            <w:tcBorders>
              <w:bottom w:val="single" w:sz="8" w:color="auto"/>
            </w:tcBorders>
            <w:gridSpan w:val="2"/>
          </w:tcPr>
          <w:p>
            <w:pPr>
              <w:jc w:val="right"/>
              <w:ind w:right="30"/>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gridSpan w:val="3"/>
          </w:tcPr>
          <w:p>
            <w:pPr>
              <w:jc w:val="right"/>
              <w:ind w:right="640"/>
              <w:spacing w:after="0" w:line="155" w:lineRule="exact"/>
              <w:rPr>
                <w:sz w:val="20"/>
                <w:szCs w:val="20"/>
                <w:color w:val="auto"/>
              </w:rPr>
            </w:pPr>
            <w:r>
              <w:rPr>
                <w:rFonts w:ascii="Arial" w:cs="Arial" w:eastAsia="Arial" w:hAnsi="Arial"/>
                <w:sz w:val="14"/>
                <w:szCs w:val="14"/>
                <w:b w:val="1"/>
                <w:bCs w:val="1"/>
                <w:color w:val="auto"/>
              </w:rPr>
              <w:t>(Decrease)</w:t>
            </w:r>
          </w:p>
        </w:tc>
        <w:tc>
          <w:tcPr>
            <w:tcW w:w="1000" w:type="dxa"/>
            <w:vAlign w:val="bottom"/>
            <w:tcBorders>
              <w:bottom w:val="single" w:sz="8" w:color="auto"/>
            </w:tcBorders>
          </w:tcPr>
          <w:p>
            <w:pPr>
              <w:jc w:val="center"/>
              <w:ind w:right="14"/>
              <w:spacing w:after="0" w:line="155" w:lineRule="exact"/>
              <w:rPr>
                <w:sz w:val="20"/>
                <w:szCs w:val="20"/>
                <w:color w:val="auto"/>
              </w:rPr>
            </w:pPr>
            <w:r>
              <w:rPr>
                <w:rFonts w:ascii="Arial" w:cs="Arial" w:eastAsia="Arial" w:hAnsi="Arial"/>
                <w:sz w:val="14"/>
                <w:szCs w:val="14"/>
                <w:b w:val="1"/>
                <w:bCs w:val="1"/>
                <w:color w:val="auto"/>
              </w:rPr>
              <w:t>(Decrease)</w:t>
            </w:r>
          </w:p>
        </w:tc>
      </w:tr>
      <w:tr>
        <w:trPr>
          <w:trHeight w:val="156"/>
        </w:trPr>
        <w:tc>
          <w:tcPr>
            <w:tcW w:w="6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60" w:type="dxa"/>
            <w:vAlign w:val="bottom"/>
            <w:gridSpan w:val="6"/>
          </w:tcPr>
          <w:p>
            <w:pPr>
              <w:jc w:val="right"/>
              <w:ind w:right="100"/>
              <w:spacing w:after="0" w:line="155" w:lineRule="exact"/>
              <w:rPr>
                <w:sz w:val="20"/>
                <w:szCs w:val="20"/>
                <w:color w:val="auto"/>
              </w:rPr>
            </w:pPr>
            <w:r>
              <w:rPr>
                <w:rFonts w:ascii="Arial" w:cs="Arial" w:eastAsia="Arial" w:hAnsi="Arial"/>
                <w:sz w:val="14"/>
                <w:szCs w:val="14"/>
                <w:b w:val="1"/>
                <w:bCs w:val="1"/>
                <w:color w:val="auto"/>
              </w:rPr>
              <w:t>(In millions, except percentage changes)</w:t>
            </w:r>
          </w:p>
        </w:tc>
        <w:tc>
          <w:tcPr>
            <w:tcW w:w="1000" w:type="dxa"/>
            <w:vAlign w:val="bottom"/>
          </w:tcPr>
          <w:p>
            <w:pPr>
              <w:spacing w:after="0"/>
              <w:rPr>
                <w:sz w:val="13"/>
                <w:szCs w:val="13"/>
                <w:color w:val="auto"/>
              </w:rPr>
            </w:pPr>
          </w:p>
        </w:tc>
      </w:tr>
      <w:tr>
        <w:trPr>
          <w:trHeight w:val="203"/>
        </w:trPr>
        <w:tc>
          <w:tcPr>
            <w:tcW w:w="65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Aircraft fuel and related taxes</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$1,510</w:t>
            </w:r>
          </w:p>
        </w:tc>
        <w:tc>
          <w:tcPr>
            <w:tcW w:w="132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$1,314</w:t>
            </w:r>
          </w:p>
        </w:tc>
        <w:tc>
          <w:tcPr>
            <w:tcW w:w="1940" w:type="dxa"/>
            <w:vAlign w:val="bottom"/>
            <w:gridSpan w:val="3"/>
            <w:shd w:val="clear" w:color="auto" w:fill="CCEEFF"/>
          </w:tcPr>
          <w:p>
            <w:pPr>
              <w:jc w:val="right"/>
              <w:ind w:right="800"/>
              <w:spacing w:after="0" w:line="202" w:lineRule="exact"/>
              <w:rPr>
                <w:sz w:val="20"/>
                <w:szCs w:val="20"/>
                <w:color w:val="auto"/>
              </w:rPr>
            </w:pPr>
            <w:r>
              <w:rPr>
                <w:rFonts w:ascii="Arial" w:cs="Arial" w:eastAsia="Arial" w:hAnsi="Arial"/>
                <w:sz w:val="18"/>
                <w:szCs w:val="18"/>
                <w:color w:val="auto"/>
              </w:rPr>
              <w:t>$196</w:t>
            </w:r>
          </w:p>
        </w:tc>
        <w:tc>
          <w:tcPr>
            <w:tcW w:w="1000" w:type="dxa"/>
            <w:vAlign w:val="bottom"/>
            <w:shd w:val="clear" w:color="auto" w:fill="CCEEFF"/>
          </w:tcPr>
          <w:p>
            <w:pPr>
              <w:jc w:val="right"/>
              <w:ind w:right="274"/>
              <w:spacing w:after="0" w:line="202" w:lineRule="exact"/>
              <w:rPr>
                <w:sz w:val="20"/>
                <w:szCs w:val="20"/>
                <w:color w:val="auto"/>
              </w:rPr>
            </w:pPr>
            <w:r>
              <w:rPr>
                <w:rFonts w:ascii="Arial" w:cs="Arial" w:eastAsia="Arial" w:hAnsi="Arial"/>
                <w:sz w:val="18"/>
                <w:szCs w:val="18"/>
                <w:color w:val="auto"/>
              </w:rPr>
              <w:t>14.9</w:t>
            </w:r>
          </w:p>
        </w:tc>
      </w:tr>
      <w:tr>
        <w:trPr>
          <w:trHeight w:val="203"/>
        </w:trPr>
        <w:tc>
          <w:tcPr>
            <w:tcW w:w="6580" w:type="dxa"/>
            <w:vAlign w:val="bottom"/>
            <w:gridSpan w:val="2"/>
          </w:tcPr>
          <w:p>
            <w:pPr>
              <w:spacing w:after="0" w:line="202" w:lineRule="exact"/>
              <w:rPr>
                <w:sz w:val="20"/>
                <w:szCs w:val="20"/>
                <w:color w:val="auto"/>
              </w:rPr>
            </w:pPr>
            <w:r>
              <w:rPr>
                <w:rFonts w:ascii="Arial" w:cs="Arial" w:eastAsia="Arial" w:hAnsi="Arial"/>
                <w:sz w:val="18"/>
                <w:szCs w:val="18"/>
                <w:color w:val="auto"/>
              </w:rPr>
              <w:t>Salaries, wages and benefits</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3,003</w:t>
            </w:r>
          </w:p>
        </w:tc>
        <w:tc>
          <w:tcPr>
            <w:tcW w:w="132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2,670</w:t>
            </w:r>
          </w:p>
        </w:tc>
        <w:tc>
          <w:tcPr>
            <w:tcW w:w="1940" w:type="dxa"/>
            <w:vAlign w:val="bottom"/>
            <w:gridSpan w:val="3"/>
          </w:tcPr>
          <w:p>
            <w:pPr>
              <w:jc w:val="right"/>
              <w:ind w:right="800"/>
              <w:spacing w:after="0" w:line="202" w:lineRule="exact"/>
              <w:rPr>
                <w:sz w:val="20"/>
                <w:szCs w:val="20"/>
                <w:color w:val="auto"/>
              </w:rPr>
            </w:pPr>
            <w:r>
              <w:rPr>
                <w:rFonts w:ascii="Arial" w:cs="Arial" w:eastAsia="Arial" w:hAnsi="Arial"/>
                <w:sz w:val="18"/>
                <w:szCs w:val="18"/>
                <w:color w:val="auto"/>
              </w:rPr>
              <w:t>333</w:t>
            </w:r>
          </w:p>
        </w:tc>
        <w:tc>
          <w:tcPr>
            <w:tcW w:w="1000" w:type="dxa"/>
            <w:vAlign w:val="bottom"/>
          </w:tcPr>
          <w:p>
            <w:pPr>
              <w:jc w:val="right"/>
              <w:ind w:right="274"/>
              <w:spacing w:after="0" w:line="202" w:lineRule="exact"/>
              <w:rPr>
                <w:sz w:val="20"/>
                <w:szCs w:val="20"/>
                <w:color w:val="auto"/>
              </w:rPr>
            </w:pPr>
            <w:r>
              <w:rPr>
                <w:rFonts w:ascii="Arial" w:cs="Arial" w:eastAsia="Arial" w:hAnsi="Arial"/>
                <w:sz w:val="18"/>
                <w:szCs w:val="18"/>
                <w:color w:val="auto"/>
              </w:rPr>
              <w:t>12.5</w:t>
            </w:r>
          </w:p>
        </w:tc>
      </w:tr>
      <w:tr>
        <w:trPr>
          <w:trHeight w:val="203"/>
        </w:trPr>
        <w:tc>
          <w:tcPr>
            <w:tcW w:w="65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Maintenance, materials and repairs</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495</w:t>
            </w:r>
          </w:p>
        </w:tc>
        <w:tc>
          <w:tcPr>
            <w:tcW w:w="1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453</w:t>
            </w:r>
          </w:p>
        </w:tc>
        <w:tc>
          <w:tcPr>
            <w:tcW w:w="120" w:type="dxa"/>
            <w:vAlign w:val="bottom"/>
            <w:shd w:val="clear" w:color="auto" w:fill="CCEEFF"/>
          </w:tcPr>
          <w:p>
            <w:pPr>
              <w:spacing w:after="0"/>
              <w:rPr>
                <w:sz w:val="17"/>
                <w:szCs w:val="17"/>
                <w:color w:val="auto"/>
              </w:rPr>
            </w:pPr>
          </w:p>
        </w:tc>
        <w:tc>
          <w:tcPr>
            <w:tcW w:w="1940" w:type="dxa"/>
            <w:vAlign w:val="bottom"/>
            <w:gridSpan w:val="3"/>
            <w:shd w:val="clear" w:color="auto" w:fill="CCEEFF"/>
          </w:tcPr>
          <w:p>
            <w:pPr>
              <w:jc w:val="right"/>
              <w:ind w:right="800"/>
              <w:spacing w:after="0" w:line="202" w:lineRule="exact"/>
              <w:rPr>
                <w:sz w:val="20"/>
                <w:szCs w:val="20"/>
                <w:color w:val="auto"/>
              </w:rPr>
            </w:pPr>
            <w:r>
              <w:rPr>
                <w:rFonts w:ascii="Arial" w:cs="Arial" w:eastAsia="Arial" w:hAnsi="Arial"/>
                <w:sz w:val="18"/>
                <w:szCs w:val="18"/>
                <w:color w:val="auto"/>
              </w:rPr>
              <w:t>42</w:t>
            </w:r>
          </w:p>
        </w:tc>
        <w:tc>
          <w:tcPr>
            <w:tcW w:w="1000" w:type="dxa"/>
            <w:vAlign w:val="bottom"/>
            <w:shd w:val="clear" w:color="auto" w:fill="CCEEFF"/>
          </w:tcPr>
          <w:p>
            <w:pPr>
              <w:jc w:val="right"/>
              <w:ind w:right="274"/>
              <w:spacing w:after="0" w:line="202" w:lineRule="exact"/>
              <w:rPr>
                <w:sz w:val="20"/>
                <w:szCs w:val="20"/>
                <w:color w:val="auto"/>
              </w:rPr>
            </w:pPr>
            <w:r>
              <w:rPr>
                <w:rFonts w:ascii="Arial" w:cs="Arial" w:eastAsia="Arial" w:hAnsi="Arial"/>
                <w:sz w:val="18"/>
                <w:szCs w:val="18"/>
                <w:color w:val="auto"/>
              </w:rPr>
              <w:t>9.4</w:t>
            </w:r>
          </w:p>
        </w:tc>
      </w:tr>
      <w:tr>
        <w:trPr>
          <w:trHeight w:val="203"/>
        </w:trPr>
        <w:tc>
          <w:tcPr>
            <w:tcW w:w="6580" w:type="dxa"/>
            <w:vAlign w:val="bottom"/>
            <w:gridSpan w:val="2"/>
          </w:tcPr>
          <w:p>
            <w:pPr>
              <w:spacing w:after="0" w:line="202" w:lineRule="exact"/>
              <w:rPr>
                <w:sz w:val="20"/>
                <w:szCs w:val="20"/>
                <w:color w:val="auto"/>
              </w:rPr>
            </w:pPr>
            <w:r>
              <w:rPr>
                <w:rFonts w:ascii="Arial" w:cs="Arial" w:eastAsia="Arial" w:hAnsi="Arial"/>
                <w:sz w:val="18"/>
                <w:szCs w:val="18"/>
                <w:color w:val="auto"/>
              </w:rPr>
              <w:t>Other rent and landing fees</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452</w:t>
            </w:r>
          </w:p>
        </w:tc>
        <w:tc>
          <w:tcPr>
            <w:tcW w:w="1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458</w:t>
            </w:r>
          </w:p>
        </w:tc>
        <w:tc>
          <w:tcPr>
            <w:tcW w:w="120" w:type="dxa"/>
            <w:vAlign w:val="bottom"/>
          </w:tcPr>
          <w:p>
            <w:pPr>
              <w:spacing w:after="0"/>
              <w:rPr>
                <w:sz w:val="17"/>
                <w:szCs w:val="17"/>
                <w:color w:val="auto"/>
              </w:rPr>
            </w:pPr>
          </w:p>
        </w:tc>
        <w:tc>
          <w:tcPr>
            <w:tcW w:w="1940" w:type="dxa"/>
            <w:vAlign w:val="bottom"/>
            <w:gridSpan w:val="3"/>
          </w:tcPr>
          <w:p>
            <w:pPr>
              <w:jc w:val="right"/>
              <w:ind w:right="740"/>
              <w:spacing w:after="0" w:line="202" w:lineRule="exact"/>
              <w:rPr>
                <w:sz w:val="20"/>
                <w:szCs w:val="20"/>
                <w:color w:val="auto"/>
              </w:rPr>
            </w:pPr>
            <w:r>
              <w:rPr>
                <w:rFonts w:ascii="Arial" w:cs="Arial" w:eastAsia="Arial" w:hAnsi="Arial"/>
                <w:sz w:val="18"/>
                <w:szCs w:val="18"/>
                <w:color w:val="auto"/>
              </w:rPr>
              <w:t>(6)</w:t>
            </w:r>
          </w:p>
        </w:tc>
        <w:tc>
          <w:tcPr>
            <w:tcW w:w="1000" w:type="dxa"/>
            <w:vAlign w:val="bottom"/>
          </w:tcPr>
          <w:p>
            <w:pPr>
              <w:jc w:val="right"/>
              <w:ind w:right="214"/>
              <w:spacing w:after="0" w:line="202" w:lineRule="exact"/>
              <w:rPr>
                <w:sz w:val="20"/>
                <w:szCs w:val="20"/>
                <w:color w:val="auto"/>
              </w:rPr>
            </w:pPr>
            <w:r>
              <w:rPr>
                <w:rFonts w:ascii="Arial" w:cs="Arial" w:eastAsia="Arial" w:hAnsi="Arial"/>
                <w:sz w:val="18"/>
                <w:szCs w:val="18"/>
                <w:color w:val="auto"/>
              </w:rPr>
              <w:t>(1.2)</w:t>
            </w:r>
          </w:p>
        </w:tc>
      </w:tr>
      <w:tr>
        <w:trPr>
          <w:trHeight w:val="203"/>
        </w:trPr>
        <w:tc>
          <w:tcPr>
            <w:tcW w:w="65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Aircraft rent</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294</w:t>
            </w:r>
          </w:p>
        </w:tc>
        <w:tc>
          <w:tcPr>
            <w:tcW w:w="1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302</w:t>
            </w:r>
          </w:p>
        </w:tc>
        <w:tc>
          <w:tcPr>
            <w:tcW w:w="120" w:type="dxa"/>
            <w:vAlign w:val="bottom"/>
            <w:shd w:val="clear" w:color="auto" w:fill="CCEEFF"/>
          </w:tcPr>
          <w:p>
            <w:pPr>
              <w:spacing w:after="0"/>
              <w:rPr>
                <w:sz w:val="17"/>
                <w:szCs w:val="17"/>
                <w:color w:val="auto"/>
              </w:rPr>
            </w:pPr>
          </w:p>
        </w:tc>
        <w:tc>
          <w:tcPr>
            <w:tcW w:w="1940" w:type="dxa"/>
            <w:vAlign w:val="bottom"/>
            <w:gridSpan w:val="3"/>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(8)</w:t>
            </w:r>
          </w:p>
        </w:tc>
        <w:tc>
          <w:tcPr>
            <w:tcW w:w="1000" w:type="dxa"/>
            <w:vAlign w:val="bottom"/>
            <w:shd w:val="clear" w:color="auto" w:fill="CCEEFF"/>
          </w:tcPr>
          <w:p>
            <w:pPr>
              <w:jc w:val="right"/>
              <w:ind w:right="214"/>
              <w:spacing w:after="0" w:line="202" w:lineRule="exact"/>
              <w:rPr>
                <w:sz w:val="20"/>
                <w:szCs w:val="20"/>
                <w:color w:val="auto"/>
              </w:rPr>
            </w:pPr>
            <w:r>
              <w:rPr>
                <w:rFonts w:ascii="Arial" w:cs="Arial" w:eastAsia="Arial" w:hAnsi="Arial"/>
                <w:sz w:val="18"/>
                <w:szCs w:val="18"/>
                <w:color w:val="auto"/>
              </w:rPr>
              <w:t>(2.8)</w:t>
            </w:r>
          </w:p>
        </w:tc>
      </w:tr>
      <w:tr>
        <w:trPr>
          <w:trHeight w:val="203"/>
        </w:trPr>
        <w:tc>
          <w:tcPr>
            <w:tcW w:w="6580" w:type="dxa"/>
            <w:vAlign w:val="bottom"/>
            <w:gridSpan w:val="2"/>
          </w:tcPr>
          <w:p>
            <w:pPr>
              <w:spacing w:after="0" w:line="202" w:lineRule="exact"/>
              <w:rPr>
                <w:sz w:val="20"/>
                <w:szCs w:val="20"/>
                <w:color w:val="auto"/>
              </w:rPr>
            </w:pPr>
            <w:r>
              <w:rPr>
                <w:rFonts w:ascii="Arial" w:cs="Arial" w:eastAsia="Arial" w:hAnsi="Arial"/>
                <w:sz w:val="18"/>
                <w:szCs w:val="18"/>
                <w:color w:val="auto"/>
              </w:rPr>
              <w:t>Selling expenses</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376</w:t>
            </w:r>
          </w:p>
        </w:tc>
        <w:tc>
          <w:tcPr>
            <w:tcW w:w="1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334</w:t>
            </w:r>
          </w:p>
        </w:tc>
        <w:tc>
          <w:tcPr>
            <w:tcW w:w="120" w:type="dxa"/>
            <w:vAlign w:val="bottom"/>
          </w:tcPr>
          <w:p>
            <w:pPr>
              <w:spacing w:after="0"/>
              <w:rPr>
                <w:sz w:val="17"/>
                <w:szCs w:val="17"/>
                <w:color w:val="auto"/>
              </w:rPr>
            </w:pPr>
          </w:p>
        </w:tc>
        <w:tc>
          <w:tcPr>
            <w:tcW w:w="1940" w:type="dxa"/>
            <w:vAlign w:val="bottom"/>
            <w:gridSpan w:val="3"/>
          </w:tcPr>
          <w:p>
            <w:pPr>
              <w:jc w:val="right"/>
              <w:ind w:right="800"/>
              <w:spacing w:after="0" w:line="202" w:lineRule="exact"/>
              <w:rPr>
                <w:sz w:val="20"/>
                <w:szCs w:val="20"/>
                <w:color w:val="auto"/>
              </w:rPr>
            </w:pPr>
            <w:r>
              <w:rPr>
                <w:rFonts w:ascii="Arial" w:cs="Arial" w:eastAsia="Arial" w:hAnsi="Arial"/>
                <w:sz w:val="18"/>
                <w:szCs w:val="18"/>
                <w:color w:val="auto"/>
              </w:rPr>
              <w:t>42</w:t>
            </w:r>
          </w:p>
        </w:tc>
        <w:tc>
          <w:tcPr>
            <w:tcW w:w="1000" w:type="dxa"/>
            <w:vAlign w:val="bottom"/>
          </w:tcPr>
          <w:p>
            <w:pPr>
              <w:jc w:val="right"/>
              <w:ind w:right="274"/>
              <w:spacing w:after="0" w:line="202" w:lineRule="exact"/>
              <w:rPr>
                <w:sz w:val="20"/>
                <w:szCs w:val="20"/>
                <w:color w:val="auto"/>
              </w:rPr>
            </w:pPr>
            <w:r>
              <w:rPr>
                <w:rFonts w:ascii="Arial" w:cs="Arial" w:eastAsia="Arial" w:hAnsi="Arial"/>
                <w:sz w:val="18"/>
                <w:szCs w:val="18"/>
                <w:color w:val="auto"/>
              </w:rPr>
              <w:t>12.5</w:t>
            </w:r>
          </w:p>
        </w:tc>
      </w:tr>
      <w:tr>
        <w:trPr>
          <w:trHeight w:val="203"/>
        </w:trPr>
        <w:tc>
          <w:tcPr>
            <w:tcW w:w="65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418</w:t>
            </w:r>
          </w:p>
        </w:tc>
        <w:tc>
          <w:tcPr>
            <w:tcW w:w="1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374</w:t>
            </w:r>
          </w:p>
        </w:tc>
        <w:tc>
          <w:tcPr>
            <w:tcW w:w="120" w:type="dxa"/>
            <w:vAlign w:val="bottom"/>
            <w:shd w:val="clear" w:color="auto" w:fill="CCEEFF"/>
          </w:tcPr>
          <w:p>
            <w:pPr>
              <w:spacing w:after="0"/>
              <w:rPr>
                <w:sz w:val="17"/>
                <w:szCs w:val="17"/>
                <w:color w:val="auto"/>
              </w:rPr>
            </w:pPr>
          </w:p>
        </w:tc>
        <w:tc>
          <w:tcPr>
            <w:tcW w:w="1940" w:type="dxa"/>
            <w:vAlign w:val="bottom"/>
            <w:gridSpan w:val="3"/>
            <w:shd w:val="clear" w:color="auto" w:fill="CCEEFF"/>
          </w:tcPr>
          <w:p>
            <w:pPr>
              <w:jc w:val="right"/>
              <w:ind w:right="800"/>
              <w:spacing w:after="0" w:line="202" w:lineRule="exact"/>
              <w:rPr>
                <w:sz w:val="20"/>
                <w:szCs w:val="20"/>
                <w:color w:val="auto"/>
              </w:rPr>
            </w:pPr>
            <w:r>
              <w:rPr>
                <w:rFonts w:ascii="Arial" w:cs="Arial" w:eastAsia="Arial" w:hAnsi="Arial"/>
                <w:sz w:val="18"/>
                <w:szCs w:val="18"/>
                <w:color w:val="auto"/>
              </w:rPr>
              <w:t>44</w:t>
            </w:r>
          </w:p>
        </w:tc>
        <w:tc>
          <w:tcPr>
            <w:tcW w:w="1000" w:type="dxa"/>
            <w:vAlign w:val="bottom"/>
            <w:shd w:val="clear" w:color="auto" w:fill="CCEEFF"/>
          </w:tcPr>
          <w:p>
            <w:pPr>
              <w:jc w:val="right"/>
              <w:ind w:right="274"/>
              <w:spacing w:after="0" w:line="202" w:lineRule="exact"/>
              <w:rPr>
                <w:sz w:val="20"/>
                <w:szCs w:val="20"/>
                <w:color w:val="auto"/>
              </w:rPr>
            </w:pPr>
            <w:r>
              <w:rPr>
                <w:rFonts w:ascii="Arial" w:cs="Arial" w:eastAsia="Arial" w:hAnsi="Arial"/>
                <w:sz w:val="18"/>
                <w:szCs w:val="18"/>
                <w:color w:val="auto"/>
              </w:rPr>
              <w:t>11.5</w:t>
            </w:r>
          </w:p>
        </w:tc>
      </w:tr>
      <w:tr>
        <w:trPr>
          <w:trHeight w:val="203"/>
        </w:trPr>
        <w:tc>
          <w:tcPr>
            <w:tcW w:w="6580" w:type="dxa"/>
            <w:vAlign w:val="bottom"/>
            <w:gridSpan w:val="2"/>
          </w:tcPr>
          <w:p>
            <w:pPr>
              <w:spacing w:after="0" w:line="202" w:lineRule="exact"/>
              <w:rPr>
                <w:sz w:val="20"/>
                <w:szCs w:val="20"/>
                <w:color w:val="auto"/>
              </w:rPr>
            </w:pPr>
            <w:r>
              <w:rPr>
                <w:rFonts w:ascii="Arial" w:cs="Arial" w:eastAsia="Arial" w:hAnsi="Arial"/>
                <w:sz w:val="18"/>
                <w:szCs w:val="18"/>
                <w:color w:val="auto"/>
              </w:rPr>
              <w:t>Special items, net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202</w:t>
            </w:r>
          </w:p>
        </w:tc>
        <w:tc>
          <w:tcPr>
            <w:tcW w:w="132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62</w:t>
            </w:r>
          </w:p>
        </w:tc>
        <w:tc>
          <w:tcPr>
            <w:tcW w:w="1940" w:type="dxa"/>
            <w:vAlign w:val="bottom"/>
            <w:gridSpan w:val="3"/>
          </w:tcPr>
          <w:p>
            <w:pPr>
              <w:jc w:val="right"/>
              <w:ind w:right="800"/>
              <w:spacing w:after="0" w:line="202" w:lineRule="exact"/>
              <w:rPr>
                <w:sz w:val="20"/>
                <w:szCs w:val="20"/>
                <w:color w:val="auto"/>
              </w:rPr>
            </w:pPr>
            <w:r>
              <w:rPr>
                <w:rFonts w:ascii="Arial" w:cs="Arial" w:eastAsia="Arial" w:hAnsi="Arial"/>
                <w:sz w:val="18"/>
                <w:szCs w:val="18"/>
                <w:color w:val="auto"/>
              </w:rPr>
              <w:t>140</w:t>
            </w:r>
          </w:p>
        </w:tc>
        <w:tc>
          <w:tcPr>
            <w:tcW w:w="1000" w:type="dxa"/>
            <w:vAlign w:val="bottom"/>
          </w:tcPr>
          <w:p>
            <w:pPr>
              <w:jc w:val="right"/>
              <w:ind w:right="274"/>
              <w:spacing w:after="0" w:line="202" w:lineRule="exact"/>
              <w:rPr>
                <w:sz w:val="20"/>
                <w:szCs w:val="20"/>
                <w:color w:val="auto"/>
              </w:rPr>
            </w:pPr>
            <w:r>
              <w:rPr>
                <w:rFonts w:ascii="Arial" w:cs="Arial" w:eastAsia="Arial" w:hAnsi="Arial"/>
                <w:sz w:val="18"/>
                <w:szCs w:val="18"/>
                <w:color w:val="auto"/>
              </w:rPr>
              <w:t>nm</w:t>
            </w:r>
          </w:p>
        </w:tc>
      </w:tr>
      <w:tr>
        <w:trPr>
          <w:trHeight w:val="203"/>
        </w:trPr>
        <w:tc>
          <w:tcPr>
            <w:tcW w:w="65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1,200</w:t>
            </w:r>
          </w:p>
        </w:tc>
        <w:tc>
          <w:tcPr>
            <w:tcW w:w="6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1,127</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800"/>
              <w:spacing w:after="0" w:line="202" w:lineRule="exact"/>
              <w:rPr>
                <w:sz w:val="20"/>
                <w:szCs w:val="20"/>
                <w:color w:val="auto"/>
              </w:rPr>
            </w:pPr>
            <w:r>
              <w:rPr>
                <w:rFonts w:ascii="Arial" w:cs="Arial" w:eastAsia="Arial" w:hAnsi="Arial"/>
                <w:sz w:val="18"/>
                <w:szCs w:val="18"/>
                <w:color w:val="auto"/>
              </w:rPr>
              <w:t>73</w:t>
            </w:r>
          </w:p>
        </w:tc>
        <w:tc>
          <w:tcPr>
            <w:tcW w:w="1000" w:type="dxa"/>
            <w:vAlign w:val="bottom"/>
            <w:shd w:val="clear" w:color="auto" w:fill="CCEEFF"/>
          </w:tcPr>
          <w:p>
            <w:pPr>
              <w:jc w:val="right"/>
              <w:ind w:right="274"/>
              <w:spacing w:after="0" w:line="202" w:lineRule="exact"/>
              <w:rPr>
                <w:sz w:val="20"/>
                <w:szCs w:val="20"/>
                <w:color w:val="auto"/>
              </w:rPr>
            </w:pPr>
            <w:r>
              <w:rPr>
                <w:rFonts w:ascii="Arial" w:cs="Arial" w:eastAsia="Arial" w:hAnsi="Arial"/>
                <w:sz w:val="18"/>
                <w:szCs w:val="18"/>
                <w:color w:val="auto"/>
              </w:rPr>
              <w:t>6.5</w:t>
            </w:r>
          </w:p>
        </w:tc>
      </w:tr>
      <w:tr>
        <w:trPr>
          <w:trHeight w:val="20"/>
        </w:trPr>
        <w:tc>
          <w:tcPr>
            <w:tcW w:w="6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10"/>
        </w:trPr>
        <w:tc>
          <w:tcPr>
            <w:tcW w:w="6580" w:type="dxa"/>
            <w:vAlign w:val="bottom"/>
            <w:gridSpan w:val="2"/>
          </w:tcPr>
          <w:p>
            <w:pPr>
              <w:ind w:left="180"/>
              <w:spacing w:after="0"/>
              <w:rPr>
                <w:sz w:val="20"/>
                <w:szCs w:val="20"/>
                <w:color w:val="auto"/>
              </w:rPr>
            </w:pPr>
            <w:r>
              <w:rPr>
                <w:rFonts w:ascii="Arial" w:cs="Arial" w:eastAsia="Arial" w:hAnsi="Arial"/>
                <w:sz w:val="18"/>
                <w:szCs w:val="18"/>
                <w:color w:val="auto"/>
              </w:rPr>
              <w:t>Total mainline operating expenses</w:t>
            </w: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7,950</w:t>
            </w:r>
          </w:p>
        </w:tc>
        <w:tc>
          <w:tcPr>
            <w:tcW w:w="6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7,094</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20" w:type="dxa"/>
            <w:vAlign w:val="bottom"/>
            <w:gridSpan w:val="2"/>
          </w:tcPr>
          <w:p>
            <w:pPr>
              <w:jc w:val="right"/>
              <w:ind w:right="800"/>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856</w:t>
            </w:r>
          </w:p>
        </w:tc>
        <w:tc>
          <w:tcPr>
            <w:tcW w:w="1000" w:type="dxa"/>
            <w:vAlign w:val="bottom"/>
          </w:tcPr>
          <w:p>
            <w:pPr>
              <w:jc w:val="right"/>
              <w:ind w:right="274"/>
              <w:spacing w:after="0"/>
              <w:rPr>
                <w:sz w:val="20"/>
                <w:szCs w:val="20"/>
                <w:color w:val="auto"/>
              </w:rPr>
            </w:pPr>
            <w:r>
              <w:rPr>
                <w:rFonts w:ascii="Arial" w:cs="Arial" w:eastAsia="Arial" w:hAnsi="Arial"/>
                <w:sz w:val="18"/>
                <w:szCs w:val="18"/>
                <w:color w:val="auto"/>
              </w:rPr>
              <w:t>12.1</w:t>
            </w:r>
          </w:p>
        </w:tc>
      </w:tr>
      <w:tr>
        <w:trPr>
          <w:trHeight w:val="20"/>
        </w:trPr>
        <w:tc>
          <w:tcPr>
            <w:tcW w:w="6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228"/>
        <w:spacing w:after="0"/>
        <w:rPr>
          <w:sz w:val="20"/>
          <w:szCs w:val="20"/>
          <w:color w:val="auto"/>
        </w:rPr>
      </w:pPr>
      <w:r>
        <w:rPr>
          <w:rFonts w:ascii="Arial" w:cs="Arial" w:eastAsia="Arial" w:hAnsi="Arial"/>
          <w:sz w:val="18"/>
          <w:szCs w:val="18"/>
          <w:color w:val="auto"/>
        </w:rPr>
        <w:t>Mainline operating expenses increased $856 million, or 12.1%, in the second quarter of 2017 from the 2016 period. The increase in operating expenses was primarily driven by higher salaries, wages and benefits as well as higher fuel costs. See detailed explanations below relating to changes in mainline CASM.</w:t>
      </w:r>
    </w:p>
    <w:p>
      <w:pPr>
        <w:spacing w:after="0" w:line="293"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Mainline CASM</w:t>
      </w:r>
    </w:p>
    <w:p>
      <w:pPr>
        <w:spacing w:after="0" w:line="122" w:lineRule="exact"/>
        <w:rPr>
          <w:sz w:val="20"/>
          <w:szCs w:val="20"/>
          <w:color w:val="auto"/>
        </w:rPr>
      </w:pPr>
    </w:p>
    <w:p>
      <w:pPr>
        <w:jc w:val="both"/>
        <w:ind w:firstLine="228"/>
        <w:spacing w:after="0" w:line="237" w:lineRule="auto"/>
        <w:rPr>
          <w:sz w:val="20"/>
          <w:szCs w:val="20"/>
          <w:color w:val="auto"/>
        </w:rPr>
      </w:pPr>
      <w:r>
        <w:rPr>
          <w:rFonts w:ascii="Arial" w:cs="Arial" w:eastAsia="Arial" w:hAnsi="Arial"/>
          <w:sz w:val="18"/>
          <w:szCs w:val="18"/>
          <w:color w:val="auto"/>
        </w:rPr>
        <w:t>We sometimes use financial measures that are derived from the condensed consolidated financial statements but that are not presented in accordance with GAAP to understand and evaluate our current operating performance to allow for period-to-period comparisons. We believe these non-GAAP financial measures may also provide useful information to investors and others. These non-GAAP measures may not be comparable to similarly titled non-GAAP measures of other companies, and should be considered in addition to and not as a substitute for or superior to, any measure of performance, cash flow or liquidity prepared in accordance with GAAP. We are providing a reconciliation of reported non-GAAP financial measures to their comparable financial measures on a GAAP basis.</w:t>
      </w:r>
    </w:p>
    <w:p>
      <w:pPr>
        <w:spacing w:after="0" w:line="205" w:lineRule="exact"/>
        <w:rPr>
          <w:sz w:val="20"/>
          <w:szCs w:val="20"/>
          <w:color w:val="auto"/>
        </w:rPr>
      </w:pPr>
    </w:p>
    <w:p>
      <w:pPr>
        <w:jc w:val="both"/>
        <w:ind w:firstLine="228"/>
        <w:spacing w:after="0" w:line="238" w:lineRule="auto"/>
        <w:rPr>
          <w:sz w:val="20"/>
          <w:szCs w:val="20"/>
          <w:color w:val="auto"/>
        </w:rPr>
      </w:pPr>
      <w:r>
        <w:rPr>
          <w:rFonts w:ascii="Arial" w:cs="Arial" w:eastAsia="Arial" w:hAnsi="Arial"/>
          <w:sz w:val="18"/>
          <w:szCs w:val="18"/>
          <w:color w:val="auto"/>
        </w:rPr>
        <w:t>The table below presents the reconciliation of mainline operating expenses (GAAP measure) to mainline operating costs excluding special items and fuel (non-GAAP measure). Management uses mainline operating costs excluding special items and fuel to evaluate our current operating performance and for period-to-period comparisons. The price of fuel, over which we have no control, impacts the comparability of period-to-period financial performance. The adjustment to exclude aircraft fuel and special items allows management an additional tool to better understand and analyze our non-fuel costs and core operating performance.</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major components of our total mainline CASM and our mainline CASM excluding special items and fuel for the three months ended</w:t>
      </w:r>
    </w:p>
    <w:p>
      <w:pPr>
        <w:spacing w:after="0"/>
        <w:rPr>
          <w:sz w:val="20"/>
          <w:szCs w:val="20"/>
          <w:color w:val="auto"/>
        </w:rPr>
      </w:pPr>
      <w:r>
        <w:rPr>
          <w:rFonts w:ascii="Arial" w:cs="Arial" w:eastAsia="Arial" w:hAnsi="Arial"/>
          <w:sz w:val="18"/>
          <w:szCs w:val="18"/>
          <w:color w:val="auto"/>
        </w:rPr>
        <w:t>June 30, 2017 and 2016 are as follows (amounts may not recalculate due to rounding):</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2480" w:type="dxa"/>
            <w:vAlign w:val="bottom"/>
          </w:tcPr>
          <w:p>
            <w:pPr>
              <w:jc w:val="center"/>
              <w:ind w:left="253"/>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75"/>
        </w:trPr>
        <w:tc>
          <w:tcPr>
            <w:tcW w:w="494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4"/>
          </w:tcPr>
          <w:p>
            <w:pPr>
              <w:jc w:val="right"/>
              <w:ind w:right="680"/>
              <w:spacing w:after="0"/>
              <w:rPr>
                <w:sz w:val="20"/>
                <w:szCs w:val="20"/>
                <w:color w:val="auto"/>
              </w:rPr>
            </w:pPr>
            <w:r>
              <w:rPr>
                <w:rFonts w:ascii="Arial" w:cs="Arial" w:eastAsia="Arial" w:hAnsi="Arial"/>
                <w:sz w:val="14"/>
                <w:szCs w:val="14"/>
                <w:b w:val="1"/>
                <w:bCs w:val="1"/>
                <w:color w:val="auto"/>
              </w:rPr>
              <w:t>June 30,</w:t>
            </w:r>
          </w:p>
        </w:tc>
        <w:tc>
          <w:tcPr>
            <w:tcW w:w="2480" w:type="dxa"/>
            <w:vAlign w:val="bottom"/>
          </w:tcPr>
          <w:p>
            <w:pPr>
              <w:jc w:val="center"/>
              <w:ind w:left="253"/>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56"/>
        </w:trPr>
        <w:tc>
          <w:tcPr>
            <w:tcW w:w="49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640" w:type="dxa"/>
            <w:vAlign w:val="bottom"/>
            <w:tcBorders>
              <w:bottom w:val="single" w:sz="8" w:color="auto"/>
            </w:tcBorders>
            <w:gridSpan w:val="2"/>
          </w:tcPr>
          <w:p>
            <w:pPr>
              <w:ind w:left="220"/>
              <w:spacing w:after="0" w:line="155"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jc w:val="right"/>
              <w:ind w:right="100"/>
              <w:spacing w:after="0" w:line="155"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auto"/>
            </w:tcBorders>
          </w:tcPr>
          <w:p>
            <w:pPr>
              <w:spacing w:after="0"/>
              <w:rPr>
                <w:sz w:val="13"/>
                <w:szCs w:val="13"/>
                <w:color w:val="auto"/>
              </w:rPr>
            </w:pPr>
          </w:p>
        </w:tc>
        <w:tc>
          <w:tcPr>
            <w:tcW w:w="2480" w:type="dxa"/>
            <w:vAlign w:val="bottom"/>
            <w:tcBorders>
              <w:bottom w:val="single" w:sz="8" w:color="auto"/>
            </w:tcBorders>
          </w:tcPr>
          <w:p>
            <w:pPr>
              <w:jc w:val="center"/>
              <w:ind w:left="253"/>
              <w:spacing w:after="0" w:line="155" w:lineRule="exact"/>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56"/>
        </w:trPr>
        <w:tc>
          <w:tcPr>
            <w:tcW w:w="49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0" w:type="dxa"/>
            <w:vAlign w:val="bottom"/>
            <w:gridSpan w:val="4"/>
          </w:tcPr>
          <w:p>
            <w:pPr>
              <w:jc w:val="right"/>
              <w:ind w:right="813"/>
              <w:spacing w:after="0" w:line="155" w:lineRule="exact"/>
              <w:rPr>
                <w:sz w:val="20"/>
                <w:szCs w:val="20"/>
                <w:color w:val="auto"/>
              </w:rPr>
            </w:pPr>
            <w:r>
              <w:rPr>
                <w:rFonts w:ascii="Arial" w:cs="Arial" w:eastAsia="Arial" w:hAnsi="Arial"/>
                <w:sz w:val="14"/>
                <w:szCs w:val="14"/>
                <w:b w:val="1"/>
                <w:bCs w:val="1"/>
                <w:color w:val="auto"/>
              </w:rPr>
              <w:t>(In cents, except percentage changes)</w:t>
            </w:r>
          </w:p>
        </w:tc>
        <w:tc>
          <w:tcPr>
            <w:tcW w:w="0" w:type="dxa"/>
            <w:vAlign w:val="bottom"/>
          </w:tcPr>
          <w:p>
            <w:pPr>
              <w:spacing w:after="0"/>
              <w:rPr>
                <w:sz w:val="1"/>
                <w:szCs w:val="1"/>
                <w:color w:val="auto"/>
              </w:rPr>
            </w:pPr>
          </w:p>
        </w:tc>
      </w:tr>
      <w:tr>
        <w:trPr>
          <w:trHeight w:val="203"/>
        </w:trPr>
        <w:tc>
          <w:tcPr>
            <w:tcW w:w="4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Mainline CASM:</w:t>
            </w:r>
          </w:p>
        </w:tc>
        <w:tc>
          <w:tcPr>
            <w:tcW w:w="2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40" w:type="dxa"/>
            <w:vAlign w:val="bottom"/>
          </w:tcPr>
          <w:p>
            <w:pPr>
              <w:ind w:left="180"/>
              <w:spacing w:after="0" w:line="202" w:lineRule="exact"/>
              <w:rPr>
                <w:sz w:val="20"/>
                <w:szCs w:val="20"/>
                <w:color w:val="auto"/>
              </w:rPr>
            </w:pPr>
            <w:r>
              <w:rPr>
                <w:rFonts w:ascii="Arial" w:cs="Arial" w:eastAsia="Arial" w:hAnsi="Arial"/>
                <w:sz w:val="18"/>
                <w:szCs w:val="18"/>
                <w:color w:val="auto"/>
              </w:rPr>
              <w:t>Aircraft fuel and related taxes</w:t>
            </w:r>
          </w:p>
        </w:tc>
        <w:tc>
          <w:tcPr>
            <w:tcW w:w="2880" w:type="dxa"/>
            <w:vAlign w:val="bottom"/>
            <w:gridSpan w:val="4"/>
          </w:tcPr>
          <w:p>
            <w:pPr>
              <w:jc w:val="right"/>
              <w:ind w:right="88"/>
              <w:spacing w:after="0" w:line="202" w:lineRule="exact"/>
              <w:rPr>
                <w:sz w:val="20"/>
                <w:szCs w:val="20"/>
                <w:color w:val="auto"/>
              </w:rPr>
            </w:pPr>
            <w:r>
              <w:rPr>
                <w:rFonts w:ascii="Arial" w:cs="Arial" w:eastAsia="Arial" w:hAnsi="Arial"/>
                <w:sz w:val="18"/>
                <w:szCs w:val="18"/>
                <w:color w:val="auto"/>
              </w:rPr>
              <w:t>2.38</w:t>
            </w:r>
          </w:p>
        </w:tc>
        <w:tc>
          <w:tcPr>
            <w:tcW w:w="112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2.10</w:t>
            </w:r>
          </w:p>
        </w:tc>
        <w:tc>
          <w:tcPr>
            <w:tcW w:w="2480" w:type="dxa"/>
            <w:vAlign w:val="bottom"/>
          </w:tcPr>
          <w:p>
            <w:pPr>
              <w:jc w:val="right"/>
              <w:ind w:right="773"/>
              <w:spacing w:after="0" w:line="202" w:lineRule="exact"/>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03"/>
        </w:trPr>
        <w:tc>
          <w:tcPr>
            <w:tcW w:w="49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Salaries, wages and benefits</w:t>
            </w:r>
          </w:p>
        </w:tc>
        <w:tc>
          <w:tcPr>
            <w:tcW w:w="2880" w:type="dxa"/>
            <w:vAlign w:val="bottom"/>
            <w:gridSpan w:val="4"/>
            <w:shd w:val="clear" w:color="auto" w:fill="CCEEFF"/>
          </w:tcPr>
          <w:p>
            <w:pPr>
              <w:jc w:val="right"/>
              <w:ind w:right="88"/>
              <w:spacing w:after="0" w:line="202" w:lineRule="exact"/>
              <w:rPr>
                <w:sz w:val="20"/>
                <w:szCs w:val="20"/>
                <w:color w:val="auto"/>
              </w:rPr>
            </w:pPr>
            <w:r>
              <w:rPr>
                <w:rFonts w:ascii="Arial" w:cs="Arial" w:eastAsia="Arial" w:hAnsi="Arial"/>
                <w:sz w:val="18"/>
                <w:szCs w:val="18"/>
                <w:color w:val="auto"/>
              </w:rPr>
              <w:t>4.73</w:t>
            </w:r>
          </w:p>
        </w:tc>
        <w:tc>
          <w:tcPr>
            <w:tcW w:w="112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4.26</w:t>
            </w:r>
          </w:p>
        </w:tc>
        <w:tc>
          <w:tcPr>
            <w:tcW w:w="2480" w:type="dxa"/>
            <w:vAlign w:val="bottom"/>
            <w:shd w:val="clear" w:color="auto" w:fill="CCEEFF"/>
          </w:tcPr>
          <w:p>
            <w:pPr>
              <w:jc w:val="right"/>
              <w:ind w:right="773"/>
              <w:spacing w:after="0" w:line="202" w:lineRule="exact"/>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3"/>
        </w:trPr>
        <w:tc>
          <w:tcPr>
            <w:tcW w:w="4940" w:type="dxa"/>
            <w:vAlign w:val="bottom"/>
          </w:tcPr>
          <w:p>
            <w:pPr>
              <w:ind w:left="180"/>
              <w:spacing w:after="0" w:line="202" w:lineRule="exact"/>
              <w:rPr>
                <w:sz w:val="20"/>
                <w:szCs w:val="20"/>
                <w:color w:val="auto"/>
              </w:rPr>
            </w:pPr>
            <w:r>
              <w:rPr>
                <w:rFonts w:ascii="Arial" w:cs="Arial" w:eastAsia="Arial" w:hAnsi="Arial"/>
                <w:sz w:val="18"/>
                <w:szCs w:val="18"/>
                <w:color w:val="auto"/>
              </w:rPr>
              <w:t>Maintenance, materials and repairs</w:t>
            </w:r>
          </w:p>
        </w:tc>
        <w:tc>
          <w:tcPr>
            <w:tcW w:w="2880" w:type="dxa"/>
            <w:vAlign w:val="bottom"/>
            <w:gridSpan w:val="4"/>
          </w:tcPr>
          <w:p>
            <w:pPr>
              <w:jc w:val="right"/>
              <w:ind w:right="88"/>
              <w:spacing w:after="0" w:line="202" w:lineRule="exact"/>
              <w:rPr>
                <w:sz w:val="20"/>
                <w:szCs w:val="20"/>
                <w:color w:val="auto"/>
              </w:rPr>
            </w:pPr>
            <w:r>
              <w:rPr>
                <w:rFonts w:ascii="Arial" w:cs="Arial" w:eastAsia="Arial" w:hAnsi="Arial"/>
                <w:sz w:val="18"/>
                <w:szCs w:val="18"/>
                <w:color w:val="auto"/>
              </w:rPr>
              <w:t>0.78</w:t>
            </w:r>
          </w:p>
        </w:tc>
        <w:tc>
          <w:tcPr>
            <w:tcW w:w="112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0.72</w:t>
            </w:r>
          </w:p>
        </w:tc>
        <w:tc>
          <w:tcPr>
            <w:tcW w:w="2480" w:type="dxa"/>
            <w:vAlign w:val="bottom"/>
          </w:tcPr>
          <w:p>
            <w:pPr>
              <w:jc w:val="right"/>
              <w:ind w:right="773"/>
              <w:spacing w:after="0" w:line="202"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3"/>
        </w:trPr>
        <w:tc>
          <w:tcPr>
            <w:tcW w:w="49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Other rent and landing fees</w:t>
            </w:r>
          </w:p>
        </w:tc>
        <w:tc>
          <w:tcPr>
            <w:tcW w:w="2880" w:type="dxa"/>
            <w:vAlign w:val="bottom"/>
            <w:gridSpan w:val="4"/>
            <w:shd w:val="clear" w:color="auto" w:fill="CCEEFF"/>
          </w:tcPr>
          <w:p>
            <w:pPr>
              <w:jc w:val="right"/>
              <w:ind w:right="88"/>
              <w:spacing w:after="0" w:line="202" w:lineRule="exact"/>
              <w:rPr>
                <w:sz w:val="20"/>
                <w:szCs w:val="20"/>
                <w:color w:val="auto"/>
              </w:rPr>
            </w:pPr>
            <w:r>
              <w:rPr>
                <w:rFonts w:ascii="Arial" w:cs="Arial" w:eastAsia="Arial" w:hAnsi="Arial"/>
                <w:sz w:val="18"/>
                <w:szCs w:val="18"/>
                <w:color w:val="auto"/>
              </w:rPr>
              <w:t>0.71</w:t>
            </w:r>
          </w:p>
        </w:tc>
        <w:tc>
          <w:tcPr>
            <w:tcW w:w="112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0.73</w:t>
            </w:r>
          </w:p>
        </w:tc>
        <w:tc>
          <w:tcPr>
            <w:tcW w:w="2480" w:type="dxa"/>
            <w:vAlign w:val="bottom"/>
            <w:shd w:val="clear" w:color="auto" w:fill="CCEEFF"/>
          </w:tcPr>
          <w:p>
            <w:pPr>
              <w:jc w:val="right"/>
              <w:ind w:right="713"/>
              <w:spacing w:after="0" w:line="202"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3"/>
        </w:trPr>
        <w:tc>
          <w:tcPr>
            <w:tcW w:w="4940" w:type="dxa"/>
            <w:vAlign w:val="bottom"/>
          </w:tcPr>
          <w:p>
            <w:pPr>
              <w:ind w:left="180"/>
              <w:spacing w:after="0" w:line="202" w:lineRule="exact"/>
              <w:rPr>
                <w:sz w:val="20"/>
                <w:szCs w:val="20"/>
                <w:color w:val="auto"/>
              </w:rPr>
            </w:pPr>
            <w:r>
              <w:rPr>
                <w:rFonts w:ascii="Arial" w:cs="Arial" w:eastAsia="Arial" w:hAnsi="Arial"/>
                <w:sz w:val="18"/>
                <w:szCs w:val="18"/>
                <w:color w:val="auto"/>
              </w:rPr>
              <w:t>Aircraft rent</w:t>
            </w:r>
          </w:p>
        </w:tc>
        <w:tc>
          <w:tcPr>
            <w:tcW w:w="2880" w:type="dxa"/>
            <w:vAlign w:val="bottom"/>
            <w:gridSpan w:val="4"/>
          </w:tcPr>
          <w:p>
            <w:pPr>
              <w:jc w:val="right"/>
              <w:ind w:right="88"/>
              <w:spacing w:after="0" w:line="202" w:lineRule="exact"/>
              <w:rPr>
                <w:sz w:val="20"/>
                <w:szCs w:val="20"/>
                <w:color w:val="auto"/>
              </w:rPr>
            </w:pPr>
            <w:r>
              <w:rPr>
                <w:rFonts w:ascii="Arial" w:cs="Arial" w:eastAsia="Arial" w:hAnsi="Arial"/>
                <w:sz w:val="18"/>
                <w:szCs w:val="18"/>
                <w:color w:val="auto"/>
              </w:rPr>
              <w:t>0.46</w:t>
            </w:r>
          </w:p>
        </w:tc>
        <w:tc>
          <w:tcPr>
            <w:tcW w:w="112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0.48</w:t>
            </w:r>
          </w:p>
        </w:tc>
        <w:tc>
          <w:tcPr>
            <w:tcW w:w="2480" w:type="dxa"/>
            <w:vAlign w:val="bottom"/>
          </w:tcPr>
          <w:p>
            <w:pPr>
              <w:jc w:val="right"/>
              <w:ind w:right="713"/>
              <w:spacing w:after="0" w:line="202"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3"/>
        </w:trPr>
        <w:tc>
          <w:tcPr>
            <w:tcW w:w="49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Selling expenses</w:t>
            </w:r>
          </w:p>
        </w:tc>
        <w:tc>
          <w:tcPr>
            <w:tcW w:w="2880" w:type="dxa"/>
            <w:vAlign w:val="bottom"/>
            <w:gridSpan w:val="4"/>
            <w:shd w:val="clear" w:color="auto" w:fill="CCEEFF"/>
          </w:tcPr>
          <w:p>
            <w:pPr>
              <w:jc w:val="right"/>
              <w:ind w:right="88"/>
              <w:spacing w:after="0" w:line="202" w:lineRule="exact"/>
              <w:rPr>
                <w:sz w:val="20"/>
                <w:szCs w:val="20"/>
                <w:color w:val="auto"/>
              </w:rPr>
            </w:pPr>
            <w:r>
              <w:rPr>
                <w:rFonts w:ascii="Arial" w:cs="Arial" w:eastAsia="Arial" w:hAnsi="Arial"/>
                <w:sz w:val="18"/>
                <w:szCs w:val="18"/>
                <w:color w:val="auto"/>
              </w:rPr>
              <w:t>0.59</w:t>
            </w:r>
          </w:p>
        </w:tc>
        <w:tc>
          <w:tcPr>
            <w:tcW w:w="112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0.53</w:t>
            </w:r>
          </w:p>
        </w:tc>
        <w:tc>
          <w:tcPr>
            <w:tcW w:w="2480" w:type="dxa"/>
            <w:vAlign w:val="bottom"/>
            <w:shd w:val="clear" w:color="auto" w:fill="CCEEFF"/>
          </w:tcPr>
          <w:p>
            <w:pPr>
              <w:jc w:val="right"/>
              <w:ind w:right="773"/>
              <w:spacing w:after="0" w:line="202" w:lineRule="exact"/>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3"/>
        </w:trPr>
        <w:tc>
          <w:tcPr>
            <w:tcW w:w="4940" w:type="dxa"/>
            <w:vAlign w:val="bottom"/>
          </w:tcPr>
          <w:p>
            <w:pPr>
              <w:ind w:left="180"/>
              <w:spacing w:after="0" w:line="202" w:lineRule="exact"/>
              <w:rPr>
                <w:sz w:val="20"/>
                <w:szCs w:val="20"/>
                <w:color w:val="auto"/>
              </w:rPr>
            </w:pPr>
            <w:r>
              <w:rPr>
                <w:rFonts w:ascii="Arial" w:cs="Arial" w:eastAsia="Arial" w:hAnsi="Arial"/>
                <w:sz w:val="18"/>
                <w:szCs w:val="18"/>
                <w:color w:val="auto"/>
              </w:rPr>
              <w:t>Depreciation and amortization</w:t>
            </w:r>
          </w:p>
        </w:tc>
        <w:tc>
          <w:tcPr>
            <w:tcW w:w="2880" w:type="dxa"/>
            <w:vAlign w:val="bottom"/>
            <w:gridSpan w:val="4"/>
          </w:tcPr>
          <w:p>
            <w:pPr>
              <w:jc w:val="right"/>
              <w:ind w:right="88"/>
              <w:spacing w:after="0" w:line="202" w:lineRule="exact"/>
              <w:rPr>
                <w:sz w:val="20"/>
                <w:szCs w:val="20"/>
                <w:color w:val="auto"/>
              </w:rPr>
            </w:pPr>
            <w:r>
              <w:rPr>
                <w:rFonts w:ascii="Arial" w:cs="Arial" w:eastAsia="Arial" w:hAnsi="Arial"/>
                <w:sz w:val="18"/>
                <w:szCs w:val="18"/>
                <w:color w:val="auto"/>
              </w:rPr>
              <w:t>0.66</w:t>
            </w:r>
          </w:p>
        </w:tc>
        <w:tc>
          <w:tcPr>
            <w:tcW w:w="112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0.60</w:t>
            </w:r>
          </w:p>
        </w:tc>
        <w:tc>
          <w:tcPr>
            <w:tcW w:w="2480" w:type="dxa"/>
            <w:vAlign w:val="bottom"/>
          </w:tcPr>
          <w:p>
            <w:pPr>
              <w:jc w:val="right"/>
              <w:ind w:right="773"/>
              <w:spacing w:after="0" w:line="202"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3"/>
        </w:trPr>
        <w:tc>
          <w:tcPr>
            <w:tcW w:w="49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Special items, net</w:t>
            </w:r>
          </w:p>
        </w:tc>
        <w:tc>
          <w:tcPr>
            <w:tcW w:w="2880" w:type="dxa"/>
            <w:vAlign w:val="bottom"/>
            <w:gridSpan w:val="4"/>
            <w:shd w:val="clear" w:color="auto" w:fill="CCEEFF"/>
          </w:tcPr>
          <w:p>
            <w:pPr>
              <w:jc w:val="right"/>
              <w:ind w:right="88"/>
              <w:spacing w:after="0" w:line="202" w:lineRule="exact"/>
              <w:rPr>
                <w:sz w:val="20"/>
                <w:szCs w:val="20"/>
                <w:color w:val="auto"/>
              </w:rPr>
            </w:pPr>
            <w:r>
              <w:rPr>
                <w:rFonts w:ascii="Arial" w:cs="Arial" w:eastAsia="Arial" w:hAnsi="Arial"/>
                <w:sz w:val="18"/>
                <w:szCs w:val="18"/>
                <w:color w:val="auto"/>
              </w:rPr>
              <w:t>0.32</w:t>
            </w:r>
          </w:p>
        </w:tc>
        <w:tc>
          <w:tcPr>
            <w:tcW w:w="112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0.10</w:t>
            </w:r>
          </w:p>
        </w:tc>
        <w:tc>
          <w:tcPr>
            <w:tcW w:w="2480" w:type="dxa"/>
            <w:vAlign w:val="bottom"/>
            <w:shd w:val="clear" w:color="auto" w:fill="CCEEFF"/>
          </w:tcPr>
          <w:p>
            <w:pPr>
              <w:jc w:val="right"/>
              <w:ind w:right="773"/>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3"/>
        </w:trPr>
        <w:tc>
          <w:tcPr>
            <w:tcW w:w="4940" w:type="dxa"/>
            <w:vAlign w:val="bottom"/>
          </w:tcPr>
          <w:p>
            <w:pPr>
              <w:ind w:left="180"/>
              <w:spacing w:after="0" w:line="202" w:lineRule="exact"/>
              <w:rPr>
                <w:sz w:val="20"/>
                <w:szCs w:val="20"/>
                <w:color w:val="auto"/>
              </w:rPr>
            </w:pPr>
            <w:r>
              <w:rPr>
                <w:rFonts w:ascii="Arial" w:cs="Arial" w:eastAsia="Arial" w:hAnsi="Arial"/>
                <w:sz w:val="18"/>
                <w:szCs w:val="18"/>
                <w:color w:val="auto"/>
              </w:rPr>
              <w:t>Other</w:t>
            </w:r>
          </w:p>
        </w:tc>
        <w:tc>
          <w:tcPr>
            <w:tcW w:w="2220" w:type="dxa"/>
            <w:vAlign w:val="bottom"/>
            <w:gridSpan w:val="2"/>
          </w:tcPr>
          <w:p>
            <w:pPr>
              <w:spacing w:after="0"/>
              <w:rPr>
                <w:sz w:val="17"/>
                <w:szCs w:val="17"/>
                <w:color w:val="auto"/>
              </w:rPr>
            </w:pPr>
          </w:p>
        </w:tc>
        <w:tc>
          <w:tcPr>
            <w:tcW w:w="660" w:type="dxa"/>
            <w:vAlign w:val="bottom"/>
            <w:gridSpan w:val="2"/>
          </w:tcPr>
          <w:p>
            <w:pPr>
              <w:jc w:val="right"/>
              <w:ind w:right="88"/>
              <w:spacing w:after="0" w:line="202" w:lineRule="exact"/>
              <w:rPr>
                <w:sz w:val="20"/>
                <w:szCs w:val="20"/>
                <w:color w:val="auto"/>
              </w:rPr>
            </w:pPr>
            <w:r>
              <w:rPr>
                <w:rFonts w:ascii="Arial" w:cs="Arial" w:eastAsia="Arial" w:hAnsi="Arial"/>
                <w:sz w:val="18"/>
                <w:szCs w:val="18"/>
                <w:color w:val="auto"/>
              </w:rPr>
              <w:t>1.89</w:t>
            </w:r>
          </w:p>
        </w:tc>
        <w:tc>
          <w:tcPr>
            <w:tcW w:w="112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1.80</w:t>
            </w:r>
          </w:p>
        </w:tc>
        <w:tc>
          <w:tcPr>
            <w:tcW w:w="2480" w:type="dxa"/>
            <w:vAlign w:val="bottom"/>
          </w:tcPr>
          <w:p>
            <w:pPr>
              <w:jc w:val="right"/>
              <w:ind w:right="773"/>
              <w:spacing w:after="0" w:line="202"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9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mainline CASM</w:t>
            </w:r>
          </w:p>
        </w:tc>
        <w:tc>
          <w:tcPr>
            <w:tcW w:w="2220" w:type="dxa"/>
            <w:vAlign w:val="bottom"/>
            <w:gridSpan w:val="2"/>
            <w:shd w:val="clear" w:color="auto" w:fill="CCEEFF"/>
          </w:tcPr>
          <w:p>
            <w:pPr>
              <w:spacing w:after="0"/>
              <w:rPr>
                <w:sz w:val="17"/>
                <w:szCs w:val="17"/>
                <w:color w:val="auto"/>
              </w:rPr>
            </w:pPr>
          </w:p>
        </w:tc>
        <w:tc>
          <w:tcPr>
            <w:tcW w:w="660" w:type="dxa"/>
            <w:vAlign w:val="bottom"/>
            <w:gridSpan w:val="2"/>
            <w:shd w:val="clear" w:color="auto" w:fill="CCEEFF"/>
          </w:tcPr>
          <w:p>
            <w:pPr>
              <w:jc w:val="right"/>
              <w:ind w:right="88"/>
              <w:spacing w:after="0" w:line="202" w:lineRule="exact"/>
              <w:rPr>
                <w:sz w:val="20"/>
                <w:szCs w:val="20"/>
                <w:color w:val="auto"/>
              </w:rPr>
            </w:pPr>
            <w:r>
              <w:rPr>
                <w:rFonts w:ascii="Arial" w:cs="Arial" w:eastAsia="Arial" w:hAnsi="Arial"/>
                <w:sz w:val="18"/>
                <w:szCs w:val="18"/>
                <w:color w:val="auto"/>
              </w:rPr>
              <w:t>12.51</w:t>
            </w:r>
          </w:p>
        </w:tc>
        <w:tc>
          <w:tcPr>
            <w:tcW w:w="112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11.32</w:t>
            </w:r>
          </w:p>
        </w:tc>
        <w:tc>
          <w:tcPr>
            <w:tcW w:w="2480" w:type="dxa"/>
            <w:vAlign w:val="bottom"/>
            <w:shd w:val="clear" w:color="auto" w:fill="CCEEFF"/>
          </w:tcPr>
          <w:p>
            <w:pPr>
              <w:jc w:val="right"/>
              <w:ind w:right="773"/>
              <w:spacing w:after="0" w:line="202" w:lineRule="exact"/>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03"/>
        </w:trPr>
        <w:tc>
          <w:tcPr>
            <w:tcW w:w="4940" w:type="dxa"/>
            <w:vAlign w:val="bottom"/>
          </w:tcPr>
          <w:p>
            <w:pPr>
              <w:ind w:left="180"/>
              <w:spacing w:after="0" w:line="202" w:lineRule="exact"/>
              <w:rPr>
                <w:sz w:val="20"/>
                <w:szCs w:val="20"/>
                <w:color w:val="auto"/>
              </w:rPr>
            </w:pPr>
            <w:r>
              <w:rPr>
                <w:rFonts w:ascii="Arial" w:cs="Arial" w:eastAsia="Arial" w:hAnsi="Arial"/>
                <w:sz w:val="18"/>
                <w:szCs w:val="18"/>
                <w:color w:val="auto"/>
              </w:rPr>
              <w:t>Special items, net</w:t>
            </w:r>
          </w:p>
        </w:tc>
        <w:tc>
          <w:tcPr>
            <w:tcW w:w="2880" w:type="dxa"/>
            <w:vAlign w:val="bottom"/>
            <w:gridSpan w:val="4"/>
          </w:tcPr>
          <w:p>
            <w:pPr>
              <w:jc w:val="right"/>
              <w:ind w:right="28"/>
              <w:spacing w:after="0" w:line="202" w:lineRule="exact"/>
              <w:rPr>
                <w:sz w:val="20"/>
                <w:szCs w:val="20"/>
                <w:color w:val="auto"/>
              </w:rPr>
            </w:pPr>
            <w:r>
              <w:rPr>
                <w:rFonts w:ascii="Arial" w:cs="Arial" w:eastAsia="Arial" w:hAnsi="Arial"/>
                <w:sz w:val="18"/>
                <w:szCs w:val="18"/>
                <w:color w:val="auto"/>
              </w:rPr>
              <w:t>(0.32)</w:t>
            </w:r>
          </w:p>
        </w:tc>
        <w:tc>
          <w:tcPr>
            <w:tcW w:w="112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(0.10)</w:t>
            </w:r>
          </w:p>
        </w:tc>
        <w:tc>
          <w:tcPr>
            <w:tcW w:w="2480" w:type="dxa"/>
            <w:vAlign w:val="bottom"/>
          </w:tcPr>
          <w:p>
            <w:pPr>
              <w:jc w:val="right"/>
              <w:ind w:right="773"/>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3"/>
        </w:trPr>
        <w:tc>
          <w:tcPr>
            <w:tcW w:w="49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Aircraft fuel and related taxes</w:t>
            </w:r>
          </w:p>
        </w:tc>
        <w:tc>
          <w:tcPr>
            <w:tcW w:w="2220" w:type="dxa"/>
            <w:vAlign w:val="bottom"/>
            <w:gridSpan w:val="2"/>
            <w:shd w:val="clear" w:color="auto" w:fill="CCEEFF"/>
          </w:tcPr>
          <w:p>
            <w:pPr>
              <w:spacing w:after="0"/>
              <w:rPr>
                <w:sz w:val="17"/>
                <w:szCs w:val="17"/>
                <w:color w:val="auto"/>
              </w:rPr>
            </w:pPr>
          </w:p>
        </w:tc>
        <w:tc>
          <w:tcPr>
            <w:tcW w:w="660" w:type="dxa"/>
            <w:vAlign w:val="bottom"/>
            <w:gridSpan w:val="2"/>
            <w:shd w:val="clear" w:color="auto" w:fill="CCEEFF"/>
          </w:tcPr>
          <w:p>
            <w:pPr>
              <w:jc w:val="right"/>
              <w:ind w:right="28"/>
              <w:spacing w:after="0" w:line="202" w:lineRule="exact"/>
              <w:rPr>
                <w:sz w:val="20"/>
                <w:szCs w:val="20"/>
                <w:color w:val="auto"/>
              </w:rPr>
            </w:pPr>
            <w:r>
              <w:rPr>
                <w:rFonts w:ascii="Arial" w:cs="Arial" w:eastAsia="Arial" w:hAnsi="Arial"/>
                <w:sz w:val="18"/>
                <w:szCs w:val="18"/>
                <w:color w:val="auto"/>
              </w:rPr>
              <w:t>(2.38)</w:t>
            </w:r>
          </w:p>
        </w:tc>
        <w:tc>
          <w:tcPr>
            <w:tcW w:w="112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(2.10)</w:t>
            </w:r>
          </w:p>
        </w:tc>
        <w:tc>
          <w:tcPr>
            <w:tcW w:w="2480" w:type="dxa"/>
            <w:vAlign w:val="bottom"/>
            <w:shd w:val="clear" w:color="auto" w:fill="CCEEFF"/>
          </w:tcPr>
          <w:p>
            <w:pPr>
              <w:jc w:val="right"/>
              <w:ind w:right="773"/>
              <w:spacing w:after="0" w:line="202" w:lineRule="exact"/>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40" w:type="dxa"/>
            <w:vAlign w:val="bottom"/>
          </w:tcPr>
          <w:p>
            <w:pPr>
              <w:ind w:left="360"/>
              <w:spacing w:after="0"/>
              <w:rPr>
                <w:sz w:val="20"/>
                <w:szCs w:val="20"/>
                <w:color w:val="auto"/>
              </w:rPr>
            </w:pPr>
            <w:r>
              <w:rPr>
                <w:rFonts w:ascii="Arial" w:cs="Arial" w:eastAsia="Arial" w:hAnsi="Arial"/>
                <w:sz w:val="18"/>
                <w:szCs w:val="18"/>
                <w:color w:val="auto"/>
              </w:rPr>
              <w:t>Mainline CASM, excluding special items and fuel</w:t>
            </w:r>
          </w:p>
        </w:tc>
        <w:tc>
          <w:tcPr>
            <w:tcW w:w="2220" w:type="dxa"/>
            <w:vAlign w:val="bottom"/>
            <w:gridSpan w:val="2"/>
          </w:tcPr>
          <w:p>
            <w:pPr>
              <w:spacing w:after="0"/>
              <w:rPr>
                <w:sz w:val="18"/>
                <w:szCs w:val="18"/>
                <w:color w:val="auto"/>
              </w:rPr>
            </w:pPr>
          </w:p>
        </w:tc>
        <w:tc>
          <w:tcPr>
            <w:tcW w:w="660" w:type="dxa"/>
            <w:vAlign w:val="bottom"/>
            <w:gridSpan w:val="2"/>
          </w:tcPr>
          <w:p>
            <w:pPr>
              <w:jc w:val="right"/>
              <w:ind w:right="88"/>
              <w:spacing w:after="0"/>
              <w:rPr>
                <w:sz w:val="20"/>
                <w:szCs w:val="20"/>
                <w:color w:val="auto"/>
              </w:rPr>
            </w:pPr>
            <w:r>
              <w:rPr>
                <w:rFonts w:ascii="Arial" w:cs="Arial" w:eastAsia="Arial" w:hAnsi="Arial"/>
                <w:sz w:val="18"/>
                <w:szCs w:val="18"/>
                <w:color w:val="auto"/>
              </w:rPr>
              <w:t>9.82</w:t>
            </w:r>
          </w:p>
        </w:tc>
        <w:tc>
          <w:tcPr>
            <w:tcW w:w="1120" w:type="dxa"/>
            <w:vAlign w:val="bottom"/>
            <w:gridSpan w:val="3"/>
          </w:tcPr>
          <w:p>
            <w:pPr>
              <w:jc w:val="right"/>
              <w:ind w:right="140"/>
              <w:spacing w:after="0"/>
              <w:rPr>
                <w:sz w:val="20"/>
                <w:szCs w:val="20"/>
                <w:color w:val="auto"/>
              </w:rPr>
            </w:pPr>
            <w:r>
              <w:rPr>
                <w:rFonts w:ascii="Arial" w:cs="Arial" w:eastAsia="Arial" w:hAnsi="Arial"/>
                <w:sz w:val="18"/>
                <w:szCs w:val="18"/>
                <w:color w:val="auto"/>
              </w:rPr>
              <w:t>9.12</w:t>
            </w:r>
          </w:p>
        </w:tc>
        <w:tc>
          <w:tcPr>
            <w:tcW w:w="2480" w:type="dxa"/>
            <w:vAlign w:val="bottom"/>
          </w:tcPr>
          <w:p>
            <w:pPr>
              <w:jc w:val="right"/>
              <w:ind w:right="773"/>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2080" w:type="dxa"/>
            <w:vAlign w:val="bottom"/>
            <w:vMerge w:val="restart"/>
          </w:tcPr>
          <w:p>
            <w:pPr>
              <w:jc w:val="right"/>
              <w:ind w:right="1110"/>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940" w:type="dxa"/>
            <w:vAlign w:val="bottom"/>
          </w:tcPr>
          <w:p>
            <w:pPr>
              <w:spacing w:after="0"/>
              <w:rPr>
                <w:sz w:val="24"/>
                <w:szCs w:val="24"/>
                <w:color w:val="auto"/>
              </w:rPr>
            </w:pPr>
          </w:p>
        </w:tc>
        <w:tc>
          <w:tcPr>
            <w:tcW w:w="20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69"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Significant changes in the components of mainline CASM are as follows:</w:t>
      </w:r>
    </w:p>
    <w:p>
      <w:pPr>
        <w:spacing w:after="0" w:line="117" w:lineRule="exact"/>
        <w:rPr>
          <w:sz w:val="20"/>
          <w:szCs w:val="20"/>
          <w:color w:val="auto"/>
        </w:rPr>
      </w:pPr>
    </w:p>
    <w:p>
      <w:pPr>
        <w:ind w:left="780" w:right="20" w:hanging="326"/>
        <w:spacing w:after="0" w:line="246"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Aircraft fuel and related taxes per ASM increased 13.4% primarily due to a 14.5% increase in the average price per gallon of fuel to $1.62 in the second quarter of 2017 from $1.41 in the 2016 period.</w:t>
      </w:r>
    </w:p>
    <w:p>
      <w:pPr>
        <w:spacing w:after="0" w:line="102" w:lineRule="exact"/>
        <w:rPr>
          <w:rFonts w:ascii="Arial" w:cs="Arial" w:eastAsia="Arial" w:hAnsi="Arial"/>
          <w:sz w:val="18"/>
          <w:szCs w:val="18"/>
          <w:color w:val="auto"/>
        </w:rPr>
      </w:pPr>
    </w:p>
    <w:p>
      <w:pPr>
        <w:jc w:val="both"/>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Salaries, wages and benefits per ASM increased 11.0% primarily due to mid-contract pay rate increases for pilots and flight attendants effective in the second quarter of 2017, as well as rate increases for maintenance and fleet service work groups, which became effective in the third quarter of 2016.</w:t>
      </w:r>
    </w:p>
    <w:p>
      <w:pPr>
        <w:spacing w:after="0" w:line="108" w:lineRule="exact"/>
        <w:rPr>
          <w:rFonts w:ascii="Arial" w:cs="Arial" w:eastAsia="Arial" w:hAnsi="Arial"/>
          <w:sz w:val="18"/>
          <w:szCs w:val="18"/>
          <w:color w:val="auto"/>
        </w:rPr>
      </w:pPr>
    </w:p>
    <w:p>
      <w:pPr>
        <w:jc w:val="both"/>
        <w:ind w:left="780" w:hanging="326"/>
        <w:spacing w:after="0" w:line="238"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Maintenance, materials and repairs per ASM increased 7.9% as compared to the 2016 period primarily due to a contract change impacting the timing of maintenance expenses incurred. Certain flight equipment was transitioned to a new flight hour based contract (referred to as power by the hour) where expense is incurred and recognized based on actual hours flown. Previously this flight equipment was covered by a time and materials based contract where expense is incurred and recognized as maintenance is performed.</w:t>
      </w:r>
    </w:p>
    <w:p>
      <w:pPr>
        <w:spacing w:after="0" w:line="108" w:lineRule="exact"/>
        <w:rPr>
          <w:rFonts w:ascii="Arial" w:cs="Arial" w:eastAsia="Arial" w:hAnsi="Arial"/>
          <w:sz w:val="18"/>
          <w:szCs w:val="18"/>
          <w:color w:val="auto"/>
        </w:rPr>
      </w:pPr>
    </w:p>
    <w:p>
      <w:pPr>
        <w:ind w:left="780" w:hanging="326"/>
        <w:spacing w:after="0" w:line="246"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Selling expenses per ASM increased 11.0% primarily due to higher revenues in the second quarter of 2017 as compared to the 2016 period, resulting in higher commissions.</w:t>
      </w:r>
    </w:p>
    <w:p>
      <w:pPr>
        <w:spacing w:after="0" w:line="102" w:lineRule="exact"/>
        <w:rPr>
          <w:rFonts w:ascii="Arial" w:cs="Arial" w:eastAsia="Arial" w:hAnsi="Arial"/>
          <w:sz w:val="18"/>
          <w:szCs w:val="18"/>
          <w:color w:val="auto"/>
        </w:rPr>
      </w:pPr>
    </w:p>
    <w:p>
      <w:pPr>
        <w:ind w:left="780" w:hanging="326"/>
        <w:spacing w:after="0" w:line="246"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Depreciation and amortization per ASM increased 10.0% primarily due to aircraft purchased in connection with our fleet renewal program.</w:t>
      </w:r>
    </w:p>
    <w:p>
      <w:pPr>
        <w:spacing w:after="0" w:line="102" w:lineRule="exact"/>
        <w:rPr>
          <w:rFonts w:ascii="Arial" w:cs="Arial" w:eastAsia="Arial" w:hAnsi="Arial"/>
          <w:sz w:val="18"/>
          <w:szCs w:val="18"/>
          <w:color w:val="auto"/>
        </w:rPr>
      </w:pPr>
    </w:p>
    <w:p>
      <w:pPr>
        <w:ind w:left="780" w:hanging="326"/>
        <w:spacing w:after="0" w:line="246"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 operating expenses per ASM increased 5.0% primarily due to expenses associated with improving our product offerings, customer experience and operational reliability.</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Operating Special Items, Net</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4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6"/>
          </w:tcPr>
          <w:p>
            <w:pPr>
              <w:jc w:val="right"/>
              <w:ind w:right="460"/>
              <w:spacing w:after="0"/>
              <w:rPr>
                <w:sz w:val="20"/>
                <w:szCs w:val="20"/>
                <w:color w:val="auto"/>
              </w:rPr>
            </w:pPr>
            <w:r>
              <w:rPr>
                <w:rFonts w:ascii="Arial" w:cs="Arial" w:eastAsia="Arial" w:hAnsi="Arial"/>
                <w:sz w:val="14"/>
                <w:szCs w:val="14"/>
                <w:b w:val="1"/>
                <w:bCs w:val="1"/>
                <w:color w:val="auto"/>
              </w:rPr>
              <w:t>Three Months Ended June 30,</w:t>
            </w:r>
          </w:p>
        </w:tc>
      </w:tr>
      <w:tr>
        <w:trPr>
          <w:trHeight w:val="156"/>
        </w:trPr>
        <w:tc>
          <w:tcPr>
            <w:tcW w:w="84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32"/>
              <w:spacing w:after="0" w:line="155"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auto"/>
            </w:tcBorders>
          </w:tcPr>
          <w:p>
            <w:pPr>
              <w:spacing w:after="0"/>
              <w:rPr>
                <w:sz w:val="13"/>
                <w:szCs w:val="13"/>
                <w:color w:val="auto"/>
              </w:rPr>
            </w:pPr>
          </w:p>
        </w:tc>
      </w:tr>
      <w:tr>
        <w:trPr>
          <w:trHeight w:val="156"/>
        </w:trPr>
        <w:tc>
          <w:tcPr>
            <w:tcW w:w="8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80" w:type="dxa"/>
            <w:vAlign w:val="bottom"/>
            <w:gridSpan w:val="2"/>
          </w:tcPr>
          <w:p>
            <w:pPr>
              <w:jc w:val="right"/>
              <w:ind w:right="320"/>
              <w:spacing w:after="0" w:line="155" w:lineRule="exact"/>
              <w:rPr>
                <w:sz w:val="20"/>
                <w:szCs w:val="20"/>
                <w:color w:val="auto"/>
              </w:rPr>
            </w:pPr>
            <w:r>
              <w:rPr>
                <w:rFonts w:ascii="Arial" w:cs="Arial" w:eastAsia="Arial" w:hAnsi="Arial"/>
                <w:sz w:val="14"/>
                <w:szCs w:val="14"/>
                <w:b w:val="1"/>
                <w:bCs w:val="1"/>
                <w:color w:val="auto"/>
              </w:rPr>
              <w:t>(In millions)</w:t>
            </w: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203"/>
        </w:trPr>
        <w:tc>
          <w:tcPr>
            <w:tcW w:w="86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 xml:space="preserve">Merger integration expenses </w:t>
            </w:r>
            <w:r>
              <w:rPr>
                <w:rFonts w:ascii="Arial" w:cs="Arial" w:eastAsia="Arial" w:hAnsi="Arial"/>
                <w:sz w:val="15"/>
                <w:szCs w:val="15"/>
                <w:color w:val="auto"/>
              </w:rPr>
              <w:t>(1)</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68</w:t>
            </w:r>
          </w:p>
        </w:tc>
        <w:tc>
          <w:tcPr>
            <w:tcW w:w="11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97</w:t>
            </w:r>
          </w:p>
        </w:tc>
      </w:tr>
      <w:tr>
        <w:trPr>
          <w:trHeight w:val="203"/>
        </w:trPr>
        <w:tc>
          <w:tcPr>
            <w:tcW w:w="8620" w:type="dxa"/>
            <w:vAlign w:val="bottom"/>
            <w:gridSpan w:val="2"/>
          </w:tcPr>
          <w:p>
            <w:pPr>
              <w:spacing w:after="0" w:line="202" w:lineRule="exact"/>
              <w:rPr>
                <w:sz w:val="20"/>
                <w:szCs w:val="20"/>
                <w:color w:val="auto"/>
              </w:rPr>
            </w:pPr>
            <w:r>
              <w:rPr>
                <w:rFonts w:ascii="Arial" w:cs="Arial" w:eastAsia="Arial" w:hAnsi="Arial"/>
                <w:sz w:val="18"/>
                <w:szCs w:val="18"/>
                <w:color w:val="auto"/>
              </w:rPr>
              <w:t xml:space="preserve">Fleet restructuring expenses </w:t>
            </w:r>
            <w:r>
              <w:rPr>
                <w:rFonts w:ascii="Arial" w:cs="Arial" w:eastAsia="Arial" w:hAnsi="Arial"/>
                <w:sz w:val="15"/>
                <w:szCs w:val="15"/>
                <w:color w:val="auto"/>
              </w:rPr>
              <w:t>(2)</w:t>
            </w:r>
          </w:p>
        </w:tc>
        <w:tc>
          <w:tcPr>
            <w:tcW w:w="180" w:type="dxa"/>
            <w:vAlign w:val="bottom"/>
          </w:tcPr>
          <w:p>
            <w:pPr>
              <w:spacing w:after="0"/>
              <w:rPr>
                <w:sz w:val="17"/>
                <w:szCs w:val="17"/>
                <w:color w:val="auto"/>
              </w:rPr>
            </w:pPr>
          </w:p>
        </w:tc>
        <w:tc>
          <w:tcPr>
            <w:tcW w:w="7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48</w:t>
            </w: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15</w:t>
            </w:r>
          </w:p>
        </w:tc>
      </w:tr>
      <w:tr>
        <w:trPr>
          <w:trHeight w:val="203"/>
        </w:trPr>
        <w:tc>
          <w:tcPr>
            <w:tcW w:w="86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Mark-to-market adjustments for bankruptcy obligations and other</w:t>
            </w:r>
          </w:p>
        </w:tc>
        <w:tc>
          <w:tcPr>
            <w:tcW w:w="1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38</w:t>
            </w: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(56)</w:t>
            </w:r>
          </w:p>
        </w:tc>
      </w:tr>
      <w:tr>
        <w:trPr>
          <w:trHeight w:val="203"/>
        </w:trPr>
        <w:tc>
          <w:tcPr>
            <w:tcW w:w="8620" w:type="dxa"/>
            <w:vAlign w:val="bottom"/>
            <w:gridSpan w:val="2"/>
          </w:tcPr>
          <w:p>
            <w:pPr>
              <w:spacing w:after="0" w:line="202" w:lineRule="exact"/>
              <w:rPr>
                <w:sz w:val="20"/>
                <w:szCs w:val="20"/>
                <w:color w:val="auto"/>
              </w:rPr>
            </w:pPr>
            <w:r>
              <w:rPr>
                <w:rFonts w:ascii="Arial" w:cs="Arial" w:eastAsia="Arial" w:hAnsi="Arial"/>
                <w:sz w:val="18"/>
                <w:szCs w:val="18"/>
                <w:color w:val="auto"/>
              </w:rPr>
              <w:t xml:space="preserve">Labor contract expenses </w:t>
            </w:r>
            <w:r>
              <w:rPr>
                <w:rFonts w:ascii="Arial" w:cs="Arial" w:eastAsia="Arial" w:hAnsi="Arial"/>
                <w:sz w:val="15"/>
                <w:szCs w:val="15"/>
                <w:color w:val="auto"/>
              </w:rPr>
              <w:t>(3)</w:t>
            </w:r>
          </w:p>
        </w:tc>
        <w:tc>
          <w:tcPr>
            <w:tcW w:w="180" w:type="dxa"/>
            <w:vAlign w:val="bottom"/>
          </w:tcPr>
          <w:p>
            <w:pPr>
              <w:spacing w:after="0"/>
              <w:rPr>
                <w:sz w:val="17"/>
                <w:szCs w:val="17"/>
                <w:color w:val="auto"/>
              </w:rPr>
            </w:pPr>
          </w:p>
        </w:tc>
        <w:tc>
          <w:tcPr>
            <w:tcW w:w="7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45</w:t>
            </w: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r>
      <w:tr>
        <w:trPr>
          <w:trHeight w:val="203"/>
        </w:trPr>
        <w:tc>
          <w:tcPr>
            <w:tcW w:w="86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Other operating charges, net</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6</w:t>
            </w:r>
          </w:p>
        </w:tc>
      </w:tr>
      <w:tr>
        <w:trPr>
          <w:trHeight w:val="20"/>
        </w:trPr>
        <w:tc>
          <w:tcPr>
            <w:tcW w:w="8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8620" w:type="dxa"/>
            <w:vAlign w:val="bottom"/>
            <w:gridSpan w:val="2"/>
          </w:tcPr>
          <w:p>
            <w:pPr>
              <w:ind w:left="180"/>
              <w:spacing w:after="0"/>
              <w:rPr>
                <w:sz w:val="20"/>
                <w:szCs w:val="20"/>
                <w:color w:val="auto"/>
              </w:rPr>
            </w:pPr>
            <w:r>
              <w:rPr>
                <w:rFonts w:ascii="Arial" w:cs="Arial" w:eastAsia="Arial" w:hAnsi="Arial"/>
                <w:sz w:val="18"/>
                <w:szCs w:val="18"/>
                <w:color w:val="auto"/>
              </w:rPr>
              <w:t>Total mainline operating special items, net</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202</w:t>
            </w: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62</w:t>
            </w:r>
          </w:p>
        </w:tc>
      </w:tr>
      <w:tr>
        <w:trPr>
          <w:trHeight w:val="203"/>
        </w:trPr>
        <w:tc>
          <w:tcPr>
            <w:tcW w:w="86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 xml:space="preserve">Regional operating special items, net </w:t>
            </w:r>
            <w:r>
              <w:rPr>
                <w:rFonts w:ascii="Arial" w:cs="Arial" w:eastAsia="Arial" w:hAnsi="Arial"/>
                <w:sz w:val="15"/>
                <w:szCs w:val="15"/>
                <w:color w:val="auto"/>
              </w:rPr>
              <w:t>(4)</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w:t>
            </w:r>
          </w:p>
        </w:tc>
      </w:tr>
      <w:tr>
        <w:trPr>
          <w:trHeight w:val="20"/>
        </w:trPr>
        <w:tc>
          <w:tcPr>
            <w:tcW w:w="8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8620" w:type="dxa"/>
            <w:vAlign w:val="bottom"/>
            <w:gridSpan w:val="2"/>
          </w:tcPr>
          <w:p>
            <w:pPr>
              <w:ind w:left="180"/>
              <w:spacing w:after="0"/>
              <w:rPr>
                <w:sz w:val="20"/>
                <w:szCs w:val="20"/>
                <w:color w:val="auto"/>
              </w:rPr>
            </w:pPr>
            <w:r>
              <w:rPr>
                <w:rFonts w:ascii="Arial" w:cs="Arial" w:eastAsia="Arial" w:hAnsi="Arial"/>
                <w:sz w:val="18"/>
                <w:szCs w:val="18"/>
                <w:color w:val="auto"/>
              </w:rPr>
              <w:t>Total operating special items, net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203</w:t>
            </w:r>
          </w:p>
        </w:tc>
        <w:tc>
          <w:tcPr>
            <w:tcW w:w="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65</w:t>
            </w:r>
          </w:p>
        </w:tc>
      </w:tr>
      <w:tr>
        <w:trPr>
          <w:trHeight w:val="20"/>
        </w:trPr>
        <w:tc>
          <w:tcPr>
            <w:tcW w:w="8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82" w:lineRule="exact"/>
        <w:rPr>
          <w:sz w:val="20"/>
          <w:szCs w:val="20"/>
          <w:color w:val="auto"/>
        </w:rPr>
      </w:pPr>
    </w:p>
    <w:p>
      <w:pPr>
        <w:jc w:val="both"/>
        <w:ind w:left="460" w:hanging="452"/>
        <w:spacing w:after="0"/>
        <w:tabs>
          <w:tab w:leader="none" w:pos="460" w:val="left"/>
        </w:tabs>
        <w:numPr>
          <w:ilvl w:val="0"/>
          <w:numId w:val="16"/>
        </w:numPr>
        <w:rPr>
          <w:rFonts w:ascii="Arial" w:cs="Arial" w:eastAsia="Arial" w:hAnsi="Arial"/>
          <w:sz w:val="15"/>
          <w:szCs w:val="15"/>
          <w:color w:val="auto"/>
        </w:rPr>
      </w:pPr>
      <w:r>
        <w:rPr>
          <w:rFonts w:ascii="Arial" w:cs="Arial" w:eastAsia="Arial" w:hAnsi="Arial"/>
          <w:sz w:val="18"/>
          <w:szCs w:val="18"/>
          <w:color w:val="auto"/>
        </w:rPr>
        <w:t>Merger integration expenses included costs related to information technology, professional fees, re-branding of aircraft and airport facilities and training. Additionally, the 2016 period also included costs related to alignment of labor union contracts, re-branded uniforms, relocation and severance.</w:t>
      </w:r>
    </w:p>
    <w:p>
      <w:pPr>
        <w:spacing w:after="0" w:line="108" w:lineRule="exact"/>
        <w:rPr>
          <w:rFonts w:ascii="Arial" w:cs="Arial" w:eastAsia="Arial" w:hAnsi="Arial"/>
          <w:sz w:val="15"/>
          <w:szCs w:val="15"/>
          <w:color w:val="auto"/>
        </w:rPr>
      </w:pPr>
    </w:p>
    <w:p>
      <w:pPr>
        <w:ind w:left="460" w:hanging="452"/>
        <w:spacing w:after="0" w:line="246" w:lineRule="auto"/>
        <w:tabs>
          <w:tab w:leader="none" w:pos="460" w:val="left"/>
        </w:tabs>
        <w:numPr>
          <w:ilvl w:val="0"/>
          <w:numId w:val="16"/>
        </w:numPr>
        <w:rPr>
          <w:rFonts w:ascii="Arial" w:cs="Arial" w:eastAsia="Arial" w:hAnsi="Arial"/>
          <w:sz w:val="15"/>
          <w:szCs w:val="15"/>
          <w:color w:val="auto"/>
        </w:rPr>
      </w:pPr>
      <w:r>
        <w:rPr>
          <w:rFonts w:ascii="Arial" w:cs="Arial" w:eastAsia="Arial" w:hAnsi="Arial"/>
          <w:sz w:val="18"/>
          <w:szCs w:val="18"/>
          <w:color w:val="auto"/>
        </w:rPr>
        <w:t>Fleet restructuring expenses driven by the Merger principally included the acceleration of aircraft depreciation and impairments for aircraft grounded or expected to be grounded earlier than planned.</w:t>
      </w:r>
    </w:p>
    <w:p>
      <w:pPr>
        <w:spacing w:after="0" w:line="102" w:lineRule="exact"/>
        <w:rPr>
          <w:rFonts w:ascii="Arial" w:cs="Arial" w:eastAsia="Arial" w:hAnsi="Arial"/>
          <w:sz w:val="15"/>
          <w:szCs w:val="15"/>
          <w:color w:val="auto"/>
        </w:rPr>
      </w:pPr>
    </w:p>
    <w:p>
      <w:pPr>
        <w:ind w:left="460" w:hanging="452"/>
        <w:spacing w:after="0" w:line="246" w:lineRule="auto"/>
        <w:tabs>
          <w:tab w:leader="none" w:pos="460" w:val="left"/>
        </w:tabs>
        <w:numPr>
          <w:ilvl w:val="0"/>
          <w:numId w:val="16"/>
        </w:numPr>
        <w:rPr>
          <w:rFonts w:ascii="Arial" w:cs="Arial" w:eastAsia="Arial" w:hAnsi="Arial"/>
          <w:sz w:val="15"/>
          <w:szCs w:val="15"/>
          <w:color w:val="auto"/>
        </w:rPr>
      </w:pPr>
      <w:r>
        <w:rPr>
          <w:rFonts w:ascii="Arial" w:cs="Arial" w:eastAsia="Arial" w:hAnsi="Arial"/>
          <w:sz w:val="18"/>
          <w:szCs w:val="18"/>
          <w:color w:val="auto"/>
        </w:rPr>
        <w:t>Labor contract expenses primarily included one-time charges to adjust the vacation accruals for pilots and flight attendants as a result of the mid-contract pay rate adjustments effective in the second quarter of 2017.</w:t>
      </w:r>
    </w:p>
    <w:p>
      <w:pPr>
        <w:spacing w:after="0" w:line="102" w:lineRule="exact"/>
        <w:rPr>
          <w:rFonts w:ascii="Arial" w:cs="Arial" w:eastAsia="Arial" w:hAnsi="Arial"/>
          <w:sz w:val="15"/>
          <w:szCs w:val="15"/>
          <w:color w:val="auto"/>
        </w:rPr>
      </w:pPr>
    </w:p>
    <w:p>
      <w:pPr>
        <w:ind w:left="460" w:hanging="452"/>
        <w:spacing w:after="0"/>
        <w:tabs>
          <w:tab w:leader="none" w:pos="460" w:val="left"/>
        </w:tabs>
        <w:numPr>
          <w:ilvl w:val="0"/>
          <w:numId w:val="16"/>
        </w:numPr>
        <w:rPr>
          <w:rFonts w:ascii="Arial" w:cs="Arial" w:eastAsia="Arial" w:hAnsi="Arial"/>
          <w:sz w:val="15"/>
          <w:szCs w:val="15"/>
          <w:color w:val="auto"/>
        </w:rPr>
      </w:pPr>
      <w:r>
        <w:rPr>
          <w:rFonts w:ascii="Arial" w:cs="Arial" w:eastAsia="Arial" w:hAnsi="Arial"/>
          <w:sz w:val="18"/>
          <w:szCs w:val="18"/>
          <w:color w:val="auto"/>
        </w:rPr>
        <w:t>Regional operating special items, net principally related to Merger integration expenses.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87" w:right="239" w:bottom="1440" w:gutter="0" w:footer="0" w:header="0"/>
        </w:sectPr>
      </w:pPr>
    </w:p>
    <w:bookmarkStart w:id="37" w:name="page38"/>
    <w:bookmarkEnd w:id="37"/>
    <w:p>
      <w:pPr>
        <w:ind w:left="240"/>
        <w:spacing w:after="0"/>
        <w:rPr>
          <w:sz w:val="20"/>
          <w:szCs w:val="20"/>
          <w:color w:val="auto"/>
        </w:rPr>
      </w:pPr>
      <w:r>
        <w:rPr>
          <w:rFonts w:ascii="Arial" w:cs="Arial" w:eastAsia="Arial" w:hAnsi="Arial"/>
          <w:sz w:val="18"/>
          <w:szCs w:val="18"/>
          <w:i w:val="1"/>
          <w:i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Regional Operating Expenses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rPr>
              <w:t>Three Months Ended</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jc w:val="center"/>
              <w:ind w:right="39"/>
              <w:spacing w:after="0"/>
              <w:rPr>
                <w:sz w:val="20"/>
                <w:szCs w:val="20"/>
                <w:color w:val="auto"/>
              </w:rPr>
            </w:pPr>
            <w:r>
              <w:rPr>
                <w:rFonts w:ascii="Arial" w:cs="Arial" w:eastAsia="Arial" w:hAnsi="Arial"/>
                <w:sz w:val="14"/>
                <w:szCs w:val="14"/>
                <w:b w:val="1"/>
                <w:bCs w:val="1"/>
                <w:color w:val="auto"/>
              </w:rPr>
              <w:t>Percent</w:t>
            </w:r>
          </w:p>
        </w:tc>
      </w:tr>
      <w:tr>
        <w:trPr>
          <w:trHeight w:val="175"/>
        </w:trPr>
        <w:tc>
          <w:tcPr>
            <w:tcW w:w="654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rPr>
              <w:t>June 30,</w:t>
            </w:r>
          </w:p>
        </w:tc>
        <w:tc>
          <w:tcPr>
            <w:tcW w:w="5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9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rPr>
              <w:t>Increase</w:t>
            </w:r>
          </w:p>
        </w:tc>
        <w:tc>
          <w:tcPr>
            <w:tcW w:w="980" w:type="dxa"/>
            <w:vAlign w:val="bottom"/>
          </w:tcPr>
          <w:p>
            <w:pPr>
              <w:jc w:val="center"/>
              <w:ind w:right="39"/>
              <w:spacing w:after="0"/>
              <w:rPr>
                <w:sz w:val="20"/>
                <w:szCs w:val="20"/>
                <w:color w:val="auto"/>
              </w:rPr>
            </w:pPr>
            <w:r>
              <w:rPr>
                <w:rFonts w:ascii="Arial" w:cs="Arial" w:eastAsia="Arial" w:hAnsi="Arial"/>
                <w:sz w:val="14"/>
                <w:szCs w:val="14"/>
                <w:b w:val="1"/>
                <w:bCs w:val="1"/>
                <w:color w:val="auto"/>
              </w:rPr>
              <w:t>Increase</w:t>
            </w:r>
          </w:p>
        </w:tc>
      </w:tr>
      <w:tr>
        <w:trPr>
          <w:trHeight w:val="156"/>
        </w:trPr>
        <w:tc>
          <w:tcPr>
            <w:tcW w:w="654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39"/>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14"/>
              <w:spacing w:after="0" w:line="155" w:lineRule="exact"/>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gridSpan w:val="4"/>
          </w:tcPr>
          <w:p>
            <w:pPr>
              <w:jc w:val="center"/>
              <w:ind w:right="120"/>
              <w:spacing w:after="0" w:line="155" w:lineRule="exact"/>
              <w:rPr>
                <w:sz w:val="20"/>
                <w:szCs w:val="20"/>
                <w:color w:val="auto"/>
              </w:rPr>
            </w:pPr>
            <w:r>
              <w:rPr>
                <w:rFonts w:ascii="Arial" w:cs="Arial" w:eastAsia="Arial" w:hAnsi="Arial"/>
                <w:sz w:val="14"/>
                <w:szCs w:val="14"/>
                <w:b w:val="1"/>
                <w:bCs w:val="1"/>
                <w:color w:val="auto"/>
              </w:rPr>
              <w:t>(Decrease)</w:t>
            </w:r>
          </w:p>
        </w:tc>
        <w:tc>
          <w:tcPr>
            <w:tcW w:w="980" w:type="dxa"/>
            <w:vAlign w:val="bottom"/>
            <w:tcBorders>
              <w:bottom w:val="single" w:sz="8" w:color="auto"/>
            </w:tcBorders>
          </w:tcPr>
          <w:p>
            <w:pPr>
              <w:jc w:val="center"/>
              <w:ind w:right="39"/>
              <w:spacing w:after="0" w:line="155" w:lineRule="exact"/>
              <w:rPr>
                <w:sz w:val="20"/>
                <w:szCs w:val="20"/>
                <w:color w:val="auto"/>
              </w:rPr>
            </w:pPr>
            <w:r>
              <w:rPr>
                <w:rFonts w:ascii="Arial" w:cs="Arial" w:eastAsia="Arial" w:hAnsi="Arial"/>
                <w:sz w:val="14"/>
                <w:szCs w:val="14"/>
                <w:b w:val="1"/>
                <w:bCs w:val="1"/>
                <w:color w:val="auto"/>
              </w:rPr>
              <w:t>(Decrease)</w:t>
            </w:r>
          </w:p>
        </w:tc>
      </w:tr>
      <w:tr>
        <w:trPr>
          <w:trHeight w:val="156"/>
        </w:trPr>
        <w:tc>
          <w:tcPr>
            <w:tcW w:w="6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0" w:type="dxa"/>
            <w:vAlign w:val="bottom"/>
            <w:gridSpan w:val="8"/>
          </w:tcPr>
          <w:p>
            <w:pPr>
              <w:ind w:left="140"/>
              <w:spacing w:after="0" w:line="155" w:lineRule="exact"/>
              <w:rPr>
                <w:sz w:val="20"/>
                <w:szCs w:val="20"/>
                <w:color w:val="auto"/>
              </w:rPr>
            </w:pPr>
            <w:r>
              <w:rPr>
                <w:rFonts w:ascii="Arial" w:cs="Arial" w:eastAsia="Arial" w:hAnsi="Arial"/>
                <w:sz w:val="14"/>
                <w:szCs w:val="14"/>
                <w:b w:val="1"/>
                <w:bCs w:val="1"/>
                <w:color w:val="auto"/>
              </w:rPr>
              <w:t>(In millions, except percentage changes)</w:t>
            </w:r>
          </w:p>
        </w:tc>
        <w:tc>
          <w:tcPr>
            <w:tcW w:w="980" w:type="dxa"/>
            <w:vAlign w:val="bottom"/>
          </w:tcPr>
          <w:p>
            <w:pPr>
              <w:spacing w:after="0"/>
              <w:rPr>
                <w:sz w:val="13"/>
                <w:szCs w:val="13"/>
                <w:color w:val="auto"/>
              </w:rPr>
            </w:pPr>
          </w:p>
        </w:tc>
      </w:tr>
      <w:tr>
        <w:trPr>
          <w:trHeight w:val="203"/>
        </w:trPr>
        <w:tc>
          <w:tcPr>
            <w:tcW w:w="6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Aircraft fuel and related taxes</w:t>
            </w:r>
          </w:p>
        </w:tc>
        <w:tc>
          <w:tcPr>
            <w:tcW w:w="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329</w:t>
            </w:r>
          </w:p>
        </w:tc>
        <w:tc>
          <w:tcPr>
            <w:tcW w:w="14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279</w:t>
            </w:r>
          </w:p>
        </w:tc>
        <w:tc>
          <w:tcPr>
            <w:tcW w:w="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40"/>
              <w:spacing w:after="0" w:line="202" w:lineRule="exact"/>
              <w:rPr>
                <w:sz w:val="20"/>
                <w:szCs w:val="20"/>
                <w:color w:val="auto"/>
              </w:rPr>
            </w:pPr>
            <w:r>
              <w:rPr>
                <w:rFonts w:ascii="Arial" w:cs="Arial" w:eastAsia="Arial" w:hAnsi="Arial"/>
                <w:sz w:val="18"/>
                <w:szCs w:val="18"/>
                <w:color w:val="auto"/>
              </w:rPr>
              <w:t>50</w:t>
            </w:r>
          </w:p>
        </w:tc>
        <w:tc>
          <w:tcPr>
            <w:tcW w:w="980" w:type="dxa"/>
            <w:vAlign w:val="bottom"/>
            <w:shd w:val="clear" w:color="auto" w:fill="CCEEFF"/>
          </w:tcPr>
          <w:p>
            <w:pPr>
              <w:jc w:val="right"/>
              <w:ind w:right="279"/>
              <w:spacing w:after="0" w:line="202" w:lineRule="exact"/>
              <w:rPr>
                <w:sz w:val="20"/>
                <w:szCs w:val="20"/>
                <w:color w:val="auto"/>
              </w:rPr>
            </w:pPr>
            <w:r>
              <w:rPr>
                <w:rFonts w:ascii="Arial" w:cs="Arial" w:eastAsia="Arial" w:hAnsi="Arial"/>
                <w:sz w:val="18"/>
                <w:szCs w:val="18"/>
                <w:color w:val="auto"/>
              </w:rPr>
              <w:t>18.0</w:t>
            </w:r>
          </w:p>
        </w:tc>
      </w:tr>
      <w:tr>
        <w:trPr>
          <w:trHeight w:val="203"/>
        </w:trPr>
        <w:tc>
          <w:tcPr>
            <w:tcW w:w="654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1,291</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1,239</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840"/>
              <w:spacing w:after="0" w:line="202" w:lineRule="exact"/>
              <w:rPr>
                <w:sz w:val="20"/>
                <w:szCs w:val="20"/>
                <w:color w:val="auto"/>
              </w:rPr>
            </w:pPr>
            <w:r>
              <w:rPr>
                <w:rFonts w:ascii="Arial" w:cs="Arial" w:eastAsia="Arial" w:hAnsi="Arial"/>
                <w:sz w:val="18"/>
                <w:szCs w:val="18"/>
                <w:color w:val="auto"/>
              </w:rPr>
              <w:t>52</w:t>
            </w:r>
          </w:p>
        </w:tc>
        <w:tc>
          <w:tcPr>
            <w:tcW w:w="980" w:type="dxa"/>
            <w:vAlign w:val="bottom"/>
          </w:tcPr>
          <w:p>
            <w:pPr>
              <w:jc w:val="right"/>
              <w:ind w:right="279"/>
              <w:spacing w:after="0" w:line="202" w:lineRule="exact"/>
              <w:rPr>
                <w:sz w:val="20"/>
                <w:szCs w:val="20"/>
                <w:color w:val="auto"/>
              </w:rPr>
            </w:pPr>
            <w:r>
              <w:rPr>
                <w:rFonts w:ascii="Arial" w:cs="Arial" w:eastAsia="Arial" w:hAnsi="Arial"/>
                <w:sz w:val="18"/>
                <w:szCs w:val="18"/>
                <w:color w:val="auto"/>
              </w:rPr>
              <w:t>4.3</w:t>
            </w:r>
          </w:p>
        </w:tc>
      </w:tr>
      <w:tr>
        <w:trPr>
          <w:trHeight w:val="27"/>
        </w:trPr>
        <w:tc>
          <w:tcPr>
            <w:tcW w:w="6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03"/>
        </w:trPr>
        <w:tc>
          <w:tcPr>
            <w:tcW w:w="65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Total regional operating expenses</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1,620</w:t>
            </w:r>
          </w:p>
        </w:tc>
        <w:tc>
          <w:tcPr>
            <w:tcW w:w="4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1,518</w:t>
            </w:r>
          </w:p>
        </w:tc>
        <w:tc>
          <w:tcPr>
            <w:tcW w:w="8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1160" w:type="dxa"/>
            <w:vAlign w:val="bottom"/>
            <w:gridSpan w:val="2"/>
            <w:shd w:val="clear" w:color="auto" w:fill="CCEEFF"/>
          </w:tcPr>
          <w:p>
            <w:pPr>
              <w:jc w:val="right"/>
              <w:ind w:right="840"/>
              <w:spacing w:after="0" w:line="202" w:lineRule="exact"/>
              <w:rPr>
                <w:sz w:val="20"/>
                <w:szCs w:val="20"/>
                <w:color w:val="auto"/>
              </w:rPr>
            </w:pPr>
            <w:r>
              <w:rPr>
                <w:rFonts w:ascii="Arial" w:cs="Arial" w:eastAsia="Arial" w:hAnsi="Arial"/>
                <w:sz w:val="18"/>
                <w:szCs w:val="18"/>
                <w:color w:val="auto"/>
                <w:w w:val="99"/>
              </w:rPr>
              <w:t>102</w:t>
            </w:r>
          </w:p>
        </w:tc>
        <w:tc>
          <w:tcPr>
            <w:tcW w:w="980" w:type="dxa"/>
            <w:vAlign w:val="bottom"/>
            <w:shd w:val="clear" w:color="auto" w:fill="CCEEFF"/>
          </w:tcPr>
          <w:p>
            <w:pPr>
              <w:jc w:val="right"/>
              <w:ind w:right="279"/>
              <w:spacing w:after="0" w:line="202" w:lineRule="exact"/>
              <w:rPr>
                <w:sz w:val="20"/>
                <w:szCs w:val="20"/>
                <w:color w:val="auto"/>
              </w:rPr>
            </w:pPr>
            <w:r>
              <w:rPr>
                <w:rFonts w:ascii="Arial" w:cs="Arial" w:eastAsia="Arial" w:hAnsi="Arial"/>
                <w:sz w:val="18"/>
                <w:szCs w:val="18"/>
                <w:color w:val="auto"/>
              </w:rPr>
              <w:t>6.8</w:t>
            </w:r>
          </w:p>
        </w:tc>
      </w:tr>
      <w:tr>
        <w:trPr>
          <w:trHeight w:val="20"/>
        </w:trPr>
        <w:tc>
          <w:tcPr>
            <w:tcW w:w="6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228"/>
        <w:spacing w:after="0" w:line="237" w:lineRule="auto"/>
        <w:rPr>
          <w:sz w:val="20"/>
          <w:szCs w:val="20"/>
          <w:color w:val="auto"/>
        </w:rPr>
      </w:pPr>
      <w:r>
        <w:rPr>
          <w:rFonts w:ascii="Arial" w:cs="Arial" w:eastAsia="Arial" w:hAnsi="Arial"/>
          <w:sz w:val="18"/>
          <w:szCs w:val="18"/>
          <w:color w:val="auto"/>
        </w:rPr>
        <w:t>Regional operating expenses increased $ 102 million, or 6.8%, in the second quarter of 2017 from the 2016 period. The period-over-period increase was primarily due to a $ 50 million, or 18.0%, increase in fuel costs and a $52 million, or 4.3%, increase in other regional operating expenses. The average price per gallon of fuel increased 15.9% to $1.69 in the second quarter of 2017 from $1.46 in the 2016 period, on a 1.8% increase in consumption. The increase in other regional operating expenses was primarily driven by a 1.7% increase in capacity, principally from our wholly-owned regional carriers. See Note 10 to AAG’s Condensed Consolidated Financial Statements in Part I, Item 1A for further information on regional expenses.</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Nonoperating Results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rPr>
              <w:t>Three Months Ended</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80" w:type="dxa"/>
            <w:vAlign w:val="bottom"/>
          </w:tcPr>
          <w:p>
            <w:pPr>
              <w:jc w:val="center"/>
              <w:ind w:right="118"/>
              <w:spacing w:after="0"/>
              <w:rPr>
                <w:sz w:val="20"/>
                <w:szCs w:val="20"/>
                <w:color w:val="auto"/>
              </w:rPr>
            </w:pPr>
            <w:r>
              <w:rPr>
                <w:rFonts w:ascii="Arial" w:cs="Arial" w:eastAsia="Arial" w:hAnsi="Arial"/>
                <w:sz w:val="14"/>
                <w:szCs w:val="14"/>
                <w:b w:val="1"/>
                <w:bCs w:val="1"/>
                <w:color w:val="auto"/>
              </w:rPr>
              <w:t>Percent</w:t>
            </w:r>
          </w:p>
        </w:tc>
      </w:tr>
      <w:tr>
        <w:trPr>
          <w:trHeight w:val="175"/>
        </w:trPr>
        <w:tc>
          <w:tcPr>
            <w:tcW w:w="666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5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96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Increase</w:t>
            </w:r>
          </w:p>
        </w:tc>
        <w:tc>
          <w:tcPr>
            <w:tcW w:w="980" w:type="dxa"/>
            <w:vAlign w:val="bottom"/>
          </w:tcPr>
          <w:p>
            <w:pPr>
              <w:jc w:val="center"/>
              <w:ind w:right="118"/>
              <w:spacing w:after="0"/>
              <w:rPr>
                <w:sz w:val="20"/>
                <w:szCs w:val="20"/>
                <w:color w:val="auto"/>
              </w:rPr>
            </w:pPr>
            <w:r>
              <w:rPr>
                <w:rFonts w:ascii="Arial" w:cs="Arial" w:eastAsia="Arial" w:hAnsi="Arial"/>
                <w:sz w:val="14"/>
                <w:szCs w:val="14"/>
                <w:b w:val="1"/>
                <w:bCs w:val="1"/>
                <w:color w:val="auto"/>
              </w:rPr>
              <w:t>Increase</w:t>
            </w:r>
          </w:p>
        </w:tc>
      </w:tr>
      <w:tr>
        <w:trPr>
          <w:trHeight w:val="156"/>
        </w:trPr>
        <w:tc>
          <w:tcPr>
            <w:tcW w:w="666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78"/>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74"/>
              <w:spacing w:after="0" w:line="155" w:lineRule="exact"/>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4"/>
          </w:tcPr>
          <w:p>
            <w:pPr>
              <w:jc w:val="right"/>
              <w:ind w:right="700"/>
              <w:spacing w:after="0" w:line="155" w:lineRule="exact"/>
              <w:rPr>
                <w:sz w:val="20"/>
                <w:szCs w:val="20"/>
                <w:color w:val="auto"/>
              </w:rPr>
            </w:pPr>
            <w:r>
              <w:rPr>
                <w:rFonts w:ascii="Arial" w:cs="Arial" w:eastAsia="Arial" w:hAnsi="Arial"/>
                <w:sz w:val="14"/>
                <w:szCs w:val="14"/>
                <w:b w:val="1"/>
                <w:bCs w:val="1"/>
                <w:color w:val="auto"/>
              </w:rPr>
              <w:t>(Decrease)</w:t>
            </w:r>
          </w:p>
        </w:tc>
        <w:tc>
          <w:tcPr>
            <w:tcW w:w="980" w:type="dxa"/>
            <w:vAlign w:val="bottom"/>
            <w:tcBorders>
              <w:bottom w:val="single" w:sz="8" w:color="auto"/>
            </w:tcBorders>
          </w:tcPr>
          <w:p>
            <w:pPr>
              <w:jc w:val="center"/>
              <w:ind w:right="118"/>
              <w:spacing w:after="0" w:line="155" w:lineRule="exact"/>
              <w:rPr>
                <w:sz w:val="20"/>
                <w:szCs w:val="20"/>
                <w:color w:val="auto"/>
              </w:rPr>
            </w:pPr>
            <w:r>
              <w:rPr>
                <w:rFonts w:ascii="Arial" w:cs="Arial" w:eastAsia="Arial" w:hAnsi="Arial"/>
                <w:sz w:val="14"/>
                <w:szCs w:val="14"/>
                <w:b w:val="1"/>
                <w:bCs w:val="1"/>
                <w:color w:val="auto"/>
              </w:rPr>
              <w:t>(Decrease)</w:t>
            </w:r>
          </w:p>
        </w:tc>
      </w:tr>
      <w:tr>
        <w:trPr>
          <w:trHeight w:val="156"/>
        </w:trPr>
        <w:tc>
          <w:tcPr>
            <w:tcW w:w="6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940" w:type="dxa"/>
            <w:vAlign w:val="bottom"/>
            <w:gridSpan w:val="8"/>
          </w:tcPr>
          <w:p>
            <w:pPr>
              <w:jc w:val="right"/>
              <w:ind w:right="20"/>
              <w:spacing w:after="0" w:line="155" w:lineRule="exact"/>
              <w:rPr>
                <w:sz w:val="20"/>
                <w:szCs w:val="20"/>
                <w:color w:val="auto"/>
              </w:rPr>
            </w:pPr>
            <w:r>
              <w:rPr>
                <w:rFonts w:ascii="Arial" w:cs="Arial" w:eastAsia="Arial" w:hAnsi="Arial"/>
                <w:sz w:val="14"/>
                <w:szCs w:val="14"/>
                <w:b w:val="1"/>
                <w:bCs w:val="1"/>
                <w:color w:val="auto"/>
              </w:rPr>
              <w:t>(In millions, except percentage changes)</w:t>
            </w:r>
          </w:p>
        </w:tc>
        <w:tc>
          <w:tcPr>
            <w:tcW w:w="980" w:type="dxa"/>
            <w:vAlign w:val="bottom"/>
          </w:tcPr>
          <w:p>
            <w:pPr>
              <w:spacing w:after="0"/>
              <w:rPr>
                <w:sz w:val="13"/>
                <w:szCs w:val="13"/>
                <w:color w:val="auto"/>
              </w:rPr>
            </w:pPr>
          </w:p>
        </w:tc>
      </w:tr>
      <w:tr>
        <w:trPr>
          <w:trHeight w:val="203"/>
        </w:trPr>
        <w:tc>
          <w:tcPr>
            <w:tcW w:w="67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Interest income</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w:t>
            </w:r>
          </w:p>
        </w:tc>
        <w:tc>
          <w:tcPr>
            <w:tcW w:w="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20"/>
              <w:spacing w:after="0" w:line="202" w:lineRule="exact"/>
              <w:rPr>
                <w:sz w:val="20"/>
                <w:szCs w:val="20"/>
                <w:color w:val="auto"/>
              </w:rPr>
            </w:pPr>
            <w:r>
              <w:rPr>
                <w:rFonts w:ascii="Arial" w:cs="Arial" w:eastAsia="Arial" w:hAnsi="Arial"/>
                <w:sz w:val="18"/>
                <w:szCs w:val="18"/>
                <w:color w:val="auto"/>
              </w:rPr>
              <w:t>8</w:t>
            </w:r>
          </w:p>
        </w:tc>
        <w:tc>
          <w:tcPr>
            <w:tcW w:w="980" w:type="dxa"/>
            <w:vAlign w:val="bottom"/>
            <w:shd w:val="clear" w:color="auto" w:fill="CCEEFF"/>
          </w:tcPr>
          <w:p>
            <w:pPr>
              <w:jc w:val="right"/>
              <w:ind w:right="278"/>
              <w:spacing w:after="0" w:line="202" w:lineRule="exact"/>
              <w:rPr>
                <w:sz w:val="20"/>
                <w:szCs w:val="20"/>
                <w:color w:val="auto"/>
              </w:rPr>
            </w:pPr>
            <w:r>
              <w:rPr>
                <w:rFonts w:ascii="Arial" w:cs="Arial" w:eastAsia="Arial" w:hAnsi="Arial"/>
                <w:sz w:val="18"/>
                <w:szCs w:val="18"/>
                <w:color w:val="auto"/>
              </w:rPr>
              <w:t>52.7</w:t>
            </w:r>
          </w:p>
        </w:tc>
      </w:tr>
      <w:tr>
        <w:trPr>
          <w:trHeight w:val="203"/>
        </w:trPr>
        <w:tc>
          <w:tcPr>
            <w:tcW w:w="6700" w:type="dxa"/>
            <w:vAlign w:val="bottom"/>
            <w:gridSpan w:val="2"/>
          </w:tcPr>
          <w:p>
            <w:pPr>
              <w:spacing w:after="0" w:line="202" w:lineRule="exact"/>
              <w:rPr>
                <w:sz w:val="20"/>
                <w:szCs w:val="20"/>
                <w:color w:val="auto"/>
              </w:rPr>
            </w:pPr>
            <w:r>
              <w:rPr>
                <w:rFonts w:ascii="Arial" w:cs="Arial" w:eastAsia="Arial" w:hAnsi="Arial"/>
                <w:sz w:val="18"/>
                <w:szCs w:val="18"/>
                <w:color w:val="auto"/>
              </w:rPr>
              <w:t>Interest expense, net</w:t>
            </w:r>
          </w:p>
        </w:tc>
        <w:tc>
          <w:tcPr>
            <w:tcW w:w="12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(263)</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(249)</w:t>
            </w: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760"/>
              <w:spacing w:after="0" w:line="202" w:lineRule="exact"/>
              <w:rPr>
                <w:sz w:val="20"/>
                <w:szCs w:val="20"/>
                <w:color w:val="auto"/>
              </w:rPr>
            </w:pPr>
            <w:r>
              <w:rPr>
                <w:rFonts w:ascii="Arial" w:cs="Arial" w:eastAsia="Arial" w:hAnsi="Arial"/>
                <w:sz w:val="18"/>
                <w:szCs w:val="18"/>
                <w:color w:val="auto"/>
              </w:rPr>
              <w:t>(14)</w:t>
            </w:r>
          </w:p>
        </w:tc>
        <w:tc>
          <w:tcPr>
            <w:tcW w:w="980" w:type="dxa"/>
            <w:vAlign w:val="bottom"/>
          </w:tcPr>
          <w:p>
            <w:pPr>
              <w:jc w:val="right"/>
              <w:ind w:right="278"/>
              <w:spacing w:after="0" w:line="202" w:lineRule="exact"/>
              <w:rPr>
                <w:sz w:val="20"/>
                <w:szCs w:val="20"/>
                <w:color w:val="auto"/>
              </w:rPr>
            </w:pPr>
            <w:r>
              <w:rPr>
                <w:rFonts w:ascii="Arial" w:cs="Arial" w:eastAsia="Arial" w:hAnsi="Arial"/>
                <w:sz w:val="18"/>
                <w:szCs w:val="18"/>
                <w:color w:val="auto"/>
              </w:rPr>
              <w:t>5.8</w:t>
            </w:r>
          </w:p>
        </w:tc>
      </w:tr>
      <w:tr>
        <w:trPr>
          <w:trHeight w:val="203"/>
        </w:trPr>
        <w:tc>
          <w:tcPr>
            <w:tcW w:w="67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Other, net</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(5)</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(25)</w:t>
            </w: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20"/>
              <w:spacing w:after="0" w:line="202" w:lineRule="exact"/>
              <w:rPr>
                <w:sz w:val="20"/>
                <w:szCs w:val="20"/>
                <w:color w:val="auto"/>
              </w:rPr>
            </w:pPr>
            <w:r>
              <w:rPr>
                <w:rFonts w:ascii="Arial" w:cs="Arial" w:eastAsia="Arial" w:hAnsi="Arial"/>
                <w:sz w:val="18"/>
                <w:szCs w:val="18"/>
                <w:color w:val="auto"/>
              </w:rPr>
              <w:t>20</w:t>
            </w:r>
          </w:p>
        </w:tc>
        <w:tc>
          <w:tcPr>
            <w:tcW w:w="980" w:type="dxa"/>
            <w:vAlign w:val="bottom"/>
            <w:shd w:val="clear" w:color="auto" w:fill="CCEEFF"/>
          </w:tcPr>
          <w:p>
            <w:pPr>
              <w:jc w:val="right"/>
              <w:ind w:right="218"/>
              <w:spacing w:after="0" w:line="202" w:lineRule="exact"/>
              <w:rPr>
                <w:sz w:val="20"/>
                <w:szCs w:val="20"/>
                <w:color w:val="auto"/>
              </w:rPr>
            </w:pPr>
            <w:r>
              <w:rPr>
                <w:rFonts w:ascii="Arial" w:cs="Arial" w:eastAsia="Arial" w:hAnsi="Arial"/>
                <w:sz w:val="18"/>
                <w:szCs w:val="18"/>
                <w:color w:val="auto"/>
              </w:rPr>
              <w:t>(80.6)</w:t>
            </w:r>
          </w:p>
        </w:tc>
      </w:tr>
      <w:tr>
        <w:trPr>
          <w:trHeight w:val="20"/>
        </w:trPr>
        <w:tc>
          <w:tcPr>
            <w:tcW w:w="6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10"/>
        </w:trPr>
        <w:tc>
          <w:tcPr>
            <w:tcW w:w="6700" w:type="dxa"/>
            <w:vAlign w:val="bottom"/>
            <w:gridSpan w:val="2"/>
          </w:tcPr>
          <w:p>
            <w:pPr>
              <w:ind w:left="180"/>
              <w:spacing w:after="0"/>
              <w:rPr>
                <w:sz w:val="20"/>
                <w:szCs w:val="20"/>
                <w:color w:val="auto"/>
              </w:rPr>
            </w:pPr>
            <w:r>
              <w:rPr>
                <w:rFonts w:ascii="Arial" w:cs="Arial" w:eastAsia="Arial" w:hAnsi="Arial"/>
                <w:sz w:val="18"/>
                <w:szCs w:val="18"/>
                <w:color w:val="auto"/>
              </w:rPr>
              <w:t>Total nonoperating expense, net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(244)</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(258)</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820"/>
              <w:spacing w:after="0"/>
              <w:rPr>
                <w:sz w:val="20"/>
                <w:szCs w:val="20"/>
                <w:color w:val="auto"/>
              </w:rPr>
            </w:pPr>
            <w:r>
              <w:rPr>
                <w:rFonts w:ascii="Arial" w:cs="Arial" w:eastAsia="Arial" w:hAnsi="Arial"/>
                <w:sz w:val="18"/>
                <w:szCs w:val="18"/>
                <w:color w:val="auto"/>
              </w:rPr>
              <w:t>14</w:t>
            </w:r>
          </w:p>
        </w:tc>
        <w:tc>
          <w:tcPr>
            <w:tcW w:w="980" w:type="dxa"/>
            <w:vAlign w:val="bottom"/>
          </w:tcPr>
          <w:p>
            <w:pPr>
              <w:jc w:val="right"/>
              <w:ind w:right="218"/>
              <w:spacing w:after="0"/>
              <w:rPr>
                <w:sz w:val="20"/>
                <w:szCs w:val="20"/>
                <w:color w:val="auto"/>
              </w:rPr>
            </w:pPr>
            <w:r>
              <w:rPr>
                <w:rFonts w:ascii="Arial" w:cs="Arial" w:eastAsia="Arial" w:hAnsi="Arial"/>
                <w:sz w:val="18"/>
                <w:szCs w:val="18"/>
                <w:color w:val="auto"/>
              </w:rPr>
              <w:t>(5.5)</w:t>
            </w:r>
          </w:p>
        </w:tc>
      </w:tr>
      <w:tr>
        <w:trPr>
          <w:trHeight w:val="20"/>
        </w:trPr>
        <w:tc>
          <w:tcPr>
            <w:tcW w:w="6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228"/>
        <w:spacing w:after="0"/>
        <w:rPr>
          <w:sz w:val="20"/>
          <w:szCs w:val="20"/>
          <w:color w:val="auto"/>
        </w:rPr>
      </w:pPr>
      <w:r>
        <w:rPr>
          <w:rFonts w:ascii="Arial" w:cs="Arial" w:eastAsia="Arial" w:hAnsi="Arial"/>
          <w:sz w:val="18"/>
          <w:szCs w:val="18"/>
          <w:color w:val="auto"/>
        </w:rPr>
        <w:t>Our short-term investments in each period consisted of highly liquid investments that provided relatively nominal returns. Interest income increased $8 million, or 52.7%, principally due to an increase in interest rates, which drove more than a 50 basis point increase in average yields in the second quarter of 2017 as compared to the 2016 period.</w:t>
      </w:r>
    </w:p>
    <w:p>
      <w:pPr>
        <w:spacing w:after="0" w:line="203" w:lineRule="exact"/>
        <w:rPr>
          <w:sz w:val="20"/>
          <w:szCs w:val="20"/>
          <w:color w:val="auto"/>
        </w:rPr>
      </w:pPr>
    </w:p>
    <w:p>
      <w:pPr>
        <w:jc w:val="both"/>
        <w:ind w:firstLine="228"/>
        <w:spacing w:after="0" w:line="246" w:lineRule="auto"/>
        <w:rPr>
          <w:sz w:val="20"/>
          <w:szCs w:val="20"/>
          <w:color w:val="auto"/>
        </w:rPr>
      </w:pPr>
      <w:r>
        <w:rPr>
          <w:rFonts w:ascii="Arial" w:cs="Arial" w:eastAsia="Arial" w:hAnsi="Arial"/>
          <w:sz w:val="18"/>
          <w:szCs w:val="18"/>
          <w:color w:val="auto"/>
        </w:rPr>
        <w:t>Interest expense, net increased $14 million in the second quarter of 2017 as compared to the 2016 period primarily due to higher outstanding debt as a result of aircraft financings associated with our fleet renewal program.</w:t>
      </w:r>
    </w:p>
    <w:p>
      <w:pPr>
        <w:spacing w:after="0" w:line="197" w:lineRule="exact"/>
        <w:rPr>
          <w:sz w:val="20"/>
          <w:szCs w:val="20"/>
          <w:color w:val="auto"/>
        </w:rPr>
      </w:pPr>
    </w:p>
    <w:p>
      <w:pPr>
        <w:jc w:val="both"/>
        <w:ind w:right="20" w:firstLine="228"/>
        <w:spacing w:after="0" w:line="246" w:lineRule="auto"/>
        <w:rPr>
          <w:sz w:val="20"/>
          <w:szCs w:val="20"/>
          <w:color w:val="auto"/>
        </w:rPr>
      </w:pPr>
      <w:r>
        <w:rPr>
          <w:rFonts w:ascii="Arial" w:cs="Arial" w:eastAsia="Arial" w:hAnsi="Arial"/>
          <w:sz w:val="18"/>
          <w:szCs w:val="18"/>
          <w:color w:val="auto"/>
        </w:rPr>
        <w:t>Other nonoperating expense, net in the 2016 period primarily included $36 million of net special charges consisting of debt issuance and extinguishment costs associated with a bond refinancing, offset in part by $17 million of foreign currency gains.</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122" w:lineRule="exact"/>
        <w:rPr>
          <w:sz w:val="20"/>
          <w:szCs w:val="20"/>
          <w:color w:val="auto"/>
        </w:rPr>
      </w:pPr>
    </w:p>
    <w:p>
      <w:pPr>
        <w:jc w:val="both"/>
        <w:ind w:firstLine="228"/>
        <w:spacing w:after="0" w:line="239" w:lineRule="auto"/>
        <w:rPr>
          <w:sz w:val="20"/>
          <w:szCs w:val="20"/>
          <w:color w:val="auto"/>
        </w:rPr>
      </w:pPr>
      <w:r>
        <w:rPr>
          <w:rFonts w:ascii="Arial" w:cs="Arial" w:eastAsia="Arial" w:hAnsi="Arial"/>
          <w:sz w:val="18"/>
          <w:szCs w:val="18"/>
          <w:color w:val="auto"/>
        </w:rPr>
        <w:t>In the second quarter 2017, we recorded an income tax provision of $488 million, which was substantially non-cash due to utilization of our net operating losses (NOLs). Substantially all of our income before income taxes is attributable to the United States. At December 31, 2016, we had approximately $10.5 billion of gross NOLs to reduce future federal taxable income, substantially all of which are expected to be available for use in 2017.</w:t>
      </w:r>
    </w:p>
    <w:p>
      <w:pPr>
        <w:spacing w:after="0" w:line="20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See Note 6 to AAG’s Condensed Consolidated Financial Statements in Part I, Item 1A for additional information on income taxes.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2017 Compared to Six Months Ended June 30, 2016</w:t>
      </w:r>
    </w:p>
    <w:p>
      <w:pPr>
        <w:spacing w:after="0" w:line="126" w:lineRule="exact"/>
        <w:rPr>
          <w:sz w:val="20"/>
          <w:szCs w:val="20"/>
          <w:color w:val="auto"/>
        </w:rPr>
      </w:pPr>
    </w:p>
    <w:p>
      <w:pPr>
        <w:jc w:val="both"/>
        <w:ind w:firstLine="228"/>
        <w:spacing w:after="0" w:line="246" w:lineRule="auto"/>
        <w:rPr>
          <w:sz w:val="20"/>
          <w:szCs w:val="20"/>
          <w:color w:val="auto"/>
        </w:rPr>
      </w:pPr>
      <w:r>
        <w:rPr>
          <w:rFonts w:ascii="Arial" w:cs="Arial" w:eastAsia="Arial" w:hAnsi="Arial"/>
          <w:sz w:val="18"/>
          <w:szCs w:val="18"/>
          <w:color w:val="auto"/>
        </w:rPr>
        <w:t>We realized pre-tax income of $1.7 billion and $2.6 billion in the first six months of 2017 and 2016, respectively. Excluding the effects of pre-tax net special items, pre-tax income was $2.0 billion and $2.8 billion in the first six months of 2017 and 2016, respectively.</w:t>
      </w:r>
    </w:p>
    <w:p>
      <w:pPr>
        <w:spacing w:after="0" w:line="197" w:lineRule="exact"/>
        <w:rPr>
          <w:sz w:val="20"/>
          <w:szCs w:val="20"/>
          <w:color w:val="auto"/>
        </w:rPr>
      </w:pPr>
    </w:p>
    <w:p>
      <w:pPr>
        <w:jc w:val="both"/>
        <w:ind w:firstLine="228"/>
        <w:spacing w:after="0" w:line="246" w:lineRule="auto"/>
        <w:rPr>
          <w:sz w:val="20"/>
          <w:szCs w:val="20"/>
          <w:color w:val="auto"/>
        </w:rPr>
      </w:pPr>
      <w:r>
        <w:rPr>
          <w:rFonts w:ascii="Arial" w:cs="Arial" w:eastAsia="Arial" w:hAnsi="Arial"/>
          <w:sz w:val="18"/>
          <w:szCs w:val="18"/>
          <w:color w:val="auto"/>
        </w:rPr>
        <w:t>Our pre-tax results on both a GAAP basis and excluding pre-tax net special items for the first six months of 2017 were principally driven by higher fuel costs as well as higher salaries, wages and benefits, which were offset in part by higher revenues.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69" w:right="239" w:bottom="1440" w:gutter="0" w:footer="0" w:header="0"/>
        </w:sectPr>
      </w:pPr>
    </w:p>
    <w:bookmarkStart w:id="38" w:name="page39"/>
    <w:bookmarkEnd w:id="38"/>
    <w:p>
      <w:pPr>
        <w:ind w:left="240"/>
        <w:spacing w:after="0"/>
        <w:rPr>
          <w:sz w:val="20"/>
          <w:szCs w:val="20"/>
          <w:color w:val="auto"/>
        </w:rPr>
      </w:pPr>
      <w:r>
        <w:rPr>
          <w:rFonts w:ascii="Arial" w:cs="Arial" w:eastAsia="Arial" w:hAnsi="Arial"/>
          <w:sz w:val="18"/>
          <w:szCs w:val="18"/>
          <w:i w:val="1"/>
          <w:i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Operating Revenues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gridSpan w:val="5"/>
          </w:tcPr>
          <w:p>
            <w:pPr>
              <w:jc w:val="right"/>
              <w:ind w:right="373"/>
              <w:spacing w:after="0"/>
              <w:rPr>
                <w:sz w:val="20"/>
                <w:szCs w:val="20"/>
                <w:color w:val="auto"/>
              </w:rPr>
            </w:pPr>
            <w:r>
              <w:rPr>
                <w:rFonts w:ascii="Arial" w:cs="Arial" w:eastAsia="Arial" w:hAnsi="Arial"/>
                <w:sz w:val="14"/>
                <w:szCs w:val="14"/>
                <w:b w:val="1"/>
                <w:bCs w:val="1"/>
                <w:color w:val="auto"/>
              </w:rPr>
              <w:t>Six Months Ended</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Percent</w:t>
            </w:r>
          </w:p>
        </w:tc>
      </w:tr>
      <w:tr>
        <w:trPr>
          <w:trHeight w:val="175"/>
        </w:trPr>
        <w:tc>
          <w:tcPr>
            <w:tcW w:w="712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Increase</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Increase</w:t>
            </w:r>
          </w:p>
        </w:tc>
      </w:tr>
      <w:tr>
        <w:trPr>
          <w:trHeight w:val="156"/>
        </w:trPr>
        <w:tc>
          <w:tcPr>
            <w:tcW w:w="712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18"/>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13"/>
              <w:spacing w:after="0" w:line="155" w:lineRule="exact"/>
              <w:rPr>
                <w:sz w:val="20"/>
                <w:szCs w:val="20"/>
                <w:color w:val="auto"/>
              </w:rPr>
            </w:pPr>
            <w:r>
              <w:rPr>
                <w:rFonts w:ascii="Arial" w:cs="Arial" w:eastAsia="Arial" w:hAnsi="Arial"/>
                <w:sz w:val="14"/>
                <w:szCs w:val="14"/>
                <w:b w:val="1"/>
                <w:bCs w:val="1"/>
                <w:color w:val="auto"/>
              </w:rPr>
              <w:t>2016</w:t>
            </w:r>
          </w:p>
        </w:tc>
        <w:tc>
          <w:tcPr>
            <w:tcW w:w="1380" w:type="dxa"/>
            <w:vAlign w:val="bottom"/>
            <w:tcBorders>
              <w:bottom w:val="single" w:sz="8" w:color="auto"/>
            </w:tcBorders>
            <w:gridSpan w:val="4"/>
          </w:tcPr>
          <w:p>
            <w:pPr>
              <w:jc w:val="right"/>
              <w:ind w:right="320"/>
              <w:spacing w:after="0" w:line="155" w:lineRule="exact"/>
              <w:rPr>
                <w:sz w:val="20"/>
                <w:szCs w:val="20"/>
                <w:color w:val="auto"/>
              </w:rPr>
            </w:pPr>
            <w:r>
              <w:rPr>
                <w:rFonts w:ascii="Arial" w:cs="Arial" w:eastAsia="Arial" w:hAnsi="Arial"/>
                <w:sz w:val="14"/>
                <w:szCs w:val="14"/>
                <w:b w:val="1"/>
                <w:bCs w:val="1"/>
                <w:color w:val="auto"/>
              </w:rPr>
              <w:t>(Decrease)</w:t>
            </w:r>
          </w:p>
        </w:tc>
        <w:tc>
          <w:tcPr>
            <w:tcW w:w="76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(Decrease)</w:t>
            </w:r>
          </w:p>
        </w:tc>
      </w:tr>
      <w:tr>
        <w:trPr>
          <w:trHeight w:val="156"/>
        </w:trPr>
        <w:tc>
          <w:tcPr>
            <w:tcW w:w="7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320" w:type="dxa"/>
            <w:vAlign w:val="bottom"/>
            <w:gridSpan w:val="9"/>
          </w:tcPr>
          <w:p>
            <w:pPr>
              <w:jc w:val="right"/>
              <w:spacing w:after="0" w:line="155" w:lineRule="exact"/>
              <w:rPr>
                <w:sz w:val="20"/>
                <w:szCs w:val="20"/>
                <w:color w:val="auto"/>
              </w:rPr>
            </w:pPr>
            <w:r>
              <w:rPr>
                <w:rFonts w:ascii="Arial" w:cs="Arial" w:eastAsia="Arial" w:hAnsi="Arial"/>
                <w:sz w:val="14"/>
                <w:szCs w:val="14"/>
                <w:b w:val="1"/>
                <w:bCs w:val="1"/>
                <w:color w:val="auto"/>
              </w:rPr>
              <w:t>(In millions, except percentage changes)</w:t>
            </w:r>
          </w:p>
        </w:tc>
        <w:tc>
          <w:tcPr>
            <w:tcW w:w="760" w:type="dxa"/>
            <w:vAlign w:val="bottom"/>
          </w:tcPr>
          <w:p>
            <w:pPr>
              <w:spacing w:after="0"/>
              <w:rPr>
                <w:sz w:val="13"/>
                <w:szCs w:val="13"/>
                <w:color w:val="auto"/>
              </w:rPr>
            </w:pPr>
          </w:p>
        </w:tc>
      </w:tr>
      <w:tr>
        <w:trPr>
          <w:trHeight w:val="203"/>
        </w:trPr>
        <w:tc>
          <w:tcPr>
            <w:tcW w:w="7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Mainline passenger</w:t>
            </w:r>
          </w:p>
        </w:tc>
        <w:tc>
          <w:tcPr>
            <w:tcW w:w="2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14,353</w:t>
            </w:r>
          </w:p>
        </w:tc>
        <w:tc>
          <w:tcPr>
            <w:tcW w:w="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13,773</w:t>
            </w:r>
          </w:p>
        </w:tc>
        <w:tc>
          <w:tcPr>
            <w:tcW w:w="60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580</w:t>
            </w:r>
          </w:p>
        </w:tc>
        <w:tc>
          <w:tcPr>
            <w:tcW w:w="760" w:type="dxa"/>
            <w:vAlign w:val="bottom"/>
            <w:shd w:val="clear" w:color="auto" w:fill="CCEEFF"/>
          </w:tcPr>
          <w:p>
            <w:pPr>
              <w:jc w:val="right"/>
              <w:ind w:right="97"/>
              <w:spacing w:after="0" w:line="202" w:lineRule="exact"/>
              <w:rPr>
                <w:sz w:val="20"/>
                <w:szCs w:val="20"/>
                <w:color w:val="auto"/>
              </w:rPr>
            </w:pPr>
            <w:r>
              <w:rPr>
                <w:rFonts w:ascii="Arial" w:cs="Arial" w:eastAsia="Arial" w:hAnsi="Arial"/>
                <w:sz w:val="18"/>
                <w:szCs w:val="18"/>
                <w:color w:val="auto"/>
              </w:rPr>
              <w:t>4.2</w:t>
            </w:r>
          </w:p>
        </w:tc>
      </w:tr>
      <w:tr>
        <w:trPr>
          <w:trHeight w:val="203"/>
        </w:trPr>
        <w:tc>
          <w:tcPr>
            <w:tcW w:w="7120" w:type="dxa"/>
            <w:vAlign w:val="bottom"/>
          </w:tcPr>
          <w:p>
            <w:pPr>
              <w:spacing w:after="0" w:line="202" w:lineRule="exact"/>
              <w:rPr>
                <w:sz w:val="20"/>
                <w:szCs w:val="20"/>
                <w:color w:val="auto"/>
              </w:rPr>
            </w:pPr>
            <w:r>
              <w:rPr>
                <w:rFonts w:ascii="Arial" w:cs="Arial" w:eastAsia="Arial" w:hAnsi="Arial"/>
                <w:sz w:val="18"/>
                <w:szCs w:val="18"/>
                <w:color w:val="auto"/>
              </w:rPr>
              <w:t>Regional passenger</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3,384</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3,309</w:t>
            </w: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75</w:t>
            </w:r>
          </w:p>
        </w:tc>
        <w:tc>
          <w:tcPr>
            <w:tcW w:w="760" w:type="dxa"/>
            <w:vAlign w:val="bottom"/>
          </w:tcPr>
          <w:p>
            <w:pPr>
              <w:jc w:val="right"/>
              <w:ind w:right="97"/>
              <w:spacing w:after="0" w:line="202" w:lineRule="exact"/>
              <w:rPr>
                <w:sz w:val="20"/>
                <w:szCs w:val="20"/>
                <w:color w:val="auto"/>
              </w:rPr>
            </w:pPr>
            <w:r>
              <w:rPr>
                <w:rFonts w:ascii="Arial" w:cs="Arial" w:eastAsia="Arial" w:hAnsi="Arial"/>
                <w:sz w:val="18"/>
                <w:szCs w:val="18"/>
                <w:color w:val="auto"/>
              </w:rPr>
              <w:t>2.3</w:t>
            </w:r>
          </w:p>
        </w:tc>
      </w:tr>
      <w:tr>
        <w:trPr>
          <w:trHeight w:val="203"/>
        </w:trPr>
        <w:tc>
          <w:tcPr>
            <w:tcW w:w="7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Cargo</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368</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336</w:t>
            </w: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32</w:t>
            </w:r>
          </w:p>
        </w:tc>
        <w:tc>
          <w:tcPr>
            <w:tcW w:w="760" w:type="dxa"/>
            <w:vAlign w:val="bottom"/>
            <w:shd w:val="clear" w:color="auto" w:fill="CCEEFF"/>
          </w:tcPr>
          <w:p>
            <w:pPr>
              <w:jc w:val="right"/>
              <w:ind w:right="97"/>
              <w:spacing w:after="0" w:line="202" w:lineRule="exact"/>
              <w:rPr>
                <w:sz w:val="20"/>
                <w:szCs w:val="20"/>
                <w:color w:val="auto"/>
              </w:rPr>
            </w:pPr>
            <w:r>
              <w:rPr>
                <w:rFonts w:ascii="Arial" w:cs="Arial" w:eastAsia="Arial" w:hAnsi="Arial"/>
                <w:sz w:val="18"/>
                <w:szCs w:val="18"/>
                <w:color w:val="auto"/>
              </w:rPr>
              <w:t>9.8</w:t>
            </w:r>
          </w:p>
        </w:tc>
      </w:tr>
      <w:tr>
        <w:trPr>
          <w:trHeight w:val="203"/>
        </w:trPr>
        <w:tc>
          <w:tcPr>
            <w:tcW w:w="712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2,624</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2,380</w:t>
            </w: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244</w:t>
            </w:r>
          </w:p>
        </w:tc>
        <w:tc>
          <w:tcPr>
            <w:tcW w:w="760" w:type="dxa"/>
            <w:vAlign w:val="bottom"/>
          </w:tcPr>
          <w:p>
            <w:pPr>
              <w:jc w:val="right"/>
              <w:ind w:right="97"/>
              <w:spacing w:after="0" w:line="202" w:lineRule="exact"/>
              <w:rPr>
                <w:sz w:val="20"/>
                <w:szCs w:val="20"/>
                <w:color w:val="auto"/>
              </w:rPr>
            </w:pPr>
            <w:r>
              <w:rPr>
                <w:rFonts w:ascii="Arial" w:cs="Arial" w:eastAsia="Arial" w:hAnsi="Arial"/>
                <w:sz w:val="18"/>
                <w:szCs w:val="18"/>
                <w:color w:val="auto"/>
              </w:rPr>
              <w:t>10.2</w:t>
            </w:r>
          </w:p>
        </w:tc>
      </w:tr>
      <w:tr>
        <w:trPr>
          <w:trHeight w:val="27"/>
        </w:trPr>
        <w:tc>
          <w:tcPr>
            <w:tcW w:w="7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03"/>
        </w:trPr>
        <w:tc>
          <w:tcPr>
            <w:tcW w:w="71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Total operating revenues</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20,729</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19,798</w:t>
            </w: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931</w:t>
            </w:r>
          </w:p>
        </w:tc>
        <w:tc>
          <w:tcPr>
            <w:tcW w:w="760" w:type="dxa"/>
            <w:vAlign w:val="bottom"/>
            <w:shd w:val="clear" w:color="auto" w:fill="CCEEFF"/>
          </w:tcPr>
          <w:p>
            <w:pPr>
              <w:jc w:val="right"/>
              <w:ind w:right="97"/>
              <w:spacing w:after="0" w:line="202" w:lineRule="exact"/>
              <w:rPr>
                <w:sz w:val="20"/>
                <w:szCs w:val="20"/>
                <w:color w:val="auto"/>
              </w:rPr>
            </w:pPr>
            <w:r>
              <w:rPr>
                <w:rFonts w:ascii="Arial" w:cs="Arial" w:eastAsia="Arial" w:hAnsi="Arial"/>
                <w:sz w:val="18"/>
                <w:szCs w:val="18"/>
                <w:color w:val="auto"/>
              </w:rPr>
              <w:t>4.7</w:t>
            </w:r>
          </w:p>
        </w:tc>
      </w:tr>
      <w:tr>
        <w:trPr>
          <w:trHeight w:val="20"/>
        </w:trPr>
        <w:tc>
          <w:tcPr>
            <w:tcW w:w="7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This table presents our total passenger revenues and the period-over-period change in certain operating statistics: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6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rPr>
              <w:t>Increase (Decrease)</w:t>
            </w: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240" w:type="dxa"/>
            <w:vAlign w:val="bottom"/>
          </w:tcPr>
          <w:p>
            <w:pPr>
              <w:spacing w:after="0"/>
              <w:rPr>
                <w:sz w:val="15"/>
                <w:szCs w:val="15"/>
                <w:color w:val="auto"/>
              </w:rPr>
            </w:pPr>
          </w:p>
        </w:tc>
        <w:tc>
          <w:tcPr>
            <w:tcW w:w="1540" w:type="dxa"/>
            <w:vAlign w:val="bottom"/>
            <w:gridSpan w:val="5"/>
            <w:vMerge w:val="restart"/>
          </w:tcPr>
          <w:p>
            <w:pPr>
              <w:jc w:val="center"/>
              <w:ind w:right="260"/>
              <w:spacing w:after="0"/>
              <w:rPr>
                <w:sz w:val="20"/>
                <w:szCs w:val="20"/>
                <w:color w:val="auto"/>
              </w:rPr>
            </w:pPr>
            <w:r>
              <w:rPr>
                <w:rFonts w:ascii="Arial" w:cs="Arial" w:eastAsia="Arial" w:hAnsi="Arial"/>
                <w:sz w:val="14"/>
                <w:szCs w:val="14"/>
                <w:b w:val="1"/>
                <w:bCs w:val="1"/>
                <w:color w:val="auto"/>
              </w:rPr>
              <w:t>Six Months Ended</w:t>
            </w:r>
          </w:p>
        </w:tc>
        <w:tc>
          <w:tcPr>
            <w:tcW w:w="7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3420" w:type="dxa"/>
            <w:vAlign w:val="bottom"/>
            <w:tcBorders>
              <w:bottom w:val="single" w:sz="8" w:color="auto"/>
            </w:tcBorders>
            <w:gridSpan w:val="8"/>
          </w:tcPr>
          <w:p>
            <w:pPr>
              <w:jc w:val="center"/>
              <w:ind w:right="920"/>
              <w:spacing w:after="0"/>
              <w:rPr>
                <w:sz w:val="20"/>
                <w:szCs w:val="20"/>
                <w:color w:val="auto"/>
              </w:rPr>
            </w:pPr>
            <w:r>
              <w:rPr>
                <w:rFonts w:ascii="Arial" w:cs="Arial" w:eastAsia="Arial" w:hAnsi="Arial"/>
                <w:sz w:val="14"/>
                <w:szCs w:val="14"/>
                <w:b w:val="1"/>
                <w:bCs w:val="1"/>
                <w:color w:val="auto"/>
              </w:rPr>
              <w:t>vs. Six Months Ended June 30, 2016</w:t>
            </w:r>
          </w:p>
        </w:tc>
        <w:tc>
          <w:tcPr>
            <w:tcW w:w="6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240" w:type="dxa"/>
            <w:vAlign w:val="bottom"/>
          </w:tcPr>
          <w:p>
            <w:pPr>
              <w:spacing w:after="0"/>
              <w:rPr>
                <w:sz w:val="12"/>
                <w:szCs w:val="12"/>
                <w:color w:val="auto"/>
              </w:rPr>
            </w:pPr>
          </w:p>
        </w:tc>
        <w:tc>
          <w:tcPr>
            <w:tcW w:w="1540" w:type="dxa"/>
            <w:vAlign w:val="bottom"/>
            <w:gridSpan w:val="5"/>
            <w:vMerge w:val="continue"/>
          </w:tcPr>
          <w:p>
            <w:pPr>
              <w:spacing w:after="0"/>
              <w:rPr>
                <w:sz w:val="12"/>
                <w:szCs w:val="12"/>
                <w:color w:val="auto"/>
              </w:rPr>
            </w:pPr>
          </w:p>
        </w:tc>
        <w:tc>
          <w:tcPr>
            <w:tcW w:w="1040" w:type="dxa"/>
            <w:vAlign w:val="bottom"/>
            <w:gridSpan w:val="2"/>
          </w:tcPr>
          <w:p>
            <w:pPr>
              <w:jc w:val="center"/>
              <w:ind w:right="280"/>
              <w:spacing w:after="0" w:line="143" w:lineRule="exact"/>
              <w:rPr>
                <w:sz w:val="20"/>
                <w:szCs w:val="20"/>
                <w:color w:val="auto"/>
              </w:rPr>
            </w:pPr>
            <w:r>
              <w:rPr>
                <w:rFonts w:ascii="Arial" w:cs="Arial" w:eastAsia="Arial" w:hAnsi="Arial"/>
                <w:sz w:val="14"/>
                <w:szCs w:val="14"/>
                <w:b w:val="1"/>
                <w:bCs w:val="1"/>
                <w:color w:val="auto"/>
              </w:rPr>
              <w:t>Passenger</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tcPr>
          <w:p>
            <w:pPr>
              <w:jc w:val="center"/>
              <w:ind w:right="300"/>
              <w:spacing w:after="0" w:line="143" w:lineRule="exact"/>
              <w:rPr>
                <w:sz w:val="20"/>
                <w:szCs w:val="20"/>
                <w:color w:val="auto"/>
              </w:rPr>
            </w:pPr>
            <w:r>
              <w:rPr>
                <w:rFonts w:ascii="Arial" w:cs="Arial" w:eastAsia="Arial" w:hAnsi="Arial"/>
                <w:sz w:val="14"/>
                <w:szCs w:val="14"/>
                <w:b w:val="1"/>
                <w:bCs w:val="1"/>
                <w:color w:val="auto"/>
              </w:rPr>
              <w:t>Load</w:t>
            </w:r>
          </w:p>
        </w:tc>
        <w:tc>
          <w:tcPr>
            <w:tcW w:w="1040" w:type="dxa"/>
            <w:vAlign w:val="bottom"/>
            <w:gridSpan w:val="2"/>
          </w:tcPr>
          <w:p>
            <w:pPr>
              <w:jc w:val="center"/>
              <w:ind w:right="280"/>
              <w:spacing w:after="0" w:line="143" w:lineRule="exact"/>
              <w:rPr>
                <w:sz w:val="20"/>
                <w:szCs w:val="20"/>
                <w:color w:val="auto"/>
              </w:rPr>
            </w:pPr>
            <w:r>
              <w:rPr>
                <w:rFonts w:ascii="Arial" w:cs="Arial" w:eastAsia="Arial" w:hAnsi="Arial"/>
                <w:sz w:val="14"/>
                <w:szCs w:val="14"/>
                <w:b w:val="1"/>
                <w:bCs w:val="1"/>
                <w:color w:val="auto"/>
              </w:rPr>
              <w:t>Passenger</w:t>
            </w: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240" w:type="dxa"/>
            <w:vAlign w:val="bottom"/>
          </w:tcPr>
          <w:p>
            <w:pPr>
              <w:spacing w:after="0"/>
              <w:rPr>
                <w:sz w:val="15"/>
                <w:szCs w:val="15"/>
                <w:color w:val="auto"/>
              </w:rPr>
            </w:pPr>
          </w:p>
        </w:tc>
        <w:tc>
          <w:tcPr>
            <w:tcW w:w="15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rPr>
              <w:t>June 30, 2017</w:t>
            </w: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Revenue</w:t>
            </w:r>
          </w:p>
        </w:tc>
        <w:tc>
          <w:tcPr>
            <w:tcW w:w="540" w:type="dxa"/>
            <w:vAlign w:val="bottom"/>
          </w:tcPr>
          <w:p>
            <w:pPr>
              <w:ind w:left="80"/>
              <w:spacing w:after="0"/>
              <w:rPr>
                <w:sz w:val="20"/>
                <w:szCs w:val="20"/>
                <w:color w:val="auto"/>
              </w:rPr>
            </w:pPr>
            <w:r>
              <w:rPr>
                <w:rFonts w:ascii="Arial" w:cs="Arial" w:eastAsia="Arial" w:hAnsi="Arial"/>
                <w:sz w:val="14"/>
                <w:szCs w:val="14"/>
                <w:b w:val="1"/>
                <w:bCs w:val="1"/>
                <w:color w:val="auto"/>
              </w:rPr>
              <w:t>RPMs</w:t>
            </w: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gridSpan w:val="2"/>
          </w:tcPr>
          <w:p>
            <w:pPr>
              <w:ind w:left="160"/>
              <w:spacing w:after="0"/>
              <w:rPr>
                <w:sz w:val="20"/>
                <w:szCs w:val="20"/>
                <w:color w:val="auto"/>
              </w:rPr>
            </w:pPr>
            <w:r>
              <w:rPr>
                <w:rFonts w:ascii="Arial" w:cs="Arial" w:eastAsia="Arial" w:hAnsi="Arial"/>
                <w:sz w:val="14"/>
                <w:szCs w:val="14"/>
                <w:b w:val="1"/>
                <w:bCs w:val="1"/>
                <w:color w:val="auto"/>
              </w:rPr>
              <w:t>ASMs</w:t>
            </w: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Factor</w:t>
            </w: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Yield</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PRASM</w:t>
            </w:r>
          </w:p>
        </w:tc>
        <w:tc>
          <w:tcPr>
            <w:tcW w:w="0" w:type="dxa"/>
            <w:vAlign w:val="bottom"/>
          </w:tcPr>
          <w:p>
            <w:pPr>
              <w:spacing w:after="0"/>
              <w:rPr>
                <w:sz w:val="1"/>
                <w:szCs w:val="1"/>
                <w:color w:val="auto"/>
              </w:rPr>
            </w:pPr>
          </w:p>
        </w:tc>
      </w:tr>
      <w:tr>
        <w:trPr>
          <w:trHeight w:val="156"/>
        </w:trPr>
        <w:tc>
          <w:tcPr>
            <w:tcW w:w="42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3"/>
          </w:tcPr>
          <w:p>
            <w:pPr>
              <w:jc w:val="center"/>
              <w:ind w:right="180"/>
              <w:spacing w:after="0" w:line="155" w:lineRule="exact"/>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Mainline passenger</w:t>
            </w:r>
          </w:p>
        </w:tc>
        <w:tc>
          <w:tcPr>
            <w:tcW w:w="420" w:type="dxa"/>
            <w:vAlign w:val="bottom"/>
            <w:gridSpan w:val="2"/>
            <w:shd w:val="clear" w:color="auto" w:fill="CCEEFF"/>
          </w:tcPr>
          <w:p>
            <w:pPr>
              <w:jc w:val="right"/>
              <w:ind w:right="48"/>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14,353</w:t>
            </w: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7"/>
              <w:spacing w:after="0" w:line="202" w:lineRule="exact"/>
              <w:rPr>
                <w:sz w:val="20"/>
                <w:szCs w:val="20"/>
                <w:color w:val="auto"/>
              </w:rPr>
            </w:pPr>
            <w:r>
              <w:rPr>
                <w:rFonts w:ascii="Arial" w:cs="Arial" w:eastAsia="Arial" w:hAnsi="Arial"/>
                <w:sz w:val="18"/>
                <w:szCs w:val="18"/>
                <w:color w:val="auto"/>
              </w:rPr>
              <w:t>4.2%</w:t>
            </w:r>
          </w:p>
        </w:tc>
        <w:tc>
          <w:tcPr>
            <w:tcW w:w="280" w:type="dxa"/>
            <w:vAlign w:val="bottom"/>
            <w:shd w:val="clear" w:color="auto" w:fill="CCEEFF"/>
          </w:tcPr>
          <w:p>
            <w:pPr>
              <w:spacing w:after="0"/>
              <w:rPr>
                <w:sz w:val="17"/>
                <w:szCs w:val="17"/>
                <w:color w:val="auto"/>
              </w:rPr>
            </w:pPr>
          </w:p>
        </w:tc>
        <w:tc>
          <w:tcPr>
            <w:tcW w:w="54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w w:val="97"/>
              </w:rPr>
              <w:t>0.2%</w:t>
            </w:r>
          </w:p>
        </w:tc>
        <w:tc>
          <w:tcPr>
            <w:tcW w:w="1020" w:type="dxa"/>
            <w:vAlign w:val="bottom"/>
            <w:gridSpan w:val="3"/>
            <w:shd w:val="clear" w:color="auto" w:fill="CCEEFF"/>
          </w:tcPr>
          <w:p>
            <w:pPr>
              <w:jc w:val="center"/>
              <w:ind w:left="294"/>
              <w:spacing w:after="0" w:line="202" w:lineRule="exact"/>
              <w:rPr>
                <w:sz w:val="20"/>
                <w:szCs w:val="20"/>
                <w:color w:val="auto"/>
              </w:rPr>
            </w:pPr>
            <w:r>
              <w:rPr>
                <w:rFonts w:ascii="Arial" w:cs="Arial" w:eastAsia="Arial" w:hAnsi="Arial"/>
                <w:sz w:val="18"/>
                <w:szCs w:val="18"/>
                <w:color w:val="auto"/>
                <w:w w:val="98"/>
              </w:rPr>
              <w:t>(0.1)%</w:t>
            </w:r>
          </w:p>
        </w:tc>
        <w:tc>
          <w:tcPr>
            <w:tcW w:w="2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0.3 pts</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w:t>
            </w: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0"/>
        </w:trPr>
        <w:tc>
          <w:tcPr>
            <w:tcW w:w="4240" w:type="dxa"/>
            <w:vAlign w:val="bottom"/>
          </w:tcPr>
          <w:p>
            <w:pPr>
              <w:spacing w:after="0" w:line="202" w:lineRule="exact"/>
              <w:rPr>
                <w:sz w:val="20"/>
                <w:szCs w:val="20"/>
                <w:color w:val="auto"/>
              </w:rPr>
            </w:pPr>
            <w:r>
              <w:rPr>
                <w:rFonts w:ascii="Arial" w:cs="Arial" w:eastAsia="Arial" w:hAnsi="Arial"/>
                <w:sz w:val="18"/>
                <w:szCs w:val="18"/>
                <w:color w:val="auto"/>
              </w:rPr>
              <w:t>Regional passenger</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3,384</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ind w:right="57"/>
              <w:spacing w:after="0" w:line="202" w:lineRule="exact"/>
              <w:rPr>
                <w:sz w:val="20"/>
                <w:szCs w:val="20"/>
                <w:color w:val="auto"/>
              </w:rPr>
            </w:pPr>
            <w:r>
              <w:rPr>
                <w:rFonts w:ascii="Arial" w:cs="Arial" w:eastAsia="Arial" w:hAnsi="Arial"/>
                <w:sz w:val="18"/>
                <w:szCs w:val="18"/>
                <w:color w:val="auto"/>
              </w:rPr>
              <w:t>2.3%</w:t>
            </w:r>
          </w:p>
        </w:tc>
        <w:tc>
          <w:tcPr>
            <w:tcW w:w="280" w:type="dxa"/>
            <w:vAlign w:val="bottom"/>
          </w:tcPr>
          <w:p>
            <w:pPr>
              <w:spacing w:after="0"/>
              <w:rPr>
                <w:sz w:val="18"/>
                <w:szCs w:val="18"/>
                <w:color w:val="auto"/>
              </w:rPr>
            </w:pPr>
          </w:p>
        </w:tc>
        <w:tc>
          <w:tcPr>
            <w:tcW w:w="540" w:type="dxa"/>
            <w:vAlign w:val="bottom"/>
          </w:tcPr>
          <w:p>
            <w:pPr>
              <w:ind w:left="120"/>
              <w:spacing w:after="0" w:line="202" w:lineRule="exact"/>
              <w:rPr>
                <w:sz w:val="20"/>
                <w:szCs w:val="20"/>
                <w:color w:val="auto"/>
              </w:rPr>
            </w:pPr>
            <w:r>
              <w:rPr>
                <w:rFonts w:ascii="Arial" w:cs="Arial" w:eastAsia="Arial" w:hAnsi="Arial"/>
                <w:sz w:val="18"/>
                <w:szCs w:val="18"/>
                <w:color w:val="auto"/>
                <w:w w:val="97"/>
              </w:rPr>
              <w:t>1.7%</w:t>
            </w:r>
          </w:p>
        </w:tc>
        <w:tc>
          <w:tcPr>
            <w:tcW w:w="1020" w:type="dxa"/>
            <w:vAlign w:val="bottom"/>
            <w:gridSpan w:val="3"/>
          </w:tcPr>
          <w:p>
            <w:pPr>
              <w:jc w:val="center"/>
              <w:ind w:left="314"/>
              <w:spacing w:after="0" w:line="202" w:lineRule="exact"/>
              <w:rPr>
                <w:sz w:val="20"/>
                <w:szCs w:val="20"/>
                <w:color w:val="auto"/>
              </w:rPr>
            </w:pPr>
            <w:r>
              <w:rPr>
                <w:rFonts w:ascii="Arial" w:cs="Arial" w:eastAsia="Arial" w:hAnsi="Arial"/>
                <w:sz w:val="18"/>
                <w:szCs w:val="18"/>
                <w:color w:val="auto"/>
              </w:rPr>
              <w:t>2.7%</w:t>
            </w:r>
          </w:p>
        </w:tc>
        <w:tc>
          <w:tcPr>
            <w:tcW w:w="280" w:type="dxa"/>
            <w:vAlign w:val="bottom"/>
          </w:tcPr>
          <w:p>
            <w:pPr>
              <w:spacing w:after="0"/>
              <w:rPr>
                <w:sz w:val="18"/>
                <w:szCs w:val="18"/>
                <w:color w:val="auto"/>
              </w:rPr>
            </w:pPr>
          </w:p>
        </w:tc>
        <w:tc>
          <w:tcPr>
            <w:tcW w:w="10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(0.8)pts</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0.6%</w:t>
            </w:r>
          </w:p>
        </w:tc>
        <w:tc>
          <w:tcPr>
            <w:tcW w:w="280" w:type="dxa"/>
            <w:vAlign w:val="bottom"/>
          </w:tcPr>
          <w:p>
            <w:pPr>
              <w:spacing w:after="0"/>
              <w:rPr>
                <w:sz w:val="18"/>
                <w:szCs w:val="18"/>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3"/>
        </w:trPr>
        <w:tc>
          <w:tcPr>
            <w:tcW w:w="42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Total passenger revenues</w:t>
            </w:r>
          </w:p>
        </w:tc>
        <w:tc>
          <w:tcPr>
            <w:tcW w:w="420" w:type="dxa"/>
            <w:vAlign w:val="bottom"/>
            <w:gridSpan w:val="2"/>
            <w:shd w:val="clear" w:color="auto" w:fill="CCEEFF"/>
          </w:tcPr>
          <w:p>
            <w:pPr>
              <w:jc w:val="right"/>
              <w:ind w:right="48"/>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17,737</w:t>
            </w: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7"/>
              <w:spacing w:after="0" w:line="202" w:lineRule="exact"/>
              <w:rPr>
                <w:sz w:val="20"/>
                <w:szCs w:val="20"/>
                <w:color w:val="auto"/>
              </w:rPr>
            </w:pPr>
            <w:r>
              <w:rPr>
                <w:rFonts w:ascii="Arial" w:cs="Arial" w:eastAsia="Arial" w:hAnsi="Arial"/>
                <w:sz w:val="18"/>
                <w:szCs w:val="18"/>
                <w:color w:val="auto"/>
              </w:rPr>
              <w:t>3.8%</w:t>
            </w:r>
          </w:p>
        </w:tc>
        <w:tc>
          <w:tcPr>
            <w:tcW w:w="280" w:type="dxa"/>
            <w:vAlign w:val="bottom"/>
            <w:shd w:val="clear" w:color="auto" w:fill="CCEEFF"/>
          </w:tcPr>
          <w:p>
            <w:pPr>
              <w:spacing w:after="0"/>
              <w:rPr>
                <w:sz w:val="17"/>
                <w:szCs w:val="17"/>
                <w:color w:val="auto"/>
              </w:rPr>
            </w:pPr>
          </w:p>
        </w:tc>
        <w:tc>
          <w:tcPr>
            <w:tcW w:w="54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w w:val="97"/>
              </w:rPr>
              <w:t>0.4%</w:t>
            </w:r>
          </w:p>
        </w:tc>
        <w:tc>
          <w:tcPr>
            <w:tcW w:w="1020" w:type="dxa"/>
            <w:vAlign w:val="bottom"/>
            <w:gridSpan w:val="3"/>
            <w:shd w:val="clear" w:color="auto" w:fill="CCEEFF"/>
          </w:tcPr>
          <w:p>
            <w:pPr>
              <w:jc w:val="center"/>
              <w:ind w:left="314"/>
              <w:spacing w:after="0" w:line="202" w:lineRule="exact"/>
              <w:rPr>
                <w:sz w:val="20"/>
                <w:szCs w:val="20"/>
                <w:color w:val="auto"/>
              </w:rPr>
            </w:pPr>
            <w:r>
              <w:rPr>
                <w:rFonts w:ascii="Arial" w:cs="Arial" w:eastAsia="Arial" w:hAnsi="Arial"/>
                <w:sz w:val="18"/>
                <w:szCs w:val="18"/>
                <w:color w:val="auto"/>
              </w:rPr>
              <w:t>0.2%</w:t>
            </w:r>
          </w:p>
        </w:tc>
        <w:tc>
          <w:tcPr>
            <w:tcW w:w="2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0.1 pts</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w:t>
            </w: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228"/>
        <w:spacing w:after="0"/>
        <w:rPr>
          <w:sz w:val="20"/>
          <w:szCs w:val="20"/>
          <w:color w:val="auto"/>
        </w:rPr>
      </w:pPr>
      <w:r>
        <w:rPr>
          <w:rFonts w:ascii="Arial" w:cs="Arial" w:eastAsia="Arial" w:hAnsi="Arial"/>
          <w:sz w:val="18"/>
          <w:szCs w:val="18"/>
          <w:color w:val="auto"/>
        </w:rPr>
        <w:t>Total passenger revenues increased $655 million, or 3.8%, in the first six months of 2017 from the 2016 period primarily driven by a 3.4% period-over-period increase in consolidated passenger yields. Domestic consolidated yields increased 4.8% and international yields rose 0.9%, due principally to improved revenue performance in Central/South American and Caribbean regions.</w:t>
      </w:r>
    </w:p>
    <w:p>
      <w:pPr>
        <w:spacing w:after="0" w:line="162" w:lineRule="exact"/>
        <w:rPr>
          <w:sz w:val="20"/>
          <w:szCs w:val="20"/>
          <w:color w:val="auto"/>
        </w:rPr>
      </w:pPr>
    </w:p>
    <w:p>
      <w:pPr>
        <w:jc w:val="both"/>
        <w:ind w:right="20" w:firstLine="228"/>
        <w:spacing w:after="0" w:line="246" w:lineRule="auto"/>
        <w:rPr>
          <w:sz w:val="20"/>
          <w:szCs w:val="20"/>
          <w:color w:val="auto"/>
        </w:rPr>
      </w:pPr>
      <w:r>
        <w:rPr>
          <w:rFonts w:ascii="Arial" w:cs="Arial" w:eastAsia="Arial" w:hAnsi="Arial"/>
          <w:sz w:val="18"/>
          <w:szCs w:val="18"/>
          <w:color w:val="auto"/>
        </w:rPr>
        <w:t>Cargo revenue increased $32 million, or 9.8%, in the first six months of 2017 from the 2016 period primarily driven by an increase in freight volume.</w:t>
      </w:r>
    </w:p>
    <w:p>
      <w:pPr>
        <w:spacing w:after="0" w:line="156" w:lineRule="exact"/>
        <w:rPr>
          <w:sz w:val="20"/>
          <w:szCs w:val="20"/>
          <w:color w:val="auto"/>
        </w:rPr>
      </w:pPr>
    </w:p>
    <w:p>
      <w:pPr>
        <w:jc w:val="both"/>
        <w:ind w:firstLine="228"/>
        <w:spacing w:after="0" w:line="237" w:lineRule="auto"/>
        <w:rPr>
          <w:sz w:val="20"/>
          <w:szCs w:val="20"/>
          <w:color w:val="auto"/>
        </w:rPr>
      </w:pPr>
      <w:r>
        <w:rPr>
          <w:rFonts w:ascii="Arial" w:cs="Arial" w:eastAsia="Arial" w:hAnsi="Arial"/>
          <w:sz w:val="18"/>
          <w:szCs w:val="18"/>
          <w:color w:val="auto"/>
        </w:rPr>
        <w:t>Other revenue primarily includes revenue associated with our loyalty program, baggage fees, ticketing change fees, airport clubs and inflight services. Other revenue increased $244 million, or 10.2%, in the first six months of 2017 from the 2016 period primarily driven by an increase in loyalty program revenue. In the first six months of 2017 and 2016, other revenue associated with our loyalty program was $1.2 billion and $952 million, respectively, of which $1.1 billion and $856 million, respectively, related to the marketing component of mileage sales and other marketing related payments. This period-over-period increase was primarily due to revenues associated with our new co-branded credit card agreements that became effective in the third quarter of 2016.</w:t>
      </w:r>
    </w:p>
    <w:p>
      <w:pPr>
        <w:spacing w:after="0" w:line="178" w:lineRule="exact"/>
        <w:rPr>
          <w:sz w:val="20"/>
          <w:szCs w:val="20"/>
          <w:color w:val="auto"/>
        </w:rPr>
      </w:pPr>
    </w:p>
    <w:p>
      <w:pPr>
        <w:jc w:val="both"/>
        <w:ind w:firstLine="228"/>
        <w:spacing w:after="0"/>
        <w:rPr>
          <w:sz w:val="20"/>
          <w:szCs w:val="20"/>
          <w:color w:val="auto"/>
        </w:rPr>
      </w:pPr>
      <w:r>
        <w:rPr>
          <w:rFonts w:ascii="Arial" w:cs="Arial" w:eastAsia="Arial" w:hAnsi="Arial"/>
          <w:sz w:val="18"/>
          <w:szCs w:val="18"/>
          <w:color w:val="auto"/>
        </w:rPr>
        <w:t>Total operating revenues in the first six months of 2017 increased $931 million, or 4.7%, from the 2016 period driven principally by a 3.8% increase in total passenger revenues as described above. Our mainline and regional TRASM was 15.23 cents in the first six months of 2017, a 4.5% increase as compared to 14.58 cents in the 2016 period.</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Mainline Operating Expenses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4"/>
          </w:tcPr>
          <w:p>
            <w:pPr>
              <w:jc w:val="right"/>
              <w:ind w:right="272"/>
              <w:spacing w:after="0"/>
              <w:rPr>
                <w:sz w:val="20"/>
                <w:szCs w:val="20"/>
                <w:color w:val="auto"/>
              </w:rPr>
            </w:pPr>
            <w:r>
              <w:rPr>
                <w:rFonts w:ascii="Arial" w:cs="Arial" w:eastAsia="Arial" w:hAnsi="Arial"/>
                <w:sz w:val="14"/>
                <w:szCs w:val="14"/>
                <w:b w:val="1"/>
                <w:bCs w:val="1"/>
                <w:color w:val="auto"/>
              </w:rPr>
              <w:t>Six Months Ended</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center"/>
              <w:ind w:left="54"/>
              <w:spacing w:after="0"/>
              <w:rPr>
                <w:sz w:val="20"/>
                <w:szCs w:val="20"/>
                <w:color w:val="auto"/>
              </w:rPr>
            </w:pPr>
            <w:r>
              <w:rPr>
                <w:rFonts w:ascii="Arial" w:cs="Arial" w:eastAsia="Arial" w:hAnsi="Arial"/>
                <w:sz w:val="14"/>
                <w:szCs w:val="14"/>
                <w:b w:val="1"/>
                <w:bCs w:val="1"/>
                <w:color w:val="auto"/>
              </w:rPr>
              <w:t>Percent</w:t>
            </w:r>
          </w:p>
        </w:tc>
      </w:tr>
      <w:tr>
        <w:trPr>
          <w:trHeight w:val="175"/>
        </w:trPr>
        <w:tc>
          <w:tcPr>
            <w:tcW w:w="730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Increase</w:t>
            </w:r>
          </w:p>
        </w:tc>
        <w:tc>
          <w:tcPr>
            <w:tcW w:w="900" w:type="dxa"/>
            <w:vAlign w:val="bottom"/>
          </w:tcPr>
          <w:p>
            <w:pPr>
              <w:jc w:val="center"/>
              <w:ind w:left="54"/>
              <w:spacing w:after="0"/>
              <w:rPr>
                <w:sz w:val="20"/>
                <w:szCs w:val="20"/>
                <w:color w:val="auto"/>
              </w:rPr>
            </w:pPr>
            <w:r>
              <w:rPr>
                <w:rFonts w:ascii="Arial" w:cs="Arial" w:eastAsia="Arial" w:hAnsi="Arial"/>
                <w:sz w:val="14"/>
                <w:szCs w:val="14"/>
                <w:b w:val="1"/>
                <w:bCs w:val="1"/>
                <w:color w:val="auto"/>
              </w:rPr>
              <w:t>Increase</w:t>
            </w:r>
          </w:p>
        </w:tc>
      </w:tr>
      <w:tr>
        <w:trPr>
          <w:trHeight w:val="156"/>
        </w:trPr>
        <w:tc>
          <w:tcPr>
            <w:tcW w:w="730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55"/>
              <w:spacing w:after="0" w:line="155" w:lineRule="exact"/>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rPr>
              <w:t>2016</w:t>
            </w:r>
          </w:p>
        </w:tc>
        <w:tc>
          <w:tcPr>
            <w:tcW w:w="1240" w:type="dxa"/>
            <w:vAlign w:val="bottom"/>
            <w:tcBorders>
              <w:bottom w:val="single" w:sz="8" w:color="auto"/>
            </w:tcBorders>
            <w:gridSpan w:val="4"/>
          </w:tcPr>
          <w:p>
            <w:pPr>
              <w:jc w:val="right"/>
              <w:ind w:right="180"/>
              <w:spacing w:after="0" w:line="155" w:lineRule="exact"/>
              <w:rPr>
                <w:sz w:val="20"/>
                <w:szCs w:val="20"/>
                <w:color w:val="auto"/>
              </w:rPr>
            </w:pPr>
            <w:r>
              <w:rPr>
                <w:rFonts w:ascii="Arial" w:cs="Arial" w:eastAsia="Arial" w:hAnsi="Arial"/>
                <w:sz w:val="14"/>
                <w:szCs w:val="14"/>
                <w:b w:val="1"/>
                <w:bCs w:val="1"/>
                <w:color w:val="auto"/>
              </w:rPr>
              <w:t>(Decrease)</w:t>
            </w:r>
          </w:p>
        </w:tc>
        <w:tc>
          <w:tcPr>
            <w:tcW w:w="900" w:type="dxa"/>
            <w:vAlign w:val="bottom"/>
            <w:tcBorders>
              <w:bottom w:val="single" w:sz="8" w:color="auto"/>
            </w:tcBorders>
          </w:tcPr>
          <w:p>
            <w:pPr>
              <w:jc w:val="center"/>
              <w:ind w:left="54"/>
              <w:spacing w:after="0" w:line="155" w:lineRule="exact"/>
              <w:rPr>
                <w:sz w:val="20"/>
                <w:szCs w:val="20"/>
                <w:color w:val="auto"/>
              </w:rPr>
            </w:pPr>
            <w:r>
              <w:rPr>
                <w:rFonts w:ascii="Arial" w:cs="Arial" w:eastAsia="Arial" w:hAnsi="Arial"/>
                <w:sz w:val="14"/>
                <w:szCs w:val="14"/>
                <w:b w:val="1"/>
                <w:bCs w:val="1"/>
                <w:color w:val="auto"/>
              </w:rPr>
              <w:t>(Decrease)</w:t>
            </w:r>
          </w:p>
        </w:tc>
      </w:tr>
      <w:tr>
        <w:trPr>
          <w:trHeight w:val="156"/>
        </w:trPr>
        <w:tc>
          <w:tcPr>
            <w:tcW w:w="7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920" w:type="dxa"/>
            <w:vAlign w:val="bottom"/>
            <w:gridSpan w:val="9"/>
          </w:tcPr>
          <w:p>
            <w:pPr>
              <w:jc w:val="right"/>
              <w:ind w:right="594"/>
              <w:spacing w:after="0" w:line="155" w:lineRule="exact"/>
              <w:rPr>
                <w:sz w:val="20"/>
                <w:szCs w:val="20"/>
                <w:color w:val="auto"/>
              </w:rPr>
            </w:pPr>
            <w:r>
              <w:rPr>
                <w:rFonts w:ascii="Arial" w:cs="Arial" w:eastAsia="Arial" w:hAnsi="Arial"/>
                <w:sz w:val="14"/>
                <w:szCs w:val="14"/>
                <w:b w:val="1"/>
                <w:bCs w:val="1"/>
                <w:color w:val="auto"/>
              </w:rPr>
              <w:t>(In millions, except percentage changes)</w:t>
            </w:r>
          </w:p>
        </w:tc>
      </w:tr>
      <w:tr>
        <w:trPr>
          <w:trHeight w:val="203"/>
        </w:trPr>
        <w:tc>
          <w:tcPr>
            <w:tcW w:w="73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Aircraft fuel and related taxes</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2,912</w:t>
            </w:r>
          </w:p>
        </w:tc>
        <w:tc>
          <w:tcPr>
            <w:tcW w:w="5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2,343</w:t>
            </w:r>
          </w:p>
        </w:tc>
        <w:tc>
          <w:tcPr>
            <w:tcW w:w="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569</w:t>
            </w:r>
          </w:p>
        </w:tc>
        <w:tc>
          <w:tcPr>
            <w:tcW w:w="900" w:type="dxa"/>
            <w:vAlign w:val="bottom"/>
            <w:shd w:val="clear" w:color="auto" w:fill="CCEEFF"/>
          </w:tcPr>
          <w:p>
            <w:pPr>
              <w:jc w:val="right"/>
              <w:ind w:right="94"/>
              <w:spacing w:after="0" w:line="202" w:lineRule="exact"/>
              <w:rPr>
                <w:sz w:val="20"/>
                <w:szCs w:val="20"/>
                <w:color w:val="auto"/>
              </w:rPr>
            </w:pPr>
            <w:r>
              <w:rPr>
                <w:rFonts w:ascii="Arial" w:cs="Arial" w:eastAsia="Arial" w:hAnsi="Arial"/>
                <w:sz w:val="18"/>
                <w:szCs w:val="18"/>
                <w:color w:val="auto"/>
              </w:rPr>
              <w:t>24.2</w:t>
            </w:r>
          </w:p>
        </w:tc>
      </w:tr>
      <w:tr>
        <w:trPr>
          <w:trHeight w:val="203"/>
        </w:trPr>
        <w:tc>
          <w:tcPr>
            <w:tcW w:w="7360" w:type="dxa"/>
            <w:vAlign w:val="bottom"/>
            <w:gridSpan w:val="2"/>
          </w:tcPr>
          <w:p>
            <w:pPr>
              <w:spacing w:after="0" w:line="202" w:lineRule="exact"/>
              <w:rPr>
                <w:sz w:val="20"/>
                <w:szCs w:val="20"/>
                <w:color w:val="auto"/>
              </w:rPr>
            </w:pPr>
            <w:r>
              <w:rPr>
                <w:rFonts w:ascii="Arial" w:cs="Arial" w:eastAsia="Arial" w:hAnsi="Arial"/>
                <w:sz w:val="18"/>
                <w:szCs w:val="18"/>
                <w:color w:val="auto"/>
              </w:rPr>
              <w:t>Salaries, wages and benefits</w:t>
            </w:r>
          </w:p>
        </w:tc>
        <w:tc>
          <w:tcPr>
            <w:tcW w:w="1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5,829</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5,322</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507</w:t>
            </w:r>
          </w:p>
        </w:tc>
        <w:tc>
          <w:tcPr>
            <w:tcW w:w="900" w:type="dxa"/>
            <w:vAlign w:val="bottom"/>
          </w:tcPr>
          <w:p>
            <w:pPr>
              <w:jc w:val="right"/>
              <w:ind w:right="94"/>
              <w:spacing w:after="0" w:line="202" w:lineRule="exact"/>
              <w:rPr>
                <w:sz w:val="20"/>
                <w:szCs w:val="20"/>
                <w:color w:val="auto"/>
              </w:rPr>
            </w:pPr>
            <w:r>
              <w:rPr>
                <w:rFonts w:ascii="Arial" w:cs="Arial" w:eastAsia="Arial" w:hAnsi="Arial"/>
                <w:sz w:val="18"/>
                <w:szCs w:val="18"/>
                <w:color w:val="auto"/>
              </w:rPr>
              <w:t>9.5</w:t>
            </w:r>
          </w:p>
        </w:tc>
      </w:tr>
      <w:tr>
        <w:trPr>
          <w:trHeight w:val="203"/>
        </w:trPr>
        <w:tc>
          <w:tcPr>
            <w:tcW w:w="73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Maintenance, materials and repairs</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987</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871</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116</w:t>
            </w:r>
          </w:p>
        </w:tc>
        <w:tc>
          <w:tcPr>
            <w:tcW w:w="900" w:type="dxa"/>
            <w:vAlign w:val="bottom"/>
            <w:shd w:val="clear" w:color="auto" w:fill="CCEEFF"/>
          </w:tcPr>
          <w:p>
            <w:pPr>
              <w:jc w:val="right"/>
              <w:ind w:right="94"/>
              <w:spacing w:after="0" w:line="202" w:lineRule="exact"/>
              <w:rPr>
                <w:sz w:val="20"/>
                <w:szCs w:val="20"/>
                <w:color w:val="auto"/>
              </w:rPr>
            </w:pPr>
            <w:r>
              <w:rPr>
                <w:rFonts w:ascii="Arial" w:cs="Arial" w:eastAsia="Arial" w:hAnsi="Arial"/>
                <w:sz w:val="18"/>
                <w:szCs w:val="18"/>
                <w:color w:val="auto"/>
              </w:rPr>
              <w:t>13.3</w:t>
            </w:r>
          </w:p>
        </w:tc>
      </w:tr>
      <w:tr>
        <w:trPr>
          <w:trHeight w:val="203"/>
        </w:trPr>
        <w:tc>
          <w:tcPr>
            <w:tcW w:w="7360" w:type="dxa"/>
            <w:vAlign w:val="bottom"/>
            <w:gridSpan w:val="2"/>
          </w:tcPr>
          <w:p>
            <w:pPr>
              <w:spacing w:after="0" w:line="202" w:lineRule="exact"/>
              <w:rPr>
                <w:sz w:val="20"/>
                <w:szCs w:val="20"/>
                <w:color w:val="auto"/>
              </w:rPr>
            </w:pPr>
            <w:r>
              <w:rPr>
                <w:rFonts w:ascii="Arial" w:cs="Arial" w:eastAsia="Arial" w:hAnsi="Arial"/>
                <w:sz w:val="18"/>
                <w:szCs w:val="18"/>
                <w:color w:val="auto"/>
              </w:rPr>
              <w:t>Other rent and landing fees</w:t>
            </w:r>
          </w:p>
        </w:tc>
        <w:tc>
          <w:tcPr>
            <w:tcW w:w="1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892</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879</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13</w:t>
            </w:r>
          </w:p>
        </w:tc>
        <w:tc>
          <w:tcPr>
            <w:tcW w:w="900" w:type="dxa"/>
            <w:vAlign w:val="bottom"/>
          </w:tcPr>
          <w:p>
            <w:pPr>
              <w:jc w:val="right"/>
              <w:ind w:right="94"/>
              <w:spacing w:after="0" w:line="202" w:lineRule="exact"/>
              <w:rPr>
                <w:sz w:val="20"/>
                <w:szCs w:val="20"/>
                <w:color w:val="auto"/>
              </w:rPr>
            </w:pPr>
            <w:r>
              <w:rPr>
                <w:rFonts w:ascii="Arial" w:cs="Arial" w:eastAsia="Arial" w:hAnsi="Arial"/>
                <w:sz w:val="18"/>
                <w:szCs w:val="18"/>
                <w:color w:val="auto"/>
              </w:rPr>
              <w:t>1.5</w:t>
            </w:r>
          </w:p>
        </w:tc>
      </w:tr>
      <w:tr>
        <w:trPr>
          <w:trHeight w:val="203"/>
        </w:trPr>
        <w:tc>
          <w:tcPr>
            <w:tcW w:w="73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Aircraft rent</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589</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609</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(20)</w:t>
            </w:r>
          </w:p>
        </w:tc>
        <w:tc>
          <w:tcPr>
            <w:tcW w:w="900" w:type="dxa"/>
            <w:vAlign w:val="bottom"/>
            <w:shd w:val="clear" w:color="auto" w:fill="CCEEFF"/>
          </w:tcPr>
          <w:p>
            <w:pPr>
              <w:jc w:val="right"/>
              <w:ind w:right="34"/>
              <w:spacing w:after="0" w:line="202" w:lineRule="exact"/>
              <w:rPr>
                <w:sz w:val="20"/>
                <w:szCs w:val="20"/>
                <w:color w:val="auto"/>
              </w:rPr>
            </w:pPr>
            <w:r>
              <w:rPr>
                <w:rFonts w:ascii="Arial" w:cs="Arial" w:eastAsia="Arial" w:hAnsi="Arial"/>
                <w:sz w:val="18"/>
                <w:szCs w:val="18"/>
                <w:color w:val="auto"/>
              </w:rPr>
              <w:t>(3.3)</w:t>
            </w:r>
          </w:p>
        </w:tc>
      </w:tr>
      <w:tr>
        <w:trPr>
          <w:trHeight w:val="203"/>
        </w:trPr>
        <w:tc>
          <w:tcPr>
            <w:tcW w:w="7360" w:type="dxa"/>
            <w:vAlign w:val="bottom"/>
            <w:gridSpan w:val="2"/>
          </w:tcPr>
          <w:p>
            <w:pPr>
              <w:spacing w:after="0" w:line="202" w:lineRule="exact"/>
              <w:rPr>
                <w:sz w:val="20"/>
                <w:szCs w:val="20"/>
                <w:color w:val="auto"/>
              </w:rPr>
            </w:pPr>
            <w:r>
              <w:rPr>
                <w:rFonts w:ascii="Arial" w:cs="Arial" w:eastAsia="Arial" w:hAnsi="Arial"/>
                <w:sz w:val="18"/>
                <w:szCs w:val="18"/>
                <w:color w:val="auto"/>
              </w:rPr>
              <w:t>Selling expenses</w:t>
            </w:r>
          </w:p>
        </w:tc>
        <w:tc>
          <w:tcPr>
            <w:tcW w:w="1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694</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642</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52</w:t>
            </w:r>
          </w:p>
        </w:tc>
        <w:tc>
          <w:tcPr>
            <w:tcW w:w="900" w:type="dxa"/>
            <w:vAlign w:val="bottom"/>
          </w:tcPr>
          <w:p>
            <w:pPr>
              <w:jc w:val="right"/>
              <w:ind w:right="94"/>
              <w:spacing w:after="0" w:line="202" w:lineRule="exact"/>
              <w:rPr>
                <w:sz w:val="20"/>
                <w:szCs w:val="20"/>
                <w:color w:val="auto"/>
              </w:rPr>
            </w:pPr>
            <w:r>
              <w:rPr>
                <w:rFonts w:ascii="Arial" w:cs="Arial" w:eastAsia="Arial" w:hAnsi="Arial"/>
                <w:sz w:val="18"/>
                <w:szCs w:val="18"/>
                <w:color w:val="auto"/>
              </w:rPr>
              <w:t>8.0</w:t>
            </w:r>
          </w:p>
        </w:tc>
      </w:tr>
      <w:tr>
        <w:trPr>
          <w:trHeight w:val="203"/>
        </w:trPr>
        <w:tc>
          <w:tcPr>
            <w:tcW w:w="73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822</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729</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93</w:t>
            </w:r>
          </w:p>
        </w:tc>
        <w:tc>
          <w:tcPr>
            <w:tcW w:w="900" w:type="dxa"/>
            <w:vAlign w:val="bottom"/>
            <w:shd w:val="clear" w:color="auto" w:fill="CCEEFF"/>
          </w:tcPr>
          <w:p>
            <w:pPr>
              <w:jc w:val="right"/>
              <w:ind w:right="94"/>
              <w:spacing w:after="0" w:line="202" w:lineRule="exact"/>
              <w:rPr>
                <w:sz w:val="20"/>
                <w:szCs w:val="20"/>
                <w:color w:val="auto"/>
              </w:rPr>
            </w:pPr>
            <w:r>
              <w:rPr>
                <w:rFonts w:ascii="Arial" w:cs="Arial" w:eastAsia="Arial" w:hAnsi="Arial"/>
                <w:sz w:val="18"/>
                <w:szCs w:val="18"/>
                <w:color w:val="auto"/>
              </w:rPr>
              <w:t>12.8</w:t>
            </w:r>
          </w:p>
        </w:tc>
      </w:tr>
      <w:tr>
        <w:trPr>
          <w:trHeight w:val="203"/>
        </w:trPr>
        <w:tc>
          <w:tcPr>
            <w:tcW w:w="7360" w:type="dxa"/>
            <w:vAlign w:val="bottom"/>
            <w:gridSpan w:val="2"/>
          </w:tcPr>
          <w:p>
            <w:pPr>
              <w:spacing w:after="0" w:line="202" w:lineRule="exact"/>
              <w:rPr>
                <w:sz w:val="20"/>
                <w:szCs w:val="20"/>
                <w:color w:val="auto"/>
              </w:rPr>
            </w:pPr>
            <w:r>
              <w:rPr>
                <w:rFonts w:ascii="Arial" w:cs="Arial" w:eastAsia="Arial" w:hAnsi="Arial"/>
                <w:sz w:val="18"/>
                <w:szCs w:val="18"/>
                <w:color w:val="auto"/>
              </w:rPr>
              <w:t>Special items, net</w:t>
            </w:r>
          </w:p>
        </w:tc>
        <w:tc>
          <w:tcPr>
            <w:tcW w:w="1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320</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161</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159</w:t>
            </w:r>
          </w:p>
        </w:tc>
        <w:tc>
          <w:tcPr>
            <w:tcW w:w="900" w:type="dxa"/>
            <w:vAlign w:val="bottom"/>
          </w:tcPr>
          <w:p>
            <w:pPr>
              <w:jc w:val="right"/>
              <w:ind w:right="94"/>
              <w:spacing w:after="0" w:line="202" w:lineRule="exact"/>
              <w:rPr>
                <w:sz w:val="20"/>
                <w:szCs w:val="20"/>
                <w:color w:val="auto"/>
              </w:rPr>
            </w:pPr>
            <w:r>
              <w:rPr>
                <w:rFonts w:ascii="Arial" w:cs="Arial" w:eastAsia="Arial" w:hAnsi="Arial"/>
                <w:sz w:val="18"/>
                <w:szCs w:val="18"/>
                <w:color w:val="auto"/>
              </w:rPr>
              <w:t>99.4</w:t>
            </w:r>
          </w:p>
        </w:tc>
      </w:tr>
      <w:tr>
        <w:trPr>
          <w:trHeight w:val="203"/>
        </w:trPr>
        <w:tc>
          <w:tcPr>
            <w:tcW w:w="73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2,354</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2,205</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149</w:t>
            </w:r>
          </w:p>
        </w:tc>
        <w:tc>
          <w:tcPr>
            <w:tcW w:w="900" w:type="dxa"/>
            <w:vAlign w:val="bottom"/>
            <w:shd w:val="clear" w:color="auto" w:fill="CCEEFF"/>
          </w:tcPr>
          <w:p>
            <w:pPr>
              <w:jc w:val="right"/>
              <w:ind w:right="94"/>
              <w:spacing w:after="0" w:line="202" w:lineRule="exact"/>
              <w:rPr>
                <w:sz w:val="20"/>
                <w:szCs w:val="20"/>
                <w:color w:val="auto"/>
              </w:rPr>
            </w:pPr>
            <w:r>
              <w:rPr>
                <w:rFonts w:ascii="Arial" w:cs="Arial" w:eastAsia="Arial" w:hAnsi="Arial"/>
                <w:sz w:val="18"/>
                <w:szCs w:val="18"/>
                <w:color w:val="auto"/>
              </w:rPr>
              <w:t>6.8</w:t>
            </w:r>
          </w:p>
        </w:tc>
      </w:tr>
      <w:tr>
        <w:trPr>
          <w:trHeight w:val="20"/>
        </w:trPr>
        <w:tc>
          <w:tcPr>
            <w:tcW w:w="7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10"/>
        </w:trPr>
        <w:tc>
          <w:tcPr>
            <w:tcW w:w="7360" w:type="dxa"/>
            <w:vAlign w:val="bottom"/>
            <w:gridSpan w:val="2"/>
          </w:tcPr>
          <w:p>
            <w:pPr>
              <w:ind w:left="180"/>
              <w:spacing w:after="0"/>
              <w:rPr>
                <w:sz w:val="20"/>
                <w:szCs w:val="20"/>
                <w:color w:val="auto"/>
              </w:rPr>
            </w:pPr>
            <w:r>
              <w:rPr>
                <w:rFonts w:ascii="Arial" w:cs="Arial" w:eastAsia="Arial" w:hAnsi="Arial"/>
                <w:sz w:val="18"/>
                <w:szCs w:val="18"/>
                <w:color w:val="auto"/>
              </w:rPr>
              <w:t>Total mainline operating expenses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15,399</w:t>
            </w:r>
          </w:p>
        </w:tc>
        <w:tc>
          <w:tcPr>
            <w:tcW w:w="3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13,761</w:t>
            </w:r>
          </w:p>
        </w:tc>
        <w:tc>
          <w:tcPr>
            <w:tcW w:w="3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1,638</w:t>
            </w:r>
          </w:p>
        </w:tc>
        <w:tc>
          <w:tcPr>
            <w:tcW w:w="900" w:type="dxa"/>
            <w:vAlign w:val="bottom"/>
          </w:tcPr>
          <w:p>
            <w:pPr>
              <w:jc w:val="right"/>
              <w:ind w:right="94"/>
              <w:spacing w:after="0"/>
              <w:rPr>
                <w:sz w:val="20"/>
                <w:szCs w:val="20"/>
                <w:color w:val="auto"/>
              </w:rPr>
            </w:pPr>
            <w:r>
              <w:rPr>
                <w:rFonts w:ascii="Arial" w:cs="Arial" w:eastAsia="Arial" w:hAnsi="Arial"/>
                <w:sz w:val="18"/>
                <w:szCs w:val="18"/>
                <w:color w:val="auto"/>
              </w:rPr>
              <w:t>11.9</w:t>
            </w:r>
          </w:p>
        </w:tc>
      </w:tr>
      <w:tr>
        <w:trPr>
          <w:trHeight w:val="20"/>
        </w:trPr>
        <w:tc>
          <w:tcPr>
            <w:tcW w:w="7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firstLine="228"/>
        <w:spacing w:after="0" w:line="246" w:lineRule="auto"/>
        <w:rPr>
          <w:sz w:val="20"/>
          <w:szCs w:val="20"/>
          <w:color w:val="auto"/>
        </w:rPr>
      </w:pPr>
      <w:r>
        <w:rPr>
          <w:rFonts w:ascii="Arial" w:cs="Arial" w:eastAsia="Arial" w:hAnsi="Arial"/>
          <w:sz w:val="18"/>
          <w:szCs w:val="18"/>
          <w:color w:val="auto"/>
        </w:rPr>
        <w:t>Mainline operating expenses increased $1.6 billion, or 11.9%, in the first six months of 2017 from the 2016 period. The increase in operating expenses was primarily driven by higher fuel costs as well as salaries, wages and benefits. See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69"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detailed explanations below relating to changes in mainline CASM.</w:t>
      </w:r>
    </w:p>
    <w:p>
      <w:pPr>
        <w:spacing w:after="0" w:line="302"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Mainline CASM</w:t>
      </w:r>
    </w:p>
    <w:p>
      <w:pPr>
        <w:spacing w:after="0" w:line="122" w:lineRule="exact"/>
        <w:rPr>
          <w:sz w:val="20"/>
          <w:szCs w:val="20"/>
          <w:color w:val="auto"/>
        </w:rPr>
      </w:pPr>
    </w:p>
    <w:p>
      <w:pPr>
        <w:jc w:val="both"/>
        <w:ind w:firstLine="228"/>
        <w:spacing w:after="0" w:line="237" w:lineRule="auto"/>
        <w:rPr>
          <w:sz w:val="20"/>
          <w:szCs w:val="20"/>
          <w:color w:val="auto"/>
        </w:rPr>
      </w:pPr>
      <w:r>
        <w:rPr>
          <w:rFonts w:ascii="Arial" w:cs="Arial" w:eastAsia="Arial" w:hAnsi="Arial"/>
          <w:sz w:val="18"/>
          <w:szCs w:val="18"/>
          <w:color w:val="auto"/>
        </w:rPr>
        <w:t>We sometimes use financial measures that are derived from the condensed consolidated financial statements but that are not presented in accordance with GAAP to understand and evaluate our current operating performance to allow for period-to-period comparisons. We believe these non-GAAP financial measures may also provide useful information to investors and others. These non-GAAP measures may not be comparable to similarly titled non-GAAP measures of other companies, and should be considered in addition to and not as a substitute for or superior to, any measure of performance, cash flow or liquidity prepared in accordance with GAAP. We are providing a reconciliation of reported non-GAAP financial measures to their comparable financial measures on a GAAP basis.</w:t>
      </w:r>
    </w:p>
    <w:p>
      <w:pPr>
        <w:spacing w:after="0" w:line="205" w:lineRule="exact"/>
        <w:rPr>
          <w:sz w:val="20"/>
          <w:szCs w:val="20"/>
          <w:color w:val="auto"/>
        </w:rPr>
      </w:pPr>
    </w:p>
    <w:p>
      <w:pPr>
        <w:jc w:val="both"/>
        <w:ind w:firstLine="228"/>
        <w:spacing w:after="0" w:line="238" w:lineRule="auto"/>
        <w:rPr>
          <w:sz w:val="20"/>
          <w:szCs w:val="20"/>
          <w:color w:val="auto"/>
        </w:rPr>
      </w:pPr>
      <w:r>
        <w:rPr>
          <w:rFonts w:ascii="Arial" w:cs="Arial" w:eastAsia="Arial" w:hAnsi="Arial"/>
          <w:sz w:val="18"/>
          <w:szCs w:val="18"/>
          <w:color w:val="auto"/>
        </w:rPr>
        <w:t>The table below presents the reconciliation of mainline operating expenses (GAAP measure) to mainline operating costs excluding special items and fuel (non-GAAP measure). Management uses mainline operating costs excluding special items and fuel to evaluate our current operating performance and for period-to-period comparisons. The price of fuel, over which we have no control, impacts the comparability of period-to-period financial performance. The adjustment to exclude aircraft fuel and special items allows management an additional tool to better understand and analyze our non-fuel costs and core operating performance.</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major components of our total mainline CASM and our mainline CASM excluding special items and fuel for the six months ended</w:t>
      </w:r>
    </w:p>
    <w:p>
      <w:pPr>
        <w:spacing w:after="0"/>
        <w:rPr>
          <w:sz w:val="20"/>
          <w:szCs w:val="20"/>
          <w:color w:val="auto"/>
        </w:rPr>
      </w:pPr>
      <w:r>
        <w:rPr>
          <w:rFonts w:ascii="Arial" w:cs="Arial" w:eastAsia="Arial" w:hAnsi="Arial"/>
          <w:sz w:val="18"/>
          <w:szCs w:val="18"/>
          <w:color w:val="auto"/>
        </w:rPr>
        <w:t>June 30, 2017 and 2016 are as follows (amounts may not recalculate due to rounding):</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Six Months Ended</w:t>
            </w:r>
          </w:p>
        </w:tc>
        <w:tc>
          <w:tcPr>
            <w:tcW w:w="2480" w:type="dxa"/>
            <w:vAlign w:val="bottom"/>
          </w:tcPr>
          <w:p>
            <w:pPr>
              <w:jc w:val="center"/>
              <w:ind w:left="253"/>
              <w:spacing w:after="0"/>
              <w:rPr>
                <w:sz w:val="20"/>
                <w:szCs w:val="20"/>
                <w:color w:val="auto"/>
              </w:rPr>
            </w:pPr>
            <w:r>
              <w:rPr>
                <w:rFonts w:ascii="Arial" w:cs="Arial" w:eastAsia="Arial" w:hAnsi="Arial"/>
                <w:sz w:val="14"/>
                <w:szCs w:val="14"/>
                <w:b w:val="1"/>
                <w:bCs w:val="1"/>
                <w:color w:val="auto"/>
              </w:rPr>
              <w:t>Percent</w:t>
            </w:r>
          </w:p>
        </w:tc>
      </w:tr>
      <w:tr>
        <w:trPr>
          <w:trHeight w:val="175"/>
        </w:trPr>
        <w:tc>
          <w:tcPr>
            <w:tcW w:w="70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4"/>
          </w:tcPr>
          <w:p>
            <w:pPr>
              <w:jc w:val="right"/>
              <w:ind w:right="680"/>
              <w:spacing w:after="0"/>
              <w:rPr>
                <w:sz w:val="20"/>
                <w:szCs w:val="20"/>
                <w:color w:val="auto"/>
              </w:rPr>
            </w:pPr>
            <w:r>
              <w:rPr>
                <w:rFonts w:ascii="Arial" w:cs="Arial" w:eastAsia="Arial" w:hAnsi="Arial"/>
                <w:sz w:val="14"/>
                <w:szCs w:val="14"/>
                <w:b w:val="1"/>
                <w:bCs w:val="1"/>
                <w:color w:val="auto"/>
              </w:rPr>
              <w:t>June 30,</w:t>
            </w:r>
          </w:p>
        </w:tc>
        <w:tc>
          <w:tcPr>
            <w:tcW w:w="2480" w:type="dxa"/>
            <w:vAlign w:val="bottom"/>
          </w:tcPr>
          <w:p>
            <w:pPr>
              <w:jc w:val="center"/>
              <w:ind w:left="253"/>
              <w:spacing w:after="0"/>
              <w:rPr>
                <w:sz w:val="20"/>
                <w:szCs w:val="20"/>
                <w:color w:val="auto"/>
              </w:rPr>
            </w:pPr>
            <w:r>
              <w:rPr>
                <w:rFonts w:ascii="Arial" w:cs="Arial" w:eastAsia="Arial" w:hAnsi="Arial"/>
                <w:sz w:val="14"/>
                <w:szCs w:val="14"/>
                <w:b w:val="1"/>
                <w:bCs w:val="1"/>
                <w:color w:val="auto"/>
              </w:rPr>
              <w:t>Increase</w:t>
            </w:r>
          </w:p>
        </w:tc>
      </w:tr>
      <w:tr>
        <w:trPr>
          <w:trHeight w:val="156"/>
        </w:trPr>
        <w:tc>
          <w:tcPr>
            <w:tcW w:w="70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12"/>
              <w:spacing w:after="0" w:line="155"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jc w:val="right"/>
              <w:ind w:right="10"/>
              <w:spacing w:after="0" w:line="155"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auto"/>
            </w:tcBorders>
          </w:tcPr>
          <w:p>
            <w:pPr>
              <w:spacing w:after="0"/>
              <w:rPr>
                <w:sz w:val="13"/>
                <w:szCs w:val="13"/>
                <w:color w:val="auto"/>
              </w:rPr>
            </w:pPr>
          </w:p>
        </w:tc>
        <w:tc>
          <w:tcPr>
            <w:tcW w:w="2480" w:type="dxa"/>
            <w:vAlign w:val="bottom"/>
            <w:tcBorders>
              <w:bottom w:val="single" w:sz="8" w:color="auto"/>
            </w:tcBorders>
          </w:tcPr>
          <w:p>
            <w:pPr>
              <w:jc w:val="center"/>
              <w:ind w:left="253"/>
              <w:spacing w:after="0" w:line="155" w:lineRule="exact"/>
              <w:rPr>
                <w:sz w:val="20"/>
                <w:szCs w:val="20"/>
                <w:color w:val="auto"/>
              </w:rPr>
            </w:pPr>
            <w:r>
              <w:rPr>
                <w:rFonts w:ascii="Arial" w:cs="Arial" w:eastAsia="Arial" w:hAnsi="Arial"/>
                <w:sz w:val="14"/>
                <w:szCs w:val="14"/>
                <w:b w:val="1"/>
                <w:bCs w:val="1"/>
                <w:color w:val="auto"/>
              </w:rPr>
              <w:t>(Decrease)</w:t>
            </w:r>
          </w:p>
        </w:tc>
      </w:tr>
      <w:tr>
        <w:trPr>
          <w:trHeight w:val="156"/>
        </w:trPr>
        <w:tc>
          <w:tcPr>
            <w:tcW w:w="7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0" w:type="dxa"/>
            <w:vAlign w:val="bottom"/>
            <w:gridSpan w:val="4"/>
          </w:tcPr>
          <w:p>
            <w:pPr>
              <w:jc w:val="right"/>
              <w:ind w:right="813"/>
              <w:spacing w:after="0" w:line="155" w:lineRule="exact"/>
              <w:rPr>
                <w:sz w:val="20"/>
                <w:szCs w:val="20"/>
                <w:color w:val="auto"/>
              </w:rPr>
            </w:pPr>
            <w:r>
              <w:rPr>
                <w:rFonts w:ascii="Arial" w:cs="Arial" w:eastAsia="Arial" w:hAnsi="Arial"/>
                <w:sz w:val="14"/>
                <w:szCs w:val="14"/>
                <w:b w:val="1"/>
                <w:bCs w:val="1"/>
                <w:color w:val="auto"/>
              </w:rPr>
              <w:t>(In cents, except percentage changes)</w:t>
            </w:r>
          </w:p>
        </w:tc>
      </w:tr>
      <w:tr>
        <w:trPr>
          <w:trHeight w:val="203"/>
        </w:trPr>
        <w:tc>
          <w:tcPr>
            <w:tcW w:w="71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Mainline CASM:</w:t>
            </w: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80" w:type="dxa"/>
            <w:vAlign w:val="bottom"/>
            <w:shd w:val="clear" w:color="auto" w:fill="CCEEFF"/>
          </w:tcPr>
          <w:p>
            <w:pPr>
              <w:spacing w:after="0"/>
              <w:rPr>
                <w:sz w:val="17"/>
                <w:szCs w:val="17"/>
                <w:color w:val="auto"/>
              </w:rPr>
            </w:pPr>
          </w:p>
        </w:tc>
      </w:tr>
      <w:tr>
        <w:trPr>
          <w:trHeight w:val="203"/>
        </w:trPr>
        <w:tc>
          <w:tcPr>
            <w:tcW w:w="71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Aircraft fuel and related taxes</w:t>
            </w: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2.42</w:t>
            </w:r>
          </w:p>
        </w:tc>
        <w:tc>
          <w:tcPr>
            <w:tcW w:w="160" w:type="dxa"/>
            <w:vAlign w:val="bottom"/>
          </w:tcPr>
          <w:p>
            <w:pPr>
              <w:spacing w:after="0"/>
              <w:rPr>
                <w:sz w:val="17"/>
                <w:szCs w:val="17"/>
                <w:color w:val="auto"/>
              </w:rPr>
            </w:pPr>
          </w:p>
        </w:tc>
        <w:tc>
          <w:tcPr>
            <w:tcW w:w="112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1.95</w:t>
            </w:r>
          </w:p>
        </w:tc>
        <w:tc>
          <w:tcPr>
            <w:tcW w:w="2480" w:type="dxa"/>
            <w:vAlign w:val="bottom"/>
          </w:tcPr>
          <w:p>
            <w:pPr>
              <w:jc w:val="right"/>
              <w:ind w:right="773"/>
              <w:spacing w:after="0" w:line="202" w:lineRule="exact"/>
              <w:rPr>
                <w:sz w:val="20"/>
                <w:szCs w:val="20"/>
                <w:color w:val="auto"/>
              </w:rPr>
            </w:pPr>
            <w:r>
              <w:rPr>
                <w:rFonts w:ascii="Arial" w:cs="Arial" w:eastAsia="Arial" w:hAnsi="Arial"/>
                <w:sz w:val="18"/>
                <w:szCs w:val="18"/>
                <w:color w:val="auto"/>
              </w:rPr>
              <w:t>24.4</w:t>
            </w:r>
          </w:p>
        </w:tc>
      </w:tr>
      <w:tr>
        <w:trPr>
          <w:trHeight w:val="203"/>
        </w:trPr>
        <w:tc>
          <w:tcPr>
            <w:tcW w:w="716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Salaries, wages and benefits</w:t>
            </w: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4.85</w:t>
            </w:r>
          </w:p>
        </w:tc>
        <w:tc>
          <w:tcPr>
            <w:tcW w:w="16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4.43</w:t>
            </w:r>
          </w:p>
        </w:tc>
        <w:tc>
          <w:tcPr>
            <w:tcW w:w="2480" w:type="dxa"/>
            <w:vAlign w:val="bottom"/>
            <w:shd w:val="clear" w:color="auto" w:fill="CCEEFF"/>
          </w:tcPr>
          <w:p>
            <w:pPr>
              <w:jc w:val="right"/>
              <w:ind w:right="773"/>
              <w:spacing w:after="0" w:line="202" w:lineRule="exact"/>
              <w:rPr>
                <w:sz w:val="20"/>
                <w:szCs w:val="20"/>
                <w:color w:val="auto"/>
              </w:rPr>
            </w:pPr>
            <w:r>
              <w:rPr>
                <w:rFonts w:ascii="Arial" w:cs="Arial" w:eastAsia="Arial" w:hAnsi="Arial"/>
                <w:sz w:val="18"/>
                <w:szCs w:val="18"/>
                <w:color w:val="auto"/>
              </w:rPr>
              <w:t>9.7</w:t>
            </w:r>
          </w:p>
        </w:tc>
      </w:tr>
      <w:tr>
        <w:trPr>
          <w:trHeight w:val="203"/>
        </w:trPr>
        <w:tc>
          <w:tcPr>
            <w:tcW w:w="71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Maintenance, materials and repairs</w:t>
            </w: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0.82</w:t>
            </w:r>
          </w:p>
        </w:tc>
        <w:tc>
          <w:tcPr>
            <w:tcW w:w="160" w:type="dxa"/>
            <w:vAlign w:val="bottom"/>
          </w:tcPr>
          <w:p>
            <w:pPr>
              <w:spacing w:after="0"/>
              <w:rPr>
                <w:sz w:val="17"/>
                <w:szCs w:val="17"/>
                <w:color w:val="auto"/>
              </w:rPr>
            </w:pPr>
          </w:p>
        </w:tc>
        <w:tc>
          <w:tcPr>
            <w:tcW w:w="112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0.72</w:t>
            </w:r>
          </w:p>
        </w:tc>
        <w:tc>
          <w:tcPr>
            <w:tcW w:w="2480" w:type="dxa"/>
            <w:vAlign w:val="bottom"/>
          </w:tcPr>
          <w:p>
            <w:pPr>
              <w:jc w:val="right"/>
              <w:ind w:right="773"/>
              <w:spacing w:after="0" w:line="202" w:lineRule="exact"/>
              <w:rPr>
                <w:sz w:val="20"/>
                <w:szCs w:val="20"/>
                <w:color w:val="auto"/>
              </w:rPr>
            </w:pPr>
            <w:r>
              <w:rPr>
                <w:rFonts w:ascii="Arial" w:cs="Arial" w:eastAsia="Arial" w:hAnsi="Arial"/>
                <w:sz w:val="18"/>
                <w:szCs w:val="18"/>
                <w:color w:val="auto"/>
              </w:rPr>
              <w:t>13.4</w:t>
            </w:r>
          </w:p>
        </w:tc>
      </w:tr>
      <w:tr>
        <w:trPr>
          <w:trHeight w:val="203"/>
        </w:trPr>
        <w:tc>
          <w:tcPr>
            <w:tcW w:w="716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Other rent and landing fees</w:t>
            </w: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0.74</w:t>
            </w:r>
          </w:p>
        </w:tc>
        <w:tc>
          <w:tcPr>
            <w:tcW w:w="16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0.73</w:t>
            </w:r>
          </w:p>
        </w:tc>
        <w:tc>
          <w:tcPr>
            <w:tcW w:w="2480" w:type="dxa"/>
            <w:vAlign w:val="bottom"/>
            <w:shd w:val="clear" w:color="auto" w:fill="CCEEFF"/>
          </w:tcPr>
          <w:p>
            <w:pPr>
              <w:jc w:val="right"/>
              <w:ind w:right="773"/>
              <w:spacing w:after="0" w:line="202" w:lineRule="exact"/>
              <w:rPr>
                <w:sz w:val="20"/>
                <w:szCs w:val="20"/>
                <w:color w:val="auto"/>
              </w:rPr>
            </w:pPr>
            <w:r>
              <w:rPr>
                <w:rFonts w:ascii="Arial" w:cs="Arial" w:eastAsia="Arial" w:hAnsi="Arial"/>
                <w:sz w:val="18"/>
                <w:szCs w:val="18"/>
                <w:color w:val="auto"/>
              </w:rPr>
              <w:t>1.6</w:t>
            </w:r>
          </w:p>
        </w:tc>
      </w:tr>
      <w:tr>
        <w:trPr>
          <w:trHeight w:val="203"/>
        </w:trPr>
        <w:tc>
          <w:tcPr>
            <w:tcW w:w="71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Aircraft rent</w:t>
            </w: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0.49</w:t>
            </w:r>
          </w:p>
        </w:tc>
        <w:tc>
          <w:tcPr>
            <w:tcW w:w="160" w:type="dxa"/>
            <w:vAlign w:val="bottom"/>
          </w:tcPr>
          <w:p>
            <w:pPr>
              <w:spacing w:after="0"/>
              <w:rPr>
                <w:sz w:val="17"/>
                <w:szCs w:val="17"/>
                <w:color w:val="auto"/>
              </w:rPr>
            </w:pPr>
          </w:p>
        </w:tc>
        <w:tc>
          <w:tcPr>
            <w:tcW w:w="112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0.51</w:t>
            </w:r>
          </w:p>
        </w:tc>
        <w:tc>
          <w:tcPr>
            <w:tcW w:w="2480" w:type="dxa"/>
            <w:vAlign w:val="bottom"/>
          </w:tcPr>
          <w:p>
            <w:pPr>
              <w:jc w:val="right"/>
              <w:ind w:right="713"/>
              <w:spacing w:after="0" w:line="202" w:lineRule="exact"/>
              <w:rPr>
                <w:sz w:val="20"/>
                <w:szCs w:val="20"/>
                <w:color w:val="auto"/>
              </w:rPr>
            </w:pPr>
            <w:r>
              <w:rPr>
                <w:rFonts w:ascii="Arial" w:cs="Arial" w:eastAsia="Arial" w:hAnsi="Arial"/>
                <w:sz w:val="18"/>
                <w:szCs w:val="18"/>
                <w:color w:val="auto"/>
              </w:rPr>
              <w:t>(3.2)</w:t>
            </w:r>
          </w:p>
        </w:tc>
      </w:tr>
      <w:tr>
        <w:trPr>
          <w:trHeight w:val="203"/>
        </w:trPr>
        <w:tc>
          <w:tcPr>
            <w:tcW w:w="716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Selling expenses</w:t>
            </w: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0.58</w:t>
            </w:r>
          </w:p>
        </w:tc>
        <w:tc>
          <w:tcPr>
            <w:tcW w:w="16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0.53</w:t>
            </w:r>
          </w:p>
        </w:tc>
        <w:tc>
          <w:tcPr>
            <w:tcW w:w="2480" w:type="dxa"/>
            <w:vAlign w:val="bottom"/>
            <w:shd w:val="clear" w:color="auto" w:fill="CCEEFF"/>
          </w:tcPr>
          <w:p>
            <w:pPr>
              <w:jc w:val="right"/>
              <w:ind w:right="773"/>
              <w:spacing w:after="0" w:line="202" w:lineRule="exact"/>
              <w:rPr>
                <w:sz w:val="20"/>
                <w:szCs w:val="20"/>
                <w:color w:val="auto"/>
              </w:rPr>
            </w:pPr>
            <w:r>
              <w:rPr>
                <w:rFonts w:ascii="Arial" w:cs="Arial" w:eastAsia="Arial" w:hAnsi="Arial"/>
                <w:sz w:val="18"/>
                <w:szCs w:val="18"/>
                <w:color w:val="auto"/>
              </w:rPr>
              <w:t>8.2</w:t>
            </w:r>
          </w:p>
        </w:tc>
      </w:tr>
      <w:tr>
        <w:trPr>
          <w:trHeight w:val="203"/>
        </w:trPr>
        <w:tc>
          <w:tcPr>
            <w:tcW w:w="71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Depreciation and amortization</w:t>
            </w: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0.68</w:t>
            </w:r>
          </w:p>
        </w:tc>
        <w:tc>
          <w:tcPr>
            <w:tcW w:w="160" w:type="dxa"/>
            <w:vAlign w:val="bottom"/>
          </w:tcPr>
          <w:p>
            <w:pPr>
              <w:spacing w:after="0"/>
              <w:rPr>
                <w:sz w:val="17"/>
                <w:szCs w:val="17"/>
                <w:color w:val="auto"/>
              </w:rPr>
            </w:pPr>
          </w:p>
        </w:tc>
        <w:tc>
          <w:tcPr>
            <w:tcW w:w="112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0.61</w:t>
            </w:r>
          </w:p>
        </w:tc>
        <w:tc>
          <w:tcPr>
            <w:tcW w:w="2480" w:type="dxa"/>
            <w:vAlign w:val="bottom"/>
          </w:tcPr>
          <w:p>
            <w:pPr>
              <w:jc w:val="right"/>
              <w:ind w:right="773"/>
              <w:spacing w:after="0" w:line="202" w:lineRule="exact"/>
              <w:rPr>
                <w:sz w:val="20"/>
                <w:szCs w:val="20"/>
                <w:color w:val="auto"/>
              </w:rPr>
            </w:pPr>
            <w:r>
              <w:rPr>
                <w:rFonts w:ascii="Arial" w:cs="Arial" w:eastAsia="Arial" w:hAnsi="Arial"/>
                <w:sz w:val="18"/>
                <w:szCs w:val="18"/>
                <w:color w:val="auto"/>
              </w:rPr>
              <w:t>12.9</w:t>
            </w:r>
          </w:p>
        </w:tc>
      </w:tr>
      <w:tr>
        <w:trPr>
          <w:trHeight w:val="203"/>
        </w:trPr>
        <w:tc>
          <w:tcPr>
            <w:tcW w:w="716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Special items, net</w:t>
            </w: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0.27</w:t>
            </w:r>
          </w:p>
        </w:tc>
        <w:tc>
          <w:tcPr>
            <w:tcW w:w="16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0.13</w:t>
            </w:r>
          </w:p>
        </w:tc>
        <w:tc>
          <w:tcPr>
            <w:tcW w:w="2480" w:type="dxa"/>
            <w:vAlign w:val="bottom"/>
            <w:shd w:val="clear" w:color="auto" w:fill="CCEEFF"/>
          </w:tcPr>
          <w:p>
            <w:pPr>
              <w:jc w:val="right"/>
              <w:ind w:right="773"/>
              <w:spacing w:after="0" w:line="202" w:lineRule="exact"/>
              <w:rPr>
                <w:sz w:val="20"/>
                <w:szCs w:val="20"/>
                <w:color w:val="auto"/>
              </w:rPr>
            </w:pPr>
            <w:r>
              <w:rPr>
                <w:rFonts w:ascii="Arial" w:cs="Arial" w:eastAsia="Arial" w:hAnsi="Arial"/>
                <w:sz w:val="18"/>
                <w:szCs w:val="18"/>
                <w:color w:val="auto"/>
              </w:rPr>
              <w:t>99.7</w:t>
            </w:r>
          </w:p>
        </w:tc>
      </w:tr>
      <w:tr>
        <w:trPr>
          <w:trHeight w:val="210"/>
        </w:trPr>
        <w:tc>
          <w:tcPr>
            <w:tcW w:w="71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Other</w:t>
            </w:r>
          </w:p>
        </w:tc>
        <w:tc>
          <w:tcPr>
            <w:tcW w:w="5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1.96</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1.83</w:t>
            </w:r>
          </w:p>
        </w:tc>
        <w:tc>
          <w:tcPr>
            <w:tcW w:w="140" w:type="dxa"/>
            <w:vAlign w:val="bottom"/>
          </w:tcPr>
          <w:p>
            <w:pPr>
              <w:spacing w:after="0"/>
              <w:rPr>
                <w:sz w:val="18"/>
                <w:szCs w:val="18"/>
                <w:color w:val="auto"/>
              </w:rPr>
            </w:pPr>
          </w:p>
        </w:tc>
        <w:tc>
          <w:tcPr>
            <w:tcW w:w="2480" w:type="dxa"/>
            <w:vAlign w:val="bottom"/>
          </w:tcPr>
          <w:p>
            <w:pPr>
              <w:jc w:val="right"/>
              <w:ind w:right="773"/>
              <w:spacing w:after="0" w:line="202" w:lineRule="exact"/>
              <w:rPr>
                <w:sz w:val="20"/>
                <w:szCs w:val="20"/>
                <w:color w:val="auto"/>
              </w:rPr>
            </w:pPr>
            <w:r>
              <w:rPr>
                <w:rFonts w:ascii="Arial" w:cs="Arial" w:eastAsia="Arial" w:hAnsi="Arial"/>
                <w:sz w:val="18"/>
                <w:szCs w:val="18"/>
                <w:color w:val="auto"/>
              </w:rPr>
              <w:t>6.9</w:t>
            </w:r>
          </w:p>
        </w:tc>
      </w:tr>
      <w:tr>
        <w:trPr>
          <w:trHeight w:val="203"/>
        </w:trPr>
        <w:tc>
          <w:tcPr>
            <w:tcW w:w="716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mainline CASM</w:t>
            </w: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12.82</w:t>
            </w:r>
          </w:p>
        </w:tc>
        <w:tc>
          <w:tcPr>
            <w:tcW w:w="16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11.45</w:t>
            </w:r>
          </w:p>
        </w:tc>
        <w:tc>
          <w:tcPr>
            <w:tcW w:w="2480" w:type="dxa"/>
            <w:vAlign w:val="bottom"/>
            <w:shd w:val="clear" w:color="auto" w:fill="CCEEFF"/>
          </w:tcPr>
          <w:p>
            <w:pPr>
              <w:jc w:val="right"/>
              <w:ind w:right="773"/>
              <w:spacing w:after="0" w:line="202" w:lineRule="exact"/>
              <w:rPr>
                <w:sz w:val="20"/>
                <w:szCs w:val="20"/>
                <w:color w:val="auto"/>
              </w:rPr>
            </w:pPr>
            <w:r>
              <w:rPr>
                <w:rFonts w:ascii="Arial" w:cs="Arial" w:eastAsia="Arial" w:hAnsi="Arial"/>
                <w:sz w:val="18"/>
                <w:szCs w:val="18"/>
                <w:color w:val="auto"/>
              </w:rPr>
              <w:t>12.0</w:t>
            </w:r>
          </w:p>
        </w:tc>
      </w:tr>
      <w:tr>
        <w:trPr>
          <w:trHeight w:val="203"/>
        </w:trPr>
        <w:tc>
          <w:tcPr>
            <w:tcW w:w="71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Special items, net</w:t>
            </w:r>
          </w:p>
        </w:tc>
        <w:tc>
          <w:tcPr>
            <w:tcW w:w="660" w:type="dxa"/>
            <w:vAlign w:val="bottom"/>
            <w:gridSpan w:val="2"/>
          </w:tcPr>
          <w:p>
            <w:pPr>
              <w:jc w:val="right"/>
              <w:ind w:right="28"/>
              <w:spacing w:after="0" w:line="202" w:lineRule="exact"/>
              <w:rPr>
                <w:sz w:val="20"/>
                <w:szCs w:val="20"/>
                <w:color w:val="auto"/>
              </w:rPr>
            </w:pPr>
            <w:r>
              <w:rPr>
                <w:rFonts w:ascii="Arial" w:cs="Arial" w:eastAsia="Arial" w:hAnsi="Arial"/>
                <w:sz w:val="18"/>
                <w:szCs w:val="18"/>
                <w:color w:val="auto"/>
              </w:rPr>
              <w:t>(0.27)</w:t>
            </w:r>
          </w:p>
        </w:tc>
        <w:tc>
          <w:tcPr>
            <w:tcW w:w="112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(0.13)</w:t>
            </w:r>
          </w:p>
        </w:tc>
        <w:tc>
          <w:tcPr>
            <w:tcW w:w="2480" w:type="dxa"/>
            <w:vAlign w:val="bottom"/>
          </w:tcPr>
          <w:p>
            <w:pPr>
              <w:jc w:val="right"/>
              <w:ind w:right="773"/>
              <w:spacing w:after="0" w:line="202" w:lineRule="exact"/>
              <w:rPr>
                <w:sz w:val="20"/>
                <w:szCs w:val="20"/>
                <w:color w:val="auto"/>
              </w:rPr>
            </w:pPr>
            <w:r>
              <w:rPr>
                <w:rFonts w:ascii="Arial" w:cs="Arial" w:eastAsia="Arial" w:hAnsi="Arial"/>
                <w:sz w:val="18"/>
                <w:szCs w:val="18"/>
                <w:color w:val="auto"/>
              </w:rPr>
              <w:t>99.7</w:t>
            </w:r>
          </w:p>
        </w:tc>
      </w:tr>
      <w:tr>
        <w:trPr>
          <w:trHeight w:val="203"/>
        </w:trPr>
        <w:tc>
          <w:tcPr>
            <w:tcW w:w="716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Aircraft fuel and related taxes</w:t>
            </w:r>
          </w:p>
        </w:tc>
        <w:tc>
          <w:tcPr>
            <w:tcW w:w="660" w:type="dxa"/>
            <w:vAlign w:val="bottom"/>
            <w:gridSpan w:val="2"/>
            <w:shd w:val="clear" w:color="auto" w:fill="CCEEFF"/>
          </w:tcPr>
          <w:p>
            <w:pPr>
              <w:jc w:val="right"/>
              <w:ind w:right="28"/>
              <w:spacing w:after="0" w:line="202" w:lineRule="exact"/>
              <w:rPr>
                <w:sz w:val="20"/>
                <w:szCs w:val="20"/>
                <w:color w:val="auto"/>
              </w:rPr>
            </w:pPr>
            <w:r>
              <w:rPr>
                <w:rFonts w:ascii="Arial" w:cs="Arial" w:eastAsia="Arial" w:hAnsi="Arial"/>
                <w:sz w:val="18"/>
                <w:szCs w:val="18"/>
                <w:color w:val="auto"/>
              </w:rPr>
              <w:t>(2.42)</w:t>
            </w:r>
          </w:p>
        </w:tc>
        <w:tc>
          <w:tcPr>
            <w:tcW w:w="112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(1.95)</w:t>
            </w:r>
          </w:p>
        </w:tc>
        <w:tc>
          <w:tcPr>
            <w:tcW w:w="2480" w:type="dxa"/>
            <w:vAlign w:val="bottom"/>
            <w:shd w:val="clear" w:color="auto" w:fill="CCEEFF"/>
          </w:tcPr>
          <w:p>
            <w:pPr>
              <w:jc w:val="right"/>
              <w:ind w:right="773"/>
              <w:spacing w:after="0" w:line="202" w:lineRule="exact"/>
              <w:rPr>
                <w:sz w:val="20"/>
                <w:szCs w:val="20"/>
                <w:color w:val="auto"/>
              </w:rPr>
            </w:pPr>
            <w:r>
              <w:rPr>
                <w:rFonts w:ascii="Arial" w:cs="Arial" w:eastAsia="Arial" w:hAnsi="Arial"/>
                <w:sz w:val="18"/>
                <w:szCs w:val="18"/>
                <w:color w:val="auto"/>
              </w:rPr>
              <w:t>24.4</w:t>
            </w:r>
          </w:p>
        </w:tc>
      </w:tr>
      <w:tr>
        <w:trPr>
          <w:trHeight w:val="210"/>
        </w:trPr>
        <w:tc>
          <w:tcPr>
            <w:tcW w:w="7160" w:type="dxa"/>
            <w:vAlign w:val="bottom"/>
            <w:gridSpan w:val="2"/>
          </w:tcPr>
          <w:p>
            <w:pPr>
              <w:ind w:left="360"/>
              <w:spacing w:after="0"/>
              <w:rPr>
                <w:sz w:val="20"/>
                <w:szCs w:val="20"/>
                <w:color w:val="auto"/>
              </w:rPr>
            </w:pPr>
            <w:r>
              <w:rPr>
                <w:rFonts w:ascii="Arial" w:cs="Arial" w:eastAsia="Arial" w:hAnsi="Arial"/>
                <w:sz w:val="18"/>
                <w:szCs w:val="18"/>
                <w:color w:val="auto"/>
              </w:rPr>
              <w:t>Mainline CASM, excluding special items and fuel</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10.13</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9.36</w:t>
            </w:r>
          </w:p>
        </w:tc>
        <w:tc>
          <w:tcPr>
            <w:tcW w:w="140" w:type="dxa"/>
            <w:vAlign w:val="bottom"/>
          </w:tcPr>
          <w:p>
            <w:pPr>
              <w:spacing w:after="0"/>
              <w:rPr>
                <w:sz w:val="18"/>
                <w:szCs w:val="18"/>
                <w:color w:val="auto"/>
              </w:rPr>
            </w:pPr>
          </w:p>
        </w:tc>
        <w:tc>
          <w:tcPr>
            <w:tcW w:w="2480" w:type="dxa"/>
            <w:vAlign w:val="bottom"/>
          </w:tcPr>
          <w:p>
            <w:pPr>
              <w:jc w:val="right"/>
              <w:ind w:right="773"/>
              <w:spacing w:after="0"/>
              <w:rPr>
                <w:sz w:val="20"/>
                <w:szCs w:val="20"/>
                <w:color w:val="auto"/>
              </w:rPr>
            </w:pPr>
            <w:r>
              <w:rPr>
                <w:rFonts w:ascii="Arial" w:cs="Arial" w:eastAsia="Arial" w:hAnsi="Arial"/>
                <w:sz w:val="18"/>
                <w:szCs w:val="18"/>
                <w:color w:val="auto"/>
              </w:rPr>
              <w:t>8.2</w:t>
            </w:r>
          </w:p>
        </w:tc>
      </w:tr>
      <w:tr>
        <w:trPr>
          <w:trHeight w:val="20"/>
        </w:trPr>
        <w:tc>
          <w:tcPr>
            <w:tcW w:w="7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Significant changes in the components of mainline CASM are as follows:</w:t>
      </w:r>
    </w:p>
    <w:p>
      <w:pPr>
        <w:spacing w:after="0" w:line="117" w:lineRule="exact"/>
        <w:rPr>
          <w:sz w:val="20"/>
          <w:szCs w:val="20"/>
          <w:color w:val="auto"/>
        </w:rPr>
      </w:pPr>
    </w:p>
    <w:p>
      <w:pPr>
        <w:ind w:left="780" w:right="20" w:hanging="326"/>
        <w:spacing w:after="0" w:line="246" w:lineRule="auto"/>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Aircraft fuel and related taxes per ASM increased 24.4% primarily due to a 25.7% increase in the average price per gallon of fuel to $1.65 in the first six months of 2017 from $1.31 in the 2016 period, offset in part by a 1.1% decrease in gallons of fuel consumed.</w:t>
      </w:r>
    </w:p>
    <w:p>
      <w:pPr>
        <w:spacing w:after="0" w:line="102" w:lineRule="exact"/>
        <w:rPr>
          <w:rFonts w:ascii="Arial" w:cs="Arial" w:eastAsia="Arial" w:hAnsi="Arial"/>
          <w:sz w:val="18"/>
          <w:szCs w:val="18"/>
          <w:color w:val="auto"/>
        </w:rPr>
      </w:pPr>
    </w:p>
    <w:p>
      <w:pPr>
        <w:jc w:val="both"/>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Salaries, wages and benefits per ASM increased 9.7% primarily due to mid-contract pay rate increases for pilots and flight attendants effective in the second quarter of 2017, as well as rate increases for maintenance and fleet service work groups, which became effective in the third quarter of 2016.</w:t>
      </w:r>
    </w:p>
    <w:p>
      <w:pPr>
        <w:spacing w:after="0" w:line="108" w:lineRule="exact"/>
        <w:rPr>
          <w:rFonts w:ascii="Arial" w:cs="Arial" w:eastAsia="Arial" w:hAnsi="Arial"/>
          <w:sz w:val="18"/>
          <w:szCs w:val="18"/>
          <w:color w:val="auto"/>
        </w:rPr>
      </w:pPr>
    </w:p>
    <w:p>
      <w:pPr>
        <w:jc w:val="both"/>
        <w:ind w:left="780" w:hanging="326"/>
        <w:spacing w:after="0" w:line="238" w:lineRule="auto"/>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Maintenance, materials and repairs per ASM increased 13.4% as compared to the 2016 period primarily due to a contract change impacting the timing of maintenance expenses incurred. Certain flight equipment was transitioned to a new flight hour based contract (referred to as power by the hour) where expense is incurred and recognized based on actual hours flown. Previously this flight equipment was covered by a time and materials based contract where expense is incurred and recognized as maintenance is performed.</w:t>
      </w:r>
    </w:p>
    <w:p>
      <w:pPr>
        <w:spacing w:after="0" w:line="108" w:lineRule="exact"/>
        <w:rPr>
          <w:rFonts w:ascii="Arial" w:cs="Arial" w:eastAsia="Arial" w:hAnsi="Arial"/>
          <w:sz w:val="18"/>
          <w:szCs w:val="18"/>
          <w:color w:val="auto"/>
        </w:rPr>
      </w:pPr>
    </w:p>
    <w:p>
      <w:pPr>
        <w:ind w:left="780" w:right="20" w:hanging="326"/>
        <w:spacing w:after="0" w:line="246" w:lineRule="auto"/>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Selling expenses per ASM increased 8.2% primarily due to higher revenues in the first six months of 2017 as compared to the 2016 period, resulting in higher commissions.</w:t>
      </w:r>
    </w:p>
    <w:p>
      <w:pPr>
        <w:spacing w:after="0" w:line="102" w:lineRule="exact"/>
        <w:rPr>
          <w:rFonts w:ascii="Arial" w:cs="Arial" w:eastAsia="Arial" w:hAnsi="Arial"/>
          <w:sz w:val="18"/>
          <w:szCs w:val="18"/>
          <w:color w:val="auto"/>
        </w:rPr>
      </w:pPr>
    </w:p>
    <w:p>
      <w:pPr>
        <w:ind w:left="780" w:hanging="326"/>
        <w:spacing w:after="0" w:line="246" w:lineRule="auto"/>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Depreciation and amortization per ASM increased 12.9% primarily due to aircraft purchased in connection with our fleet renewal program.</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87" w:right="239" w:bottom="1440" w:gutter="0" w:footer="0" w:header="0"/>
        </w:sectPr>
      </w:pPr>
    </w:p>
    <w:bookmarkStart w:id="40" w:name="page41"/>
    <w:bookmarkEnd w:id="40"/>
    <w:p>
      <w:pPr>
        <w:ind w:left="780" w:hanging="326"/>
        <w:spacing w:after="0" w:line="246" w:lineRule="auto"/>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operating expenses per ASM increased 6.9% primarily due to expenses associated with improving our product offerings, customer experience and operational reliability.</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Operating Special Items, Net</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0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5"/>
          </w:tcPr>
          <w:p>
            <w:pPr>
              <w:jc w:val="right"/>
              <w:ind w:right="240"/>
              <w:spacing w:after="0"/>
              <w:rPr>
                <w:sz w:val="20"/>
                <w:szCs w:val="20"/>
                <w:color w:val="auto"/>
              </w:rPr>
            </w:pPr>
            <w:r>
              <w:rPr>
                <w:rFonts w:ascii="Arial" w:cs="Arial" w:eastAsia="Arial" w:hAnsi="Arial"/>
                <w:sz w:val="14"/>
                <w:szCs w:val="14"/>
                <w:b w:val="1"/>
                <w:bCs w:val="1"/>
                <w:color w:val="auto"/>
              </w:rPr>
              <w:t>Six Months Ended June 30,</w:t>
            </w:r>
          </w:p>
        </w:tc>
      </w:tr>
      <w:tr>
        <w:trPr>
          <w:trHeight w:val="156"/>
        </w:trPr>
        <w:tc>
          <w:tcPr>
            <w:tcW w:w="90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54"/>
              <w:spacing w:after="0" w:line="155" w:lineRule="exact"/>
              <w:rPr>
                <w:sz w:val="20"/>
                <w:szCs w:val="20"/>
                <w:color w:val="auto"/>
              </w:rPr>
            </w:pPr>
            <w:r>
              <w:rPr>
                <w:rFonts w:ascii="Arial" w:cs="Arial" w:eastAsia="Arial" w:hAnsi="Arial"/>
                <w:sz w:val="14"/>
                <w:szCs w:val="14"/>
                <w:b w:val="1"/>
                <w:bCs w:val="1"/>
                <w:color w:val="auto"/>
              </w:rPr>
              <w:t>2017</w:t>
            </w:r>
          </w:p>
        </w:tc>
        <w:tc>
          <w:tcPr>
            <w:tcW w:w="9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52"/>
              <w:spacing w:after="0" w:line="155"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auto"/>
            </w:tcBorders>
          </w:tcPr>
          <w:p>
            <w:pPr>
              <w:spacing w:after="0"/>
              <w:rPr>
                <w:sz w:val="13"/>
                <w:szCs w:val="13"/>
                <w:color w:val="auto"/>
              </w:rPr>
            </w:pPr>
          </w:p>
        </w:tc>
      </w:tr>
      <w:tr>
        <w:trPr>
          <w:trHeight w:val="156"/>
        </w:trPr>
        <w:tc>
          <w:tcPr>
            <w:tcW w:w="9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0" w:type="dxa"/>
            <w:vAlign w:val="bottom"/>
            <w:gridSpan w:val="2"/>
          </w:tcPr>
          <w:p>
            <w:pPr>
              <w:jc w:val="right"/>
              <w:ind w:right="140"/>
              <w:spacing w:after="0" w:line="155" w:lineRule="exact"/>
              <w:rPr>
                <w:sz w:val="20"/>
                <w:szCs w:val="20"/>
                <w:color w:val="auto"/>
              </w:rPr>
            </w:pPr>
            <w:r>
              <w:rPr>
                <w:rFonts w:ascii="Arial" w:cs="Arial" w:eastAsia="Arial" w:hAnsi="Arial"/>
                <w:sz w:val="14"/>
                <w:szCs w:val="14"/>
                <w:b w:val="1"/>
                <w:bCs w:val="1"/>
                <w:color w:val="auto"/>
              </w:rPr>
              <w:t>(In millions)</w:t>
            </w: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203"/>
        </w:trPr>
        <w:tc>
          <w:tcPr>
            <w:tcW w:w="92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 xml:space="preserve">Merger integration expenses </w:t>
            </w:r>
            <w:r>
              <w:rPr>
                <w:rFonts w:ascii="Arial" w:cs="Arial" w:eastAsia="Arial" w:hAnsi="Arial"/>
                <w:sz w:val="15"/>
                <w:szCs w:val="15"/>
                <w:color w:val="auto"/>
              </w:rPr>
              <w:t>(1)</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130</w:t>
            </w:r>
          </w:p>
        </w:tc>
        <w:tc>
          <w:tcPr>
            <w:tcW w:w="10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201</w:t>
            </w:r>
          </w:p>
        </w:tc>
      </w:tr>
      <w:tr>
        <w:trPr>
          <w:trHeight w:val="203"/>
        </w:trPr>
        <w:tc>
          <w:tcPr>
            <w:tcW w:w="9220" w:type="dxa"/>
            <w:vAlign w:val="bottom"/>
            <w:gridSpan w:val="2"/>
          </w:tcPr>
          <w:p>
            <w:pPr>
              <w:spacing w:after="0" w:line="202" w:lineRule="exact"/>
              <w:rPr>
                <w:sz w:val="20"/>
                <w:szCs w:val="20"/>
                <w:color w:val="auto"/>
              </w:rPr>
            </w:pPr>
            <w:r>
              <w:rPr>
                <w:rFonts w:ascii="Arial" w:cs="Arial" w:eastAsia="Arial" w:hAnsi="Arial"/>
                <w:sz w:val="18"/>
                <w:szCs w:val="18"/>
                <w:color w:val="auto"/>
              </w:rPr>
              <w:t xml:space="preserve">Fleet restructuring expenses </w:t>
            </w:r>
            <w:r>
              <w:rPr>
                <w:rFonts w:ascii="Arial" w:cs="Arial" w:eastAsia="Arial" w:hAnsi="Arial"/>
                <w:sz w:val="15"/>
                <w:szCs w:val="15"/>
                <w:color w:val="auto"/>
              </w:rPr>
              <w:t>(2)</w:t>
            </w:r>
          </w:p>
        </w:tc>
        <w:tc>
          <w:tcPr>
            <w:tcW w:w="10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111</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41</w:t>
            </w:r>
          </w:p>
        </w:tc>
      </w:tr>
      <w:tr>
        <w:trPr>
          <w:trHeight w:val="203"/>
        </w:trPr>
        <w:tc>
          <w:tcPr>
            <w:tcW w:w="92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Mark-to-market adjustments for bankruptcy obligations and other</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w:t>
            </w: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(61)</w:t>
            </w:r>
          </w:p>
        </w:tc>
      </w:tr>
      <w:tr>
        <w:trPr>
          <w:trHeight w:val="203"/>
        </w:trPr>
        <w:tc>
          <w:tcPr>
            <w:tcW w:w="9220" w:type="dxa"/>
            <w:vAlign w:val="bottom"/>
            <w:gridSpan w:val="2"/>
          </w:tcPr>
          <w:p>
            <w:pPr>
              <w:spacing w:after="0" w:line="202" w:lineRule="exact"/>
              <w:rPr>
                <w:sz w:val="20"/>
                <w:szCs w:val="20"/>
                <w:color w:val="auto"/>
              </w:rPr>
            </w:pPr>
            <w:r>
              <w:rPr>
                <w:rFonts w:ascii="Arial" w:cs="Arial" w:eastAsia="Arial" w:hAnsi="Arial"/>
                <w:sz w:val="18"/>
                <w:szCs w:val="18"/>
                <w:color w:val="auto"/>
              </w:rPr>
              <w:t xml:space="preserve">Labor contract expenses </w:t>
            </w:r>
            <w:r>
              <w:rPr>
                <w:rFonts w:ascii="Arial" w:cs="Arial" w:eastAsia="Arial" w:hAnsi="Arial"/>
                <w:sz w:val="15"/>
                <w:szCs w:val="15"/>
                <w:color w:val="auto"/>
              </w:rPr>
              <w:t>(3)</w:t>
            </w:r>
          </w:p>
        </w:tc>
        <w:tc>
          <w:tcPr>
            <w:tcW w:w="10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45</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r>
      <w:tr>
        <w:trPr>
          <w:trHeight w:val="203"/>
        </w:trPr>
        <w:tc>
          <w:tcPr>
            <w:tcW w:w="92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Other operating charges (credits), net</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w:t>
            </w: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(20)</w:t>
            </w:r>
          </w:p>
        </w:tc>
      </w:tr>
      <w:tr>
        <w:trPr>
          <w:trHeight w:val="20"/>
        </w:trPr>
        <w:tc>
          <w:tcPr>
            <w:tcW w:w="9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9220" w:type="dxa"/>
            <w:vAlign w:val="bottom"/>
            <w:gridSpan w:val="2"/>
          </w:tcPr>
          <w:p>
            <w:pPr>
              <w:ind w:left="180"/>
              <w:spacing w:after="0"/>
              <w:rPr>
                <w:sz w:val="20"/>
                <w:szCs w:val="20"/>
                <w:color w:val="auto"/>
              </w:rPr>
            </w:pPr>
            <w:r>
              <w:rPr>
                <w:rFonts w:ascii="Arial" w:cs="Arial" w:eastAsia="Arial" w:hAnsi="Arial"/>
                <w:sz w:val="18"/>
                <w:szCs w:val="18"/>
                <w:color w:val="auto"/>
              </w:rPr>
              <w:t>Total mainline operating special items, net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320</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161</w:t>
            </w:r>
          </w:p>
        </w:tc>
      </w:tr>
      <w:tr>
        <w:trPr>
          <w:trHeight w:val="203"/>
        </w:trPr>
        <w:tc>
          <w:tcPr>
            <w:tcW w:w="92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 xml:space="preserve">Regional operating special items, net </w:t>
            </w:r>
            <w:r>
              <w:rPr>
                <w:rFonts w:ascii="Arial" w:cs="Arial" w:eastAsia="Arial" w:hAnsi="Arial"/>
                <w:sz w:val="15"/>
                <w:szCs w:val="15"/>
                <w:color w:val="auto"/>
              </w:rPr>
              <w:t>(4)</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w:t>
            </w: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8</w:t>
            </w:r>
          </w:p>
        </w:tc>
      </w:tr>
      <w:tr>
        <w:trPr>
          <w:trHeight w:val="20"/>
        </w:trPr>
        <w:tc>
          <w:tcPr>
            <w:tcW w:w="9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9220" w:type="dxa"/>
            <w:vAlign w:val="bottom"/>
            <w:gridSpan w:val="2"/>
          </w:tcPr>
          <w:p>
            <w:pPr>
              <w:ind w:left="180"/>
              <w:spacing w:after="0"/>
              <w:rPr>
                <w:sz w:val="20"/>
                <w:szCs w:val="20"/>
                <w:color w:val="auto"/>
              </w:rPr>
            </w:pPr>
            <w:r>
              <w:rPr>
                <w:rFonts w:ascii="Arial" w:cs="Arial" w:eastAsia="Arial" w:hAnsi="Arial"/>
                <w:sz w:val="18"/>
                <w:szCs w:val="18"/>
                <w:color w:val="auto"/>
              </w:rPr>
              <w:t>Total operating special items, net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324</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169</w:t>
            </w:r>
          </w:p>
        </w:tc>
      </w:tr>
      <w:tr>
        <w:trPr>
          <w:trHeight w:val="20"/>
        </w:trPr>
        <w:tc>
          <w:tcPr>
            <w:tcW w:w="9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82" w:lineRule="exact"/>
        <w:rPr>
          <w:sz w:val="20"/>
          <w:szCs w:val="20"/>
          <w:color w:val="auto"/>
        </w:rPr>
      </w:pPr>
    </w:p>
    <w:p>
      <w:pPr>
        <w:jc w:val="both"/>
        <w:ind w:left="460" w:hanging="452"/>
        <w:spacing w:after="0"/>
        <w:tabs>
          <w:tab w:leader="none" w:pos="460" w:val="left"/>
        </w:tabs>
        <w:numPr>
          <w:ilvl w:val="0"/>
          <w:numId w:val="19"/>
        </w:numPr>
        <w:rPr>
          <w:rFonts w:ascii="Arial" w:cs="Arial" w:eastAsia="Arial" w:hAnsi="Arial"/>
          <w:sz w:val="15"/>
          <w:szCs w:val="15"/>
          <w:color w:val="auto"/>
        </w:rPr>
      </w:pPr>
      <w:r>
        <w:rPr>
          <w:rFonts w:ascii="Arial" w:cs="Arial" w:eastAsia="Arial" w:hAnsi="Arial"/>
          <w:sz w:val="18"/>
          <w:szCs w:val="18"/>
          <w:color w:val="auto"/>
        </w:rPr>
        <w:t>Merger integration expenses included costs related to information technology, professional fees, re-branding of aircraft and airport facilities and training. Additionally, the 2016 period also included costs related to alignment of labor union contracts, re-branded uniforms, relocation and severance.</w:t>
      </w:r>
    </w:p>
    <w:p>
      <w:pPr>
        <w:spacing w:after="0" w:line="108" w:lineRule="exact"/>
        <w:rPr>
          <w:rFonts w:ascii="Arial" w:cs="Arial" w:eastAsia="Arial" w:hAnsi="Arial"/>
          <w:sz w:val="15"/>
          <w:szCs w:val="15"/>
          <w:color w:val="auto"/>
        </w:rPr>
      </w:pPr>
    </w:p>
    <w:p>
      <w:pPr>
        <w:ind w:left="460" w:hanging="452"/>
        <w:spacing w:after="0" w:line="246" w:lineRule="auto"/>
        <w:tabs>
          <w:tab w:leader="none" w:pos="460" w:val="left"/>
        </w:tabs>
        <w:numPr>
          <w:ilvl w:val="0"/>
          <w:numId w:val="19"/>
        </w:numPr>
        <w:rPr>
          <w:rFonts w:ascii="Arial" w:cs="Arial" w:eastAsia="Arial" w:hAnsi="Arial"/>
          <w:sz w:val="15"/>
          <w:szCs w:val="15"/>
          <w:color w:val="auto"/>
        </w:rPr>
      </w:pPr>
      <w:r>
        <w:rPr>
          <w:rFonts w:ascii="Arial" w:cs="Arial" w:eastAsia="Arial" w:hAnsi="Arial"/>
          <w:sz w:val="18"/>
          <w:szCs w:val="18"/>
          <w:color w:val="auto"/>
        </w:rPr>
        <w:t>Fleet restructuring expenses driven by the Merger principally included the acceleration of aircraft depreciation and impairments for aircraft grounded or expected to be grounded earlier than planned.</w:t>
      </w:r>
    </w:p>
    <w:p>
      <w:pPr>
        <w:spacing w:after="0" w:line="102" w:lineRule="exact"/>
        <w:rPr>
          <w:rFonts w:ascii="Arial" w:cs="Arial" w:eastAsia="Arial" w:hAnsi="Arial"/>
          <w:sz w:val="15"/>
          <w:szCs w:val="15"/>
          <w:color w:val="auto"/>
        </w:rPr>
      </w:pPr>
    </w:p>
    <w:p>
      <w:pPr>
        <w:ind w:left="460" w:hanging="452"/>
        <w:spacing w:after="0" w:line="246" w:lineRule="auto"/>
        <w:tabs>
          <w:tab w:leader="none" w:pos="460" w:val="left"/>
        </w:tabs>
        <w:numPr>
          <w:ilvl w:val="0"/>
          <w:numId w:val="19"/>
        </w:numPr>
        <w:rPr>
          <w:rFonts w:ascii="Arial" w:cs="Arial" w:eastAsia="Arial" w:hAnsi="Arial"/>
          <w:sz w:val="15"/>
          <w:szCs w:val="15"/>
          <w:color w:val="auto"/>
        </w:rPr>
      </w:pPr>
      <w:r>
        <w:rPr>
          <w:rFonts w:ascii="Arial" w:cs="Arial" w:eastAsia="Arial" w:hAnsi="Arial"/>
          <w:sz w:val="18"/>
          <w:szCs w:val="18"/>
          <w:color w:val="auto"/>
        </w:rPr>
        <w:t>Labor contract expenses primarily included one-time charges to adjust the vacation accruals for pilots and flight attendants as a result of the mid-contract pay rate adjustments effective in the second quarter of 2017.</w:t>
      </w:r>
    </w:p>
    <w:p>
      <w:pPr>
        <w:spacing w:after="0" w:line="102" w:lineRule="exact"/>
        <w:rPr>
          <w:rFonts w:ascii="Arial" w:cs="Arial" w:eastAsia="Arial" w:hAnsi="Arial"/>
          <w:sz w:val="15"/>
          <w:szCs w:val="15"/>
          <w:color w:val="auto"/>
        </w:rPr>
      </w:pPr>
    </w:p>
    <w:p>
      <w:pPr>
        <w:ind w:left="460" w:hanging="452"/>
        <w:spacing w:after="0"/>
        <w:tabs>
          <w:tab w:leader="none" w:pos="460" w:val="left"/>
        </w:tabs>
        <w:numPr>
          <w:ilvl w:val="0"/>
          <w:numId w:val="19"/>
        </w:numPr>
        <w:rPr>
          <w:rFonts w:ascii="Arial" w:cs="Arial" w:eastAsia="Arial" w:hAnsi="Arial"/>
          <w:sz w:val="15"/>
          <w:szCs w:val="15"/>
          <w:color w:val="auto"/>
        </w:rPr>
      </w:pPr>
      <w:r>
        <w:rPr>
          <w:rFonts w:ascii="Arial" w:cs="Arial" w:eastAsia="Arial" w:hAnsi="Arial"/>
          <w:sz w:val="18"/>
          <w:szCs w:val="18"/>
          <w:color w:val="auto"/>
        </w:rPr>
        <w:t>Regional operating special items, net principally related to Merger integration expenses.</w:t>
      </w:r>
    </w:p>
    <w:p>
      <w:pPr>
        <w:spacing w:after="0" w:line="302"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Regional Operating Expenses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rPr>
              <w:t>Six Months Ended</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center"/>
              <w:ind w:left="79"/>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75"/>
        </w:trPr>
        <w:tc>
          <w:tcPr>
            <w:tcW w:w="73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Increase</w:t>
            </w:r>
          </w:p>
        </w:tc>
        <w:tc>
          <w:tcPr>
            <w:tcW w:w="960" w:type="dxa"/>
            <w:vAlign w:val="bottom"/>
            <w:gridSpan w:val="2"/>
          </w:tcPr>
          <w:p>
            <w:pPr>
              <w:jc w:val="center"/>
              <w:ind w:left="59"/>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56"/>
        </w:trPr>
        <w:tc>
          <w:tcPr>
            <w:tcW w:w="7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jc w:val="right"/>
              <w:ind w:right="140"/>
              <w:spacing w:after="0" w:line="155" w:lineRule="exact"/>
              <w:rPr>
                <w:sz w:val="20"/>
                <w:szCs w:val="20"/>
                <w:color w:val="auto"/>
              </w:rPr>
            </w:pPr>
            <w:r>
              <w:rPr>
                <w:rFonts w:ascii="Arial" w:cs="Arial" w:eastAsia="Arial" w:hAnsi="Arial"/>
                <w:sz w:val="14"/>
                <w:szCs w:val="14"/>
                <w:b w:val="1"/>
                <w:bCs w:val="1"/>
                <w:color w:val="auto"/>
              </w:rPr>
              <w:t>2017</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jc w:val="right"/>
              <w:ind w:right="134"/>
              <w:spacing w:after="0" w:line="155" w:lineRule="exact"/>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3"/>
                <w:szCs w:val="13"/>
                <w:color w:val="auto"/>
              </w:rPr>
            </w:pPr>
          </w:p>
        </w:tc>
        <w:tc>
          <w:tcPr>
            <w:tcW w:w="1260" w:type="dxa"/>
            <w:vAlign w:val="bottom"/>
            <w:gridSpan w:val="4"/>
          </w:tcPr>
          <w:p>
            <w:pPr>
              <w:jc w:val="center"/>
              <w:ind w:left="76"/>
              <w:spacing w:after="0" w:line="155" w:lineRule="exact"/>
              <w:rPr>
                <w:sz w:val="20"/>
                <w:szCs w:val="20"/>
                <w:color w:val="auto"/>
              </w:rPr>
            </w:pPr>
            <w:r>
              <w:rPr>
                <w:rFonts w:ascii="Arial" w:cs="Arial" w:eastAsia="Arial" w:hAnsi="Arial"/>
                <w:sz w:val="14"/>
                <w:szCs w:val="14"/>
                <w:b w:val="1"/>
                <w:bCs w:val="1"/>
                <w:color w:val="auto"/>
              </w:rPr>
              <w:t>(Decrease)</w:t>
            </w:r>
          </w:p>
        </w:tc>
        <w:tc>
          <w:tcPr>
            <w:tcW w:w="960" w:type="dxa"/>
            <w:vAlign w:val="bottom"/>
            <w:gridSpan w:val="2"/>
          </w:tcPr>
          <w:p>
            <w:pPr>
              <w:jc w:val="center"/>
              <w:ind w:left="59"/>
              <w:spacing w:after="0" w:line="155" w:lineRule="exact"/>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56"/>
        </w:trPr>
        <w:tc>
          <w:tcPr>
            <w:tcW w:w="73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3900" w:type="dxa"/>
            <w:vAlign w:val="bottom"/>
            <w:tcBorders>
              <w:top w:val="single" w:sz="8" w:color="auto"/>
            </w:tcBorders>
            <w:gridSpan w:val="10"/>
          </w:tcPr>
          <w:p>
            <w:pPr>
              <w:ind w:left="460"/>
              <w:spacing w:after="0" w:line="155" w:lineRule="exact"/>
              <w:rPr>
                <w:sz w:val="20"/>
                <w:szCs w:val="20"/>
                <w:color w:val="auto"/>
              </w:rPr>
            </w:pPr>
            <w:r>
              <w:rPr>
                <w:rFonts w:ascii="Arial" w:cs="Arial" w:eastAsia="Arial" w:hAnsi="Arial"/>
                <w:sz w:val="14"/>
                <w:szCs w:val="14"/>
                <w:b w:val="1"/>
                <w:bCs w:val="1"/>
                <w:color w:val="auto"/>
              </w:rPr>
              <w:t>(In millions, except percentage changes)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Aircraft fuel and related taxes</w:t>
            </w:r>
          </w:p>
        </w:tc>
        <w:tc>
          <w:tcPr>
            <w:tcW w:w="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648</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498</w:t>
            </w:r>
          </w:p>
        </w:tc>
        <w:tc>
          <w:tcPr>
            <w:tcW w:w="640" w:type="dxa"/>
            <w:vAlign w:val="bottom"/>
            <w:gridSpan w:val="2"/>
            <w:shd w:val="clear" w:color="auto" w:fill="CCEEFF"/>
          </w:tcPr>
          <w:p>
            <w:pPr>
              <w:jc w:val="right"/>
              <w:ind w:right="88"/>
              <w:spacing w:after="0" w:line="202" w:lineRule="exact"/>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150</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2,546</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2,452</w:t>
            </w: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94</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3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Total regional operating expenses</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3,194</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2,950</w:t>
            </w:r>
          </w:p>
        </w:tc>
        <w:tc>
          <w:tcPr>
            <w:tcW w:w="640" w:type="dxa"/>
            <w:vAlign w:val="bottom"/>
            <w:gridSpan w:val="2"/>
            <w:shd w:val="clear" w:color="auto" w:fill="CCEEFF"/>
          </w:tcPr>
          <w:p>
            <w:pPr>
              <w:jc w:val="right"/>
              <w:ind w:right="88"/>
              <w:spacing w:after="0" w:line="202" w:lineRule="exact"/>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244</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228"/>
        <w:spacing w:after="0" w:line="237" w:lineRule="auto"/>
        <w:rPr>
          <w:sz w:val="20"/>
          <w:szCs w:val="20"/>
          <w:color w:val="auto"/>
        </w:rPr>
      </w:pPr>
      <w:r>
        <w:rPr>
          <w:rFonts w:ascii="Arial" w:cs="Arial" w:eastAsia="Arial" w:hAnsi="Arial"/>
          <w:sz w:val="18"/>
          <w:szCs w:val="18"/>
          <w:color w:val="auto"/>
        </w:rPr>
        <w:t>Regional operating expenses increased $244 million, or 8.3%, in the first six months of 2017 from the 2016 period. The period-over-period increase was primarily due to a $ 150 million, or 30.0%, increase in fuel costs and a $94 million, or 3.8%, increase in other regional operating expenses. The average price per gallon of fuel increased 27.2% to $1.72 in the first six months of 2017 from $1.35 in the 2016 period, on a 2.2% increase in consumption. The increase in other regional operating expenses was primarily driven by a 2.7% increase in capacity, principally from our wholly-owned regional carriers. See Note 10 to AAG’s Condensed Consolidated Financial Statements in Part I, Item 1A for further information on regional expenses.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287" w:right="239" w:bottom="1440" w:gutter="0" w:footer="0" w:header="0"/>
        </w:sectPr>
      </w:pPr>
    </w:p>
    <w:bookmarkStart w:id="41" w:name="page42"/>
    <w:bookmarkEnd w:id="41"/>
    <w:p>
      <w:pPr>
        <w:ind w:left="240"/>
        <w:spacing w:after="0"/>
        <w:rPr>
          <w:sz w:val="20"/>
          <w:szCs w:val="20"/>
          <w:color w:val="auto"/>
        </w:rPr>
      </w:pPr>
      <w:r>
        <w:rPr>
          <w:rFonts w:ascii="Arial" w:cs="Arial" w:eastAsia="Arial" w:hAnsi="Arial"/>
          <w:sz w:val="18"/>
          <w:szCs w:val="18"/>
          <w:i w:val="1"/>
          <w:i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Nonoperating Results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rPr>
              <w:t>Six Months Ended</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80" w:type="dxa"/>
            <w:vAlign w:val="bottom"/>
          </w:tcPr>
          <w:p>
            <w:pPr>
              <w:jc w:val="center"/>
              <w:ind w:right="118"/>
              <w:spacing w:after="0"/>
              <w:rPr>
                <w:sz w:val="20"/>
                <w:szCs w:val="20"/>
                <w:color w:val="auto"/>
              </w:rPr>
            </w:pPr>
            <w:r>
              <w:rPr>
                <w:rFonts w:ascii="Arial" w:cs="Arial" w:eastAsia="Arial" w:hAnsi="Arial"/>
                <w:sz w:val="14"/>
                <w:szCs w:val="14"/>
                <w:b w:val="1"/>
                <w:bCs w:val="1"/>
                <w:color w:val="auto"/>
              </w:rPr>
              <w:t>Percent</w:t>
            </w:r>
          </w:p>
        </w:tc>
      </w:tr>
      <w:tr>
        <w:trPr>
          <w:trHeight w:val="175"/>
        </w:trPr>
        <w:tc>
          <w:tcPr>
            <w:tcW w:w="664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84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Increase</w:t>
            </w:r>
          </w:p>
        </w:tc>
        <w:tc>
          <w:tcPr>
            <w:tcW w:w="980" w:type="dxa"/>
            <w:vAlign w:val="bottom"/>
          </w:tcPr>
          <w:p>
            <w:pPr>
              <w:jc w:val="center"/>
              <w:ind w:right="118"/>
              <w:spacing w:after="0"/>
              <w:rPr>
                <w:sz w:val="20"/>
                <w:szCs w:val="20"/>
                <w:color w:val="auto"/>
              </w:rPr>
            </w:pPr>
            <w:r>
              <w:rPr>
                <w:rFonts w:ascii="Arial" w:cs="Arial" w:eastAsia="Arial" w:hAnsi="Arial"/>
                <w:sz w:val="14"/>
                <w:szCs w:val="14"/>
                <w:b w:val="1"/>
                <w:bCs w:val="1"/>
                <w:color w:val="auto"/>
              </w:rPr>
              <w:t>Increase</w:t>
            </w:r>
          </w:p>
        </w:tc>
      </w:tr>
      <w:tr>
        <w:trPr>
          <w:trHeight w:val="156"/>
        </w:trPr>
        <w:tc>
          <w:tcPr>
            <w:tcW w:w="66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18"/>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14"/>
              <w:spacing w:after="0" w:line="155" w:lineRule="exact"/>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4"/>
          </w:tcPr>
          <w:p>
            <w:pPr>
              <w:jc w:val="right"/>
              <w:ind w:right="660"/>
              <w:spacing w:after="0" w:line="155" w:lineRule="exact"/>
              <w:rPr>
                <w:sz w:val="20"/>
                <w:szCs w:val="20"/>
                <w:color w:val="auto"/>
              </w:rPr>
            </w:pPr>
            <w:r>
              <w:rPr>
                <w:rFonts w:ascii="Arial" w:cs="Arial" w:eastAsia="Arial" w:hAnsi="Arial"/>
                <w:sz w:val="14"/>
                <w:szCs w:val="14"/>
                <w:b w:val="1"/>
                <w:bCs w:val="1"/>
                <w:color w:val="auto"/>
              </w:rPr>
              <w:t>(Decrease)</w:t>
            </w:r>
          </w:p>
        </w:tc>
        <w:tc>
          <w:tcPr>
            <w:tcW w:w="980" w:type="dxa"/>
            <w:vAlign w:val="bottom"/>
            <w:tcBorders>
              <w:bottom w:val="single" w:sz="8" w:color="auto"/>
            </w:tcBorders>
          </w:tcPr>
          <w:p>
            <w:pPr>
              <w:jc w:val="center"/>
              <w:ind w:right="118"/>
              <w:spacing w:after="0" w:line="155" w:lineRule="exact"/>
              <w:rPr>
                <w:sz w:val="20"/>
                <w:szCs w:val="20"/>
                <w:color w:val="auto"/>
              </w:rPr>
            </w:pPr>
            <w:r>
              <w:rPr>
                <w:rFonts w:ascii="Arial" w:cs="Arial" w:eastAsia="Arial" w:hAnsi="Arial"/>
                <w:sz w:val="14"/>
                <w:szCs w:val="14"/>
                <w:b w:val="1"/>
                <w:bCs w:val="1"/>
                <w:color w:val="auto"/>
              </w:rPr>
              <w:t>(Decrease)</w:t>
            </w:r>
          </w:p>
        </w:tc>
      </w:tr>
      <w:tr>
        <w:trPr>
          <w:trHeight w:val="156"/>
        </w:trPr>
        <w:tc>
          <w:tcPr>
            <w:tcW w:w="6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00" w:type="dxa"/>
            <w:vAlign w:val="bottom"/>
            <w:gridSpan w:val="8"/>
          </w:tcPr>
          <w:p>
            <w:pPr>
              <w:jc w:val="right"/>
              <w:ind w:right="20"/>
              <w:spacing w:after="0" w:line="155" w:lineRule="exact"/>
              <w:rPr>
                <w:sz w:val="20"/>
                <w:szCs w:val="20"/>
                <w:color w:val="auto"/>
              </w:rPr>
            </w:pPr>
            <w:r>
              <w:rPr>
                <w:rFonts w:ascii="Arial" w:cs="Arial" w:eastAsia="Arial" w:hAnsi="Arial"/>
                <w:sz w:val="14"/>
                <w:szCs w:val="14"/>
                <w:b w:val="1"/>
                <w:bCs w:val="1"/>
                <w:color w:val="auto"/>
              </w:rPr>
              <w:t>(In millions, except percentage changes)</w:t>
            </w:r>
          </w:p>
        </w:tc>
        <w:tc>
          <w:tcPr>
            <w:tcW w:w="980" w:type="dxa"/>
            <w:vAlign w:val="bottom"/>
          </w:tcPr>
          <w:p>
            <w:pPr>
              <w:spacing w:after="0"/>
              <w:rPr>
                <w:sz w:val="13"/>
                <w:szCs w:val="13"/>
                <w:color w:val="auto"/>
              </w:rPr>
            </w:pPr>
          </w:p>
        </w:tc>
      </w:tr>
      <w:tr>
        <w:trPr>
          <w:trHeight w:val="203"/>
        </w:trPr>
        <w:tc>
          <w:tcPr>
            <w:tcW w:w="67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Interest income</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45</w:t>
            </w:r>
          </w:p>
        </w:tc>
        <w:tc>
          <w:tcPr>
            <w:tcW w:w="4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28</w:t>
            </w:r>
          </w:p>
        </w:tc>
        <w:tc>
          <w:tcPr>
            <w:tcW w:w="7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20"/>
              <w:spacing w:after="0" w:line="202" w:lineRule="exact"/>
              <w:rPr>
                <w:sz w:val="20"/>
                <w:szCs w:val="20"/>
                <w:color w:val="auto"/>
              </w:rPr>
            </w:pPr>
            <w:r>
              <w:rPr>
                <w:rFonts w:ascii="Arial" w:cs="Arial" w:eastAsia="Arial" w:hAnsi="Arial"/>
                <w:sz w:val="18"/>
                <w:szCs w:val="18"/>
                <w:color w:val="auto"/>
              </w:rPr>
              <w:t>17</w:t>
            </w:r>
          </w:p>
        </w:tc>
        <w:tc>
          <w:tcPr>
            <w:tcW w:w="980" w:type="dxa"/>
            <w:vAlign w:val="bottom"/>
            <w:shd w:val="clear" w:color="auto" w:fill="CCEEFF"/>
          </w:tcPr>
          <w:p>
            <w:pPr>
              <w:jc w:val="right"/>
              <w:ind w:right="278"/>
              <w:spacing w:after="0" w:line="202" w:lineRule="exact"/>
              <w:rPr>
                <w:sz w:val="20"/>
                <w:szCs w:val="20"/>
                <w:color w:val="auto"/>
              </w:rPr>
            </w:pPr>
            <w:r>
              <w:rPr>
                <w:rFonts w:ascii="Arial" w:cs="Arial" w:eastAsia="Arial" w:hAnsi="Arial"/>
                <w:sz w:val="18"/>
                <w:szCs w:val="18"/>
                <w:color w:val="auto"/>
              </w:rPr>
              <w:t>57.7</w:t>
            </w:r>
          </w:p>
        </w:tc>
      </w:tr>
      <w:tr>
        <w:trPr>
          <w:trHeight w:val="203"/>
        </w:trPr>
        <w:tc>
          <w:tcPr>
            <w:tcW w:w="6700" w:type="dxa"/>
            <w:vAlign w:val="bottom"/>
            <w:gridSpan w:val="2"/>
          </w:tcPr>
          <w:p>
            <w:pPr>
              <w:spacing w:after="0" w:line="202" w:lineRule="exact"/>
              <w:rPr>
                <w:sz w:val="20"/>
                <w:szCs w:val="20"/>
                <w:color w:val="auto"/>
              </w:rPr>
            </w:pPr>
            <w:r>
              <w:rPr>
                <w:rFonts w:ascii="Arial" w:cs="Arial" w:eastAsia="Arial" w:hAnsi="Arial"/>
                <w:sz w:val="18"/>
                <w:szCs w:val="18"/>
                <w:color w:val="auto"/>
              </w:rPr>
              <w:t>Interest expense, net</w:t>
            </w:r>
          </w:p>
        </w:tc>
        <w:tc>
          <w:tcPr>
            <w:tcW w:w="14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(520)</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(488)</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760"/>
              <w:spacing w:after="0" w:line="202" w:lineRule="exact"/>
              <w:rPr>
                <w:sz w:val="20"/>
                <w:szCs w:val="20"/>
                <w:color w:val="auto"/>
              </w:rPr>
            </w:pPr>
            <w:r>
              <w:rPr>
                <w:rFonts w:ascii="Arial" w:cs="Arial" w:eastAsia="Arial" w:hAnsi="Arial"/>
                <w:sz w:val="18"/>
                <w:szCs w:val="18"/>
                <w:color w:val="auto"/>
                <w:w w:val="99"/>
              </w:rPr>
              <w:t>(32)</w:t>
            </w:r>
          </w:p>
        </w:tc>
        <w:tc>
          <w:tcPr>
            <w:tcW w:w="980" w:type="dxa"/>
            <w:vAlign w:val="bottom"/>
          </w:tcPr>
          <w:p>
            <w:pPr>
              <w:jc w:val="right"/>
              <w:ind w:right="278"/>
              <w:spacing w:after="0" w:line="202" w:lineRule="exact"/>
              <w:rPr>
                <w:sz w:val="20"/>
                <w:szCs w:val="20"/>
                <w:color w:val="auto"/>
              </w:rPr>
            </w:pPr>
            <w:r>
              <w:rPr>
                <w:rFonts w:ascii="Arial" w:cs="Arial" w:eastAsia="Arial" w:hAnsi="Arial"/>
                <w:sz w:val="18"/>
                <w:szCs w:val="18"/>
                <w:color w:val="auto"/>
              </w:rPr>
              <w:t>6.6</w:t>
            </w:r>
          </w:p>
        </w:tc>
      </w:tr>
      <w:tr>
        <w:trPr>
          <w:trHeight w:val="203"/>
        </w:trPr>
        <w:tc>
          <w:tcPr>
            <w:tcW w:w="67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Other, net</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(17)</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820"/>
              <w:spacing w:after="0" w:line="202" w:lineRule="exact"/>
              <w:rPr>
                <w:sz w:val="20"/>
                <w:szCs w:val="20"/>
                <w:color w:val="auto"/>
              </w:rPr>
            </w:pPr>
            <w:r>
              <w:rPr>
                <w:rFonts w:ascii="Arial" w:cs="Arial" w:eastAsia="Arial" w:hAnsi="Arial"/>
                <w:sz w:val="18"/>
                <w:szCs w:val="18"/>
                <w:color w:val="auto"/>
              </w:rPr>
              <w:t>12</w:t>
            </w:r>
          </w:p>
        </w:tc>
        <w:tc>
          <w:tcPr>
            <w:tcW w:w="980" w:type="dxa"/>
            <w:vAlign w:val="bottom"/>
            <w:shd w:val="clear" w:color="auto" w:fill="CCEEFF"/>
          </w:tcPr>
          <w:p>
            <w:pPr>
              <w:jc w:val="right"/>
              <w:ind w:right="218"/>
              <w:spacing w:after="0" w:line="202" w:lineRule="exact"/>
              <w:rPr>
                <w:sz w:val="20"/>
                <w:szCs w:val="20"/>
                <w:color w:val="auto"/>
              </w:rPr>
            </w:pPr>
            <w:r>
              <w:rPr>
                <w:rFonts w:ascii="Arial" w:cs="Arial" w:eastAsia="Arial" w:hAnsi="Arial"/>
                <w:sz w:val="18"/>
                <w:szCs w:val="18"/>
                <w:color w:val="auto"/>
              </w:rPr>
              <w:t>(69.2)</w:t>
            </w:r>
          </w:p>
        </w:tc>
      </w:tr>
      <w:tr>
        <w:trPr>
          <w:trHeight w:val="20"/>
        </w:trPr>
        <w:tc>
          <w:tcPr>
            <w:tcW w:w="6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10"/>
        </w:trPr>
        <w:tc>
          <w:tcPr>
            <w:tcW w:w="6700" w:type="dxa"/>
            <w:vAlign w:val="bottom"/>
            <w:gridSpan w:val="2"/>
          </w:tcPr>
          <w:p>
            <w:pPr>
              <w:ind w:left="180"/>
              <w:spacing w:after="0"/>
              <w:rPr>
                <w:sz w:val="20"/>
                <w:szCs w:val="20"/>
                <w:color w:val="auto"/>
              </w:rPr>
            </w:pPr>
            <w:r>
              <w:rPr>
                <w:rFonts w:ascii="Arial" w:cs="Arial" w:eastAsia="Arial" w:hAnsi="Arial"/>
                <w:sz w:val="18"/>
                <w:szCs w:val="18"/>
                <w:color w:val="auto"/>
              </w:rPr>
              <w:t>Total nonoperating expense, net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(480)</w:t>
            </w:r>
          </w:p>
        </w:tc>
        <w:tc>
          <w:tcPr>
            <w:tcW w:w="120" w:type="dxa"/>
            <w:vAlign w:val="bottom"/>
          </w:tcPr>
          <w:p>
            <w:pPr>
              <w:spacing w:after="0"/>
              <w:rPr>
                <w:sz w:val="18"/>
                <w:szCs w:val="18"/>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(477)</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760"/>
              <w:spacing w:after="0"/>
              <w:rPr>
                <w:sz w:val="20"/>
                <w:szCs w:val="20"/>
                <w:color w:val="auto"/>
              </w:rPr>
            </w:pPr>
            <w:r>
              <w:rPr>
                <w:rFonts w:ascii="Arial" w:cs="Arial" w:eastAsia="Arial" w:hAnsi="Arial"/>
                <w:sz w:val="18"/>
                <w:szCs w:val="18"/>
                <w:color w:val="auto"/>
              </w:rPr>
              <w:t>(3)</w:t>
            </w:r>
          </w:p>
        </w:tc>
        <w:tc>
          <w:tcPr>
            <w:tcW w:w="980" w:type="dxa"/>
            <w:vAlign w:val="bottom"/>
          </w:tcPr>
          <w:p>
            <w:pPr>
              <w:jc w:val="right"/>
              <w:ind w:right="278"/>
              <w:spacing w:after="0"/>
              <w:rPr>
                <w:sz w:val="20"/>
                <w:szCs w:val="20"/>
                <w:color w:val="auto"/>
              </w:rPr>
            </w:pPr>
            <w:r>
              <w:rPr>
                <w:rFonts w:ascii="Arial" w:cs="Arial" w:eastAsia="Arial" w:hAnsi="Arial"/>
                <w:sz w:val="18"/>
                <w:szCs w:val="18"/>
                <w:color w:val="auto"/>
              </w:rPr>
              <w:t>0.8</w:t>
            </w:r>
          </w:p>
        </w:tc>
      </w:tr>
      <w:tr>
        <w:trPr>
          <w:trHeight w:val="20"/>
        </w:trPr>
        <w:tc>
          <w:tcPr>
            <w:tcW w:w="6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228"/>
        <w:spacing w:after="0"/>
        <w:rPr>
          <w:sz w:val="20"/>
          <w:szCs w:val="20"/>
          <w:color w:val="auto"/>
        </w:rPr>
      </w:pPr>
      <w:r>
        <w:rPr>
          <w:rFonts w:ascii="Arial" w:cs="Arial" w:eastAsia="Arial" w:hAnsi="Arial"/>
          <w:sz w:val="18"/>
          <w:szCs w:val="18"/>
          <w:color w:val="auto"/>
        </w:rPr>
        <w:t>Our short-term investments in each period consisted of highly liquid investments that provided relatively nominal returns. Interest income increased $17 million, or 57.7%, principally due to an increase in interest rates, which drove more than a 50 basis point increase in average yields in the first six months of 2017 as compared to the 2016 period.</w:t>
      </w:r>
    </w:p>
    <w:p>
      <w:pPr>
        <w:spacing w:after="0" w:line="203" w:lineRule="exact"/>
        <w:rPr>
          <w:sz w:val="20"/>
          <w:szCs w:val="20"/>
          <w:color w:val="auto"/>
        </w:rPr>
      </w:pPr>
    </w:p>
    <w:p>
      <w:pPr>
        <w:jc w:val="both"/>
        <w:ind w:firstLine="228"/>
        <w:spacing w:after="0" w:line="246" w:lineRule="auto"/>
        <w:rPr>
          <w:sz w:val="20"/>
          <w:szCs w:val="20"/>
          <w:color w:val="auto"/>
        </w:rPr>
      </w:pPr>
      <w:r>
        <w:rPr>
          <w:rFonts w:ascii="Arial" w:cs="Arial" w:eastAsia="Arial" w:hAnsi="Arial"/>
          <w:sz w:val="18"/>
          <w:szCs w:val="18"/>
          <w:color w:val="auto"/>
        </w:rPr>
        <w:t>Interest expense, net increased $ 32 million in the first six months of 2017 as compared to the 2016 period primarily due to higher outstanding debt as a result of aircraft financings associated with our fleet renewal program.</w:t>
      </w:r>
    </w:p>
    <w:p>
      <w:pPr>
        <w:spacing w:after="0" w:line="197" w:lineRule="exact"/>
        <w:rPr>
          <w:sz w:val="20"/>
          <w:szCs w:val="20"/>
          <w:color w:val="auto"/>
        </w:rPr>
      </w:pPr>
    </w:p>
    <w:p>
      <w:pPr>
        <w:jc w:val="both"/>
        <w:ind w:right="20" w:firstLine="228"/>
        <w:spacing w:after="0" w:line="246" w:lineRule="auto"/>
        <w:rPr>
          <w:sz w:val="20"/>
          <w:szCs w:val="20"/>
          <w:color w:val="auto"/>
        </w:rPr>
      </w:pPr>
      <w:r>
        <w:rPr>
          <w:rFonts w:ascii="Arial" w:cs="Arial" w:eastAsia="Arial" w:hAnsi="Arial"/>
          <w:sz w:val="18"/>
          <w:szCs w:val="18"/>
          <w:color w:val="auto"/>
        </w:rPr>
        <w:t>Other nonoperating expense, net in the 2016 period primarily included $36 million of net special charges consisting of debt issuance and extinguishment costs associated with a bond refinancing, offset in part by $27 million of foreign currency gains.</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122" w:lineRule="exact"/>
        <w:rPr>
          <w:sz w:val="20"/>
          <w:szCs w:val="20"/>
          <w:color w:val="auto"/>
        </w:rPr>
      </w:pPr>
    </w:p>
    <w:p>
      <w:pPr>
        <w:jc w:val="both"/>
        <w:ind w:firstLine="228"/>
        <w:spacing w:after="0" w:line="239" w:lineRule="auto"/>
        <w:rPr>
          <w:sz w:val="20"/>
          <w:szCs w:val="20"/>
          <w:color w:val="auto"/>
        </w:rPr>
      </w:pPr>
      <w:r>
        <w:rPr>
          <w:rFonts w:ascii="Arial" w:cs="Arial" w:eastAsia="Arial" w:hAnsi="Arial"/>
          <w:sz w:val="18"/>
          <w:szCs w:val="18"/>
          <w:color w:val="auto"/>
        </w:rPr>
        <w:t>In the first six months of 2017, we recorded an income tax provision of $619 million, which was substantially non-cash due to utilization of our NOLs. Substantially all of our income before income taxes is attributable to the United States. At December 31, 2016, we had approximately $10.5 billion of gross NOLs to reduce future federal taxable income, substantially all of which are expected to be available for use in 2017.</w:t>
      </w:r>
    </w:p>
    <w:p>
      <w:pPr>
        <w:spacing w:after="0" w:line="20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See Note 6 to AAG’s Condensed Consolidated Financial Statements in Part I, Item 1A for additional information on income taxes.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American’s Results of Operations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2017 Compared to Three Months Ended June 30, 2016</w:t>
      </w:r>
    </w:p>
    <w:p>
      <w:pPr>
        <w:spacing w:after="0" w:line="126" w:lineRule="exact"/>
        <w:rPr>
          <w:sz w:val="20"/>
          <w:szCs w:val="20"/>
          <w:color w:val="auto"/>
        </w:rPr>
      </w:pPr>
    </w:p>
    <w:p>
      <w:pPr>
        <w:jc w:val="both"/>
        <w:ind w:right="20" w:firstLine="228"/>
        <w:spacing w:after="0" w:line="246" w:lineRule="auto"/>
        <w:rPr>
          <w:sz w:val="20"/>
          <w:szCs w:val="20"/>
          <w:color w:val="auto"/>
        </w:rPr>
      </w:pPr>
      <w:r>
        <w:rPr>
          <w:rFonts w:ascii="Arial" w:cs="Arial" w:eastAsia="Arial" w:hAnsi="Arial"/>
          <w:sz w:val="18"/>
          <w:szCs w:val="18"/>
          <w:color w:val="auto"/>
        </w:rPr>
        <w:t>American realized pre-tax income of $1.3 billion and $1.5 billion in the second quarters of 2017 and 2016, respectively. Excluding the effects of pre-tax net special items, pre-tax income was $1.5 billion and $1.6 billion in the second quarters of 2017 and 2016, respectively.</w:t>
      </w:r>
    </w:p>
    <w:p>
      <w:pPr>
        <w:spacing w:after="0" w:line="197" w:lineRule="exact"/>
        <w:rPr>
          <w:sz w:val="20"/>
          <w:szCs w:val="20"/>
          <w:color w:val="auto"/>
        </w:rPr>
      </w:pPr>
    </w:p>
    <w:p>
      <w:pPr>
        <w:jc w:val="both"/>
        <w:ind w:firstLine="228"/>
        <w:spacing w:after="0" w:line="246" w:lineRule="auto"/>
        <w:rPr>
          <w:sz w:val="20"/>
          <w:szCs w:val="20"/>
          <w:color w:val="auto"/>
        </w:rPr>
      </w:pPr>
      <w:r>
        <w:rPr>
          <w:rFonts w:ascii="Arial" w:cs="Arial" w:eastAsia="Arial" w:hAnsi="Arial"/>
          <w:sz w:val="18"/>
          <w:szCs w:val="18"/>
          <w:color w:val="auto"/>
        </w:rPr>
        <w:t>American’s second quarter 2017 pre-tax results on both a GAAP basis and excluding pre-tax net special items were principally driven by higher salaries, wages and benefits and higher fuel costs, which were offset in part by higher revenues.</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Operating Revenues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jc w:val="center"/>
              <w:ind w:right="37"/>
              <w:spacing w:after="0"/>
              <w:rPr>
                <w:sz w:val="20"/>
                <w:szCs w:val="20"/>
                <w:color w:val="auto"/>
              </w:rPr>
            </w:pPr>
            <w:r>
              <w:rPr>
                <w:rFonts w:ascii="Arial" w:cs="Arial" w:eastAsia="Arial" w:hAnsi="Arial"/>
                <w:sz w:val="14"/>
                <w:szCs w:val="14"/>
                <w:b w:val="1"/>
                <w:bCs w:val="1"/>
                <w:color w:val="auto"/>
              </w:rPr>
              <w:t>Percent</w:t>
            </w:r>
          </w:p>
        </w:tc>
      </w:tr>
      <w:tr>
        <w:trPr>
          <w:trHeight w:val="175"/>
        </w:trPr>
        <w:tc>
          <w:tcPr>
            <w:tcW w:w="658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rPr>
              <w:t>June 30,</w:t>
            </w:r>
          </w:p>
        </w:tc>
        <w:tc>
          <w:tcPr>
            <w:tcW w:w="6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8"/>
              </w:rPr>
              <w:t>Increase</w:t>
            </w:r>
          </w:p>
        </w:tc>
        <w:tc>
          <w:tcPr>
            <w:tcW w:w="980" w:type="dxa"/>
            <w:vAlign w:val="bottom"/>
          </w:tcPr>
          <w:p>
            <w:pPr>
              <w:jc w:val="center"/>
              <w:ind w:right="37"/>
              <w:spacing w:after="0"/>
              <w:rPr>
                <w:sz w:val="20"/>
                <w:szCs w:val="20"/>
                <w:color w:val="auto"/>
              </w:rPr>
            </w:pPr>
            <w:r>
              <w:rPr>
                <w:rFonts w:ascii="Arial" w:cs="Arial" w:eastAsia="Arial" w:hAnsi="Arial"/>
                <w:sz w:val="14"/>
                <w:szCs w:val="14"/>
                <w:b w:val="1"/>
                <w:bCs w:val="1"/>
                <w:color w:val="auto"/>
              </w:rPr>
              <w:t>Increase</w:t>
            </w:r>
          </w:p>
        </w:tc>
      </w:tr>
      <w:tr>
        <w:trPr>
          <w:trHeight w:val="156"/>
        </w:trPr>
        <w:tc>
          <w:tcPr>
            <w:tcW w:w="658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97"/>
              <w:spacing w:after="0" w:line="155" w:lineRule="exact"/>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93"/>
              <w:spacing w:after="0" w:line="155" w:lineRule="exact"/>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3"/>
          </w:tcPr>
          <w:p>
            <w:pPr>
              <w:jc w:val="right"/>
              <w:ind w:right="540"/>
              <w:spacing w:after="0" w:line="155" w:lineRule="exact"/>
              <w:rPr>
                <w:sz w:val="20"/>
                <w:szCs w:val="20"/>
                <w:color w:val="auto"/>
              </w:rPr>
            </w:pPr>
            <w:r>
              <w:rPr>
                <w:rFonts w:ascii="Arial" w:cs="Arial" w:eastAsia="Arial" w:hAnsi="Arial"/>
                <w:sz w:val="14"/>
                <w:szCs w:val="14"/>
                <w:b w:val="1"/>
                <w:bCs w:val="1"/>
                <w:color w:val="auto"/>
              </w:rPr>
              <w:t>(Decrease)</w:t>
            </w:r>
          </w:p>
        </w:tc>
        <w:tc>
          <w:tcPr>
            <w:tcW w:w="980" w:type="dxa"/>
            <w:vAlign w:val="bottom"/>
            <w:tcBorders>
              <w:bottom w:val="single" w:sz="8" w:color="auto"/>
            </w:tcBorders>
          </w:tcPr>
          <w:p>
            <w:pPr>
              <w:jc w:val="center"/>
              <w:ind w:right="37"/>
              <w:spacing w:after="0" w:line="155" w:lineRule="exact"/>
              <w:rPr>
                <w:sz w:val="20"/>
                <w:szCs w:val="20"/>
                <w:color w:val="auto"/>
              </w:rPr>
            </w:pPr>
            <w:r>
              <w:rPr>
                <w:rFonts w:ascii="Arial" w:cs="Arial" w:eastAsia="Arial" w:hAnsi="Arial"/>
                <w:sz w:val="14"/>
                <w:szCs w:val="14"/>
                <w:b w:val="1"/>
                <w:bCs w:val="1"/>
                <w:color w:val="auto"/>
              </w:rPr>
              <w:t>(Decrease)</w:t>
            </w:r>
          </w:p>
        </w:tc>
      </w:tr>
      <w:tr>
        <w:trPr>
          <w:trHeight w:val="156"/>
        </w:trPr>
        <w:tc>
          <w:tcPr>
            <w:tcW w:w="6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80" w:type="dxa"/>
            <w:vAlign w:val="bottom"/>
            <w:gridSpan w:val="8"/>
          </w:tcPr>
          <w:p>
            <w:pPr>
              <w:jc w:val="right"/>
              <w:ind w:right="40"/>
              <w:spacing w:after="0" w:line="155" w:lineRule="exact"/>
              <w:rPr>
                <w:sz w:val="20"/>
                <w:szCs w:val="20"/>
                <w:color w:val="auto"/>
              </w:rPr>
            </w:pPr>
            <w:r>
              <w:rPr>
                <w:rFonts w:ascii="Arial" w:cs="Arial" w:eastAsia="Arial" w:hAnsi="Arial"/>
                <w:sz w:val="14"/>
                <w:szCs w:val="14"/>
                <w:b w:val="1"/>
                <w:bCs w:val="1"/>
                <w:color w:val="auto"/>
              </w:rPr>
              <w:t>(In millions, except percentage changes)</w:t>
            </w:r>
          </w:p>
        </w:tc>
        <w:tc>
          <w:tcPr>
            <w:tcW w:w="980" w:type="dxa"/>
            <w:vAlign w:val="bottom"/>
          </w:tcPr>
          <w:p>
            <w:pPr>
              <w:spacing w:after="0"/>
              <w:rPr>
                <w:sz w:val="13"/>
                <w:szCs w:val="13"/>
                <w:color w:val="auto"/>
              </w:rPr>
            </w:pPr>
          </w:p>
        </w:tc>
      </w:tr>
      <w:tr>
        <w:trPr>
          <w:trHeight w:val="203"/>
        </w:trPr>
        <w:tc>
          <w:tcPr>
            <w:tcW w:w="66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Mainline passenger</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7,747</w:t>
            </w:r>
          </w:p>
        </w:tc>
        <w:tc>
          <w:tcPr>
            <w:tcW w:w="5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7,209</w:t>
            </w:r>
          </w:p>
        </w:tc>
        <w:tc>
          <w:tcPr>
            <w:tcW w:w="4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538</w:t>
            </w:r>
          </w:p>
        </w:tc>
        <w:tc>
          <w:tcPr>
            <w:tcW w:w="4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77"/>
              <w:spacing w:after="0" w:line="202" w:lineRule="exact"/>
              <w:rPr>
                <w:sz w:val="20"/>
                <w:szCs w:val="20"/>
                <w:color w:val="auto"/>
              </w:rPr>
            </w:pPr>
            <w:r>
              <w:rPr>
                <w:rFonts w:ascii="Arial" w:cs="Arial" w:eastAsia="Arial" w:hAnsi="Arial"/>
                <w:sz w:val="18"/>
                <w:szCs w:val="18"/>
                <w:color w:val="auto"/>
              </w:rPr>
              <w:t>7.5</w:t>
            </w:r>
          </w:p>
        </w:tc>
      </w:tr>
      <w:tr>
        <w:trPr>
          <w:trHeight w:val="203"/>
        </w:trPr>
        <w:tc>
          <w:tcPr>
            <w:tcW w:w="6640" w:type="dxa"/>
            <w:vAlign w:val="bottom"/>
            <w:gridSpan w:val="2"/>
          </w:tcPr>
          <w:p>
            <w:pPr>
              <w:spacing w:after="0" w:line="202" w:lineRule="exact"/>
              <w:rPr>
                <w:sz w:val="20"/>
                <w:szCs w:val="20"/>
                <w:color w:val="auto"/>
              </w:rPr>
            </w:pPr>
            <w:r>
              <w:rPr>
                <w:rFonts w:ascii="Arial" w:cs="Arial" w:eastAsia="Arial" w:hAnsi="Arial"/>
                <w:sz w:val="18"/>
                <w:szCs w:val="18"/>
                <w:color w:val="auto"/>
              </w:rPr>
              <w:t>Regional passenger</w:t>
            </w:r>
          </w:p>
        </w:tc>
        <w:tc>
          <w:tcPr>
            <w:tcW w:w="180" w:type="dxa"/>
            <w:vAlign w:val="bottom"/>
          </w:tcPr>
          <w:p>
            <w:pPr>
              <w:spacing w:after="0"/>
              <w:rPr>
                <w:sz w:val="17"/>
                <w:szCs w:val="17"/>
                <w:color w:val="auto"/>
              </w:rPr>
            </w:pPr>
          </w:p>
        </w:tc>
        <w:tc>
          <w:tcPr>
            <w:tcW w:w="7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1,835</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1,786</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49</w:t>
            </w:r>
          </w:p>
        </w:tc>
        <w:tc>
          <w:tcPr>
            <w:tcW w:w="980" w:type="dxa"/>
            <w:vAlign w:val="bottom"/>
          </w:tcPr>
          <w:p>
            <w:pPr>
              <w:jc w:val="right"/>
              <w:ind w:right="277"/>
              <w:spacing w:after="0" w:line="202" w:lineRule="exact"/>
              <w:rPr>
                <w:sz w:val="20"/>
                <w:szCs w:val="20"/>
                <w:color w:val="auto"/>
              </w:rPr>
            </w:pPr>
            <w:r>
              <w:rPr>
                <w:rFonts w:ascii="Arial" w:cs="Arial" w:eastAsia="Arial" w:hAnsi="Arial"/>
                <w:sz w:val="18"/>
                <w:szCs w:val="18"/>
                <w:color w:val="auto"/>
              </w:rPr>
              <w:t>2.8</w:t>
            </w:r>
          </w:p>
        </w:tc>
      </w:tr>
      <w:tr>
        <w:trPr>
          <w:trHeight w:val="203"/>
        </w:trPr>
        <w:tc>
          <w:tcPr>
            <w:tcW w:w="66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Cargo</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196</w:t>
            </w: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174</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22</w:t>
            </w:r>
          </w:p>
        </w:tc>
        <w:tc>
          <w:tcPr>
            <w:tcW w:w="980" w:type="dxa"/>
            <w:vAlign w:val="bottom"/>
            <w:shd w:val="clear" w:color="auto" w:fill="CCEEFF"/>
          </w:tcPr>
          <w:p>
            <w:pPr>
              <w:jc w:val="right"/>
              <w:ind w:right="277"/>
              <w:spacing w:after="0" w:line="202" w:lineRule="exact"/>
              <w:rPr>
                <w:sz w:val="20"/>
                <w:szCs w:val="20"/>
                <w:color w:val="auto"/>
              </w:rPr>
            </w:pPr>
            <w:r>
              <w:rPr>
                <w:rFonts w:ascii="Arial" w:cs="Arial" w:eastAsia="Arial" w:hAnsi="Arial"/>
                <w:sz w:val="18"/>
                <w:szCs w:val="18"/>
                <w:color w:val="auto"/>
              </w:rPr>
              <w:t>13.1</w:t>
            </w:r>
          </w:p>
        </w:tc>
      </w:tr>
      <w:tr>
        <w:trPr>
          <w:trHeight w:val="203"/>
        </w:trPr>
        <w:tc>
          <w:tcPr>
            <w:tcW w:w="6640" w:type="dxa"/>
            <w:vAlign w:val="bottom"/>
            <w:gridSpan w:val="2"/>
          </w:tcPr>
          <w:p>
            <w:pPr>
              <w:spacing w:after="0" w:line="202" w:lineRule="exact"/>
              <w:rPr>
                <w:sz w:val="20"/>
                <w:szCs w:val="20"/>
                <w:color w:val="auto"/>
              </w:rPr>
            </w:pPr>
            <w:r>
              <w:rPr>
                <w:rFonts w:ascii="Arial" w:cs="Arial" w:eastAsia="Arial" w:hAnsi="Arial"/>
                <w:sz w:val="18"/>
                <w:szCs w:val="18"/>
                <w:color w:val="auto"/>
              </w:rPr>
              <w:t>Other</w:t>
            </w:r>
          </w:p>
        </w:tc>
        <w:tc>
          <w:tcPr>
            <w:tcW w:w="180" w:type="dxa"/>
            <w:vAlign w:val="bottom"/>
          </w:tcPr>
          <w:p>
            <w:pPr>
              <w:spacing w:after="0"/>
              <w:rPr>
                <w:sz w:val="17"/>
                <w:szCs w:val="17"/>
                <w:color w:val="auto"/>
              </w:rPr>
            </w:pPr>
          </w:p>
        </w:tc>
        <w:tc>
          <w:tcPr>
            <w:tcW w:w="7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1,324</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1,191</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133</w:t>
            </w:r>
          </w:p>
        </w:tc>
        <w:tc>
          <w:tcPr>
            <w:tcW w:w="460" w:type="dxa"/>
            <w:vAlign w:val="bottom"/>
          </w:tcPr>
          <w:p>
            <w:pPr>
              <w:spacing w:after="0"/>
              <w:rPr>
                <w:sz w:val="17"/>
                <w:szCs w:val="17"/>
                <w:color w:val="auto"/>
              </w:rPr>
            </w:pPr>
          </w:p>
        </w:tc>
        <w:tc>
          <w:tcPr>
            <w:tcW w:w="980" w:type="dxa"/>
            <w:vAlign w:val="bottom"/>
          </w:tcPr>
          <w:p>
            <w:pPr>
              <w:jc w:val="right"/>
              <w:ind w:right="277"/>
              <w:spacing w:after="0" w:line="202" w:lineRule="exact"/>
              <w:rPr>
                <w:sz w:val="20"/>
                <w:szCs w:val="20"/>
                <w:color w:val="auto"/>
              </w:rPr>
            </w:pPr>
            <w:r>
              <w:rPr>
                <w:rFonts w:ascii="Arial" w:cs="Arial" w:eastAsia="Arial" w:hAnsi="Arial"/>
                <w:sz w:val="18"/>
                <w:szCs w:val="18"/>
                <w:color w:val="auto"/>
              </w:rPr>
              <w:t>11.2</w:t>
            </w:r>
          </w:p>
        </w:tc>
      </w:tr>
      <w:tr>
        <w:trPr>
          <w:trHeight w:val="27"/>
        </w:trPr>
        <w:tc>
          <w:tcPr>
            <w:tcW w:w="6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03"/>
        </w:trPr>
        <w:tc>
          <w:tcPr>
            <w:tcW w:w="664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Total operating revenues</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11,102</w:t>
            </w:r>
          </w:p>
        </w:tc>
        <w:tc>
          <w:tcPr>
            <w:tcW w:w="5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10,360</w:t>
            </w:r>
          </w:p>
        </w:tc>
        <w:tc>
          <w:tcPr>
            <w:tcW w:w="4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742</w:t>
            </w:r>
          </w:p>
        </w:tc>
        <w:tc>
          <w:tcPr>
            <w:tcW w:w="4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77"/>
              <w:spacing w:after="0" w:line="202" w:lineRule="exact"/>
              <w:rPr>
                <w:sz w:val="20"/>
                <w:szCs w:val="20"/>
                <w:color w:val="auto"/>
              </w:rPr>
            </w:pPr>
            <w:r>
              <w:rPr>
                <w:rFonts w:ascii="Arial" w:cs="Arial" w:eastAsia="Arial" w:hAnsi="Arial"/>
                <w:sz w:val="18"/>
                <w:szCs w:val="18"/>
                <w:color w:val="auto"/>
              </w:rPr>
              <w:t>7.2</w:t>
            </w:r>
          </w:p>
        </w:tc>
      </w:tr>
      <w:tr>
        <w:trPr>
          <w:trHeight w:val="20"/>
        </w:trPr>
        <w:tc>
          <w:tcPr>
            <w:tcW w:w="6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228"/>
        <w:spacing w:after="0" w:line="246" w:lineRule="auto"/>
        <w:rPr>
          <w:sz w:val="20"/>
          <w:szCs w:val="20"/>
          <w:color w:val="auto"/>
        </w:rPr>
      </w:pPr>
      <w:r>
        <w:rPr>
          <w:rFonts w:ascii="Arial" w:cs="Arial" w:eastAsia="Arial" w:hAnsi="Arial"/>
          <w:sz w:val="18"/>
          <w:szCs w:val="18"/>
          <w:color w:val="auto"/>
        </w:rPr>
        <w:t>Total passenger revenues increased $587 million, or 6.5%, in the second quarter of 2017 from the 2016 period primarily driven by a period-over-period increase in consolidated passenger yields.</w:t>
      </w:r>
    </w:p>
    <w:p>
      <w:pPr>
        <w:spacing w:after="0" w:line="197" w:lineRule="exact"/>
        <w:rPr>
          <w:sz w:val="20"/>
          <w:szCs w:val="20"/>
          <w:color w:val="auto"/>
        </w:rPr>
      </w:pPr>
    </w:p>
    <w:p>
      <w:pPr>
        <w:jc w:val="both"/>
        <w:ind w:firstLine="228"/>
        <w:spacing w:after="0" w:line="246" w:lineRule="auto"/>
        <w:rPr>
          <w:sz w:val="20"/>
          <w:szCs w:val="20"/>
          <w:color w:val="auto"/>
        </w:rPr>
      </w:pPr>
      <w:r>
        <w:rPr>
          <w:rFonts w:ascii="Arial" w:cs="Arial" w:eastAsia="Arial" w:hAnsi="Arial"/>
          <w:sz w:val="18"/>
          <w:szCs w:val="18"/>
          <w:color w:val="auto"/>
        </w:rPr>
        <w:t>Cargo revenue increased $22 million, or 13.1%, in the second quarter of 2017 from the 2016 period primarily driven by an increase in freight volume.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269" w:right="239" w:bottom="1440" w:gutter="0" w:footer="0" w:header="0"/>
        </w:sectPr>
      </w:pPr>
    </w:p>
    <w:bookmarkStart w:id="42" w:name="page43"/>
    <w:bookmarkEnd w:id="42"/>
    <w:p>
      <w:pPr>
        <w:jc w:val="both"/>
        <w:ind w:firstLine="228"/>
        <w:spacing w:after="0" w:line="23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revenue primarily includes revenue associated with American’s loyalty program, baggage fees, ticketing change fees, airport clubs and inflight services. Other revenue increased $133 million, or 11.2%, in the second quarter of 2017 from the 2016 period primarily driven by an increase in loyalty program revenue. In the second quarters of 2017 and 2016, other revenue associated with American’s loyalty program was $581 million and $461 million, respectively, of which $549 million and $430 million, respectively, related to the marketing component of mileage sales and other marketing related payments. This period-over-period increase was primarily due to revenues associated with American’s new co-branded credit card agreements that became effective in the third quarter of 2016.</w:t>
      </w:r>
    </w:p>
    <w:p>
      <w:pPr>
        <w:spacing w:after="0" w:line="205" w:lineRule="exact"/>
        <w:rPr>
          <w:sz w:val="20"/>
          <w:szCs w:val="20"/>
          <w:color w:val="auto"/>
        </w:rPr>
      </w:pPr>
    </w:p>
    <w:p>
      <w:pPr>
        <w:jc w:val="both"/>
        <w:ind w:firstLine="228"/>
        <w:spacing w:after="0" w:line="246" w:lineRule="auto"/>
        <w:rPr>
          <w:sz w:val="20"/>
          <w:szCs w:val="20"/>
          <w:color w:val="auto"/>
        </w:rPr>
      </w:pPr>
      <w:r>
        <w:rPr>
          <w:rFonts w:ascii="Arial" w:cs="Arial" w:eastAsia="Arial" w:hAnsi="Arial"/>
          <w:sz w:val="18"/>
          <w:szCs w:val="18"/>
          <w:color w:val="auto"/>
        </w:rPr>
        <w:t>Total operating revenues in the second quarter of 2017 increased $742 million, or 7.2%, from the 2016 period driven principally by a 6.5% increase in total passenger revenues as described above.</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Mainline Operating Expenses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Percent</w:t>
            </w:r>
          </w:p>
        </w:tc>
      </w:tr>
      <w:tr>
        <w:trPr>
          <w:trHeight w:val="175"/>
        </w:trPr>
        <w:tc>
          <w:tcPr>
            <w:tcW w:w="68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June 30,</w:t>
            </w:r>
          </w:p>
        </w:tc>
        <w:tc>
          <w:tcPr>
            <w:tcW w:w="6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8"/>
              </w:rPr>
              <w:t>Increase</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Increase</w:t>
            </w:r>
          </w:p>
        </w:tc>
      </w:tr>
      <w:tr>
        <w:trPr>
          <w:trHeight w:val="156"/>
        </w:trPr>
        <w:tc>
          <w:tcPr>
            <w:tcW w:w="68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52"/>
              <w:spacing w:after="0" w:line="155" w:lineRule="exact"/>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3"/>
          </w:tcPr>
          <w:p>
            <w:pPr>
              <w:ind w:left="20"/>
              <w:spacing w:after="0" w:line="155" w:lineRule="exact"/>
              <w:rPr>
                <w:sz w:val="20"/>
                <w:szCs w:val="20"/>
                <w:color w:val="auto"/>
              </w:rPr>
            </w:pPr>
            <w:r>
              <w:rPr>
                <w:rFonts w:ascii="Arial" w:cs="Arial" w:eastAsia="Arial" w:hAnsi="Arial"/>
                <w:sz w:val="14"/>
                <w:szCs w:val="14"/>
                <w:b w:val="1"/>
                <w:bCs w:val="1"/>
                <w:color w:val="auto"/>
              </w:rPr>
              <w:t>(Decrease)</w:t>
            </w:r>
          </w:p>
        </w:tc>
        <w:tc>
          <w:tcPr>
            <w:tcW w:w="116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(Decrease)</w:t>
            </w:r>
          </w:p>
        </w:tc>
      </w:tr>
      <w:tr>
        <w:trPr>
          <w:trHeight w:val="156"/>
        </w:trPr>
        <w:tc>
          <w:tcPr>
            <w:tcW w:w="6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760" w:type="dxa"/>
            <w:vAlign w:val="bottom"/>
            <w:gridSpan w:val="9"/>
          </w:tcPr>
          <w:p>
            <w:pPr>
              <w:jc w:val="right"/>
              <w:ind w:right="814"/>
              <w:spacing w:after="0" w:line="155" w:lineRule="exact"/>
              <w:rPr>
                <w:sz w:val="20"/>
                <w:szCs w:val="20"/>
                <w:color w:val="auto"/>
              </w:rPr>
            </w:pPr>
            <w:r>
              <w:rPr>
                <w:rFonts w:ascii="Arial" w:cs="Arial" w:eastAsia="Arial" w:hAnsi="Arial"/>
                <w:sz w:val="14"/>
                <w:szCs w:val="14"/>
                <w:b w:val="1"/>
                <w:bCs w:val="1"/>
                <w:color w:val="auto"/>
              </w:rPr>
              <w:t>(In millions, except percentage changes)</w:t>
            </w:r>
          </w:p>
        </w:tc>
      </w:tr>
      <w:tr>
        <w:trPr>
          <w:trHeight w:val="203"/>
        </w:trPr>
        <w:tc>
          <w:tcPr>
            <w:tcW w:w="68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Aircraft fuel and related taxes</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1,510</w:t>
            </w:r>
          </w:p>
        </w:tc>
        <w:tc>
          <w:tcPr>
            <w:tcW w:w="5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1,314</w:t>
            </w:r>
          </w:p>
        </w:tc>
        <w:tc>
          <w:tcPr>
            <w:tcW w:w="46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196</w:t>
            </w:r>
          </w:p>
        </w:tc>
        <w:tc>
          <w:tcPr>
            <w:tcW w:w="1160" w:type="dxa"/>
            <w:vAlign w:val="bottom"/>
            <w:shd w:val="clear" w:color="auto" w:fill="CCEEFF"/>
          </w:tcPr>
          <w:p>
            <w:pPr>
              <w:jc w:val="right"/>
              <w:ind w:right="274"/>
              <w:spacing w:after="0" w:line="202" w:lineRule="exact"/>
              <w:rPr>
                <w:sz w:val="20"/>
                <w:szCs w:val="20"/>
                <w:color w:val="auto"/>
              </w:rPr>
            </w:pPr>
            <w:r>
              <w:rPr>
                <w:rFonts w:ascii="Arial" w:cs="Arial" w:eastAsia="Arial" w:hAnsi="Arial"/>
                <w:sz w:val="18"/>
                <w:szCs w:val="18"/>
                <w:color w:val="auto"/>
              </w:rPr>
              <w:t>14.9</w:t>
            </w:r>
          </w:p>
        </w:tc>
      </w:tr>
      <w:tr>
        <w:trPr>
          <w:trHeight w:val="203"/>
        </w:trPr>
        <w:tc>
          <w:tcPr>
            <w:tcW w:w="6880" w:type="dxa"/>
            <w:vAlign w:val="bottom"/>
            <w:gridSpan w:val="2"/>
          </w:tcPr>
          <w:p>
            <w:pPr>
              <w:spacing w:after="0" w:line="202" w:lineRule="exact"/>
              <w:rPr>
                <w:sz w:val="20"/>
                <w:szCs w:val="20"/>
                <w:color w:val="auto"/>
              </w:rPr>
            </w:pPr>
            <w:r>
              <w:rPr>
                <w:rFonts w:ascii="Arial" w:cs="Arial" w:eastAsia="Arial" w:hAnsi="Arial"/>
                <w:sz w:val="18"/>
                <w:szCs w:val="18"/>
                <w:color w:val="auto"/>
              </w:rPr>
              <w:t>Salaries, wages and benefits</w:t>
            </w:r>
          </w:p>
        </w:tc>
        <w:tc>
          <w:tcPr>
            <w:tcW w:w="1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2,999</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2,668</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331</w:t>
            </w:r>
          </w:p>
        </w:tc>
        <w:tc>
          <w:tcPr>
            <w:tcW w:w="1160" w:type="dxa"/>
            <w:vAlign w:val="bottom"/>
          </w:tcPr>
          <w:p>
            <w:pPr>
              <w:jc w:val="right"/>
              <w:ind w:right="274"/>
              <w:spacing w:after="0" w:line="202" w:lineRule="exact"/>
              <w:rPr>
                <w:sz w:val="20"/>
                <w:szCs w:val="20"/>
                <w:color w:val="auto"/>
              </w:rPr>
            </w:pPr>
            <w:r>
              <w:rPr>
                <w:rFonts w:ascii="Arial" w:cs="Arial" w:eastAsia="Arial" w:hAnsi="Arial"/>
                <w:sz w:val="18"/>
                <w:szCs w:val="18"/>
                <w:color w:val="auto"/>
              </w:rPr>
              <w:t>12.5</w:t>
            </w:r>
          </w:p>
        </w:tc>
      </w:tr>
      <w:tr>
        <w:trPr>
          <w:trHeight w:val="203"/>
        </w:trPr>
        <w:tc>
          <w:tcPr>
            <w:tcW w:w="68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Maintenance, materials and repairs</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495</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453</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42</w:t>
            </w:r>
          </w:p>
        </w:tc>
        <w:tc>
          <w:tcPr>
            <w:tcW w:w="1160" w:type="dxa"/>
            <w:vAlign w:val="bottom"/>
            <w:shd w:val="clear" w:color="auto" w:fill="CCEEFF"/>
          </w:tcPr>
          <w:p>
            <w:pPr>
              <w:jc w:val="right"/>
              <w:ind w:right="274"/>
              <w:spacing w:after="0" w:line="202" w:lineRule="exact"/>
              <w:rPr>
                <w:sz w:val="20"/>
                <w:szCs w:val="20"/>
                <w:color w:val="auto"/>
              </w:rPr>
            </w:pPr>
            <w:r>
              <w:rPr>
                <w:rFonts w:ascii="Arial" w:cs="Arial" w:eastAsia="Arial" w:hAnsi="Arial"/>
                <w:sz w:val="18"/>
                <w:szCs w:val="18"/>
                <w:color w:val="auto"/>
              </w:rPr>
              <w:t>9.4</w:t>
            </w:r>
          </w:p>
        </w:tc>
      </w:tr>
      <w:tr>
        <w:trPr>
          <w:trHeight w:val="203"/>
        </w:trPr>
        <w:tc>
          <w:tcPr>
            <w:tcW w:w="6880" w:type="dxa"/>
            <w:vAlign w:val="bottom"/>
            <w:gridSpan w:val="2"/>
          </w:tcPr>
          <w:p>
            <w:pPr>
              <w:spacing w:after="0" w:line="202" w:lineRule="exact"/>
              <w:rPr>
                <w:sz w:val="20"/>
                <w:szCs w:val="20"/>
                <w:color w:val="auto"/>
              </w:rPr>
            </w:pPr>
            <w:r>
              <w:rPr>
                <w:rFonts w:ascii="Arial" w:cs="Arial" w:eastAsia="Arial" w:hAnsi="Arial"/>
                <w:sz w:val="18"/>
                <w:szCs w:val="18"/>
                <w:color w:val="auto"/>
              </w:rPr>
              <w:t>Other rent and landing fees</w:t>
            </w:r>
          </w:p>
        </w:tc>
        <w:tc>
          <w:tcPr>
            <w:tcW w:w="1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452</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458</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(6)</w:t>
            </w:r>
          </w:p>
        </w:tc>
        <w:tc>
          <w:tcPr>
            <w:tcW w:w="1160" w:type="dxa"/>
            <w:vAlign w:val="bottom"/>
          </w:tcPr>
          <w:p>
            <w:pPr>
              <w:jc w:val="right"/>
              <w:ind w:right="214"/>
              <w:spacing w:after="0" w:line="202" w:lineRule="exact"/>
              <w:rPr>
                <w:sz w:val="20"/>
                <w:szCs w:val="20"/>
                <w:color w:val="auto"/>
              </w:rPr>
            </w:pPr>
            <w:r>
              <w:rPr>
                <w:rFonts w:ascii="Arial" w:cs="Arial" w:eastAsia="Arial" w:hAnsi="Arial"/>
                <w:sz w:val="18"/>
                <w:szCs w:val="18"/>
                <w:color w:val="auto"/>
              </w:rPr>
              <w:t>(1.2)</w:t>
            </w:r>
          </w:p>
        </w:tc>
      </w:tr>
      <w:tr>
        <w:trPr>
          <w:trHeight w:val="203"/>
        </w:trPr>
        <w:tc>
          <w:tcPr>
            <w:tcW w:w="68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Aircraft rent</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294</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302</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(8)</w:t>
            </w:r>
          </w:p>
        </w:tc>
        <w:tc>
          <w:tcPr>
            <w:tcW w:w="1160" w:type="dxa"/>
            <w:vAlign w:val="bottom"/>
            <w:shd w:val="clear" w:color="auto" w:fill="CCEEFF"/>
          </w:tcPr>
          <w:p>
            <w:pPr>
              <w:jc w:val="right"/>
              <w:ind w:right="214"/>
              <w:spacing w:after="0" w:line="202" w:lineRule="exact"/>
              <w:rPr>
                <w:sz w:val="20"/>
                <w:szCs w:val="20"/>
                <w:color w:val="auto"/>
              </w:rPr>
            </w:pPr>
            <w:r>
              <w:rPr>
                <w:rFonts w:ascii="Arial" w:cs="Arial" w:eastAsia="Arial" w:hAnsi="Arial"/>
                <w:sz w:val="18"/>
                <w:szCs w:val="18"/>
                <w:color w:val="auto"/>
              </w:rPr>
              <w:t>(2.8)</w:t>
            </w:r>
          </w:p>
        </w:tc>
      </w:tr>
      <w:tr>
        <w:trPr>
          <w:trHeight w:val="203"/>
        </w:trPr>
        <w:tc>
          <w:tcPr>
            <w:tcW w:w="6880" w:type="dxa"/>
            <w:vAlign w:val="bottom"/>
            <w:gridSpan w:val="2"/>
          </w:tcPr>
          <w:p>
            <w:pPr>
              <w:spacing w:after="0" w:line="202" w:lineRule="exact"/>
              <w:rPr>
                <w:sz w:val="20"/>
                <w:szCs w:val="20"/>
                <w:color w:val="auto"/>
              </w:rPr>
            </w:pPr>
            <w:r>
              <w:rPr>
                <w:rFonts w:ascii="Arial" w:cs="Arial" w:eastAsia="Arial" w:hAnsi="Arial"/>
                <w:sz w:val="18"/>
                <w:szCs w:val="18"/>
                <w:color w:val="auto"/>
              </w:rPr>
              <w:t>Selling expenses</w:t>
            </w:r>
          </w:p>
        </w:tc>
        <w:tc>
          <w:tcPr>
            <w:tcW w:w="1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376</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334</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42</w:t>
            </w:r>
          </w:p>
        </w:tc>
        <w:tc>
          <w:tcPr>
            <w:tcW w:w="1160" w:type="dxa"/>
            <w:vAlign w:val="bottom"/>
          </w:tcPr>
          <w:p>
            <w:pPr>
              <w:jc w:val="right"/>
              <w:ind w:right="274"/>
              <w:spacing w:after="0" w:line="202" w:lineRule="exact"/>
              <w:rPr>
                <w:sz w:val="20"/>
                <w:szCs w:val="20"/>
                <w:color w:val="auto"/>
              </w:rPr>
            </w:pPr>
            <w:r>
              <w:rPr>
                <w:rFonts w:ascii="Arial" w:cs="Arial" w:eastAsia="Arial" w:hAnsi="Arial"/>
                <w:sz w:val="18"/>
                <w:szCs w:val="18"/>
                <w:color w:val="auto"/>
              </w:rPr>
              <w:t>12.5</w:t>
            </w:r>
          </w:p>
        </w:tc>
      </w:tr>
      <w:tr>
        <w:trPr>
          <w:trHeight w:val="203"/>
        </w:trPr>
        <w:tc>
          <w:tcPr>
            <w:tcW w:w="68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418</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374</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44</w:t>
            </w:r>
          </w:p>
        </w:tc>
        <w:tc>
          <w:tcPr>
            <w:tcW w:w="1160" w:type="dxa"/>
            <w:vAlign w:val="bottom"/>
            <w:shd w:val="clear" w:color="auto" w:fill="CCEEFF"/>
          </w:tcPr>
          <w:p>
            <w:pPr>
              <w:jc w:val="right"/>
              <w:ind w:right="274"/>
              <w:spacing w:after="0" w:line="202" w:lineRule="exact"/>
              <w:rPr>
                <w:sz w:val="20"/>
                <w:szCs w:val="20"/>
                <w:color w:val="auto"/>
              </w:rPr>
            </w:pPr>
            <w:r>
              <w:rPr>
                <w:rFonts w:ascii="Arial" w:cs="Arial" w:eastAsia="Arial" w:hAnsi="Arial"/>
                <w:sz w:val="18"/>
                <w:szCs w:val="18"/>
                <w:color w:val="auto"/>
              </w:rPr>
              <w:t>11.5</w:t>
            </w:r>
          </w:p>
        </w:tc>
      </w:tr>
      <w:tr>
        <w:trPr>
          <w:trHeight w:val="203"/>
        </w:trPr>
        <w:tc>
          <w:tcPr>
            <w:tcW w:w="6880" w:type="dxa"/>
            <w:vAlign w:val="bottom"/>
            <w:gridSpan w:val="2"/>
          </w:tcPr>
          <w:p>
            <w:pPr>
              <w:spacing w:after="0" w:line="202" w:lineRule="exact"/>
              <w:rPr>
                <w:sz w:val="20"/>
                <w:szCs w:val="20"/>
                <w:color w:val="auto"/>
              </w:rPr>
            </w:pPr>
            <w:r>
              <w:rPr>
                <w:rFonts w:ascii="Arial" w:cs="Arial" w:eastAsia="Arial" w:hAnsi="Arial"/>
                <w:sz w:val="18"/>
                <w:szCs w:val="18"/>
                <w:color w:val="auto"/>
              </w:rPr>
              <w:t>Special items, net</w:t>
            </w:r>
          </w:p>
        </w:tc>
        <w:tc>
          <w:tcPr>
            <w:tcW w:w="1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202</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62</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140</w:t>
            </w:r>
          </w:p>
        </w:tc>
        <w:tc>
          <w:tcPr>
            <w:tcW w:w="1160" w:type="dxa"/>
            <w:vAlign w:val="bottom"/>
          </w:tcPr>
          <w:p>
            <w:pPr>
              <w:jc w:val="right"/>
              <w:ind w:right="274"/>
              <w:spacing w:after="0" w:line="202" w:lineRule="exact"/>
              <w:rPr>
                <w:sz w:val="20"/>
                <w:szCs w:val="20"/>
                <w:color w:val="auto"/>
              </w:rPr>
            </w:pPr>
            <w:r>
              <w:rPr>
                <w:rFonts w:ascii="Arial" w:cs="Arial" w:eastAsia="Arial" w:hAnsi="Arial"/>
                <w:sz w:val="18"/>
                <w:szCs w:val="18"/>
                <w:color w:val="auto"/>
              </w:rPr>
              <w:t>nm</w:t>
            </w:r>
          </w:p>
        </w:tc>
      </w:tr>
      <w:tr>
        <w:trPr>
          <w:trHeight w:val="203"/>
        </w:trPr>
        <w:tc>
          <w:tcPr>
            <w:tcW w:w="68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1,200</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1,128</w:t>
            </w: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72</w:t>
            </w:r>
          </w:p>
        </w:tc>
        <w:tc>
          <w:tcPr>
            <w:tcW w:w="1160" w:type="dxa"/>
            <w:vAlign w:val="bottom"/>
            <w:shd w:val="clear" w:color="auto" w:fill="CCEEFF"/>
          </w:tcPr>
          <w:p>
            <w:pPr>
              <w:jc w:val="right"/>
              <w:ind w:right="274"/>
              <w:spacing w:after="0" w:line="202" w:lineRule="exact"/>
              <w:rPr>
                <w:sz w:val="20"/>
                <w:szCs w:val="20"/>
                <w:color w:val="auto"/>
              </w:rPr>
            </w:pPr>
            <w:r>
              <w:rPr>
                <w:rFonts w:ascii="Arial" w:cs="Arial" w:eastAsia="Arial" w:hAnsi="Arial"/>
                <w:sz w:val="18"/>
                <w:szCs w:val="18"/>
                <w:color w:val="auto"/>
              </w:rPr>
              <w:t>6.3</w:t>
            </w:r>
          </w:p>
        </w:tc>
      </w:tr>
      <w:tr>
        <w:trPr>
          <w:trHeight w:val="20"/>
        </w:trPr>
        <w:tc>
          <w:tcPr>
            <w:tcW w:w="6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10"/>
        </w:trPr>
        <w:tc>
          <w:tcPr>
            <w:tcW w:w="6880" w:type="dxa"/>
            <w:vAlign w:val="bottom"/>
            <w:gridSpan w:val="2"/>
          </w:tcPr>
          <w:p>
            <w:pPr>
              <w:ind w:left="180"/>
              <w:spacing w:after="0"/>
              <w:rPr>
                <w:sz w:val="20"/>
                <w:szCs w:val="20"/>
                <w:color w:val="auto"/>
              </w:rPr>
            </w:pPr>
            <w:r>
              <w:rPr>
                <w:rFonts w:ascii="Arial" w:cs="Arial" w:eastAsia="Arial" w:hAnsi="Arial"/>
                <w:sz w:val="18"/>
                <w:szCs w:val="18"/>
                <w:color w:val="auto"/>
              </w:rPr>
              <w:t>Total mainline operating expenses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7,946</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7,093</w:t>
            </w: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853</w:t>
            </w:r>
          </w:p>
        </w:tc>
        <w:tc>
          <w:tcPr>
            <w:tcW w:w="1160" w:type="dxa"/>
            <w:vAlign w:val="bottom"/>
          </w:tcPr>
          <w:p>
            <w:pPr>
              <w:jc w:val="right"/>
              <w:ind w:right="274"/>
              <w:spacing w:after="0"/>
              <w:rPr>
                <w:sz w:val="20"/>
                <w:szCs w:val="20"/>
                <w:color w:val="auto"/>
              </w:rPr>
            </w:pPr>
            <w:r>
              <w:rPr>
                <w:rFonts w:ascii="Arial" w:cs="Arial" w:eastAsia="Arial" w:hAnsi="Arial"/>
                <w:sz w:val="18"/>
                <w:szCs w:val="18"/>
                <w:color w:val="auto"/>
              </w:rPr>
              <w:t>12.0</w:t>
            </w:r>
          </w:p>
        </w:tc>
      </w:tr>
      <w:tr>
        <w:trPr>
          <w:trHeight w:val="20"/>
        </w:trPr>
        <w:tc>
          <w:tcPr>
            <w:tcW w:w="6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228"/>
        <w:spacing w:after="0"/>
        <w:rPr>
          <w:sz w:val="20"/>
          <w:szCs w:val="20"/>
          <w:color w:val="auto"/>
        </w:rPr>
      </w:pPr>
      <w:r>
        <w:rPr>
          <w:rFonts w:ascii="Arial" w:cs="Arial" w:eastAsia="Arial" w:hAnsi="Arial"/>
          <w:sz w:val="18"/>
          <w:szCs w:val="18"/>
          <w:color w:val="auto"/>
        </w:rPr>
        <w:t>Mainline operating expenses increased $853 million, or 12.0%, in the second quarter of 2017 from the 2016 period. The increase in operating expenses was primarily driven by higher salaries, wages and benefits as well as higher fuel costs. Detailed explanations related to the changes in American’s mainline operating expenses are as follows:</w:t>
      </w:r>
    </w:p>
    <w:p>
      <w:pPr>
        <w:spacing w:after="0" w:line="108" w:lineRule="exact"/>
        <w:rPr>
          <w:sz w:val="20"/>
          <w:szCs w:val="20"/>
          <w:color w:val="auto"/>
        </w:rPr>
      </w:pPr>
    </w:p>
    <w:p>
      <w:pPr>
        <w:ind w:left="660" w:right="20" w:hanging="314"/>
        <w:spacing w:after="0" w:line="246"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Aircraft fuel and related taxes increased 14.9% primarily due to a 14.5% increase in the average price per gallon of fuel to $1.62 in the second quarter of 2017 from $1.41 in the 2016 period.</w:t>
      </w:r>
    </w:p>
    <w:p>
      <w:pPr>
        <w:spacing w:after="0" w:line="102" w:lineRule="exact"/>
        <w:rPr>
          <w:rFonts w:ascii="Arial" w:cs="Arial" w:eastAsia="Arial" w:hAnsi="Arial"/>
          <w:sz w:val="18"/>
          <w:szCs w:val="18"/>
          <w:color w:val="auto"/>
        </w:rPr>
      </w:pPr>
    </w:p>
    <w:p>
      <w:pPr>
        <w:jc w:val="both"/>
        <w:ind w:left="660" w:hanging="314"/>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Salaries, wages and benefits increased 12.5% primarily due to mid-contract pay rate increases for pilots and flight attendants effective in the second quarter of 2017, as well as rate increases for maintenance and fleet service work groups, which became effective in the third quarter of 2016.</w:t>
      </w:r>
    </w:p>
    <w:p>
      <w:pPr>
        <w:spacing w:after="0" w:line="108" w:lineRule="exact"/>
        <w:rPr>
          <w:rFonts w:ascii="Arial" w:cs="Arial" w:eastAsia="Arial" w:hAnsi="Arial"/>
          <w:sz w:val="18"/>
          <w:szCs w:val="18"/>
          <w:color w:val="auto"/>
        </w:rPr>
      </w:pPr>
    </w:p>
    <w:p>
      <w:pPr>
        <w:jc w:val="both"/>
        <w:ind w:left="660" w:hanging="314"/>
        <w:spacing w:after="0" w:line="239"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Maintenance, materials and repairs increased 9.4% as compared to the 2016 period primarily due to a contract change impacting the timing of maintenance expenses incurred. Certain flight equipment was transitioned to a new flight hour based contract (referred to as power by the hour) where expense is incurred and recognized based on actual hours flown. Previously this flight equipment was covered by a time and materials based contract where expense is incurred and recognized as maintenance is performed.</w:t>
      </w:r>
    </w:p>
    <w:p>
      <w:pPr>
        <w:spacing w:after="0" w:line="107" w:lineRule="exact"/>
        <w:rPr>
          <w:rFonts w:ascii="Arial" w:cs="Arial" w:eastAsia="Arial" w:hAnsi="Arial"/>
          <w:sz w:val="18"/>
          <w:szCs w:val="18"/>
          <w:color w:val="auto"/>
        </w:rPr>
      </w:pPr>
    </w:p>
    <w:p>
      <w:pPr>
        <w:ind w:left="660" w:hanging="314"/>
        <w:spacing w:after="0" w:line="246"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Selling expenses increased 12.5% primarily due to higher revenues in the second quarter of 2017 as compared to the 2016 period, resulting in higher commissions.</w:t>
      </w:r>
    </w:p>
    <w:p>
      <w:pPr>
        <w:spacing w:after="0" w:line="102" w:lineRule="exact"/>
        <w:rPr>
          <w:rFonts w:ascii="Arial" w:cs="Arial" w:eastAsia="Arial" w:hAnsi="Arial"/>
          <w:sz w:val="18"/>
          <w:szCs w:val="18"/>
          <w:color w:val="auto"/>
        </w:rPr>
      </w:pPr>
    </w:p>
    <w:p>
      <w:pPr>
        <w:ind w:left="660" w:hanging="314"/>
        <w:spacing w:after="0" w:line="246"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Depreciation and amortization increased 11.5% primarily due to aircraft purchased in connection with American’s fleet renewal program.</w:t>
      </w:r>
    </w:p>
    <w:p>
      <w:pPr>
        <w:spacing w:after="0" w:line="102" w:lineRule="exact"/>
        <w:rPr>
          <w:rFonts w:ascii="Arial" w:cs="Arial" w:eastAsia="Arial" w:hAnsi="Arial"/>
          <w:sz w:val="18"/>
          <w:szCs w:val="18"/>
          <w:color w:val="auto"/>
        </w:rPr>
      </w:pPr>
    </w:p>
    <w:p>
      <w:pPr>
        <w:ind w:left="660" w:hanging="314"/>
        <w:spacing w:after="0" w:line="246"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 operating expenses increased 6.3% primarily due to expenses associated with improving our product offerings, customer experience and operational reliability.</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287" w:right="239" w:bottom="1440" w:gutter="0" w:footer="0" w:header="0"/>
        </w:sectPr>
      </w:pPr>
    </w:p>
    <w:bookmarkStart w:id="43" w:name="page44"/>
    <w:bookmarkEnd w:id="43"/>
    <w:p>
      <w:pPr>
        <w:ind w:left="240"/>
        <w:spacing w:after="0"/>
        <w:rPr>
          <w:sz w:val="20"/>
          <w:szCs w:val="20"/>
          <w:color w:val="auto"/>
        </w:rPr>
      </w:pPr>
      <w:r>
        <w:rPr>
          <w:rFonts w:ascii="Arial" w:cs="Arial" w:eastAsia="Arial" w:hAnsi="Arial"/>
          <w:sz w:val="18"/>
          <w:szCs w:val="18"/>
          <w:i w:val="1"/>
          <w:i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Operating Special Items, Net</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4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6"/>
          </w:tcPr>
          <w:p>
            <w:pPr>
              <w:jc w:val="right"/>
              <w:ind w:right="460"/>
              <w:spacing w:after="0"/>
              <w:rPr>
                <w:sz w:val="20"/>
                <w:szCs w:val="20"/>
                <w:color w:val="auto"/>
              </w:rPr>
            </w:pPr>
            <w:r>
              <w:rPr>
                <w:rFonts w:ascii="Arial" w:cs="Arial" w:eastAsia="Arial" w:hAnsi="Arial"/>
                <w:sz w:val="14"/>
                <w:szCs w:val="14"/>
                <w:b w:val="1"/>
                <w:bCs w:val="1"/>
                <w:color w:val="auto"/>
              </w:rPr>
              <w:t>Three Months Ended June 30,</w:t>
            </w:r>
          </w:p>
        </w:tc>
      </w:tr>
      <w:tr>
        <w:trPr>
          <w:trHeight w:val="156"/>
        </w:trPr>
        <w:tc>
          <w:tcPr>
            <w:tcW w:w="84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32"/>
              <w:spacing w:after="0" w:line="155"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auto"/>
            </w:tcBorders>
          </w:tcPr>
          <w:p>
            <w:pPr>
              <w:spacing w:after="0"/>
              <w:rPr>
                <w:sz w:val="13"/>
                <w:szCs w:val="13"/>
                <w:color w:val="auto"/>
              </w:rPr>
            </w:pPr>
          </w:p>
        </w:tc>
      </w:tr>
      <w:tr>
        <w:trPr>
          <w:trHeight w:val="156"/>
        </w:trPr>
        <w:tc>
          <w:tcPr>
            <w:tcW w:w="8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80" w:type="dxa"/>
            <w:vAlign w:val="bottom"/>
            <w:gridSpan w:val="2"/>
          </w:tcPr>
          <w:p>
            <w:pPr>
              <w:jc w:val="right"/>
              <w:ind w:right="320"/>
              <w:spacing w:after="0" w:line="155" w:lineRule="exact"/>
              <w:rPr>
                <w:sz w:val="20"/>
                <w:szCs w:val="20"/>
                <w:color w:val="auto"/>
              </w:rPr>
            </w:pPr>
            <w:r>
              <w:rPr>
                <w:rFonts w:ascii="Arial" w:cs="Arial" w:eastAsia="Arial" w:hAnsi="Arial"/>
                <w:sz w:val="14"/>
                <w:szCs w:val="14"/>
                <w:b w:val="1"/>
                <w:bCs w:val="1"/>
                <w:color w:val="auto"/>
              </w:rPr>
              <w:t>(In millions)</w:t>
            </w: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203"/>
        </w:trPr>
        <w:tc>
          <w:tcPr>
            <w:tcW w:w="86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 xml:space="preserve">Merger integration expenses </w:t>
            </w:r>
            <w:r>
              <w:rPr>
                <w:rFonts w:ascii="Arial" w:cs="Arial" w:eastAsia="Arial" w:hAnsi="Arial"/>
                <w:sz w:val="15"/>
                <w:szCs w:val="15"/>
                <w:color w:val="auto"/>
              </w:rPr>
              <w:t>(1)</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68</w:t>
            </w:r>
          </w:p>
        </w:tc>
        <w:tc>
          <w:tcPr>
            <w:tcW w:w="11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97</w:t>
            </w:r>
          </w:p>
        </w:tc>
      </w:tr>
      <w:tr>
        <w:trPr>
          <w:trHeight w:val="203"/>
        </w:trPr>
        <w:tc>
          <w:tcPr>
            <w:tcW w:w="8620" w:type="dxa"/>
            <w:vAlign w:val="bottom"/>
            <w:gridSpan w:val="2"/>
          </w:tcPr>
          <w:p>
            <w:pPr>
              <w:spacing w:after="0" w:line="202" w:lineRule="exact"/>
              <w:rPr>
                <w:sz w:val="20"/>
                <w:szCs w:val="20"/>
                <w:color w:val="auto"/>
              </w:rPr>
            </w:pPr>
            <w:r>
              <w:rPr>
                <w:rFonts w:ascii="Arial" w:cs="Arial" w:eastAsia="Arial" w:hAnsi="Arial"/>
                <w:sz w:val="18"/>
                <w:szCs w:val="18"/>
                <w:color w:val="auto"/>
              </w:rPr>
              <w:t xml:space="preserve">Fleet restructuring expenses </w:t>
            </w:r>
            <w:r>
              <w:rPr>
                <w:rFonts w:ascii="Arial" w:cs="Arial" w:eastAsia="Arial" w:hAnsi="Arial"/>
                <w:sz w:val="15"/>
                <w:szCs w:val="15"/>
                <w:color w:val="auto"/>
              </w:rPr>
              <w:t>(2)</w:t>
            </w:r>
          </w:p>
        </w:tc>
        <w:tc>
          <w:tcPr>
            <w:tcW w:w="180" w:type="dxa"/>
            <w:vAlign w:val="bottom"/>
          </w:tcPr>
          <w:p>
            <w:pPr>
              <w:spacing w:after="0"/>
              <w:rPr>
                <w:sz w:val="17"/>
                <w:szCs w:val="17"/>
                <w:color w:val="auto"/>
              </w:rPr>
            </w:pPr>
          </w:p>
        </w:tc>
        <w:tc>
          <w:tcPr>
            <w:tcW w:w="7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48</w:t>
            </w: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15</w:t>
            </w:r>
          </w:p>
        </w:tc>
      </w:tr>
      <w:tr>
        <w:trPr>
          <w:trHeight w:val="203"/>
        </w:trPr>
        <w:tc>
          <w:tcPr>
            <w:tcW w:w="86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Mark-to-market adjustments for bankruptcy obligations and other</w:t>
            </w:r>
          </w:p>
        </w:tc>
        <w:tc>
          <w:tcPr>
            <w:tcW w:w="1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38</w:t>
            </w: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(56)</w:t>
            </w:r>
          </w:p>
        </w:tc>
      </w:tr>
      <w:tr>
        <w:trPr>
          <w:trHeight w:val="203"/>
        </w:trPr>
        <w:tc>
          <w:tcPr>
            <w:tcW w:w="8620" w:type="dxa"/>
            <w:vAlign w:val="bottom"/>
            <w:gridSpan w:val="2"/>
          </w:tcPr>
          <w:p>
            <w:pPr>
              <w:spacing w:after="0" w:line="202" w:lineRule="exact"/>
              <w:rPr>
                <w:sz w:val="20"/>
                <w:szCs w:val="20"/>
                <w:color w:val="auto"/>
              </w:rPr>
            </w:pPr>
            <w:r>
              <w:rPr>
                <w:rFonts w:ascii="Arial" w:cs="Arial" w:eastAsia="Arial" w:hAnsi="Arial"/>
                <w:sz w:val="18"/>
                <w:szCs w:val="18"/>
                <w:color w:val="auto"/>
              </w:rPr>
              <w:t xml:space="preserve">Labor contract expenses </w:t>
            </w:r>
            <w:r>
              <w:rPr>
                <w:rFonts w:ascii="Arial" w:cs="Arial" w:eastAsia="Arial" w:hAnsi="Arial"/>
                <w:sz w:val="15"/>
                <w:szCs w:val="15"/>
                <w:color w:val="auto"/>
              </w:rPr>
              <w:t>(3)</w:t>
            </w:r>
          </w:p>
        </w:tc>
        <w:tc>
          <w:tcPr>
            <w:tcW w:w="180" w:type="dxa"/>
            <w:vAlign w:val="bottom"/>
          </w:tcPr>
          <w:p>
            <w:pPr>
              <w:spacing w:after="0"/>
              <w:rPr>
                <w:sz w:val="17"/>
                <w:szCs w:val="17"/>
                <w:color w:val="auto"/>
              </w:rPr>
            </w:pPr>
          </w:p>
        </w:tc>
        <w:tc>
          <w:tcPr>
            <w:tcW w:w="7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45</w:t>
            </w: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r>
      <w:tr>
        <w:trPr>
          <w:trHeight w:val="203"/>
        </w:trPr>
        <w:tc>
          <w:tcPr>
            <w:tcW w:w="86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Other operating charges, net</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6</w:t>
            </w:r>
          </w:p>
        </w:tc>
      </w:tr>
      <w:tr>
        <w:trPr>
          <w:trHeight w:val="20"/>
        </w:trPr>
        <w:tc>
          <w:tcPr>
            <w:tcW w:w="8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8620" w:type="dxa"/>
            <w:vAlign w:val="bottom"/>
            <w:gridSpan w:val="2"/>
          </w:tcPr>
          <w:p>
            <w:pPr>
              <w:ind w:left="180"/>
              <w:spacing w:after="0"/>
              <w:rPr>
                <w:sz w:val="20"/>
                <w:szCs w:val="20"/>
                <w:color w:val="auto"/>
              </w:rPr>
            </w:pPr>
            <w:r>
              <w:rPr>
                <w:rFonts w:ascii="Arial" w:cs="Arial" w:eastAsia="Arial" w:hAnsi="Arial"/>
                <w:sz w:val="18"/>
                <w:szCs w:val="18"/>
                <w:color w:val="auto"/>
              </w:rPr>
              <w:t>Total mainline operating special items, net</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202</w:t>
            </w: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62</w:t>
            </w:r>
          </w:p>
        </w:tc>
      </w:tr>
      <w:tr>
        <w:trPr>
          <w:trHeight w:val="203"/>
        </w:trPr>
        <w:tc>
          <w:tcPr>
            <w:tcW w:w="86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 xml:space="preserve">Regional operating special items, net </w:t>
            </w:r>
            <w:r>
              <w:rPr>
                <w:rFonts w:ascii="Arial" w:cs="Arial" w:eastAsia="Arial" w:hAnsi="Arial"/>
                <w:sz w:val="15"/>
                <w:szCs w:val="15"/>
                <w:color w:val="auto"/>
              </w:rPr>
              <w:t>(4)</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w:t>
            </w:r>
          </w:p>
        </w:tc>
      </w:tr>
      <w:tr>
        <w:trPr>
          <w:trHeight w:val="20"/>
        </w:trPr>
        <w:tc>
          <w:tcPr>
            <w:tcW w:w="8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8620" w:type="dxa"/>
            <w:vAlign w:val="bottom"/>
            <w:gridSpan w:val="2"/>
          </w:tcPr>
          <w:p>
            <w:pPr>
              <w:ind w:left="180"/>
              <w:spacing w:after="0"/>
              <w:rPr>
                <w:sz w:val="20"/>
                <w:szCs w:val="20"/>
                <w:color w:val="auto"/>
              </w:rPr>
            </w:pPr>
            <w:r>
              <w:rPr>
                <w:rFonts w:ascii="Arial" w:cs="Arial" w:eastAsia="Arial" w:hAnsi="Arial"/>
                <w:sz w:val="18"/>
                <w:szCs w:val="18"/>
                <w:color w:val="auto"/>
              </w:rPr>
              <w:t>Total operating special items, net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203</w:t>
            </w:r>
          </w:p>
        </w:tc>
        <w:tc>
          <w:tcPr>
            <w:tcW w:w="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65</w:t>
            </w:r>
          </w:p>
        </w:tc>
      </w:tr>
      <w:tr>
        <w:trPr>
          <w:trHeight w:val="20"/>
        </w:trPr>
        <w:tc>
          <w:tcPr>
            <w:tcW w:w="8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82" w:lineRule="exact"/>
        <w:rPr>
          <w:sz w:val="20"/>
          <w:szCs w:val="20"/>
          <w:color w:val="auto"/>
        </w:rPr>
      </w:pPr>
    </w:p>
    <w:p>
      <w:pPr>
        <w:jc w:val="both"/>
        <w:ind w:left="460" w:hanging="452"/>
        <w:spacing w:after="0"/>
        <w:tabs>
          <w:tab w:leader="none" w:pos="460" w:val="left"/>
        </w:tabs>
        <w:numPr>
          <w:ilvl w:val="0"/>
          <w:numId w:val="21"/>
        </w:numPr>
        <w:rPr>
          <w:rFonts w:ascii="Arial" w:cs="Arial" w:eastAsia="Arial" w:hAnsi="Arial"/>
          <w:sz w:val="15"/>
          <w:szCs w:val="15"/>
          <w:color w:val="auto"/>
        </w:rPr>
      </w:pPr>
      <w:r>
        <w:rPr>
          <w:rFonts w:ascii="Arial" w:cs="Arial" w:eastAsia="Arial" w:hAnsi="Arial"/>
          <w:sz w:val="18"/>
          <w:szCs w:val="18"/>
          <w:color w:val="auto"/>
        </w:rPr>
        <w:t>Merger integration expenses included costs related to information technology, professional fees, re-branding of aircraft and airport facilities and training. Additionally, the 2016 period also included costs related to alignment of labor union contracts, re-branded uniforms, relocation and severance.</w:t>
      </w:r>
    </w:p>
    <w:p>
      <w:pPr>
        <w:spacing w:after="0" w:line="108" w:lineRule="exact"/>
        <w:rPr>
          <w:rFonts w:ascii="Arial" w:cs="Arial" w:eastAsia="Arial" w:hAnsi="Arial"/>
          <w:sz w:val="15"/>
          <w:szCs w:val="15"/>
          <w:color w:val="auto"/>
        </w:rPr>
      </w:pPr>
    </w:p>
    <w:p>
      <w:pPr>
        <w:ind w:left="460" w:hanging="452"/>
        <w:spacing w:after="0" w:line="246" w:lineRule="auto"/>
        <w:tabs>
          <w:tab w:leader="none" w:pos="460" w:val="left"/>
        </w:tabs>
        <w:numPr>
          <w:ilvl w:val="0"/>
          <w:numId w:val="21"/>
        </w:numPr>
        <w:rPr>
          <w:rFonts w:ascii="Arial" w:cs="Arial" w:eastAsia="Arial" w:hAnsi="Arial"/>
          <w:sz w:val="15"/>
          <w:szCs w:val="15"/>
          <w:color w:val="auto"/>
        </w:rPr>
      </w:pPr>
      <w:r>
        <w:rPr>
          <w:rFonts w:ascii="Arial" w:cs="Arial" w:eastAsia="Arial" w:hAnsi="Arial"/>
          <w:sz w:val="18"/>
          <w:szCs w:val="18"/>
          <w:color w:val="auto"/>
        </w:rPr>
        <w:t>Fleet restructuring expenses driven by the Merger principally included the acceleration of aircraft depreciation and impairments for aircraft grounded or expected to be grounded earlier than planned.</w:t>
      </w:r>
    </w:p>
    <w:p>
      <w:pPr>
        <w:spacing w:after="0" w:line="102" w:lineRule="exact"/>
        <w:rPr>
          <w:rFonts w:ascii="Arial" w:cs="Arial" w:eastAsia="Arial" w:hAnsi="Arial"/>
          <w:sz w:val="15"/>
          <w:szCs w:val="15"/>
          <w:color w:val="auto"/>
        </w:rPr>
      </w:pPr>
    </w:p>
    <w:p>
      <w:pPr>
        <w:ind w:left="460" w:hanging="452"/>
        <w:spacing w:after="0" w:line="246" w:lineRule="auto"/>
        <w:tabs>
          <w:tab w:leader="none" w:pos="460" w:val="left"/>
        </w:tabs>
        <w:numPr>
          <w:ilvl w:val="0"/>
          <w:numId w:val="21"/>
        </w:numPr>
        <w:rPr>
          <w:rFonts w:ascii="Arial" w:cs="Arial" w:eastAsia="Arial" w:hAnsi="Arial"/>
          <w:sz w:val="15"/>
          <w:szCs w:val="15"/>
          <w:color w:val="auto"/>
        </w:rPr>
      </w:pPr>
      <w:r>
        <w:rPr>
          <w:rFonts w:ascii="Arial" w:cs="Arial" w:eastAsia="Arial" w:hAnsi="Arial"/>
          <w:sz w:val="18"/>
          <w:szCs w:val="18"/>
          <w:color w:val="auto"/>
        </w:rPr>
        <w:t>Labor contract expenses primarily included one-time charges to adjust the vacation accruals for pilots and flight attendants as a result of the mid-contract pay rate adjustments effective in the second quarter of 2017.</w:t>
      </w:r>
    </w:p>
    <w:p>
      <w:pPr>
        <w:spacing w:after="0" w:line="102" w:lineRule="exact"/>
        <w:rPr>
          <w:rFonts w:ascii="Arial" w:cs="Arial" w:eastAsia="Arial" w:hAnsi="Arial"/>
          <w:sz w:val="15"/>
          <w:szCs w:val="15"/>
          <w:color w:val="auto"/>
        </w:rPr>
      </w:pPr>
    </w:p>
    <w:p>
      <w:pPr>
        <w:ind w:left="460" w:hanging="452"/>
        <w:spacing w:after="0"/>
        <w:tabs>
          <w:tab w:leader="none" w:pos="460" w:val="left"/>
        </w:tabs>
        <w:numPr>
          <w:ilvl w:val="0"/>
          <w:numId w:val="21"/>
        </w:numPr>
        <w:rPr>
          <w:rFonts w:ascii="Arial" w:cs="Arial" w:eastAsia="Arial" w:hAnsi="Arial"/>
          <w:sz w:val="15"/>
          <w:szCs w:val="15"/>
          <w:color w:val="auto"/>
        </w:rPr>
      </w:pPr>
      <w:r>
        <w:rPr>
          <w:rFonts w:ascii="Arial" w:cs="Arial" w:eastAsia="Arial" w:hAnsi="Arial"/>
          <w:sz w:val="18"/>
          <w:szCs w:val="18"/>
          <w:color w:val="auto"/>
        </w:rPr>
        <w:t>Regional operating special items, net principally related to Merger integration expenses.</w:t>
      </w:r>
    </w:p>
    <w:p>
      <w:pPr>
        <w:spacing w:after="0" w:line="302"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Regional Operating Expenses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Percent</w:t>
            </w:r>
          </w:p>
        </w:tc>
      </w:tr>
      <w:tr>
        <w:trPr>
          <w:trHeight w:val="175"/>
        </w:trPr>
        <w:tc>
          <w:tcPr>
            <w:tcW w:w="63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w w:val="99"/>
              </w:rPr>
              <w:t>June 30,</w:t>
            </w:r>
          </w:p>
        </w:tc>
        <w:tc>
          <w:tcPr>
            <w:tcW w:w="4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rPr>
              <w:t>Increase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Increase</w:t>
            </w:r>
          </w:p>
        </w:tc>
      </w:tr>
      <w:tr>
        <w:trPr>
          <w:trHeight w:val="156"/>
        </w:trPr>
        <w:tc>
          <w:tcPr>
            <w:tcW w:w="63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57"/>
              <w:spacing w:after="0" w:line="155" w:lineRule="exact"/>
              <w:rPr>
                <w:sz w:val="20"/>
                <w:szCs w:val="20"/>
                <w:color w:val="auto"/>
              </w:rPr>
            </w:pPr>
            <w:r>
              <w:rPr>
                <w:rFonts w:ascii="Arial" w:cs="Arial" w:eastAsia="Arial" w:hAnsi="Arial"/>
                <w:sz w:val="14"/>
                <w:szCs w:val="14"/>
                <w:b w:val="1"/>
                <w:bCs w:val="1"/>
                <w:color w:val="auto"/>
                <w:w w:val="96"/>
              </w:rPr>
              <w:t>2017</w:t>
            </w:r>
          </w:p>
        </w:tc>
        <w:tc>
          <w:tcPr>
            <w:tcW w:w="6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34"/>
              <w:spacing w:after="0" w:line="155"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gridSpan w:val="4"/>
          </w:tcPr>
          <w:p>
            <w:pPr>
              <w:jc w:val="center"/>
              <w:ind w:right="100"/>
              <w:spacing w:after="0" w:line="155" w:lineRule="exact"/>
              <w:rPr>
                <w:sz w:val="20"/>
                <w:szCs w:val="20"/>
                <w:color w:val="auto"/>
              </w:rPr>
            </w:pPr>
            <w:r>
              <w:rPr>
                <w:rFonts w:ascii="Arial" w:cs="Arial" w:eastAsia="Arial" w:hAnsi="Arial"/>
                <w:sz w:val="14"/>
                <w:szCs w:val="14"/>
                <w:b w:val="1"/>
                <w:bCs w:val="1"/>
                <w:color w:val="auto"/>
              </w:rPr>
              <w:t>(Decrease)</w:t>
            </w:r>
          </w:p>
        </w:tc>
        <w:tc>
          <w:tcPr>
            <w:tcW w:w="102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(Decrease)</w:t>
            </w:r>
          </w:p>
        </w:tc>
      </w:tr>
      <w:tr>
        <w:trPr>
          <w:trHeight w:val="156"/>
        </w:trPr>
        <w:tc>
          <w:tcPr>
            <w:tcW w:w="6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320" w:type="dxa"/>
            <w:vAlign w:val="bottom"/>
            <w:gridSpan w:val="8"/>
          </w:tcPr>
          <w:p>
            <w:pPr>
              <w:ind w:left="420"/>
              <w:spacing w:after="0" w:line="155" w:lineRule="exact"/>
              <w:rPr>
                <w:sz w:val="20"/>
                <w:szCs w:val="20"/>
                <w:color w:val="auto"/>
              </w:rPr>
            </w:pPr>
            <w:r>
              <w:rPr>
                <w:rFonts w:ascii="Arial" w:cs="Arial" w:eastAsia="Arial" w:hAnsi="Arial"/>
                <w:sz w:val="14"/>
                <w:szCs w:val="14"/>
                <w:b w:val="1"/>
                <w:bCs w:val="1"/>
                <w:color w:val="auto"/>
              </w:rPr>
              <w:t>(In millions, except percentage changes)</w:t>
            </w:r>
          </w:p>
        </w:tc>
        <w:tc>
          <w:tcPr>
            <w:tcW w:w="1020" w:type="dxa"/>
            <w:vAlign w:val="bottom"/>
          </w:tcPr>
          <w:p>
            <w:pPr>
              <w:spacing w:after="0"/>
              <w:rPr>
                <w:sz w:val="13"/>
                <w:szCs w:val="13"/>
                <w:color w:val="auto"/>
              </w:rPr>
            </w:pPr>
          </w:p>
        </w:tc>
      </w:tr>
      <w:tr>
        <w:trPr>
          <w:trHeight w:val="203"/>
        </w:trPr>
        <w:tc>
          <w:tcPr>
            <w:tcW w:w="6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Aircraft fuel and related taxes</w:t>
            </w:r>
          </w:p>
        </w:tc>
        <w:tc>
          <w:tcPr>
            <w:tcW w:w="2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329</w:t>
            </w:r>
          </w:p>
        </w:tc>
        <w:tc>
          <w:tcPr>
            <w:tcW w:w="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279</w:t>
            </w: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780"/>
              <w:spacing w:after="0" w:line="202" w:lineRule="exact"/>
              <w:rPr>
                <w:sz w:val="20"/>
                <w:szCs w:val="20"/>
                <w:color w:val="auto"/>
              </w:rPr>
            </w:pPr>
            <w:r>
              <w:rPr>
                <w:rFonts w:ascii="Arial" w:cs="Arial" w:eastAsia="Arial" w:hAnsi="Arial"/>
                <w:sz w:val="18"/>
                <w:szCs w:val="18"/>
                <w:color w:val="auto"/>
              </w:rPr>
              <w:t>50</w:t>
            </w:r>
          </w:p>
        </w:tc>
        <w:tc>
          <w:tcPr>
            <w:tcW w:w="1020" w:type="dxa"/>
            <w:vAlign w:val="bottom"/>
            <w:shd w:val="clear" w:color="auto" w:fill="CCEEFF"/>
          </w:tcPr>
          <w:p>
            <w:pPr>
              <w:jc w:val="right"/>
              <w:ind w:right="279"/>
              <w:spacing w:after="0" w:line="202" w:lineRule="exact"/>
              <w:rPr>
                <w:sz w:val="20"/>
                <w:szCs w:val="20"/>
                <w:color w:val="auto"/>
              </w:rPr>
            </w:pPr>
            <w:r>
              <w:rPr>
                <w:rFonts w:ascii="Arial" w:cs="Arial" w:eastAsia="Arial" w:hAnsi="Arial"/>
                <w:sz w:val="18"/>
                <w:szCs w:val="18"/>
                <w:color w:val="auto"/>
              </w:rPr>
              <w:t>18.0</w:t>
            </w:r>
          </w:p>
        </w:tc>
      </w:tr>
      <w:tr>
        <w:trPr>
          <w:trHeight w:val="210"/>
        </w:trPr>
        <w:tc>
          <w:tcPr>
            <w:tcW w:w="636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7"/>
              </w:rPr>
              <w:t>1,300</w:t>
            </w:r>
          </w:p>
        </w:tc>
        <w:tc>
          <w:tcPr>
            <w:tcW w:w="6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7"/>
              </w:rPr>
              <w:t>1,231</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69</w:t>
            </w:r>
          </w:p>
        </w:tc>
        <w:tc>
          <w:tcPr>
            <w:tcW w:w="780" w:type="dxa"/>
            <w:vAlign w:val="bottom"/>
          </w:tcPr>
          <w:p>
            <w:pPr>
              <w:spacing w:after="0"/>
              <w:rPr>
                <w:sz w:val="18"/>
                <w:szCs w:val="18"/>
                <w:color w:val="auto"/>
              </w:rPr>
            </w:pPr>
          </w:p>
        </w:tc>
        <w:tc>
          <w:tcPr>
            <w:tcW w:w="1020" w:type="dxa"/>
            <w:vAlign w:val="bottom"/>
          </w:tcPr>
          <w:p>
            <w:pPr>
              <w:jc w:val="right"/>
              <w:ind w:right="279"/>
              <w:spacing w:after="0" w:line="202" w:lineRule="exact"/>
              <w:rPr>
                <w:sz w:val="20"/>
                <w:szCs w:val="20"/>
                <w:color w:val="auto"/>
              </w:rPr>
            </w:pPr>
            <w:r>
              <w:rPr>
                <w:rFonts w:ascii="Arial" w:cs="Arial" w:eastAsia="Arial" w:hAnsi="Arial"/>
                <w:sz w:val="18"/>
                <w:szCs w:val="18"/>
                <w:color w:val="auto"/>
              </w:rPr>
              <w:t>5.6</w:t>
            </w:r>
          </w:p>
        </w:tc>
      </w:tr>
      <w:tr>
        <w:trPr>
          <w:trHeight w:val="203"/>
        </w:trPr>
        <w:tc>
          <w:tcPr>
            <w:tcW w:w="63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Total regional operating expenses</w:t>
            </w:r>
          </w:p>
        </w:tc>
        <w:tc>
          <w:tcPr>
            <w:tcW w:w="2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u w:val="single" w:color="auto"/>
                <w:color w:val="auto"/>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1,629</w:t>
            </w:r>
          </w:p>
        </w:tc>
        <w:tc>
          <w:tcPr>
            <w:tcW w:w="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6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w w:val="97"/>
              </w:rPr>
              <w:t>1,510</w:t>
            </w: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119</w:t>
            </w:r>
          </w:p>
        </w:tc>
        <w:tc>
          <w:tcPr>
            <w:tcW w:w="7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279"/>
              <w:spacing w:after="0" w:line="202" w:lineRule="exact"/>
              <w:rPr>
                <w:sz w:val="20"/>
                <w:szCs w:val="20"/>
                <w:color w:val="auto"/>
              </w:rPr>
            </w:pPr>
            <w:r>
              <w:rPr>
                <w:rFonts w:ascii="Arial" w:cs="Arial" w:eastAsia="Arial" w:hAnsi="Arial"/>
                <w:sz w:val="18"/>
                <w:szCs w:val="18"/>
                <w:color w:val="auto"/>
              </w:rPr>
              <w:t>7.9</w:t>
            </w:r>
          </w:p>
        </w:tc>
      </w:tr>
      <w:tr>
        <w:trPr>
          <w:trHeight w:val="20"/>
        </w:trPr>
        <w:tc>
          <w:tcPr>
            <w:tcW w:w="6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228"/>
        <w:spacing w:after="0" w:line="238" w:lineRule="auto"/>
        <w:rPr>
          <w:sz w:val="20"/>
          <w:szCs w:val="20"/>
          <w:color w:val="auto"/>
        </w:rPr>
      </w:pPr>
      <w:r>
        <w:rPr>
          <w:rFonts w:ascii="Arial" w:cs="Arial" w:eastAsia="Arial" w:hAnsi="Arial"/>
          <w:sz w:val="18"/>
          <w:szCs w:val="18"/>
          <w:color w:val="auto"/>
        </w:rPr>
        <w:t>Regional operating expenses increased $ 119 million, or 7.9%, in the second quarter of 2017 from the 2016 period. The period-over-period increase was primarily due to a $ 50 million, or 18.0%, increase in fuel costs and a $69 million, or 5.6%, increase in other regional operating expenses. The average price per gallon of fuel increased 15.9% to $1.69 in the second quarter of 2017 from $1.46 in the 2016 period, on a 1.8% increase in consumption. The increase in other regional operating expenses was primarily driven by increased capacity. See Note 8 to American’s Condensed Consolidated Financial Statements in Part I, Item 1B for further information on regional expenses.</w:t>
      </w:r>
    </w:p>
    <w:p>
      <w:pPr>
        <w:spacing w:after="0" w:line="293"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Nonoperating Results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Percent</w:t>
            </w:r>
          </w:p>
        </w:tc>
      </w:tr>
      <w:tr>
        <w:trPr>
          <w:trHeight w:val="175"/>
        </w:trPr>
        <w:tc>
          <w:tcPr>
            <w:tcW w:w="68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Increase</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Increase</w:t>
            </w:r>
          </w:p>
        </w:tc>
      </w:tr>
      <w:tr>
        <w:trPr>
          <w:trHeight w:val="156"/>
        </w:trPr>
        <w:tc>
          <w:tcPr>
            <w:tcW w:w="68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38"/>
              <w:spacing w:after="0" w:line="155" w:lineRule="exact"/>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14"/>
              <w:spacing w:after="0" w:line="155" w:lineRule="exact"/>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3"/>
          </w:tcPr>
          <w:p>
            <w:pPr>
              <w:spacing w:after="0" w:line="155" w:lineRule="exact"/>
              <w:rPr>
                <w:sz w:val="20"/>
                <w:szCs w:val="20"/>
                <w:color w:val="auto"/>
              </w:rPr>
            </w:pPr>
            <w:r>
              <w:rPr>
                <w:rFonts w:ascii="Arial" w:cs="Arial" w:eastAsia="Arial" w:hAnsi="Arial"/>
                <w:sz w:val="14"/>
                <w:szCs w:val="14"/>
                <w:b w:val="1"/>
                <w:bCs w:val="1"/>
                <w:color w:val="auto"/>
              </w:rPr>
              <w:t>(Decrease)</w:t>
            </w:r>
          </w:p>
        </w:tc>
        <w:tc>
          <w:tcPr>
            <w:tcW w:w="124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(Decrease)</w:t>
            </w:r>
          </w:p>
        </w:tc>
      </w:tr>
      <w:tr>
        <w:trPr>
          <w:trHeight w:val="156"/>
        </w:trPr>
        <w:tc>
          <w:tcPr>
            <w:tcW w:w="6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800" w:type="dxa"/>
            <w:vAlign w:val="bottom"/>
            <w:gridSpan w:val="9"/>
          </w:tcPr>
          <w:p>
            <w:pPr>
              <w:jc w:val="right"/>
              <w:ind w:right="818"/>
              <w:spacing w:after="0" w:line="155" w:lineRule="exact"/>
              <w:rPr>
                <w:sz w:val="20"/>
                <w:szCs w:val="20"/>
                <w:color w:val="auto"/>
              </w:rPr>
            </w:pPr>
            <w:r>
              <w:rPr>
                <w:rFonts w:ascii="Arial" w:cs="Arial" w:eastAsia="Arial" w:hAnsi="Arial"/>
                <w:sz w:val="14"/>
                <w:szCs w:val="14"/>
                <w:b w:val="1"/>
                <w:bCs w:val="1"/>
                <w:color w:val="auto"/>
              </w:rPr>
              <w:t>(In millions, except percentage changes)</w:t>
            </w:r>
          </w:p>
        </w:tc>
      </w:tr>
      <w:tr>
        <w:trPr>
          <w:trHeight w:val="203"/>
        </w:trPr>
        <w:tc>
          <w:tcPr>
            <w:tcW w:w="68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Interest income</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w:t>
            </w:r>
          </w:p>
        </w:tc>
        <w:tc>
          <w:tcPr>
            <w:tcW w:w="5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25</w:t>
            </w:r>
          </w:p>
        </w:tc>
        <w:tc>
          <w:tcPr>
            <w:tcW w:w="60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28</w:t>
            </w:r>
          </w:p>
        </w:tc>
        <w:tc>
          <w:tcPr>
            <w:tcW w:w="1240" w:type="dxa"/>
            <w:vAlign w:val="bottom"/>
            <w:shd w:val="clear" w:color="auto" w:fill="CCEEFF"/>
          </w:tcPr>
          <w:p>
            <w:pPr>
              <w:jc w:val="right"/>
              <w:ind w:right="278"/>
              <w:spacing w:after="0" w:line="202" w:lineRule="exact"/>
              <w:rPr>
                <w:sz w:val="20"/>
                <w:szCs w:val="20"/>
                <w:color w:val="auto"/>
              </w:rPr>
            </w:pPr>
            <w:r>
              <w:rPr>
                <w:rFonts w:ascii="Arial" w:cs="Arial" w:eastAsia="Arial" w:hAnsi="Arial"/>
                <w:sz w:val="18"/>
                <w:szCs w:val="18"/>
                <w:color w:val="auto"/>
              </w:rPr>
              <w:t>nm</w:t>
            </w:r>
          </w:p>
        </w:tc>
      </w:tr>
      <w:tr>
        <w:trPr>
          <w:trHeight w:val="203"/>
        </w:trPr>
        <w:tc>
          <w:tcPr>
            <w:tcW w:w="6880" w:type="dxa"/>
            <w:vAlign w:val="bottom"/>
            <w:gridSpan w:val="2"/>
          </w:tcPr>
          <w:p>
            <w:pPr>
              <w:spacing w:after="0" w:line="202" w:lineRule="exact"/>
              <w:rPr>
                <w:sz w:val="20"/>
                <w:szCs w:val="20"/>
                <w:color w:val="auto"/>
              </w:rPr>
            </w:pPr>
            <w:r>
              <w:rPr>
                <w:rFonts w:ascii="Arial" w:cs="Arial" w:eastAsia="Arial" w:hAnsi="Arial"/>
                <w:sz w:val="18"/>
                <w:szCs w:val="18"/>
                <w:color w:val="auto"/>
              </w:rPr>
              <w:t>Interest expense, net</w:t>
            </w:r>
          </w:p>
        </w:tc>
        <w:tc>
          <w:tcPr>
            <w:tcW w:w="16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(246)</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(228)</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(18)</w:t>
            </w:r>
          </w:p>
        </w:tc>
        <w:tc>
          <w:tcPr>
            <w:tcW w:w="1240" w:type="dxa"/>
            <w:vAlign w:val="bottom"/>
          </w:tcPr>
          <w:p>
            <w:pPr>
              <w:jc w:val="right"/>
              <w:ind w:right="278"/>
              <w:spacing w:after="0" w:line="202" w:lineRule="exact"/>
              <w:rPr>
                <w:sz w:val="20"/>
                <w:szCs w:val="20"/>
                <w:color w:val="auto"/>
              </w:rPr>
            </w:pPr>
            <w:r>
              <w:rPr>
                <w:rFonts w:ascii="Arial" w:cs="Arial" w:eastAsia="Arial" w:hAnsi="Arial"/>
                <w:sz w:val="18"/>
                <w:szCs w:val="18"/>
                <w:color w:val="auto"/>
              </w:rPr>
              <w:t>8.4</w:t>
            </w:r>
          </w:p>
        </w:tc>
      </w:tr>
      <w:tr>
        <w:trPr>
          <w:trHeight w:val="203"/>
        </w:trPr>
        <w:tc>
          <w:tcPr>
            <w:tcW w:w="68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Other, net</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w:t>
            </w: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(26)</w:t>
            </w: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21</w:t>
            </w:r>
          </w:p>
        </w:tc>
        <w:tc>
          <w:tcPr>
            <w:tcW w:w="1240" w:type="dxa"/>
            <w:vAlign w:val="bottom"/>
            <w:shd w:val="clear" w:color="auto" w:fill="CCEEFF"/>
          </w:tcPr>
          <w:p>
            <w:pPr>
              <w:jc w:val="right"/>
              <w:ind w:right="218"/>
              <w:spacing w:after="0" w:line="202" w:lineRule="exact"/>
              <w:rPr>
                <w:sz w:val="20"/>
                <w:szCs w:val="20"/>
                <w:color w:val="auto"/>
              </w:rPr>
            </w:pPr>
            <w:r>
              <w:rPr>
                <w:rFonts w:ascii="Arial" w:cs="Arial" w:eastAsia="Arial" w:hAnsi="Arial"/>
                <w:sz w:val="18"/>
                <w:szCs w:val="18"/>
                <w:color w:val="auto"/>
              </w:rPr>
              <w:t>(82.7)</w:t>
            </w:r>
          </w:p>
        </w:tc>
      </w:tr>
      <w:tr>
        <w:trPr>
          <w:trHeight w:val="20"/>
        </w:trPr>
        <w:tc>
          <w:tcPr>
            <w:tcW w:w="6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10"/>
        </w:trPr>
        <w:tc>
          <w:tcPr>
            <w:tcW w:w="6880" w:type="dxa"/>
            <w:vAlign w:val="bottom"/>
            <w:gridSpan w:val="2"/>
          </w:tcPr>
          <w:p>
            <w:pPr>
              <w:ind w:left="180"/>
              <w:spacing w:after="0"/>
              <w:rPr>
                <w:sz w:val="20"/>
                <w:szCs w:val="20"/>
                <w:color w:val="auto"/>
              </w:rPr>
            </w:pPr>
            <w:r>
              <w:rPr>
                <w:rFonts w:ascii="Arial" w:cs="Arial" w:eastAsia="Arial" w:hAnsi="Arial"/>
                <w:sz w:val="18"/>
                <w:szCs w:val="18"/>
                <w:color w:val="auto"/>
              </w:rPr>
              <w:t>Total nonoperating expense, net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(198)</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(229)</w:t>
            </w:r>
          </w:p>
        </w:tc>
        <w:tc>
          <w:tcPr>
            <w:tcW w:w="6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31</w:t>
            </w:r>
          </w:p>
        </w:tc>
        <w:tc>
          <w:tcPr>
            <w:tcW w:w="1240" w:type="dxa"/>
            <w:vAlign w:val="bottom"/>
          </w:tcPr>
          <w:p>
            <w:pPr>
              <w:jc w:val="right"/>
              <w:ind w:right="218"/>
              <w:spacing w:after="0"/>
              <w:rPr>
                <w:sz w:val="20"/>
                <w:szCs w:val="20"/>
                <w:color w:val="auto"/>
              </w:rPr>
            </w:pPr>
            <w:r>
              <w:rPr>
                <w:rFonts w:ascii="Arial" w:cs="Arial" w:eastAsia="Arial" w:hAnsi="Arial"/>
                <w:sz w:val="18"/>
                <w:szCs w:val="18"/>
                <w:color w:val="auto"/>
              </w:rPr>
              <w:t>(13.4)</w:t>
            </w:r>
          </w:p>
        </w:tc>
      </w:tr>
      <w:tr>
        <w:trPr>
          <w:trHeight w:val="20"/>
        </w:trPr>
        <w:tc>
          <w:tcPr>
            <w:tcW w:w="6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228"/>
        <w:spacing w:after="0"/>
        <w:rPr>
          <w:sz w:val="20"/>
          <w:szCs w:val="20"/>
          <w:color w:val="auto"/>
        </w:rPr>
      </w:pPr>
      <w:r>
        <w:rPr>
          <w:rFonts w:ascii="Arial" w:cs="Arial" w:eastAsia="Arial" w:hAnsi="Arial"/>
          <w:sz w:val="18"/>
          <w:szCs w:val="18"/>
          <w:color w:val="auto"/>
        </w:rPr>
        <w:t>American’s short-term investments in each period consisted of highly liquid investments that provided relatively nominal returns. Interest income increased $28 million principally due to an increase in interest rates, which drove more than a 50 basis point increase in average yields in the second quarter of 2017 as compared to the 2016 period.</w:t>
      </w:r>
    </w:p>
    <w:p>
      <w:pPr>
        <w:spacing w:after="0" w:line="203" w:lineRule="exact"/>
        <w:rPr>
          <w:sz w:val="20"/>
          <w:szCs w:val="20"/>
          <w:color w:val="auto"/>
        </w:rPr>
      </w:pPr>
    </w:p>
    <w:p>
      <w:pPr>
        <w:jc w:val="both"/>
        <w:ind w:firstLine="228"/>
        <w:spacing w:after="0" w:line="246" w:lineRule="auto"/>
        <w:rPr>
          <w:sz w:val="20"/>
          <w:szCs w:val="20"/>
          <w:color w:val="auto"/>
        </w:rPr>
      </w:pPr>
      <w:r>
        <w:rPr>
          <w:rFonts w:ascii="Arial" w:cs="Arial" w:eastAsia="Arial" w:hAnsi="Arial"/>
          <w:sz w:val="18"/>
          <w:szCs w:val="18"/>
          <w:color w:val="auto"/>
        </w:rPr>
        <w:t>Interest expense, net increased $18 million in the second quarter of 2017 as compared to the 2016 period primarily due to higher outstanding debt as a result of aircraft financings associated with American’s fleet renewal program.</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269" w:right="239" w:bottom="1440" w:gutter="0" w:footer="0" w:header="0"/>
        </w:sectPr>
      </w:pPr>
    </w:p>
    <w:bookmarkStart w:id="44" w:name="page45"/>
    <w:bookmarkEnd w:id="44"/>
    <w:p>
      <w:pPr>
        <w:jc w:val="both"/>
        <w:ind w:right="20" w:firstLine="228"/>
        <w:spacing w:after="0" w:line="24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 nonoperating expense, net in the 2016 period primarily included $36 million of net special charges consisting of debt issuance and extinguishment costs associated with a bond refinancing, offset in part by $17 million of foreign currency gains.</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122" w:lineRule="exact"/>
        <w:rPr>
          <w:sz w:val="20"/>
          <w:szCs w:val="20"/>
          <w:color w:val="auto"/>
        </w:rPr>
      </w:pPr>
    </w:p>
    <w:p>
      <w:pPr>
        <w:jc w:val="both"/>
        <w:ind w:firstLine="228"/>
        <w:spacing w:after="0" w:line="239" w:lineRule="auto"/>
        <w:rPr>
          <w:sz w:val="20"/>
          <w:szCs w:val="20"/>
          <w:color w:val="auto"/>
        </w:rPr>
      </w:pPr>
      <w:r>
        <w:rPr>
          <w:rFonts w:ascii="Arial" w:cs="Arial" w:eastAsia="Arial" w:hAnsi="Arial"/>
          <w:sz w:val="18"/>
          <w:szCs w:val="18"/>
          <w:color w:val="auto"/>
        </w:rPr>
        <w:t>In the second quarter 2017, American recorded an income tax provision of $502 million, which was substantially non-cash due to utilization of its NOLs. Substantially all of American’s income before income taxes is attributable to the United States. At December 31, 2016, American had approximately $11.3 billion of gross NOLs to reduce future federal taxable income, substantially all of which are expected to be available for use in 2017.</w:t>
      </w:r>
    </w:p>
    <w:p>
      <w:pPr>
        <w:spacing w:after="0" w:line="20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See Note 4 to American’s Condensed Consolidated Financial Statements in Part I, Item 1B for additional information on income taxes.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2017 Compared to Six Months Ended June 30, 2016</w:t>
      </w:r>
    </w:p>
    <w:p>
      <w:pPr>
        <w:spacing w:after="0" w:line="126" w:lineRule="exact"/>
        <w:rPr>
          <w:sz w:val="20"/>
          <w:szCs w:val="20"/>
          <w:color w:val="auto"/>
        </w:rPr>
      </w:pPr>
    </w:p>
    <w:p>
      <w:pPr>
        <w:jc w:val="both"/>
        <w:ind w:firstLine="228"/>
        <w:spacing w:after="0" w:line="246" w:lineRule="auto"/>
        <w:rPr>
          <w:sz w:val="20"/>
          <w:szCs w:val="20"/>
          <w:color w:val="auto"/>
        </w:rPr>
      </w:pPr>
      <w:r>
        <w:rPr>
          <w:rFonts w:ascii="Arial" w:cs="Arial" w:eastAsia="Arial" w:hAnsi="Arial"/>
          <w:sz w:val="18"/>
          <w:szCs w:val="18"/>
          <w:color w:val="auto"/>
        </w:rPr>
        <w:t>American realized pre-tax income of $1.7 billion and $2.7 billion in the first six months of 2017 and 2016, respectively. Excluding the effects of pre-tax net special items, pre-tax income was $2.1 billion and $2.9 billion in the first six months of 2017 and 2016, respectively.</w:t>
      </w:r>
    </w:p>
    <w:p>
      <w:pPr>
        <w:spacing w:after="0" w:line="197" w:lineRule="exact"/>
        <w:rPr>
          <w:sz w:val="20"/>
          <w:szCs w:val="20"/>
          <w:color w:val="auto"/>
        </w:rPr>
      </w:pPr>
    </w:p>
    <w:p>
      <w:pPr>
        <w:jc w:val="both"/>
        <w:ind w:firstLine="228"/>
        <w:spacing w:after="0" w:line="246" w:lineRule="auto"/>
        <w:rPr>
          <w:sz w:val="20"/>
          <w:szCs w:val="20"/>
          <w:color w:val="auto"/>
        </w:rPr>
      </w:pPr>
      <w:r>
        <w:rPr>
          <w:rFonts w:ascii="Arial" w:cs="Arial" w:eastAsia="Arial" w:hAnsi="Arial"/>
          <w:sz w:val="18"/>
          <w:szCs w:val="18"/>
          <w:color w:val="auto"/>
        </w:rPr>
        <w:t>American’s pre-tax results on both a GAAP basis and excluding pre-tax net special items for the first six months of 2017 were principally driven by higher fuel costs as well as higher salaries, wages and benefits, which were offset in part by higher revenues.</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Operating Revenues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8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rPr>
              <w:t>Six Months Ended</w:t>
            </w: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60" w:type="dxa"/>
            <w:vAlign w:val="bottom"/>
          </w:tcPr>
          <w:p>
            <w:pPr>
              <w:jc w:val="center"/>
              <w:ind w:right="57"/>
              <w:spacing w:after="0"/>
              <w:rPr>
                <w:sz w:val="20"/>
                <w:szCs w:val="20"/>
                <w:color w:val="auto"/>
              </w:rPr>
            </w:pPr>
            <w:r>
              <w:rPr>
                <w:rFonts w:ascii="Arial" w:cs="Arial" w:eastAsia="Arial" w:hAnsi="Arial"/>
                <w:sz w:val="14"/>
                <w:szCs w:val="14"/>
                <w:b w:val="1"/>
                <w:bCs w:val="1"/>
                <w:color w:val="auto"/>
              </w:rPr>
              <w:t>Percent</w:t>
            </w:r>
          </w:p>
        </w:tc>
      </w:tr>
      <w:tr>
        <w:trPr>
          <w:trHeight w:val="175"/>
        </w:trPr>
        <w:tc>
          <w:tcPr>
            <w:tcW w:w="664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5"/>
          </w:tcPr>
          <w:p>
            <w:pPr>
              <w:jc w:val="right"/>
              <w:ind w:right="580"/>
              <w:spacing w:after="0"/>
              <w:rPr>
                <w:sz w:val="20"/>
                <w:szCs w:val="20"/>
                <w:color w:val="auto"/>
              </w:rPr>
            </w:pPr>
            <w:r>
              <w:rPr>
                <w:rFonts w:ascii="Arial" w:cs="Arial" w:eastAsia="Arial" w:hAnsi="Arial"/>
                <w:sz w:val="14"/>
                <w:szCs w:val="14"/>
                <w:b w:val="1"/>
                <w:bCs w:val="1"/>
                <w:color w:val="auto"/>
              </w:rPr>
              <w:t>June 30,</w:t>
            </w:r>
          </w:p>
        </w:tc>
        <w:tc>
          <w:tcPr>
            <w:tcW w:w="640" w:type="dxa"/>
            <w:vAlign w:val="bottom"/>
          </w:tcPr>
          <w:p>
            <w:pPr>
              <w:spacing w:after="0"/>
              <w:rPr>
                <w:sz w:val="15"/>
                <w:szCs w:val="15"/>
                <w:color w:val="auto"/>
              </w:rPr>
            </w:pPr>
          </w:p>
        </w:tc>
        <w:tc>
          <w:tcPr>
            <w:tcW w:w="1440" w:type="dxa"/>
            <w:vAlign w:val="bottom"/>
            <w:gridSpan w:val="3"/>
          </w:tcPr>
          <w:p>
            <w:pPr>
              <w:jc w:val="center"/>
              <w:ind w:right="780"/>
              <w:spacing w:after="0"/>
              <w:rPr>
                <w:sz w:val="20"/>
                <w:szCs w:val="20"/>
                <w:color w:val="auto"/>
              </w:rPr>
            </w:pPr>
            <w:r>
              <w:rPr>
                <w:rFonts w:ascii="Arial" w:cs="Arial" w:eastAsia="Arial" w:hAnsi="Arial"/>
                <w:sz w:val="14"/>
                <w:szCs w:val="14"/>
                <w:b w:val="1"/>
                <w:bCs w:val="1"/>
                <w:color w:val="auto"/>
              </w:rPr>
              <w:t>Increase</w:t>
            </w:r>
          </w:p>
        </w:tc>
        <w:tc>
          <w:tcPr>
            <w:tcW w:w="960" w:type="dxa"/>
            <w:vAlign w:val="bottom"/>
          </w:tcPr>
          <w:p>
            <w:pPr>
              <w:jc w:val="center"/>
              <w:ind w:right="57"/>
              <w:spacing w:after="0"/>
              <w:rPr>
                <w:sz w:val="20"/>
                <w:szCs w:val="20"/>
                <w:color w:val="auto"/>
              </w:rPr>
            </w:pPr>
            <w:r>
              <w:rPr>
                <w:rFonts w:ascii="Arial" w:cs="Arial" w:eastAsia="Arial" w:hAnsi="Arial"/>
                <w:sz w:val="14"/>
                <w:szCs w:val="14"/>
                <w:b w:val="1"/>
                <w:bCs w:val="1"/>
                <w:color w:val="auto"/>
              </w:rPr>
              <w:t>Increase</w:t>
            </w:r>
          </w:p>
        </w:tc>
      </w:tr>
      <w:tr>
        <w:trPr>
          <w:trHeight w:val="156"/>
        </w:trPr>
        <w:tc>
          <w:tcPr>
            <w:tcW w:w="66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17"/>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2"/>
          </w:tcPr>
          <w:p>
            <w:pPr>
              <w:jc w:val="right"/>
              <w:ind w:right="90"/>
              <w:spacing w:after="0" w:line="155" w:lineRule="exact"/>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auto"/>
            </w:tcBorders>
          </w:tcPr>
          <w:p>
            <w:pPr>
              <w:spacing w:after="0"/>
              <w:rPr>
                <w:sz w:val="13"/>
                <w:szCs w:val="13"/>
                <w:color w:val="auto"/>
              </w:rPr>
            </w:pPr>
          </w:p>
        </w:tc>
        <w:tc>
          <w:tcPr>
            <w:tcW w:w="2080" w:type="dxa"/>
            <w:vAlign w:val="bottom"/>
            <w:tcBorders>
              <w:bottom w:val="single" w:sz="8" w:color="auto"/>
            </w:tcBorders>
            <w:gridSpan w:val="4"/>
          </w:tcPr>
          <w:p>
            <w:pPr>
              <w:jc w:val="center"/>
              <w:ind w:right="140"/>
              <w:spacing w:after="0" w:line="155" w:lineRule="exact"/>
              <w:rPr>
                <w:sz w:val="20"/>
                <w:szCs w:val="20"/>
                <w:color w:val="auto"/>
              </w:rPr>
            </w:pPr>
            <w:r>
              <w:rPr>
                <w:rFonts w:ascii="Arial" w:cs="Arial" w:eastAsia="Arial" w:hAnsi="Arial"/>
                <w:sz w:val="14"/>
                <w:szCs w:val="14"/>
                <w:b w:val="1"/>
                <w:bCs w:val="1"/>
                <w:color w:val="auto"/>
              </w:rPr>
              <w:t>(Decrease)</w:t>
            </w:r>
          </w:p>
        </w:tc>
        <w:tc>
          <w:tcPr>
            <w:tcW w:w="960" w:type="dxa"/>
            <w:vAlign w:val="bottom"/>
            <w:tcBorders>
              <w:bottom w:val="single" w:sz="8" w:color="auto"/>
            </w:tcBorders>
          </w:tcPr>
          <w:p>
            <w:pPr>
              <w:jc w:val="center"/>
              <w:ind w:right="57"/>
              <w:spacing w:after="0" w:line="155" w:lineRule="exact"/>
              <w:rPr>
                <w:sz w:val="20"/>
                <w:szCs w:val="20"/>
                <w:color w:val="auto"/>
              </w:rPr>
            </w:pPr>
            <w:r>
              <w:rPr>
                <w:rFonts w:ascii="Arial" w:cs="Arial" w:eastAsia="Arial" w:hAnsi="Arial"/>
                <w:sz w:val="14"/>
                <w:szCs w:val="14"/>
                <w:b w:val="1"/>
                <w:bCs w:val="1"/>
                <w:color w:val="auto"/>
              </w:rPr>
              <w:t>(Decrease)</w:t>
            </w:r>
          </w:p>
        </w:tc>
      </w:tr>
      <w:tr>
        <w:trPr>
          <w:trHeight w:val="156"/>
        </w:trPr>
        <w:tc>
          <w:tcPr>
            <w:tcW w:w="6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960" w:type="dxa"/>
            <w:vAlign w:val="bottom"/>
            <w:gridSpan w:val="7"/>
          </w:tcPr>
          <w:p>
            <w:pPr>
              <w:ind w:left="140"/>
              <w:spacing w:after="0" w:line="155" w:lineRule="exact"/>
              <w:rPr>
                <w:sz w:val="20"/>
                <w:szCs w:val="20"/>
                <w:color w:val="auto"/>
              </w:rPr>
            </w:pPr>
            <w:r>
              <w:rPr>
                <w:rFonts w:ascii="Arial" w:cs="Arial" w:eastAsia="Arial" w:hAnsi="Arial"/>
                <w:sz w:val="14"/>
                <w:szCs w:val="14"/>
                <w:b w:val="1"/>
                <w:bCs w:val="1"/>
                <w:color w:val="auto"/>
              </w:rPr>
              <w:t>(In millions, except percentage changes)</w:t>
            </w:r>
          </w:p>
        </w:tc>
        <w:tc>
          <w:tcPr>
            <w:tcW w:w="960" w:type="dxa"/>
            <w:vAlign w:val="bottom"/>
          </w:tcPr>
          <w:p>
            <w:pPr>
              <w:spacing w:after="0"/>
              <w:rPr>
                <w:sz w:val="13"/>
                <w:szCs w:val="13"/>
                <w:color w:val="auto"/>
              </w:rPr>
            </w:pPr>
          </w:p>
        </w:tc>
      </w:tr>
      <w:tr>
        <w:trPr>
          <w:trHeight w:val="203"/>
        </w:trPr>
        <w:tc>
          <w:tcPr>
            <w:tcW w:w="67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Mainline passenger</w:t>
            </w:r>
          </w:p>
        </w:tc>
        <w:tc>
          <w:tcPr>
            <w:tcW w:w="8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w w:val="98"/>
              </w:rPr>
              <w:t>$14,353</w:t>
            </w:r>
          </w:p>
        </w:tc>
        <w:tc>
          <w:tcPr>
            <w:tcW w:w="88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$13,773</w:t>
            </w:r>
          </w:p>
        </w:tc>
        <w:tc>
          <w:tcPr>
            <w:tcW w:w="860" w:type="dxa"/>
            <w:vAlign w:val="bottom"/>
            <w:gridSpan w:val="2"/>
            <w:shd w:val="clear" w:color="auto" w:fill="CCEEFF"/>
          </w:tcPr>
          <w:p>
            <w:pPr>
              <w:jc w:val="right"/>
              <w:ind w:right="48"/>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780"/>
              <w:spacing w:after="0" w:line="202" w:lineRule="exact"/>
              <w:rPr>
                <w:sz w:val="20"/>
                <w:szCs w:val="20"/>
                <w:color w:val="auto"/>
              </w:rPr>
            </w:pPr>
            <w:r>
              <w:rPr>
                <w:rFonts w:ascii="Arial" w:cs="Arial" w:eastAsia="Arial" w:hAnsi="Arial"/>
                <w:sz w:val="18"/>
                <w:szCs w:val="18"/>
                <w:color w:val="auto"/>
              </w:rPr>
              <w:t>580</w:t>
            </w:r>
          </w:p>
        </w:tc>
        <w:tc>
          <w:tcPr>
            <w:tcW w:w="960" w:type="dxa"/>
            <w:vAlign w:val="bottom"/>
            <w:shd w:val="clear" w:color="auto" w:fill="CCEEFF"/>
          </w:tcPr>
          <w:p>
            <w:pPr>
              <w:jc w:val="right"/>
              <w:ind w:right="277"/>
              <w:spacing w:after="0" w:line="202" w:lineRule="exact"/>
              <w:rPr>
                <w:sz w:val="20"/>
                <w:szCs w:val="20"/>
                <w:color w:val="auto"/>
              </w:rPr>
            </w:pPr>
            <w:r>
              <w:rPr>
                <w:rFonts w:ascii="Arial" w:cs="Arial" w:eastAsia="Arial" w:hAnsi="Arial"/>
                <w:sz w:val="18"/>
                <w:szCs w:val="18"/>
                <w:color w:val="auto"/>
              </w:rPr>
              <w:t>4.2</w:t>
            </w:r>
          </w:p>
        </w:tc>
      </w:tr>
      <w:tr>
        <w:trPr>
          <w:trHeight w:val="203"/>
        </w:trPr>
        <w:tc>
          <w:tcPr>
            <w:tcW w:w="6700" w:type="dxa"/>
            <w:vAlign w:val="bottom"/>
            <w:gridSpan w:val="2"/>
          </w:tcPr>
          <w:p>
            <w:pPr>
              <w:spacing w:after="0" w:line="202" w:lineRule="exact"/>
              <w:rPr>
                <w:sz w:val="20"/>
                <w:szCs w:val="20"/>
                <w:color w:val="auto"/>
              </w:rPr>
            </w:pPr>
            <w:r>
              <w:rPr>
                <w:rFonts w:ascii="Arial" w:cs="Arial" w:eastAsia="Arial" w:hAnsi="Arial"/>
                <w:sz w:val="18"/>
                <w:szCs w:val="18"/>
                <w:color w:val="auto"/>
              </w:rPr>
              <w:t>Regional passenger</w:t>
            </w:r>
          </w:p>
        </w:tc>
        <w:tc>
          <w:tcPr>
            <w:tcW w:w="8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3,384</w:t>
            </w:r>
          </w:p>
        </w:tc>
        <w:tc>
          <w:tcPr>
            <w:tcW w:w="88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3,309</w:t>
            </w: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right"/>
              <w:ind w:right="780"/>
              <w:spacing w:after="0" w:line="202" w:lineRule="exact"/>
              <w:rPr>
                <w:sz w:val="20"/>
                <w:szCs w:val="20"/>
                <w:color w:val="auto"/>
              </w:rPr>
            </w:pPr>
            <w:r>
              <w:rPr>
                <w:rFonts w:ascii="Arial" w:cs="Arial" w:eastAsia="Arial" w:hAnsi="Arial"/>
                <w:sz w:val="18"/>
                <w:szCs w:val="18"/>
                <w:color w:val="auto"/>
              </w:rPr>
              <w:t>75</w:t>
            </w:r>
          </w:p>
        </w:tc>
        <w:tc>
          <w:tcPr>
            <w:tcW w:w="960" w:type="dxa"/>
            <w:vAlign w:val="bottom"/>
          </w:tcPr>
          <w:p>
            <w:pPr>
              <w:jc w:val="right"/>
              <w:ind w:right="277"/>
              <w:spacing w:after="0" w:line="202" w:lineRule="exact"/>
              <w:rPr>
                <w:sz w:val="20"/>
                <w:szCs w:val="20"/>
                <w:color w:val="auto"/>
              </w:rPr>
            </w:pPr>
            <w:r>
              <w:rPr>
                <w:rFonts w:ascii="Arial" w:cs="Arial" w:eastAsia="Arial" w:hAnsi="Arial"/>
                <w:sz w:val="18"/>
                <w:szCs w:val="18"/>
                <w:color w:val="auto"/>
              </w:rPr>
              <w:t>2.3</w:t>
            </w:r>
          </w:p>
        </w:tc>
      </w:tr>
      <w:tr>
        <w:trPr>
          <w:trHeight w:val="203"/>
        </w:trPr>
        <w:tc>
          <w:tcPr>
            <w:tcW w:w="67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Cargo</w:t>
            </w:r>
          </w:p>
        </w:tc>
        <w:tc>
          <w:tcPr>
            <w:tcW w:w="8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368</w:t>
            </w:r>
          </w:p>
        </w:tc>
        <w:tc>
          <w:tcPr>
            <w:tcW w:w="88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336</w:t>
            </w: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780"/>
              <w:spacing w:after="0" w:line="202" w:lineRule="exact"/>
              <w:rPr>
                <w:sz w:val="20"/>
                <w:szCs w:val="20"/>
                <w:color w:val="auto"/>
              </w:rPr>
            </w:pPr>
            <w:r>
              <w:rPr>
                <w:rFonts w:ascii="Arial" w:cs="Arial" w:eastAsia="Arial" w:hAnsi="Arial"/>
                <w:sz w:val="18"/>
                <w:szCs w:val="18"/>
                <w:color w:val="auto"/>
              </w:rPr>
              <w:t>32</w:t>
            </w:r>
          </w:p>
        </w:tc>
        <w:tc>
          <w:tcPr>
            <w:tcW w:w="960" w:type="dxa"/>
            <w:vAlign w:val="bottom"/>
            <w:shd w:val="clear" w:color="auto" w:fill="CCEEFF"/>
          </w:tcPr>
          <w:p>
            <w:pPr>
              <w:jc w:val="right"/>
              <w:ind w:right="277"/>
              <w:spacing w:after="0" w:line="202" w:lineRule="exact"/>
              <w:rPr>
                <w:sz w:val="20"/>
                <w:szCs w:val="20"/>
                <w:color w:val="auto"/>
              </w:rPr>
            </w:pPr>
            <w:r>
              <w:rPr>
                <w:rFonts w:ascii="Arial" w:cs="Arial" w:eastAsia="Arial" w:hAnsi="Arial"/>
                <w:sz w:val="18"/>
                <w:szCs w:val="18"/>
                <w:color w:val="auto"/>
              </w:rPr>
              <w:t>9.8</w:t>
            </w:r>
          </w:p>
        </w:tc>
      </w:tr>
      <w:tr>
        <w:trPr>
          <w:trHeight w:val="203"/>
        </w:trPr>
        <w:tc>
          <w:tcPr>
            <w:tcW w:w="6700" w:type="dxa"/>
            <w:vAlign w:val="bottom"/>
            <w:gridSpan w:val="2"/>
          </w:tcPr>
          <w:p>
            <w:pPr>
              <w:spacing w:after="0" w:line="202" w:lineRule="exact"/>
              <w:rPr>
                <w:sz w:val="20"/>
                <w:szCs w:val="20"/>
                <w:color w:val="auto"/>
              </w:rPr>
            </w:pPr>
            <w:r>
              <w:rPr>
                <w:rFonts w:ascii="Arial" w:cs="Arial" w:eastAsia="Arial" w:hAnsi="Arial"/>
                <w:sz w:val="18"/>
                <w:szCs w:val="18"/>
                <w:color w:val="auto"/>
              </w:rPr>
              <w:t>Other</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2,617</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2,369</w:t>
            </w: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right"/>
              <w:ind w:right="780"/>
              <w:spacing w:after="0" w:line="202" w:lineRule="exact"/>
              <w:rPr>
                <w:sz w:val="20"/>
                <w:szCs w:val="20"/>
                <w:color w:val="auto"/>
              </w:rPr>
            </w:pPr>
            <w:r>
              <w:rPr>
                <w:rFonts w:ascii="Arial" w:cs="Arial" w:eastAsia="Arial" w:hAnsi="Arial"/>
                <w:sz w:val="18"/>
                <w:szCs w:val="18"/>
                <w:color w:val="auto"/>
              </w:rPr>
              <w:t>248</w:t>
            </w:r>
          </w:p>
        </w:tc>
        <w:tc>
          <w:tcPr>
            <w:tcW w:w="960" w:type="dxa"/>
            <w:vAlign w:val="bottom"/>
          </w:tcPr>
          <w:p>
            <w:pPr>
              <w:jc w:val="right"/>
              <w:ind w:right="277"/>
              <w:spacing w:after="0" w:line="202" w:lineRule="exact"/>
              <w:rPr>
                <w:sz w:val="20"/>
                <w:szCs w:val="20"/>
                <w:color w:val="auto"/>
              </w:rPr>
            </w:pPr>
            <w:r>
              <w:rPr>
                <w:rFonts w:ascii="Arial" w:cs="Arial" w:eastAsia="Arial" w:hAnsi="Arial"/>
                <w:sz w:val="18"/>
                <w:szCs w:val="18"/>
                <w:color w:val="auto"/>
              </w:rPr>
              <w:t>10.5</w:t>
            </w:r>
          </w:p>
        </w:tc>
      </w:tr>
      <w:tr>
        <w:trPr>
          <w:trHeight w:val="27"/>
        </w:trPr>
        <w:tc>
          <w:tcPr>
            <w:tcW w:w="664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03"/>
        </w:trPr>
        <w:tc>
          <w:tcPr>
            <w:tcW w:w="670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Total operating revenues</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20,722</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19,787</w:t>
            </w:r>
          </w:p>
        </w:tc>
        <w:tc>
          <w:tcPr>
            <w:tcW w:w="860" w:type="dxa"/>
            <w:vAlign w:val="bottom"/>
            <w:gridSpan w:val="2"/>
            <w:shd w:val="clear" w:color="auto" w:fill="CCEEFF"/>
          </w:tcPr>
          <w:p>
            <w:pPr>
              <w:jc w:val="right"/>
              <w:ind w:right="48"/>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780"/>
              <w:spacing w:after="0" w:line="202" w:lineRule="exact"/>
              <w:rPr>
                <w:sz w:val="20"/>
                <w:szCs w:val="20"/>
                <w:color w:val="auto"/>
              </w:rPr>
            </w:pPr>
            <w:r>
              <w:rPr>
                <w:rFonts w:ascii="Arial" w:cs="Arial" w:eastAsia="Arial" w:hAnsi="Arial"/>
                <w:sz w:val="18"/>
                <w:szCs w:val="18"/>
                <w:color w:val="auto"/>
              </w:rPr>
              <w:t>935</w:t>
            </w:r>
          </w:p>
        </w:tc>
        <w:tc>
          <w:tcPr>
            <w:tcW w:w="960" w:type="dxa"/>
            <w:vAlign w:val="bottom"/>
            <w:shd w:val="clear" w:color="auto" w:fill="CCEEFF"/>
          </w:tcPr>
          <w:p>
            <w:pPr>
              <w:jc w:val="right"/>
              <w:ind w:right="277"/>
              <w:spacing w:after="0" w:line="202" w:lineRule="exact"/>
              <w:rPr>
                <w:sz w:val="20"/>
                <w:szCs w:val="20"/>
                <w:color w:val="auto"/>
              </w:rPr>
            </w:pPr>
            <w:r>
              <w:rPr>
                <w:rFonts w:ascii="Arial" w:cs="Arial" w:eastAsia="Arial" w:hAnsi="Arial"/>
                <w:sz w:val="18"/>
                <w:szCs w:val="18"/>
                <w:color w:val="auto"/>
              </w:rPr>
              <w:t>4.7</w:t>
            </w:r>
          </w:p>
        </w:tc>
      </w:tr>
      <w:tr>
        <w:trPr>
          <w:trHeight w:val="20"/>
        </w:trPr>
        <w:tc>
          <w:tcPr>
            <w:tcW w:w="6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228"/>
        <w:spacing w:after="0" w:line="246" w:lineRule="auto"/>
        <w:rPr>
          <w:sz w:val="20"/>
          <w:szCs w:val="20"/>
          <w:color w:val="auto"/>
        </w:rPr>
      </w:pPr>
      <w:r>
        <w:rPr>
          <w:rFonts w:ascii="Arial" w:cs="Arial" w:eastAsia="Arial" w:hAnsi="Arial"/>
          <w:sz w:val="18"/>
          <w:szCs w:val="18"/>
          <w:color w:val="auto"/>
        </w:rPr>
        <w:t>Total passenger revenues increased $655 million, or 3.8%, in the first six months of 2017 from the 2016 period primarily driven by a period-over-period increase in consolidated passenger yields.</w:t>
      </w:r>
    </w:p>
    <w:p>
      <w:pPr>
        <w:spacing w:after="0" w:line="197" w:lineRule="exact"/>
        <w:rPr>
          <w:sz w:val="20"/>
          <w:szCs w:val="20"/>
          <w:color w:val="auto"/>
        </w:rPr>
      </w:pPr>
    </w:p>
    <w:p>
      <w:pPr>
        <w:jc w:val="both"/>
        <w:ind w:right="20" w:firstLine="228"/>
        <w:spacing w:after="0" w:line="246" w:lineRule="auto"/>
        <w:rPr>
          <w:sz w:val="20"/>
          <w:szCs w:val="20"/>
          <w:color w:val="auto"/>
        </w:rPr>
      </w:pPr>
      <w:r>
        <w:rPr>
          <w:rFonts w:ascii="Arial" w:cs="Arial" w:eastAsia="Arial" w:hAnsi="Arial"/>
          <w:sz w:val="18"/>
          <w:szCs w:val="18"/>
          <w:color w:val="auto"/>
        </w:rPr>
        <w:t>Cargo revenue increased $32 million, or 9.8%, in the first six months of 2017 from the 2016 period primarily driven by an increase in freight volume.</w:t>
      </w:r>
    </w:p>
    <w:p>
      <w:pPr>
        <w:spacing w:after="0" w:line="197" w:lineRule="exact"/>
        <w:rPr>
          <w:sz w:val="20"/>
          <w:szCs w:val="20"/>
          <w:color w:val="auto"/>
        </w:rPr>
      </w:pPr>
    </w:p>
    <w:p>
      <w:pPr>
        <w:jc w:val="both"/>
        <w:ind w:firstLine="228"/>
        <w:spacing w:after="0" w:line="237" w:lineRule="auto"/>
        <w:rPr>
          <w:sz w:val="20"/>
          <w:szCs w:val="20"/>
          <w:color w:val="auto"/>
        </w:rPr>
      </w:pPr>
      <w:r>
        <w:rPr>
          <w:rFonts w:ascii="Arial" w:cs="Arial" w:eastAsia="Arial" w:hAnsi="Arial"/>
          <w:sz w:val="18"/>
          <w:szCs w:val="18"/>
          <w:color w:val="auto"/>
        </w:rPr>
        <w:t>Other revenue primarily includes revenue associated with American’s loyalty program, baggage fees, ticketing change fees, airport clubs and inflight services. Other revenue increased $248 million, or 10.5%, in the first six months of 2017 from the 2016 period primarily driven by an increase in loyalty program revenue. In the first six months of 2017 and 2016, other revenue associated with American’s loyalty program was $1.2 billion and $952 million, respectively, of which $1.1 billion and $ 856 million, respectively, related to the marketing component of mileage sales and other marketing related payments. This period-over-period increase was primarily due to revenues associated with American’s new co-branded credit card agreements that became effective in the third quarter of 2016.</w:t>
      </w:r>
    </w:p>
    <w:p>
      <w:pPr>
        <w:spacing w:after="0" w:line="205" w:lineRule="exact"/>
        <w:rPr>
          <w:sz w:val="20"/>
          <w:szCs w:val="20"/>
          <w:color w:val="auto"/>
        </w:rPr>
      </w:pPr>
    </w:p>
    <w:p>
      <w:pPr>
        <w:jc w:val="both"/>
        <w:ind w:firstLine="228"/>
        <w:spacing w:after="0" w:line="246" w:lineRule="auto"/>
        <w:rPr>
          <w:sz w:val="20"/>
          <w:szCs w:val="20"/>
          <w:color w:val="auto"/>
        </w:rPr>
      </w:pPr>
      <w:r>
        <w:rPr>
          <w:rFonts w:ascii="Arial" w:cs="Arial" w:eastAsia="Arial" w:hAnsi="Arial"/>
          <w:sz w:val="18"/>
          <w:szCs w:val="18"/>
          <w:color w:val="auto"/>
        </w:rPr>
        <w:t>Total operating revenues in the first six months of 2017 increased $935 million, or 4.7%, from the 2016 period driven principally by a 3.8% increase in total passenger revenues as described above.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287" w:right="239" w:bottom="1440" w:gutter="0" w:footer="0" w:header="0"/>
        </w:sectPr>
      </w:pPr>
    </w:p>
    <w:bookmarkStart w:id="45" w:name="page46"/>
    <w:bookmarkEnd w:id="45"/>
    <w:p>
      <w:pPr>
        <w:ind w:left="240"/>
        <w:spacing w:after="0"/>
        <w:rPr>
          <w:sz w:val="20"/>
          <w:szCs w:val="20"/>
          <w:color w:val="auto"/>
        </w:rPr>
      </w:pPr>
      <w:r>
        <w:rPr>
          <w:rFonts w:ascii="Arial" w:cs="Arial" w:eastAsia="Arial" w:hAnsi="Arial"/>
          <w:sz w:val="18"/>
          <w:szCs w:val="18"/>
          <w:i w:val="1"/>
          <w:i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Mainline Operating Expenses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00" w:type="dxa"/>
            <w:vAlign w:val="bottom"/>
            <w:gridSpan w:val="6"/>
          </w:tcPr>
          <w:p>
            <w:pPr>
              <w:ind w:left="220"/>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tcPr>
          <w:p>
            <w:pPr>
              <w:jc w:val="center"/>
              <w:ind w:right="34"/>
              <w:spacing w:after="0"/>
              <w:rPr>
                <w:sz w:val="20"/>
                <w:szCs w:val="20"/>
                <w:color w:val="auto"/>
              </w:rPr>
            </w:pPr>
            <w:r>
              <w:rPr>
                <w:rFonts w:ascii="Arial" w:cs="Arial" w:eastAsia="Arial" w:hAnsi="Arial"/>
                <w:sz w:val="14"/>
                <w:szCs w:val="14"/>
                <w:b w:val="1"/>
                <w:bCs w:val="1"/>
                <w:color w:val="auto"/>
              </w:rPr>
              <w:t>Percent</w:t>
            </w:r>
          </w:p>
        </w:tc>
      </w:tr>
      <w:tr>
        <w:trPr>
          <w:trHeight w:val="175"/>
        </w:trPr>
        <w:tc>
          <w:tcPr>
            <w:tcW w:w="654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6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Increase</w:t>
            </w:r>
          </w:p>
        </w:tc>
        <w:tc>
          <w:tcPr>
            <w:tcW w:w="980" w:type="dxa"/>
            <w:vAlign w:val="bottom"/>
          </w:tcPr>
          <w:p>
            <w:pPr>
              <w:jc w:val="center"/>
              <w:ind w:right="34"/>
              <w:spacing w:after="0"/>
              <w:rPr>
                <w:sz w:val="20"/>
                <w:szCs w:val="20"/>
                <w:color w:val="auto"/>
              </w:rPr>
            </w:pPr>
            <w:r>
              <w:rPr>
                <w:rFonts w:ascii="Arial" w:cs="Arial" w:eastAsia="Arial" w:hAnsi="Arial"/>
                <w:sz w:val="14"/>
                <w:szCs w:val="14"/>
                <w:b w:val="1"/>
                <w:bCs w:val="1"/>
                <w:color w:val="auto"/>
              </w:rPr>
              <w:t>Increase</w:t>
            </w:r>
          </w:p>
        </w:tc>
      </w:tr>
      <w:tr>
        <w:trPr>
          <w:trHeight w:val="156"/>
        </w:trPr>
        <w:tc>
          <w:tcPr>
            <w:tcW w:w="65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92"/>
              <w:spacing w:after="0" w:line="155" w:lineRule="exact"/>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3"/>
          </w:tcPr>
          <w:p>
            <w:pPr>
              <w:jc w:val="right"/>
              <w:ind w:right="540"/>
              <w:spacing w:after="0" w:line="155" w:lineRule="exact"/>
              <w:rPr>
                <w:sz w:val="20"/>
                <w:szCs w:val="20"/>
                <w:color w:val="auto"/>
              </w:rPr>
            </w:pPr>
            <w:r>
              <w:rPr>
                <w:rFonts w:ascii="Arial" w:cs="Arial" w:eastAsia="Arial" w:hAnsi="Arial"/>
                <w:sz w:val="14"/>
                <w:szCs w:val="14"/>
                <w:b w:val="1"/>
                <w:bCs w:val="1"/>
                <w:color w:val="auto"/>
              </w:rPr>
              <w:t>(Decrease)</w:t>
            </w:r>
          </w:p>
        </w:tc>
        <w:tc>
          <w:tcPr>
            <w:tcW w:w="980" w:type="dxa"/>
            <w:vAlign w:val="bottom"/>
            <w:tcBorders>
              <w:bottom w:val="single" w:sz="8" w:color="auto"/>
            </w:tcBorders>
          </w:tcPr>
          <w:p>
            <w:pPr>
              <w:jc w:val="center"/>
              <w:ind w:right="34"/>
              <w:spacing w:after="0" w:line="155" w:lineRule="exact"/>
              <w:rPr>
                <w:sz w:val="20"/>
                <w:szCs w:val="20"/>
                <w:color w:val="auto"/>
              </w:rPr>
            </w:pPr>
            <w:r>
              <w:rPr>
                <w:rFonts w:ascii="Arial" w:cs="Arial" w:eastAsia="Arial" w:hAnsi="Arial"/>
                <w:sz w:val="14"/>
                <w:szCs w:val="14"/>
                <w:b w:val="1"/>
                <w:bCs w:val="1"/>
                <w:color w:val="auto"/>
              </w:rPr>
              <w:t>(Decrease)</w:t>
            </w:r>
          </w:p>
        </w:tc>
      </w:tr>
      <w:tr>
        <w:trPr>
          <w:trHeight w:val="156"/>
        </w:trPr>
        <w:tc>
          <w:tcPr>
            <w:tcW w:w="6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980" w:type="dxa"/>
            <w:vAlign w:val="bottom"/>
            <w:gridSpan w:val="8"/>
          </w:tcPr>
          <w:p>
            <w:pPr>
              <w:jc w:val="right"/>
              <w:ind w:right="80"/>
              <w:spacing w:after="0" w:line="155" w:lineRule="exact"/>
              <w:rPr>
                <w:sz w:val="20"/>
                <w:szCs w:val="20"/>
                <w:color w:val="auto"/>
              </w:rPr>
            </w:pPr>
            <w:r>
              <w:rPr>
                <w:rFonts w:ascii="Arial" w:cs="Arial" w:eastAsia="Arial" w:hAnsi="Arial"/>
                <w:sz w:val="14"/>
                <w:szCs w:val="14"/>
                <w:b w:val="1"/>
                <w:bCs w:val="1"/>
                <w:color w:val="auto"/>
              </w:rPr>
              <w:t>(In millions, except percentage changes)</w:t>
            </w:r>
          </w:p>
        </w:tc>
        <w:tc>
          <w:tcPr>
            <w:tcW w:w="980" w:type="dxa"/>
            <w:vAlign w:val="bottom"/>
          </w:tcPr>
          <w:p>
            <w:pPr>
              <w:spacing w:after="0"/>
              <w:rPr>
                <w:sz w:val="13"/>
                <w:szCs w:val="13"/>
                <w:color w:val="auto"/>
              </w:rPr>
            </w:pPr>
          </w:p>
        </w:tc>
      </w:tr>
      <w:tr>
        <w:trPr>
          <w:trHeight w:val="203"/>
        </w:trPr>
        <w:tc>
          <w:tcPr>
            <w:tcW w:w="66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Aircraft fuel and related taxes</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2,912</w:t>
            </w:r>
          </w:p>
        </w:tc>
        <w:tc>
          <w:tcPr>
            <w:tcW w:w="5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2,343</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569</w:t>
            </w:r>
          </w:p>
        </w:tc>
        <w:tc>
          <w:tcPr>
            <w:tcW w:w="980" w:type="dxa"/>
            <w:vAlign w:val="bottom"/>
            <w:shd w:val="clear" w:color="auto" w:fill="CCEEFF"/>
          </w:tcPr>
          <w:p>
            <w:pPr>
              <w:jc w:val="right"/>
              <w:ind w:right="274"/>
              <w:spacing w:after="0" w:line="202" w:lineRule="exact"/>
              <w:rPr>
                <w:sz w:val="20"/>
                <w:szCs w:val="20"/>
                <w:color w:val="auto"/>
              </w:rPr>
            </w:pPr>
            <w:r>
              <w:rPr>
                <w:rFonts w:ascii="Arial" w:cs="Arial" w:eastAsia="Arial" w:hAnsi="Arial"/>
                <w:sz w:val="18"/>
                <w:szCs w:val="18"/>
                <w:color w:val="auto"/>
              </w:rPr>
              <w:t>24.2</w:t>
            </w:r>
          </w:p>
        </w:tc>
      </w:tr>
      <w:tr>
        <w:trPr>
          <w:trHeight w:val="203"/>
        </w:trPr>
        <w:tc>
          <w:tcPr>
            <w:tcW w:w="6600" w:type="dxa"/>
            <w:vAlign w:val="bottom"/>
            <w:gridSpan w:val="2"/>
          </w:tcPr>
          <w:p>
            <w:pPr>
              <w:spacing w:after="0" w:line="202" w:lineRule="exact"/>
              <w:rPr>
                <w:sz w:val="20"/>
                <w:szCs w:val="20"/>
                <w:color w:val="auto"/>
              </w:rPr>
            </w:pPr>
            <w:r>
              <w:rPr>
                <w:rFonts w:ascii="Arial" w:cs="Arial" w:eastAsia="Arial" w:hAnsi="Arial"/>
                <w:sz w:val="18"/>
                <w:szCs w:val="18"/>
                <w:color w:val="auto"/>
              </w:rPr>
              <w:t>Salaries, wages and benefits</w:t>
            </w:r>
          </w:p>
        </w:tc>
        <w:tc>
          <w:tcPr>
            <w:tcW w:w="1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5,823</w:t>
            </w: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5,318</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505</w:t>
            </w:r>
          </w:p>
        </w:tc>
        <w:tc>
          <w:tcPr>
            <w:tcW w:w="980" w:type="dxa"/>
            <w:vAlign w:val="bottom"/>
          </w:tcPr>
          <w:p>
            <w:pPr>
              <w:jc w:val="right"/>
              <w:ind w:right="274"/>
              <w:spacing w:after="0" w:line="202" w:lineRule="exact"/>
              <w:rPr>
                <w:sz w:val="20"/>
                <w:szCs w:val="20"/>
                <w:color w:val="auto"/>
              </w:rPr>
            </w:pPr>
            <w:r>
              <w:rPr>
                <w:rFonts w:ascii="Arial" w:cs="Arial" w:eastAsia="Arial" w:hAnsi="Arial"/>
                <w:sz w:val="18"/>
                <w:szCs w:val="18"/>
                <w:color w:val="auto"/>
              </w:rPr>
              <w:t>9.5</w:t>
            </w:r>
          </w:p>
        </w:tc>
      </w:tr>
      <w:tr>
        <w:trPr>
          <w:trHeight w:val="203"/>
        </w:trPr>
        <w:tc>
          <w:tcPr>
            <w:tcW w:w="66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Maintenance, materials and repairs</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987</w:t>
            </w: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871</w:t>
            </w: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116</w:t>
            </w:r>
          </w:p>
        </w:tc>
        <w:tc>
          <w:tcPr>
            <w:tcW w:w="980" w:type="dxa"/>
            <w:vAlign w:val="bottom"/>
            <w:shd w:val="clear" w:color="auto" w:fill="CCEEFF"/>
          </w:tcPr>
          <w:p>
            <w:pPr>
              <w:jc w:val="right"/>
              <w:ind w:right="274"/>
              <w:spacing w:after="0" w:line="202" w:lineRule="exact"/>
              <w:rPr>
                <w:sz w:val="20"/>
                <w:szCs w:val="20"/>
                <w:color w:val="auto"/>
              </w:rPr>
            </w:pPr>
            <w:r>
              <w:rPr>
                <w:rFonts w:ascii="Arial" w:cs="Arial" w:eastAsia="Arial" w:hAnsi="Arial"/>
                <w:sz w:val="18"/>
                <w:szCs w:val="18"/>
                <w:color w:val="auto"/>
              </w:rPr>
              <w:t>13.3</w:t>
            </w:r>
          </w:p>
        </w:tc>
      </w:tr>
      <w:tr>
        <w:trPr>
          <w:trHeight w:val="203"/>
        </w:trPr>
        <w:tc>
          <w:tcPr>
            <w:tcW w:w="6600" w:type="dxa"/>
            <w:vAlign w:val="bottom"/>
            <w:gridSpan w:val="2"/>
          </w:tcPr>
          <w:p>
            <w:pPr>
              <w:spacing w:after="0" w:line="202" w:lineRule="exact"/>
              <w:rPr>
                <w:sz w:val="20"/>
                <w:szCs w:val="20"/>
                <w:color w:val="auto"/>
              </w:rPr>
            </w:pPr>
            <w:r>
              <w:rPr>
                <w:rFonts w:ascii="Arial" w:cs="Arial" w:eastAsia="Arial" w:hAnsi="Arial"/>
                <w:sz w:val="18"/>
                <w:szCs w:val="18"/>
                <w:color w:val="auto"/>
              </w:rPr>
              <w:t>Other rent and landing fees</w:t>
            </w:r>
          </w:p>
        </w:tc>
        <w:tc>
          <w:tcPr>
            <w:tcW w:w="1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892</w:t>
            </w: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879</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13</w:t>
            </w:r>
          </w:p>
        </w:tc>
        <w:tc>
          <w:tcPr>
            <w:tcW w:w="980" w:type="dxa"/>
            <w:vAlign w:val="bottom"/>
          </w:tcPr>
          <w:p>
            <w:pPr>
              <w:jc w:val="right"/>
              <w:ind w:right="274"/>
              <w:spacing w:after="0" w:line="202" w:lineRule="exact"/>
              <w:rPr>
                <w:sz w:val="20"/>
                <w:szCs w:val="20"/>
                <w:color w:val="auto"/>
              </w:rPr>
            </w:pPr>
            <w:r>
              <w:rPr>
                <w:rFonts w:ascii="Arial" w:cs="Arial" w:eastAsia="Arial" w:hAnsi="Arial"/>
                <w:sz w:val="18"/>
                <w:szCs w:val="18"/>
                <w:color w:val="auto"/>
              </w:rPr>
              <w:t>1.5</w:t>
            </w:r>
          </w:p>
        </w:tc>
      </w:tr>
      <w:tr>
        <w:trPr>
          <w:trHeight w:val="203"/>
        </w:trPr>
        <w:tc>
          <w:tcPr>
            <w:tcW w:w="66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Aircraft rent</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589</w:t>
            </w: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609</w:t>
            </w: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(20)</w:t>
            </w:r>
          </w:p>
        </w:tc>
        <w:tc>
          <w:tcPr>
            <w:tcW w:w="980" w:type="dxa"/>
            <w:vAlign w:val="bottom"/>
            <w:shd w:val="clear" w:color="auto" w:fill="CCEEFF"/>
          </w:tcPr>
          <w:p>
            <w:pPr>
              <w:jc w:val="right"/>
              <w:ind w:right="214"/>
              <w:spacing w:after="0" w:line="202" w:lineRule="exact"/>
              <w:rPr>
                <w:sz w:val="20"/>
                <w:szCs w:val="20"/>
                <w:color w:val="auto"/>
              </w:rPr>
            </w:pPr>
            <w:r>
              <w:rPr>
                <w:rFonts w:ascii="Arial" w:cs="Arial" w:eastAsia="Arial" w:hAnsi="Arial"/>
                <w:sz w:val="18"/>
                <w:szCs w:val="18"/>
                <w:color w:val="auto"/>
              </w:rPr>
              <w:t>(3.3)</w:t>
            </w:r>
          </w:p>
        </w:tc>
      </w:tr>
      <w:tr>
        <w:trPr>
          <w:trHeight w:val="203"/>
        </w:trPr>
        <w:tc>
          <w:tcPr>
            <w:tcW w:w="6600" w:type="dxa"/>
            <w:vAlign w:val="bottom"/>
            <w:gridSpan w:val="2"/>
          </w:tcPr>
          <w:p>
            <w:pPr>
              <w:spacing w:after="0" w:line="202" w:lineRule="exact"/>
              <w:rPr>
                <w:sz w:val="20"/>
                <w:szCs w:val="20"/>
                <w:color w:val="auto"/>
              </w:rPr>
            </w:pPr>
            <w:r>
              <w:rPr>
                <w:rFonts w:ascii="Arial" w:cs="Arial" w:eastAsia="Arial" w:hAnsi="Arial"/>
                <w:sz w:val="18"/>
                <w:szCs w:val="18"/>
                <w:color w:val="auto"/>
              </w:rPr>
              <w:t>Selling expenses</w:t>
            </w:r>
          </w:p>
        </w:tc>
        <w:tc>
          <w:tcPr>
            <w:tcW w:w="1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694</w:t>
            </w: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642</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52</w:t>
            </w:r>
          </w:p>
        </w:tc>
        <w:tc>
          <w:tcPr>
            <w:tcW w:w="980" w:type="dxa"/>
            <w:vAlign w:val="bottom"/>
          </w:tcPr>
          <w:p>
            <w:pPr>
              <w:jc w:val="right"/>
              <w:ind w:right="274"/>
              <w:spacing w:after="0" w:line="202" w:lineRule="exact"/>
              <w:rPr>
                <w:sz w:val="20"/>
                <w:szCs w:val="20"/>
                <w:color w:val="auto"/>
              </w:rPr>
            </w:pPr>
            <w:r>
              <w:rPr>
                <w:rFonts w:ascii="Arial" w:cs="Arial" w:eastAsia="Arial" w:hAnsi="Arial"/>
                <w:sz w:val="18"/>
                <w:szCs w:val="18"/>
                <w:color w:val="auto"/>
              </w:rPr>
              <w:t>8.0</w:t>
            </w:r>
          </w:p>
        </w:tc>
      </w:tr>
      <w:tr>
        <w:trPr>
          <w:trHeight w:val="203"/>
        </w:trPr>
        <w:tc>
          <w:tcPr>
            <w:tcW w:w="66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822</w:t>
            </w: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729</w:t>
            </w: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93</w:t>
            </w:r>
          </w:p>
        </w:tc>
        <w:tc>
          <w:tcPr>
            <w:tcW w:w="980" w:type="dxa"/>
            <w:vAlign w:val="bottom"/>
            <w:shd w:val="clear" w:color="auto" w:fill="CCEEFF"/>
          </w:tcPr>
          <w:p>
            <w:pPr>
              <w:jc w:val="right"/>
              <w:ind w:right="274"/>
              <w:spacing w:after="0" w:line="202" w:lineRule="exact"/>
              <w:rPr>
                <w:sz w:val="20"/>
                <w:szCs w:val="20"/>
                <w:color w:val="auto"/>
              </w:rPr>
            </w:pPr>
            <w:r>
              <w:rPr>
                <w:rFonts w:ascii="Arial" w:cs="Arial" w:eastAsia="Arial" w:hAnsi="Arial"/>
                <w:sz w:val="18"/>
                <w:szCs w:val="18"/>
                <w:color w:val="auto"/>
              </w:rPr>
              <w:t>12.8</w:t>
            </w:r>
          </w:p>
        </w:tc>
      </w:tr>
      <w:tr>
        <w:trPr>
          <w:trHeight w:val="203"/>
        </w:trPr>
        <w:tc>
          <w:tcPr>
            <w:tcW w:w="6600" w:type="dxa"/>
            <w:vAlign w:val="bottom"/>
            <w:gridSpan w:val="2"/>
          </w:tcPr>
          <w:p>
            <w:pPr>
              <w:spacing w:after="0" w:line="202" w:lineRule="exact"/>
              <w:rPr>
                <w:sz w:val="20"/>
                <w:szCs w:val="20"/>
                <w:color w:val="auto"/>
              </w:rPr>
            </w:pPr>
            <w:r>
              <w:rPr>
                <w:rFonts w:ascii="Arial" w:cs="Arial" w:eastAsia="Arial" w:hAnsi="Arial"/>
                <w:sz w:val="18"/>
                <w:szCs w:val="18"/>
                <w:color w:val="auto"/>
              </w:rPr>
              <w:t>Special items, net</w:t>
            </w:r>
          </w:p>
        </w:tc>
        <w:tc>
          <w:tcPr>
            <w:tcW w:w="1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320</w:t>
            </w: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161</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159</w:t>
            </w:r>
          </w:p>
        </w:tc>
        <w:tc>
          <w:tcPr>
            <w:tcW w:w="980" w:type="dxa"/>
            <w:vAlign w:val="bottom"/>
          </w:tcPr>
          <w:p>
            <w:pPr>
              <w:jc w:val="right"/>
              <w:ind w:right="274"/>
              <w:spacing w:after="0" w:line="202" w:lineRule="exact"/>
              <w:rPr>
                <w:sz w:val="20"/>
                <w:szCs w:val="20"/>
                <w:color w:val="auto"/>
              </w:rPr>
            </w:pPr>
            <w:r>
              <w:rPr>
                <w:rFonts w:ascii="Arial" w:cs="Arial" w:eastAsia="Arial" w:hAnsi="Arial"/>
                <w:sz w:val="18"/>
                <w:szCs w:val="18"/>
                <w:color w:val="auto"/>
              </w:rPr>
              <w:t>99.4</w:t>
            </w:r>
          </w:p>
        </w:tc>
      </w:tr>
      <w:tr>
        <w:trPr>
          <w:trHeight w:val="203"/>
        </w:trPr>
        <w:tc>
          <w:tcPr>
            <w:tcW w:w="66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2,354</w:t>
            </w: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2,208</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146</w:t>
            </w:r>
          </w:p>
        </w:tc>
        <w:tc>
          <w:tcPr>
            <w:tcW w:w="980" w:type="dxa"/>
            <w:vAlign w:val="bottom"/>
            <w:shd w:val="clear" w:color="auto" w:fill="CCEEFF"/>
          </w:tcPr>
          <w:p>
            <w:pPr>
              <w:jc w:val="right"/>
              <w:ind w:right="274"/>
              <w:spacing w:after="0" w:line="202" w:lineRule="exact"/>
              <w:rPr>
                <w:sz w:val="20"/>
                <w:szCs w:val="20"/>
                <w:color w:val="auto"/>
              </w:rPr>
            </w:pPr>
            <w:r>
              <w:rPr>
                <w:rFonts w:ascii="Arial" w:cs="Arial" w:eastAsia="Arial" w:hAnsi="Arial"/>
                <w:sz w:val="18"/>
                <w:szCs w:val="18"/>
                <w:color w:val="auto"/>
              </w:rPr>
              <w:t>6.6</w:t>
            </w:r>
          </w:p>
        </w:tc>
      </w:tr>
      <w:tr>
        <w:trPr>
          <w:trHeight w:val="20"/>
        </w:trPr>
        <w:tc>
          <w:tcPr>
            <w:tcW w:w="6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10"/>
        </w:trPr>
        <w:tc>
          <w:tcPr>
            <w:tcW w:w="6600" w:type="dxa"/>
            <w:vAlign w:val="bottom"/>
            <w:gridSpan w:val="2"/>
          </w:tcPr>
          <w:p>
            <w:pPr>
              <w:ind w:left="180"/>
              <w:spacing w:after="0"/>
              <w:rPr>
                <w:sz w:val="20"/>
                <w:szCs w:val="20"/>
                <w:color w:val="auto"/>
              </w:rPr>
            </w:pPr>
            <w:r>
              <w:rPr>
                <w:rFonts w:ascii="Arial" w:cs="Arial" w:eastAsia="Arial" w:hAnsi="Arial"/>
                <w:sz w:val="18"/>
                <w:szCs w:val="18"/>
                <w:color w:val="auto"/>
              </w:rPr>
              <w:t>Total mainline operating expenses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15,393</w:t>
            </w:r>
          </w:p>
        </w:tc>
        <w:tc>
          <w:tcPr>
            <w:tcW w:w="3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13,760</w:t>
            </w:r>
          </w:p>
        </w:tc>
        <w:tc>
          <w:tcPr>
            <w:tcW w:w="3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1,633</w:t>
            </w:r>
          </w:p>
        </w:tc>
        <w:tc>
          <w:tcPr>
            <w:tcW w:w="980" w:type="dxa"/>
            <w:vAlign w:val="bottom"/>
          </w:tcPr>
          <w:p>
            <w:pPr>
              <w:jc w:val="right"/>
              <w:ind w:right="274"/>
              <w:spacing w:after="0"/>
              <w:rPr>
                <w:sz w:val="20"/>
                <w:szCs w:val="20"/>
                <w:color w:val="auto"/>
              </w:rPr>
            </w:pPr>
            <w:r>
              <w:rPr>
                <w:rFonts w:ascii="Arial" w:cs="Arial" w:eastAsia="Arial" w:hAnsi="Arial"/>
                <w:sz w:val="18"/>
                <w:szCs w:val="18"/>
                <w:color w:val="auto"/>
              </w:rPr>
              <w:t>11.9</w:t>
            </w:r>
          </w:p>
        </w:tc>
      </w:tr>
      <w:tr>
        <w:trPr>
          <w:trHeight w:val="20"/>
        </w:trPr>
        <w:tc>
          <w:tcPr>
            <w:tcW w:w="6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228"/>
        <w:spacing w:after="0"/>
        <w:rPr>
          <w:sz w:val="20"/>
          <w:szCs w:val="20"/>
          <w:color w:val="auto"/>
        </w:rPr>
      </w:pPr>
      <w:r>
        <w:rPr>
          <w:rFonts w:ascii="Arial" w:cs="Arial" w:eastAsia="Arial" w:hAnsi="Arial"/>
          <w:sz w:val="18"/>
          <w:szCs w:val="18"/>
          <w:color w:val="auto"/>
        </w:rPr>
        <w:t>Mainline operating expenses increased $1.6 billion, or 11.9%, in the first six months of 2017 from the 2016 period. The increase in operating expenses was primarily driven by higher fuel costs as well as salaries, wages and benefits. Detailed explanations related to the changes in American’s mainline operating expenses are as follows:</w:t>
      </w:r>
    </w:p>
    <w:p>
      <w:pPr>
        <w:spacing w:after="0" w:line="108" w:lineRule="exact"/>
        <w:rPr>
          <w:sz w:val="20"/>
          <w:szCs w:val="20"/>
          <w:color w:val="auto"/>
        </w:rPr>
      </w:pPr>
    </w:p>
    <w:p>
      <w:pPr>
        <w:ind w:left="660" w:right="20" w:hanging="314"/>
        <w:spacing w:after="0" w:line="246"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Aircraft fuel and related taxes increased 24.2% primarily due to a 25.7% increase in the average price per gallon of fuel to $1.65 in the first six months of 2017 from $1.31 in the 2016 period, offset in part by a 1.1% decrease in gallons of fuel consumed.</w:t>
      </w:r>
    </w:p>
    <w:p>
      <w:pPr>
        <w:spacing w:after="0" w:line="102" w:lineRule="exact"/>
        <w:rPr>
          <w:rFonts w:ascii="Arial" w:cs="Arial" w:eastAsia="Arial" w:hAnsi="Arial"/>
          <w:sz w:val="18"/>
          <w:szCs w:val="18"/>
          <w:color w:val="auto"/>
        </w:rPr>
      </w:pPr>
    </w:p>
    <w:p>
      <w:pPr>
        <w:jc w:val="both"/>
        <w:ind w:left="660" w:hanging="314"/>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Salaries, wages and benefits increased 9.5% primarily due to mid-contract pay rate increases for pilots and flight attendants effective in the second quarter of 2017, as well as rate increases for maintenance and fleet service work groups, which became effective in the third quarter of 2016.</w:t>
      </w:r>
    </w:p>
    <w:p>
      <w:pPr>
        <w:spacing w:after="0" w:line="108" w:lineRule="exact"/>
        <w:rPr>
          <w:rFonts w:ascii="Arial" w:cs="Arial" w:eastAsia="Arial" w:hAnsi="Arial"/>
          <w:sz w:val="18"/>
          <w:szCs w:val="18"/>
          <w:color w:val="auto"/>
        </w:rPr>
      </w:pPr>
    </w:p>
    <w:p>
      <w:pPr>
        <w:jc w:val="both"/>
        <w:ind w:left="660" w:hanging="314"/>
        <w:spacing w:after="0" w:line="239"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Maintenance, materials and repairs increased 13.3% as compared to the 2016 period primarily due to a contract change impacting the timing of maintenance expenses incurred. Certain flight equipment was transitioned to a new flight hour based contract (referred to as power by the hour) where expense is incurred and recognized based on actual hours flown. Previously this flight equipment was covered by a time and materials based contract where expense is incurred and recognized as maintenance is performed.</w:t>
      </w:r>
    </w:p>
    <w:p>
      <w:pPr>
        <w:spacing w:after="0" w:line="107" w:lineRule="exact"/>
        <w:rPr>
          <w:rFonts w:ascii="Arial" w:cs="Arial" w:eastAsia="Arial" w:hAnsi="Arial"/>
          <w:sz w:val="18"/>
          <w:szCs w:val="18"/>
          <w:color w:val="auto"/>
        </w:rPr>
      </w:pPr>
    </w:p>
    <w:p>
      <w:pPr>
        <w:ind w:left="660" w:right="20" w:hanging="314"/>
        <w:spacing w:after="0" w:line="246"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Selling expenses increased 8.0% primarily due to higher revenues in the first six months of 2017 as compared to the 2016 period, resulting in higher commissions.</w:t>
      </w:r>
    </w:p>
    <w:p>
      <w:pPr>
        <w:spacing w:after="0" w:line="102" w:lineRule="exact"/>
        <w:rPr>
          <w:rFonts w:ascii="Arial" w:cs="Arial" w:eastAsia="Arial" w:hAnsi="Arial"/>
          <w:sz w:val="18"/>
          <w:szCs w:val="18"/>
          <w:color w:val="auto"/>
        </w:rPr>
      </w:pPr>
    </w:p>
    <w:p>
      <w:pPr>
        <w:ind w:left="660" w:hanging="314"/>
        <w:spacing w:after="0" w:line="246"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Depreciation and amortization increased 12.8% primarily due to aircraft purchased in connection with American’s fleet renewal program.</w:t>
      </w:r>
    </w:p>
    <w:p>
      <w:pPr>
        <w:spacing w:after="0" w:line="102" w:lineRule="exact"/>
        <w:rPr>
          <w:rFonts w:ascii="Arial" w:cs="Arial" w:eastAsia="Arial" w:hAnsi="Arial"/>
          <w:sz w:val="18"/>
          <w:szCs w:val="18"/>
          <w:color w:val="auto"/>
        </w:rPr>
      </w:pPr>
    </w:p>
    <w:p>
      <w:pPr>
        <w:ind w:left="660" w:hanging="314"/>
        <w:spacing w:after="0" w:line="246"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 operating expenses increased 6.6% primarily due to expenses associated with improving our product offerings, customer experience and operational reliability.</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Operating Special Items, Net</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16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6"/>
          </w:tcPr>
          <w:p>
            <w:pPr>
              <w:jc w:val="right"/>
              <w:ind w:right="24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54"/>
              <w:spacing w:after="0" w:line="155" w:lineRule="exact"/>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52"/>
              <w:spacing w:after="0" w:line="155"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gridSpan w:val="2"/>
          </w:tcPr>
          <w:p>
            <w:pPr>
              <w:jc w:val="right"/>
              <w:ind w:right="140"/>
              <w:spacing w:after="0" w:line="155" w:lineRule="exact"/>
              <w:rPr>
                <w:sz w:val="20"/>
                <w:szCs w:val="20"/>
                <w:color w:val="auto"/>
              </w:rPr>
            </w:pPr>
            <w:r>
              <w:rPr>
                <w:rFonts w:ascii="Arial" w:cs="Arial" w:eastAsia="Arial" w:hAnsi="Arial"/>
                <w:sz w:val="14"/>
                <w:szCs w:val="14"/>
                <w:b w:val="1"/>
                <w:bCs w:val="1"/>
                <w:color w:val="auto"/>
              </w:rPr>
              <w:t>(In millions)</w:t>
            </w: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53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 xml:space="preserve">Merger integration expenses </w:t>
            </w:r>
            <w:r>
              <w:rPr>
                <w:rFonts w:ascii="Arial" w:cs="Arial" w:eastAsia="Arial" w:hAnsi="Arial"/>
                <w:sz w:val="15"/>
                <w:szCs w:val="15"/>
                <w:color w:val="auto"/>
              </w:rPr>
              <w:t>(1)</w:t>
            </w:r>
          </w:p>
        </w:tc>
        <w:tc>
          <w:tcPr>
            <w:tcW w:w="39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130</w:t>
            </w:r>
          </w:p>
        </w:tc>
        <w:tc>
          <w:tcPr>
            <w:tcW w:w="9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03"/>
        </w:trPr>
        <w:tc>
          <w:tcPr>
            <w:tcW w:w="5380" w:type="dxa"/>
            <w:vAlign w:val="bottom"/>
            <w:gridSpan w:val="2"/>
          </w:tcPr>
          <w:p>
            <w:pPr>
              <w:spacing w:after="0" w:line="202" w:lineRule="exact"/>
              <w:rPr>
                <w:sz w:val="20"/>
                <w:szCs w:val="20"/>
                <w:color w:val="auto"/>
              </w:rPr>
            </w:pPr>
            <w:r>
              <w:rPr>
                <w:rFonts w:ascii="Arial" w:cs="Arial" w:eastAsia="Arial" w:hAnsi="Arial"/>
                <w:sz w:val="18"/>
                <w:szCs w:val="18"/>
                <w:color w:val="auto"/>
              </w:rPr>
              <w:t xml:space="preserve">Fleet restructuring expenses </w:t>
            </w:r>
            <w:r>
              <w:rPr>
                <w:rFonts w:ascii="Arial" w:cs="Arial" w:eastAsia="Arial" w:hAnsi="Arial"/>
                <w:sz w:val="15"/>
                <w:szCs w:val="15"/>
                <w:color w:val="auto"/>
              </w:rPr>
              <w:t>(2)</w:t>
            </w:r>
          </w:p>
        </w:tc>
        <w:tc>
          <w:tcPr>
            <w:tcW w:w="3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111</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3"/>
        </w:trPr>
        <w:tc>
          <w:tcPr>
            <w:tcW w:w="53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Mark-to-market adjustments for bankruptcy obligations and other</w:t>
            </w:r>
          </w:p>
        </w:tc>
        <w:tc>
          <w:tcPr>
            <w:tcW w:w="3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20</w:t>
            </w: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3"/>
        </w:trPr>
        <w:tc>
          <w:tcPr>
            <w:tcW w:w="5380" w:type="dxa"/>
            <w:vAlign w:val="bottom"/>
            <w:gridSpan w:val="2"/>
          </w:tcPr>
          <w:p>
            <w:pPr>
              <w:spacing w:after="0" w:line="202" w:lineRule="exact"/>
              <w:rPr>
                <w:sz w:val="20"/>
                <w:szCs w:val="20"/>
                <w:color w:val="auto"/>
              </w:rPr>
            </w:pPr>
            <w:r>
              <w:rPr>
                <w:rFonts w:ascii="Arial" w:cs="Arial" w:eastAsia="Arial" w:hAnsi="Arial"/>
                <w:sz w:val="18"/>
                <w:szCs w:val="18"/>
                <w:color w:val="auto"/>
              </w:rPr>
              <w:t xml:space="preserve">Labor contract expenses </w:t>
            </w:r>
            <w:r>
              <w:rPr>
                <w:rFonts w:ascii="Arial" w:cs="Arial" w:eastAsia="Arial" w:hAnsi="Arial"/>
                <w:sz w:val="15"/>
                <w:szCs w:val="15"/>
                <w:color w:val="auto"/>
              </w:rPr>
              <w:t>(3)</w:t>
            </w:r>
          </w:p>
        </w:tc>
        <w:tc>
          <w:tcPr>
            <w:tcW w:w="3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45</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3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Other operating charges (credits), net</w:t>
            </w:r>
          </w:p>
        </w:tc>
        <w:tc>
          <w:tcPr>
            <w:tcW w:w="3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w:t>
            </w:r>
          </w:p>
        </w:tc>
        <w:tc>
          <w:tcPr>
            <w:tcW w:w="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80" w:type="dxa"/>
            <w:vAlign w:val="bottom"/>
            <w:gridSpan w:val="2"/>
          </w:tcPr>
          <w:p>
            <w:pPr>
              <w:ind w:left="180"/>
              <w:spacing w:after="0"/>
              <w:rPr>
                <w:sz w:val="20"/>
                <w:szCs w:val="20"/>
                <w:color w:val="auto"/>
              </w:rPr>
            </w:pPr>
            <w:r>
              <w:rPr>
                <w:rFonts w:ascii="Arial" w:cs="Arial" w:eastAsia="Arial" w:hAnsi="Arial"/>
                <w:sz w:val="18"/>
                <w:szCs w:val="18"/>
                <w:color w:val="auto"/>
              </w:rPr>
              <w:t>Total mainline operating special items, net</w:t>
            </w:r>
          </w:p>
        </w:tc>
        <w:tc>
          <w:tcPr>
            <w:tcW w:w="3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320</w:t>
            </w: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03"/>
        </w:trPr>
        <w:tc>
          <w:tcPr>
            <w:tcW w:w="53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 xml:space="preserve">Regional operating special items, net </w:t>
            </w:r>
            <w:r>
              <w:rPr>
                <w:rFonts w:ascii="Arial" w:cs="Arial" w:eastAsia="Arial" w:hAnsi="Arial"/>
                <w:sz w:val="15"/>
                <w:szCs w:val="15"/>
                <w:color w:val="auto"/>
              </w:rPr>
              <w:t>(4)</w:t>
            </w:r>
          </w:p>
        </w:tc>
        <w:tc>
          <w:tcPr>
            <w:tcW w:w="3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80" w:type="dxa"/>
            <w:vAlign w:val="bottom"/>
            <w:gridSpan w:val="2"/>
          </w:tcPr>
          <w:p>
            <w:pPr>
              <w:ind w:left="180"/>
              <w:spacing w:after="0"/>
              <w:rPr>
                <w:sz w:val="20"/>
                <w:szCs w:val="20"/>
                <w:color w:val="auto"/>
              </w:rPr>
            </w:pPr>
            <w:r>
              <w:rPr>
                <w:rFonts w:ascii="Arial" w:cs="Arial" w:eastAsia="Arial" w:hAnsi="Arial"/>
                <w:sz w:val="18"/>
                <w:szCs w:val="18"/>
                <w:color w:val="auto"/>
              </w:rPr>
              <w:t>Total operating special items, net</w:t>
            </w:r>
          </w:p>
        </w:tc>
        <w:tc>
          <w:tcPr>
            <w:tcW w:w="39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324</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3700" w:type="dxa"/>
            <w:vAlign w:val="bottom"/>
            <w:vMerge w:val="restart"/>
          </w:tcPr>
          <w:p>
            <w:pPr>
              <w:jc w:val="right"/>
              <w:ind w:right="3170"/>
              <w:spacing w:after="0"/>
              <w:rPr>
                <w:sz w:val="20"/>
                <w:szCs w:val="20"/>
                <w:color w:val="auto"/>
              </w:rPr>
            </w:pPr>
            <w:r>
              <w:rPr>
                <w:rFonts w:ascii="Arial" w:cs="Arial" w:eastAsia="Arial" w:hAnsi="Arial"/>
                <w:sz w:val="18"/>
                <w:szCs w:val="18"/>
                <w:color w:val="auto"/>
              </w:rPr>
              <w:t>46</w:t>
            </w: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160" w:type="dxa"/>
            <w:vAlign w:val="bottom"/>
            <w:tcBorders>
              <w:bottom w:val="single" w:sz="8" w:color="auto"/>
            </w:tcBorders>
          </w:tcPr>
          <w:p>
            <w:pPr>
              <w:spacing w:after="0"/>
              <w:rPr>
                <w:sz w:val="11"/>
                <w:szCs w:val="11"/>
                <w:color w:val="auto"/>
              </w:rPr>
            </w:pPr>
          </w:p>
        </w:tc>
        <w:tc>
          <w:tcPr>
            <w:tcW w:w="4220" w:type="dxa"/>
            <w:vAlign w:val="bottom"/>
          </w:tcPr>
          <w:p>
            <w:pPr>
              <w:spacing w:after="0"/>
              <w:rPr>
                <w:sz w:val="11"/>
                <w:szCs w:val="11"/>
                <w:color w:val="auto"/>
              </w:rPr>
            </w:pPr>
          </w:p>
        </w:tc>
        <w:tc>
          <w:tcPr>
            <w:tcW w:w="37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99"/>
        </w:trPr>
        <w:tc>
          <w:tcPr>
            <w:tcW w:w="116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37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69" w:right="239" w:bottom="1440" w:gutter="0" w:footer="0" w:header="0"/>
        </w:sectPr>
      </w:pPr>
    </w:p>
    <w:bookmarkStart w:id="46" w:name="page47"/>
    <w:bookmarkEnd w:id="46"/>
    <w:p>
      <w:pPr>
        <w:jc w:val="both"/>
        <w:ind w:left="460" w:hanging="452"/>
        <w:spacing w:after="0"/>
        <w:tabs>
          <w:tab w:leader="none" w:pos="460" w:val="left"/>
        </w:tabs>
        <w:numPr>
          <w:ilvl w:val="0"/>
          <w:numId w:val="23"/>
        </w:numPr>
        <w:rPr>
          <w:rFonts w:ascii="Arial" w:cs="Arial" w:eastAsia="Arial" w:hAnsi="Arial"/>
          <w:sz w:val="15"/>
          <w:szCs w:val="15"/>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Merger integration expenses included costs related to information technology, professional fees, re-branding of aircraft and airport facilities and training. Additionally, the 2016 period also included costs related to alignment of labor union contracts, re-branded uniforms, relocation and severance.</w:t>
      </w:r>
    </w:p>
    <w:p>
      <w:pPr>
        <w:spacing w:after="0" w:line="108" w:lineRule="exact"/>
        <w:rPr>
          <w:rFonts w:ascii="Arial" w:cs="Arial" w:eastAsia="Arial" w:hAnsi="Arial"/>
          <w:sz w:val="15"/>
          <w:szCs w:val="15"/>
          <w:color w:val="auto"/>
        </w:rPr>
      </w:pPr>
    </w:p>
    <w:p>
      <w:pPr>
        <w:ind w:left="460" w:hanging="452"/>
        <w:spacing w:after="0" w:line="246" w:lineRule="auto"/>
        <w:tabs>
          <w:tab w:leader="none" w:pos="460" w:val="left"/>
        </w:tabs>
        <w:numPr>
          <w:ilvl w:val="0"/>
          <w:numId w:val="23"/>
        </w:numPr>
        <w:rPr>
          <w:rFonts w:ascii="Arial" w:cs="Arial" w:eastAsia="Arial" w:hAnsi="Arial"/>
          <w:sz w:val="15"/>
          <w:szCs w:val="15"/>
          <w:color w:val="auto"/>
        </w:rPr>
      </w:pPr>
      <w:r>
        <w:rPr>
          <w:rFonts w:ascii="Arial" w:cs="Arial" w:eastAsia="Arial" w:hAnsi="Arial"/>
          <w:sz w:val="18"/>
          <w:szCs w:val="18"/>
          <w:color w:val="auto"/>
        </w:rPr>
        <w:t>Fleet restructuring expenses driven by the Merger principally included the acceleration of aircraft depreciation and impairments for aircraft grounded or expected to be grounded earlier than planned.</w:t>
      </w:r>
    </w:p>
    <w:p>
      <w:pPr>
        <w:spacing w:after="0" w:line="102" w:lineRule="exact"/>
        <w:rPr>
          <w:rFonts w:ascii="Arial" w:cs="Arial" w:eastAsia="Arial" w:hAnsi="Arial"/>
          <w:sz w:val="15"/>
          <w:szCs w:val="15"/>
          <w:color w:val="auto"/>
        </w:rPr>
      </w:pPr>
    </w:p>
    <w:p>
      <w:pPr>
        <w:ind w:left="460" w:hanging="452"/>
        <w:spacing w:after="0" w:line="246" w:lineRule="auto"/>
        <w:tabs>
          <w:tab w:leader="none" w:pos="460" w:val="left"/>
        </w:tabs>
        <w:numPr>
          <w:ilvl w:val="0"/>
          <w:numId w:val="23"/>
        </w:numPr>
        <w:rPr>
          <w:rFonts w:ascii="Arial" w:cs="Arial" w:eastAsia="Arial" w:hAnsi="Arial"/>
          <w:sz w:val="15"/>
          <w:szCs w:val="15"/>
          <w:color w:val="auto"/>
        </w:rPr>
      </w:pPr>
      <w:r>
        <w:rPr>
          <w:rFonts w:ascii="Arial" w:cs="Arial" w:eastAsia="Arial" w:hAnsi="Arial"/>
          <w:sz w:val="18"/>
          <w:szCs w:val="18"/>
          <w:color w:val="auto"/>
        </w:rPr>
        <w:t>Labor contract expenses primarily included one-time charges to adjust the vacation accruals for pilots and flight attendants as a result of the mid-contract pay rate adjustments effective in the second quarter of 2017.</w:t>
      </w:r>
    </w:p>
    <w:p>
      <w:pPr>
        <w:spacing w:after="0" w:line="102" w:lineRule="exact"/>
        <w:rPr>
          <w:rFonts w:ascii="Arial" w:cs="Arial" w:eastAsia="Arial" w:hAnsi="Arial"/>
          <w:sz w:val="15"/>
          <w:szCs w:val="15"/>
          <w:color w:val="auto"/>
        </w:rPr>
      </w:pPr>
    </w:p>
    <w:p>
      <w:pPr>
        <w:ind w:left="460" w:hanging="452"/>
        <w:spacing w:after="0"/>
        <w:tabs>
          <w:tab w:leader="none" w:pos="460" w:val="left"/>
        </w:tabs>
        <w:numPr>
          <w:ilvl w:val="0"/>
          <w:numId w:val="23"/>
        </w:numPr>
        <w:rPr>
          <w:rFonts w:ascii="Arial" w:cs="Arial" w:eastAsia="Arial" w:hAnsi="Arial"/>
          <w:sz w:val="15"/>
          <w:szCs w:val="15"/>
          <w:color w:val="auto"/>
        </w:rPr>
      </w:pPr>
      <w:r>
        <w:rPr>
          <w:rFonts w:ascii="Arial" w:cs="Arial" w:eastAsia="Arial" w:hAnsi="Arial"/>
          <w:sz w:val="18"/>
          <w:szCs w:val="18"/>
          <w:color w:val="auto"/>
        </w:rPr>
        <w:t>Regional operating special items, net principally related to Merger integration expenses.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Regional Operating Expenses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6"/>
          </w:tcPr>
          <w:p>
            <w:pPr>
              <w:jc w:val="right"/>
              <w:ind w:right="160"/>
              <w:spacing w:after="0"/>
              <w:rPr>
                <w:sz w:val="20"/>
                <w:szCs w:val="20"/>
                <w:color w:val="auto"/>
              </w:rPr>
            </w:pPr>
            <w:r>
              <w:rPr>
                <w:rFonts w:ascii="Arial" w:cs="Arial" w:eastAsia="Arial" w:hAnsi="Arial"/>
                <w:sz w:val="14"/>
                <w:szCs w:val="14"/>
                <w:b w:val="1"/>
                <w:bCs w:val="1"/>
                <w:color w:val="auto"/>
              </w:rPr>
              <w:t>Six Months Ended</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00" w:type="dxa"/>
            <w:vAlign w:val="bottom"/>
          </w:tcPr>
          <w:p>
            <w:pPr>
              <w:jc w:val="center"/>
              <w:ind w:left="119"/>
              <w:spacing w:after="0"/>
              <w:rPr>
                <w:sz w:val="20"/>
                <w:szCs w:val="20"/>
                <w:color w:val="auto"/>
              </w:rPr>
            </w:pPr>
            <w:r>
              <w:rPr>
                <w:rFonts w:ascii="Arial" w:cs="Arial" w:eastAsia="Arial" w:hAnsi="Arial"/>
                <w:sz w:val="14"/>
                <w:szCs w:val="14"/>
                <w:b w:val="1"/>
                <w:bCs w:val="1"/>
                <w:color w:val="auto"/>
              </w:rPr>
              <w:t>Percent</w:t>
            </w:r>
          </w:p>
        </w:tc>
      </w:tr>
      <w:tr>
        <w:trPr>
          <w:trHeight w:val="175"/>
        </w:trPr>
        <w:tc>
          <w:tcPr>
            <w:tcW w:w="690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4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60" w:type="dxa"/>
            <w:vAlign w:val="bottom"/>
            <w:gridSpan w:val="4"/>
          </w:tcPr>
          <w:p>
            <w:pPr>
              <w:ind w:left="620"/>
              <w:spacing w:after="0"/>
              <w:rPr>
                <w:sz w:val="20"/>
                <w:szCs w:val="20"/>
                <w:color w:val="auto"/>
              </w:rPr>
            </w:pPr>
            <w:r>
              <w:rPr>
                <w:rFonts w:ascii="Arial" w:cs="Arial" w:eastAsia="Arial" w:hAnsi="Arial"/>
                <w:sz w:val="14"/>
                <w:szCs w:val="14"/>
                <w:b w:val="1"/>
                <w:bCs w:val="1"/>
                <w:color w:val="auto"/>
              </w:rPr>
              <w:t>Increase</w:t>
            </w:r>
          </w:p>
        </w:tc>
        <w:tc>
          <w:tcPr>
            <w:tcW w:w="1300" w:type="dxa"/>
            <w:vAlign w:val="bottom"/>
          </w:tcPr>
          <w:p>
            <w:pPr>
              <w:jc w:val="center"/>
              <w:ind w:left="119"/>
              <w:spacing w:after="0"/>
              <w:rPr>
                <w:sz w:val="20"/>
                <w:szCs w:val="20"/>
                <w:color w:val="auto"/>
              </w:rPr>
            </w:pPr>
            <w:r>
              <w:rPr>
                <w:rFonts w:ascii="Arial" w:cs="Arial" w:eastAsia="Arial" w:hAnsi="Arial"/>
                <w:sz w:val="14"/>
                <w:szCs w:val="14"/>
                <w:b w:val="1"/>
                <w:bCs w:val="1"/>
                <w:color w:val="auto"/>
              </w:rPr>
              <w:t>Increase</w:t>
            </w:r>
          </w:p>
        </w:tc>
      </w:tr>
      <w:tr>
        <w:trPr>
          <w:trHeight w:val="156"/>
        </w:trPr>
        <w:tc>
          <w:tcPr>
            <w:tcW w:w="690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79"/>
              <w:spacing w:after="0" w:line="155" w:lineRule="exact"/>
              <w:rPr>
                <w:sz w:val="20"/>
                <w:szCs w:val="20"/>
                <w:color w:val="auto"/>
              </w:rPr>
            </w:pPr>
            <w:r>
              <w:rPr>
                <w:rFonts w:ascii="Arial" w:cs="Arial" w:eastAsia="Arial" w:hAnsi="Arial"/>
                <w:sz w:val="14"/>
                <w:szCs w:val="14"/>
                <w:b w:val="1"/>
                <w:bCs w:val="1"/>
                <w:color w:val="auto"/>
                <w:w w:val="96"/>
              </w:rPr>
              <w:t>2017</w:t>
            </w:r>
          </w:p>
        </w:tc>
        <w:tc>
          <w:tcPr>
            <w:tcW w:w="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54"/>
              <w:spacing w:after="0" w:line="155" w:lineRule="exact"/>
              <w:rPr>
                <w:sz w:val="20"/>
                <w:szCs w:val="20"/>
                <w:color w:val="auto"/>
              </w:rPr>
            </w:pPr>
            <w:r>
              <w:rPr>
                <w:rFonts w:ascii="Arial" w:cs="Arial" w:eastAsia="Arial" w:hAnsi="Arial"/>
                <w:sz w:val="14"/>
                <w:szCs w:val="14"/>
                <w:b w:val="1"/>
                <w:bCs w:val="1"/>
                <w:color w:val="auto"/>
                <w:w w:val="96"/>
              </w:rPr>
              <w:t>2016</w:t>
            </w:r>
          </w:p>
        </w:tc>
        <w:tc>
          <w:tcPr>
            <w:tcW w:w="2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4"/>
          </w:tcPr>
          <w:p>
            <w:pPr>
              <w:ind w:left="560"/>
              <w:spacing w:after="0" w:line="155" w:lineRule="exact"/>
              <w:rPr>
                <w:sz w:val="20"/>
                <w:szCs w:val="20"/>
                <w:color w:val="auto"/>
              </w:rPr>
            </w:pPr>
            <w:r>
              <w:rPr>
                <w:rFonts w:ascii="Arial" w:cs="Arial" w:eastAsia="Arial" w:hAnsi="Arial"/>
                <w:sz w:val="14"/>
                <w:szCs w:val="14"/>
                <w:b w:val="1"/>
                <w:bCs w:val="1"/>
                <w:color w:val="auto"/>
              </w:rPr>
              <w:t>(Decrease)</w:t>
            </w:r>
          </w:p>
        </w:tc>
        <w:tc>
          <w:tcPr>
            <w:tcW w:w="1300" w:type="dxa"/>
            <w:vAlign w:val="bottom"/>
            <w:tcBorders>
              <w:bottom w:val="single" w:sz="8" w:color="auto"/>
            </w:tcBorders>
          </w:tcPr>
          <w:p>
            <w:pPr>
              <w:jc w:val="center"/>
              <w:ind w:left="119"/>
              <w:spacing w:after="0" w:line="155" w:lineRule="exact"/>
              <w:rPr>
                <w:sz w:val="20"/>
                <w:szCs w:val="20"/>
                <w:color w:val="auto"/>
              </w:rPr>
            </w:pPr>
            <w:r>
              <w:rPr>
                <w:rFonts w:ascii="Arial" w:cs="Arial" w:eastAsia="Arial" w:hAnsi="Arial"/>
                <w:sz w:val="14"/>
                <w:szCs w:val="14"/>
                <w:b w:val="1"/>
                <w:bCs w:val="1"/>
                <w:color w:val="auto"/>
              </w:rPr>
              <w:t>(Decrease)</w:t>
            </w:r>
          </w:p>
        </w:tc>
      </w:tr>
      <w:tr>
        <w:trPr>
          <w:trHeight w:val="156"/>
        </w:trPr>
        <w:tc>
          <w:tcPr>
            <w:tcW w:w="6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760" w:type="dxa"/>
            <w:vAlign w:val="bottom"/>
            <w:gridSpan w:val="9"/>
          </w:tcPr>
          <w:p>
            <w:pPr>
              <w:jc w:val="right"/>
              <w:ind w:right="779"/>
              <w:spacing w:after="0" w:line="155" w:lineRule="exact"/>
              <w:rPr>
                <w:sz w:val="20"/>
                <w:szCs w:val="20"/>
                <w:color w:val="auto"/>
              </w:rPr>
            </w:pPr>
            <w:r>
              <w:rPr>
                <w:rFonts w:ascii="Arial" w:cs="Arial" w:eastAsia="Arial" w:hAnsi="Arial"/>
                <w:sz w:val="14"/>
                <w:szCs w:val="14"/>
                <w:b w:val="1"/>
                <w:bCs w:val="1"/>
                <w:color w:val="auto"/>
              </w:rPr>
              <w:t>(In millions, except percentage changes)</w:t>
            </w:r>
          </w:p>
        </w:tc>
      </w:tr>
      <w:tr>
        <w:trPr>
          <w:trHeight w:val="203"/>
        </w:trPr>
        <w:tc>
          <w:tcPr>
            <w:tcW w:w="6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Aircraft fuel and related taxes</w:t>
            </w:r>
          </w:p>
        </w:tc>
        <w:tc>
          <w:tcPr>
            <w:tcW w:w="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648</w:t>
            </w:r>
          </w:p>
        </w:tc>
        <w:tc>
          <w:tcPr>
            <w:tcW w:w="12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498</w:t>
            </w:r>
          </w:p>
        </w:tc>
        <w:tc>
          <w:tcPr>
            <w:tcW w:w="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64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150</w:t>
            </w:r>
          </w:p>
        </w:tc>
        <w:tc>
          <w:tcPr>
            <w:tcW w:w="1300" w:type="dxa"/>
            <w:vAlign w:val="bottom"/>
            <w:shd w:val="clear" w:color="auto" w:fill="CCEEFF"/>
          </w:tcPr>
          <w:p>
            <w:pPr>
              <w:jc w:val="right"/>
              <w:ind w:right="279"/>
              <w:spacing w:after="0" w:line="202" w:lineRule="exact"/>
              <w:rPr>
                <w:sz w:val="20"/>
                <w:szCs w:val="20"/>
                <w:color w:val="auto"/>
              </w:rPr>
            </w:pPr>
            <w:r>
              <w:rPr>
                <w:rFonts w:ascii="Arial" w:cs="Arial" w:eastAsia="Arial" w:hAnsi="Arial"/>
                <w:sz w:val="18"/>
                <w:szCs w:val="18"/>
                <w:color w:val="auto"/>
              </w:rPr>
              <w:t>30.0</w:t>
            </w:r>
          </w:p>
        </w:tc>
      </w:tr>
      <w:tr>
        <w:trPr>
          <w:trHeight w:val="203"/>
        </w:trPr>
        <w:tc>
          <w:tcPr>
            <w:tcW w:w="690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2,551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w w:val="97"/>
              </w:rPr>
              <w:t>2,449</w:t>
            </w: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102</w:t>
            </w:r>
          </w:p>
        </w:tc>
        <w:tc>
          <w:tcPr>
            <w:tcW w:w="1300" w:type="dxa"/>
            <w:vAlign w:val="bottom"/>
          </w:tcPr>
          <w:p>
            <w:pPr>
              <w:jc w:val="right"/>
              <w:ind w:right="279"/>
              <w:spacing w:after="0" w:line="202" w:lineRule="exact"/>
              <w:rPr>
                <w:sz w:val="20"/>
                <w:szCs w:val="20"/>
                <w:color w:val="auto"/>
              </w:rPr>
            </w:pPr>
            <w:r>
              <w:rPr>
                <w:rFonts w:ascii="Arial" w:cs="Arial" w:eastAsia="Arial" w:hAnsi="Arial"/>
                <w:sz w:val="18"/>
                <w:szCs w:val="18"/>
                <w:color w:val="auto"/>
              </w:rPr>
              <w:t>4.2</w:t>
            </w:r>
          </w:p>
        </w:tc>
      </w:tr>
      <w:tr>
        <w:trPr>
          <w:trHeight w:val="27"/>
        </w:trPr>
        <w:tc>
          <w:tcPr>
            <w:tcW w:w="6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03"/>
        </w:trPr>
        <w:tc>
          <w:tcPr>
            <w:tcW w:w="69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Total regional operating expenses</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3,199</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4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w w:val="97"/>
              </w:rPr>
              <w:t>2,947</w:t>
            </w:r>
          </w:p>
        </w:tc>
        <w:tc>
          <w:tcPr>
            <w:tcW w:w="820" w:type="dxa"/>
            <w:vAlign w:val="bottom"/>
            <w:gridSpan w:val="2"/>
            <w:shd w:val="clear" w:color="auto" w:fill="CCEEFF"/>
          </w:tcPr>
          <w:p>
            <w:pPr>
              <w:ind w:left="64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252</w:t>
            </w:r>
          </w:p>
        </w:tc>
        <w:tc>
          <w:tcPr>
            <w:tcW w:w="1300" w:type="dxa"/>
            <w:vAlign w:val="bottom"/>
            <w:shd w:val="clear" w:color="auto" w:fill="CCEEFF"/>
          </w:tcPr>
          <w:p>
            <w:pPr>
              <w:jc w:val="right"/>
              <w:ind w:right="279"/>
              <w:spacing w:after="0" w:line="202" w:lineRule="exact"/>
              <w:rPr>
                <w:sz w:val="20"/>
                <w:szCs w:val="20"/>
                <w:color w:val="auto"/>
              </w:rPr>
            </w:pPr>
            <w:r>
              <w:rPr>
                <w:rFonts w:ascii="Arial" w:cs="Arial" w:eastAsia="Arial" w:hAnsi="Arial"/>
                <w:sz w:val="18"/>
                <w:szCs w:val="18"/>
                <w:color w:val="auto"/>
              </w:rPr>
              <w:t>8.6</w:t>
            </w:r>
          </w:p>
        </w:tc>
      </w:tr>
      <w:tr>
        <w:trPr>
          <w:trHeight w:val="20"/>
        </w:trPr>
        <w:tc>
          <w:tcPr>
            <w:tcW w:w="6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228"/>
        <w:spacing w:after="0" w:line="238" w:lineRule="auto"/>
        <w:rPr>
          <w:sz w:val="20"/>
          <w:szCs w:val="20"/>
          <w:color w:val="auto"/>
        </w:rPr>
      </w:pPr>
      <w:r>
        <w:rPr>
          <w:rFonts w:ascii="Arial" w:cs="Arial" w:eastAsia="Arial" w:hAnsi="Arial"/>
          <w:sz w:val="18"/>
          <w:szCs w:val="18"/>
          <w:color w:val="auto"/>
        </w:rPr>
        <w:t>Regional operating expenses increased $252 million, or 8.6%, in the first six months of 2017 from the 2016 period. The period-over-period increase was primarily due to a $150 million, or 30.0%, increase in fuel costs and a $ 102 million, or 4.2%, increase in other regional operating expenses. The average price per gallon of fuel increased 27.2% to $1.72 in the first six months of 2017 from $1.35 in the 2016 period, on a 2.2% increase in consumption. The increase in other regional operating expenses was primarily driven by increased capacity. See Note 8 to American’s Condensed Consolidated Financial Statements in Part I, Item 1B for further information on regional expenses.</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Nonoperating Results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rPr>
              <w:t>Six Months Ended</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00" w:type="dxa"/>
            <w:vAlign w:val="bottom"/>
          </w:tcPr>
          <w:p>
            <w:pPr>
              <w:jc w:val="center"/>
              <w:ind w:left="38"/>
              <w:spacing w:after="0"/>
              <w:rPr>
                <w:sz w:val="20"/>
                <w:szCs w:val="20"/>
                <w:color w:val="auto"/>
              </w:rPr>
            </w:pPr>
            <w:r>
              <w:rPr>
                <w:rFonts w:ascii="Arial" w:cs="Arial" w:eastAsia="Arial" w:hAnsi="Arial"/>
                <w:sz w:val="14"/>
                <w:szCs w:val="14"/>
                <w:b w:val="1"/>
                <w:bCs w:val="1"/>
                <w:color w:val="auto"/>
              </w:rPr>
              <w:t>Percent</w:t>
            </w:r>
          </w:p>
        </w:tc>
      </w:tr>
      <w:tr>
        <w:trPr>
          <w:trHeight w:val="175"/>
        </w:trPr>
        <w:tc>
          <w:tcPr>
            <w:tcW w:w="67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June 30,</w:t>
            </w:r>
          </w:p>
        </w:tc>
        <w:tc>
          <w:tcPr>
            <w:tcW w:w="3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8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Increase</w:t>
            </w:r>
          </w:p>
        </w:tc>
        <w:tc>
          <w:tcPr>
            <w:tcW w:w="1300" w:type="dxa"/>
            <w:vAlign w:val="bottom"/>
          </w:tcPr>
          <w:p>
            <w:pPr>
              <w:jc w:val="center"/>
              <w:ind w:left="38"/>
              <w:spacing w:after="0"/>
              <w:rPr>
                <w:sz w:val="20"/>
                <w:szCs w:val="20"/>
                <w:color w:val="auto"/>
              </w:rPr>
            </w:pPr>
            <w:r>
              <w:rPr>
                <w:rFonts w:ascii="Arial" w:cs="Arial" w:eastAsia="Arial" w:hAnsi="Arial"/>
                <w:sz w:val="14"/>
                <w:szCs w:val="14"/>
                <w:b w:val="1"/>
                <w:bCs w:val="1"/>
                <w:color w:val="auto"/>
              </w:rPr>
              <w:t>Increase</w:t>
            </w:r>
          </w:p>
        </w:tc>
      </w:tr>
      <w:tr>
        <w:trPr>
          <w:trHeight w:val="156"/>
        </w:trPr>
        <w:tc>
          <w:tcPr>
            <w:tcW w:w="67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4"/>
          </w:tcPr>
          <w:p>
            <w:pPr>
              <w:jc w:val="right"/>
              <w:ind w:right="360"/>
              <w:spacing w:after="0" w:line="155" w:lineRule="exact"/>
              <w:rPr>
                <w:sz w:val="20"/>
                <w:szCs w:val="20"/>
                <w:color w:val="auto"/>
              </w:rPr>
            </w:pPr>
            <w:r>
              <w:rPr>
                <w:rFonts w:ascii="Arial" w:cs="Arial" w:eastAsia="Arial" w:hAnsi="Arial"/>
                <w:sz w:val="14"/>
                <w:szCs w:val="14"/>
                <w:b w:val="1"/>
                <w:bCs w:val="1"/>
                <w:color w:val="auto"/>
              </w:rPr>
              <w:t>(Decrease)</w:t>
            </w:r>
          </w:p>
        </w:tc>
        <w:tc>
          <w:tcPr>
            <w:tcW w:w="1300" w:type="dxa"/>
            <w:vAlign w:val="bottom"/>
            <w:tcBorders>
              <w:bottom w:val="single" w:sz="8" w:color="auto"/>
            </w:tcBorders>
          </w:tcPr>
          <w:p>
            <w:pPr>
              <w:jc w:val="center"/>
              <w:ind w:left="38"/>
              <w:spacing w:after="0" w:line="155" w:lineRule="exact"/>
              <w:rPr>
                <w:sz w:val="20"/>
                <w:szCs w:val="20"/>
                <w:color w:val="auto"/>
              </w:rPr>
            </w:pPr>
            <w:r>
              <w:rPr>
                <w:rFonts w:ascii="Arial" w:cs="Arial" w:eastAsia="Arial" w:hAnsi="Arial"/>
                <w:sz w:val="14"/>
                <w:szCs w:val="14"/>
                <w:b w:val="1"/>
                <w:bCs w:val="1"/>
                <w:color w:val="auto"/>
              </w:rPr>
              <w:t>(Decrease)</w:t>
            </w:r>
          </w:p>
        </w:tc>
      </w:tr>
      <w:tr>
        <w:trPr>
          <w:trHeight w:val="156"/>
        </w:trPr>
        <w:tc>
          <w:tcPr>
            <w:tcW w:w="6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40" w:type="dxa"/>
            <w:vAlign w:val="bottom"/>
            <w:gridSpan w:val="9"/>
          </w:tcPr>
          <w:p>
            <w:pPr>
              <w:jc w:val="right"/>
              <w:ind w:right="838"/>
              <w:spacing w:after="0" w:line="155" w:lineRule="exact"/>
              <w:rPr>
                <w:sz w:val="20"/>
                <w:szCs w:val="20"/>
                <w:color w:val="auto"/>
              </w:rPr>
            </w:pPr>
            <w:r>
              <w:rPr>
                <w:rFonts w:ascii="Arial" w:cs="Arial" w:eastAsia="Arial" w:hAnsi="Arial"/>
                <w:sz w:val="14"/>
                <w:szCs w:val="14"/>
                <w:b w:val="1"/>
                <w:bCs w:val="1"/>
                <w:color w:val="auto"/>
              </w:rPr>
              <w:t>(In millions, except percentage changes)</w:t>
            </w:r>
          </w:p>
        </w:tc>
      </w:tr>
      <w:tr>
        <w:trPr>
          <w:trHeight w:val="203"/>
        </w:trPr>
        <w:tc>
          <w:tcPr>
            <w:tcW w:w="69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Interest income</w:t>
            </w: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$ 102</w:t>
            </w:r>
          </w:p>
        </w:tc>
        <w:tc>
          <w:tcPr>
            <w:tcW w:w="1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46</w:t>
            </w: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56</w:t>
            </w:r>
          </w:p>
        </w:tc>
        <w:tc>
          <w:tcPr>
            <w:tcW w:w="1300" w:type="dxa"/>
            <w:vAlign w:val="bottom"/>
            <w:shd w:val="clear" w:color="auto" w:fill="CCEEFF"/>
          </w:tcPr>
          <w:p>
            <w:pPr>
              <w:jc w:val="right"/>
              <w:ind w:right="278"/>
              <w:spacing w:after="0" w:line="202" w:lineRule="exact"/>
              <w:rPr>
                <w:sz w:val="20"/>
                <w:szCs w:val="20"/>
                <w:color w:val="auto"/>
              </w:rPr>
            </w:pPr>
            <w:r>
              <w:rPr>
                <w:rFonts w:ascii="Arial" w:cs="Arial" w:eastAsia="Arial" w:hAnsi="Arial"/>
                <w:sz w:val="18"/>
                <w:szCs w:val="18"/>
                <w:color w:val="auto"/>
              </w:rPr>
              <w:t>nm</w:t>
            </w:r>
          </w:p>
        </w:tc>
      </w:tr>
      <w:tr>
        <w:trPr>
          <w:trHeight w:val="203"/>
        </w:trPr>
        <w:tc>
          <w:tcPr>
            <w:tcW w:w="6920" w:type="dxa"/>
            <w:vAlign w:val="bottom"/>
            <w:gridSpan w:val="2"/>
          </w:tcPr>
          <w:p>
            <w:pPr>
              <w:spacing w:after="0" w:line="202" w:lineRule="exact"/>
              <w:rPr>
                <w:sz w:val="20"/>
                <w:szCs w:val="20"/>
                <w:color w:val="auto"/>
              </w:rPr>
            </w:pPr>
            <w:r>
              <w:rPr>
                <w:rFonts w:ascii="Arial" w:cs="Arial" w:eastAsia="Arial" w:hAnsi="Arial"/>
                <w:sz w:val="18"/>
                <w:szCs w:val="18"/>
                <w:color w:val="auto"/>
              </w:rPr>
              <w:t>Interest expense, net</w:t>
            </w:r>
          </w:p>
        </w:tc>
        <w:tc>
          <w:tcPr>
            <w:tcW w:w="6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(488)</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w w:val="95"/>
              </w:rPr>
              <w:t>(445)</w:t>
            </w: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(43)</w:t>
            </w:r>
          </w:p>
        </w:tc>
        <w:tc>
          <w:tcPr>
            <w:tcW w:w="1300" w:type="dxa"/>
            <w:vAlign w:val="bottom"/>
          </w:tcPr>
          <w:p>
            <w:pPr>
              <w:jc w:val="right"/>
              <w:ind w:right="278"/>
              <w:spacing w:after="0" w:line="202" w:lineRule="exact"/>
              <w:rPr>
                <w:sz w:val="20"/>
                <w:szCs w:val="20"/>
                <w:color w:val="auto"/>
              </w:rPr>
            </w:pPr>
            <w:r>
              <w:rPr>
                <w:rFonts w:ascii="Arial" w:cs="Arial" w:eastAsia="Arial" w:hAnsi="Arial"/>
                <w:sz w:val="18"/>
                <w:szCs w:val="18"/>
                <w:color w:val="auto"/>
              </w:rPr>
              <w:t>9.5</w:t>
            </w:r>
          </w:p>
        </w:tc>
      </w:tr>
      <w:tr>
        <w:trPr>
          <w:trHeight w:val="203"/>
        </w:trPr>
        <w:tc>
          <w:tcPr>
            <w:tcW w:w="69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Other, net</w:t>
            </w:r>
          </w:p>
        </w:tc>
        <w:tc>
          <w:tcPr>
            <w:tcW w:w="6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(18)</w:t>
            </w: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13</w:t>
            </w:r>
          </w:p>
        </w:tc>
        <w:tc>
          <w:tcPr>
            <w:tcW w:w="1300" w:type="dxa"/>
            <w:vAlign w:val="bottom"/>
            <w:shd w:val="clear" w:color="auto" w:fill="CCEEFF"/>
          </w:tcPr>
          <w:p>
            <w:pPr>
              <w:jc w:val="right"/>
              <w:ind w:right="218"/>
              <w:spacing w:after="0" w:line="202" w:lineRule="exact"/>
              <w:rPr>
                <w:sz w:val="20"/>
                <w:szCs w:val="20"/>
                <w:color w:val="auto"/>
              </w:rPr>
            </w:pPr>
            <w:r>
              <w:rPr>
                <w:rFonts w:ascii="Arial" w:cs="Arial" w:eastAsia="Arial" w:hAnsi="Arial"/>
                <w:sz w:val="18"/>
                <w:szCs w:val="18"/>
                <w:color w:val="auto"/>
              </w:rPr>
              <w:t>(71.1)</w:t>
            </w:r>
          </w:p>
        </w:tc>
      </w:tr>
      <w:tr>
        <w:trPr>
          <w:trHeight w:val="20"/>
        </w:trPr>
        <w:tc>
          <w:tcPr>
            <w:tcW w:w="6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10"/>
        </w:trPr>
        <w:tc>
          <w:tcPr>
            <w:tcW w:w="6920" w:type="dxa"/>
            <w:vAlign w:val="bottom"/>
            <w:gridSpan w:val="2"/>
          </w:tcPr>
          <w:p>
            <w:pPr>
              <w:ind w:left="180"/>
              <w:spacing w:after="0"/>
              <w:rPr>
                <w:sz w:val="20"/>
                <w:szCs w:val="20"/>
                <w:color w:val="auto"/>
              </w:rPr>
            </w:pPr>
            <w:r>
              <w:rPr>
                <w:rFonts w:ascii="Arial" w:cs="Arial" w:eastAsia="Arial" w:hAnsi="Arial"/>
                <w:sz w:val="18"/>
                <w:szCs w:val="18"/>
                <w:color w:val="auto"/>
              </w:rPr>
              <w:t>Total nonoperating expense, net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(391)</w:t>
            </w:r>
          </w:p>
        </w:tc>
        <w:tc>
          <w:tcPr>
            <w:tcW w:w="4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(417)</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500"/>
              <w:spacing w:after="0"/>
              <w:rPr>
                <w:sz w:val="20"/>
                <w:szCs w:val="20"/>
                <w:color w:val="auto"/>
              </w:rPr>
            </w:pPr>
            <w:r>
              <w:rPr>
                <w:rFonts w:ascii="Arial" w:cs="Arial" w:eastAsia="Arial" w:hAnsi="Arial"/>
                <w:sz w:val="18"/>
                <w:szCs w:val="18"/>
                <w:color w:val="auto"/>
              </w:rPr>
              <w:t>26</w:t>
            </w:r>
          </w:p>
        </w:tc>
        <w:tc>
          <w:tcPr>
            <w:tcW w:w="1300" w:type="dxa"/>
            <w:vAlign w:val="bottom"/>
          </w:tcPr>
          <w:p>
            <w:pPr>
              <w:jc w:val="right"/>
              <w:ind w:right="218"/>
              <w:spacing w:after="0"/>
              <w:rPr>
                <w:sz w:val="20"/>
                <w:szCs w:val="20"/>
                <w:color w:val="auto"/>
              </w:rPr>
            </w:pPr>
            <w:r>
              <w:rPr>
                <w:rFonts w:ascii="Arial" w:cs="Arial" w:eastAsia="Arial" w:hAnsi="Arial"/>
                <w:sz w:val="18"/>
                <w:szCs w:val="18"/>
                <w:color w:val="auto"/>
              </w:rPr>
              <w:t>(6.4)</w:t>
            </w:r>
          </w:p>
        </w:tc>
      </w:tr>
      <w:tr>
        <w:trPr>
          <w:trHeight w:val="20"/>
        </w:trPr>
        <w:tc>
          <w:tcPr>
            <w:tcW w:w="6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228"/>
        <w:spacing w:after="0"/>
        <w:rPr>
          <w:sz w:val="20"/>
          <w:szCs w:val="20"/>
          <w:color w:val="auto"/>
        </w:rPr>
      </w:pPr>
      <w:r>
        <w:rPr>
          <w:rFonts w:ascii="Arial" w:cs="Arial" w:eastAsia="Arial" w:hAnsi="Arial"/>
          <w:sz w:val="18"/>
          <w:szCs w:val="18"/>
          <w:color w:val="auto"/>
        </w:rPr>
        <w:t>American’s short-term investments in each period consisted of highly liquid investments that provided relatively nominal returns. Interest income increased $56 million principally due to an increase in interest rates, which drove more than a 50 basis point increase in average yields in the first six months of 2017 as compared to the 2016 period.</w:t>
      </w:r>
    </w:p>
    <w:p>
      <w:pPr>
        <w:spacing w:after="0" w:line="203" w:lineRule="exact"/>
        <w:rPr>
          <w:sz w:val="20"/>
          <w:szCs w:val="20"/>
          <w:color w:val="auto"/>
        </w:rPr>
      </w:pPr>
    </w:p>
    <w:p>
      <w:pPr>
        <w:jc w:val="both"/>
        <w:ind w:firstLine="228"/>
        <w:spacing w:after="0" w:line="246" w:lineRule="auto"/>
        <w:rPr>
          <w:sz w:val="20"/>
          <w:szCs w:val="20"/>
          <w:color w:val="auto"/>
        </w:rPr>
      </w:pPr>
      <w:r>
        <w:rPr>
          <w:rFonts w:ascii="Arial" w:cs="Arial" w:eastAsia="Arial" w:hAnsi="Arial"/>
          <w:sz w:val="18"/>
          <w:szCs w:val="18"/>
          <w:color w:val="auto"/>
        </w:rPr>
        <w:t>Interest expense, net increased $ 43 million in the first six months of 2017 as compared to the 2016 period primarily due to higher outstanding debt as a result of aircraft financings associated with American’s fleet renewal program.</w:t>
      </w:r>
    </w:p>
    <w:p>
      <w:pPr>
        <w:spacing w:after="0" w:line="197" w:lineRule="exact"/>
        <w:rPr>
          <w:sz w:val="20"/>
          <w:szCs w:val="20"/>
          <w:color w:val="auto"/>
        </w:rPr>
      </w:pPr>
    </w:p>
    <w:p>
      <w:pPr>
        <w:jc w:val="both"/>
        <w:ind w:right="20" w:firstLine="228"/>
        <w:spacing w:after="0" w:line="246" w:lineRule="auto"/>
        <w:rPr>
          <w:sz w:val="20"/>
          <w:szCs w:val="20"/>
          <w:color w:val="auto"/>
        </w:rPr>
      </w:pPr>
      <w:r>
        <w:rPr>
          <w:rFonts w:ascii="Arial" w:cs="Arial" w:eastAsia="Arial" w:hAnsi="Arial"/>
          <w:sz w:val="18"/>
          <w:szCs w:val="18"/>
          <w:color w:val="auto"/>
        </w:rPr>
        <w:t>Other nonoperating expense, net in the 2016 period primarily included $36 million of net special charges consisting of debt issuance and extinguishment costs associated with a bond refinancing, offset in part by $27 million of foreign currency gains.</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122" w:lineRule="exact"/>
        <w:rPr>
          <w:sz w:val="20"/>
          <w:szCs w:val="20"/>
          <w:color w:val="auto"/>
        </w:rPr>
      </w:pPr>
    </w:p>
    <w:p>
      <w:pPr>
        <w:jc w:val="both"/>
        <w:ind w:firstLine="228"/>
        <w:spacing w:after="0" w:line="239" w:lineRule="auto"/>
        <w:rPr>
          <w:sz w:val="20"/>
          <w:szCs w:val="20"/>
          <w:color w:val="auto"/>
        </w:rPr>
      </w:pPr>
      <w:r>
        <w:rPr>
          <w:rFonts w:ascii="Arial" w:cs="Arial" w:eastAsia="Arial" w:hAnsi="Arial"/>
          <w:sz w:val="18"/>
          <w:szCs w:val="18"/>
          <w:color w:val="auto"/>
        </w:rPr>
        <w:t>In the first six months of 2017, American recorded an income tax provision of $650 million, which was substantially non-cash due to utilization of its NOLs. Substantially all of American’s income before income taxes is attributable to the United States. At December 31, 2016, American had approximately $11.3 billion of gross NOLs to reduce future federal taxable income, substantially all of which are expected to be available for use in 2017.</w:t>
      </w:r>
    </w:p>
    <w:p>
      <w:pPr>
        <w:spacing w:after="0" w:line="202" w:lineRule="exact"/>
        <w:rPr>
          <w:sz w:val="20"/>
          <w:szCs w:val="20"/>
          <w:color w:val="auto"/>
        </w:rPr>
      </w:pPr>
    </w:p>
    <w:p>
      <w:pPr>
        <w:jc w:val="center"/>
        <w:ind w:right="280"/>
        <w:spacing w:after="0" w:line="418" w:lineRule="auto"/>
        <w:rPr>
          <w:sz w:val="20"/>
          <w:szCs w:val="20"/>
          <w:color w:val="auto"/>
        </w:rPr>
      </w:pPr>
      <w:r>
        <w:rPr>
          <w:rFonts w:ascii="Arial" w:cs="Arial" w:eastAsia="Arial" w:hAnsi="Arial"/>
          <w:sz w:val="18"/>
          <w:szCs w:val="18"/>
          <w:color w:val="auto"/>
        </w:rPr>
        <w:t>See Note 4 to American’s Condensed Consolidated Financial Statements in Part I, Item 1B for additional information on income taxes. 47</w:t>
      </w:r>
    </w:p>
    <w:p>
      <w:pPr>
        <w:sectPr>
          <w:pgSz w:w="11900" w:h="16838" w:orient="portrait"/>
          <w:cols w:equalWidth="0" w:num="1">
            <w:col w:w="11420"/>
          </w:cols>
          <w:pgMar w:left="240" w:top="287"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Liquidity and Capital Resources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26" w:lineRule="exact"/>
        <w:rPr>
          <w:sz w:val="20"/>
          <w:szCs w:val="20"/>
          <w:color w:val="auto"/>
        </w:rPr>
      </w:pPr>
    </w:p>
    <w:p>
      <w:pPr>
        <w:jc w:val="both"/>
        <w:ind w:firstLine="228"/>
        <w:spacing w:after="0" w:line="246" w:lineRule="auto"/>
        <w:rPr>
          <w:sz w:val="20"/>
          <w:szCs w:val="20"/>
          <w:color w:val="auto"/>
        </w:rPr>
      </w:pPr>
      <w:r>
        <w:rPr>
          <w:rFonts w:ascii="Arial" w:cs="Arial" w:eastAsia="Arial" w:hAnsi="Arial"/>
          <w:sz w:val="18"/>
          <w:szCs w:val="18"/>
          <w:color w:val="auto"/>
        </w:rPr>
        <w:t>As of June 30, 2017, AAG had approximately $9.3 billion in total available liquidity and $554 million in restricted cash and short-term investments. Additional detail of our available liquidity is provided in the table below (in millions):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0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14"/>
                <w:szCs w:val="14"/>
                <w:b w:val="1"/>
                <w:bCs w:val="1"/>
                <w:color w:val="auto"/>
              </w:rPr>
              <w:t>AAG</w:t>
            </w:r>
          </w:p>
        </w:tc>
        <w:tc>
          <w:tcPr>
            <w:tcW w:w="4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4"/>
                <w:szCs w:val="14"/>
                <w:b w:val="1"/>
                <w:bCs w:val="1"/>
                <w:color w:val="auto"/>
              </w:rPr>
              <w:t>American</w:t>
            </w:r>
          </w:p>
        </w:tc>
        <w:tc>
          <w:tcPr>
            <w:tcW w:w="4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r>
      <w:tr>
        <w:trPr>
          <w:trHeight w:val="156"/>
        </w:trPr>
        <w:tc>
          <w:tcPr>
            <w:tcW w:w="500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gridSpan w:val="4"/>
          </w:tcPr>
          <w:p>
            <w:pPr>
              <w:spacing w:after="0" w:line="155" w:lineRule="exact"/>
              <w:rPr>
                <w:sz w:val="20"/>
                <w:szCs w:val="20"/>
                <w:color w:val="auto"/>
              </w:rPr>
            </w:pPr>
            <w:r>
              <w:rPr>
                <w:rFonts w:ascii="Arial" w:cs="Arial" w:eastAsia="Arial" w:hAnsi="Arial"/>
                <w:sz w:val="14"/>
                <w:szCs w:val="14"/>
                <w:b w:val="1"/>
                <w:bCs w:val="1"/>
                <w:color w:val="auto"/>
              </w:rPr>
              <w:t>June 30, 2017</w:t>
            </w:r>
          </w:p>
        </w:tc>
        <w:tc>
          <w:tcPr>
            <w:tcW w:w="640" w:type="dxa"/>
            <w:vAlign w:val="bottom"/>
            <w:tcBorders>
              <w:bottom w:val="single" w:sz="8" w:color="CCEEFF"/>
            </w:tcBorders>
          </w:tcPr>
          <w:p>
            <w:pPr>
              <w:spacing w:after="0"/>
              <w:rPr>
                <w:sz w:val="13"/>
                <w:szCs w:val="13"/>
                <w:color w:val="auto"/>
              </w:rPr>
            </w:pPr>
          </w:p>
        </w:tc>
        <w:tc>
          <w:tcPr>
            <w:tcW w:w="1300" w:type="dxa"/>
            <w:vAlign w:val="bottom"/>
            <w:tcBorders>
              <w:bottom w:val="single" w:sz="8" w:color="auto"/>
            </w:tcBorders>
            <w:gridSpan w:val="4"/>
          </w:tcPr>
          <w:p>
            <w:pPr>
              <w:spacing w:after="0" w:line="155" w:lineRule="exact"/>
              <w:rPr>
                <w:sz w:val="20"/>
                <w:szCs w:val="20"/>
                <w:color w:val="auto"/>
              </w:rPr>
            </w:pPr>
            <w:r>
              <w:rPr>
                <w:rFonts w:ascii="Arial" w:cs="Arial" w:eastAsia="Arial" w:hAnsi="Arial"/>
                <w:sz w:val="14"/>
                <w:szCs w:val="14"/>
                <w:b w:val="1"/>
                <w:bCs w:val="1"/>
                <w:color w:val="auto"/>
              </w:rPr>
              <w:t>December 31, 2016</w:t>
            </w:r>
          </w:p>
        </w:tc>
        <w:tc>
          <w:tcPr>
            <w:tcW w:w="64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gridSpan w:val="4"/>
          </w:tcPr>
          <w:p>
            <w:pPr>
              <w:ind w:left="20"/>
              <w:spacing w:after="0" w:line="155" w:lineRule="exact"/>
              <w:rPr>
                <w:sz w:val="20"/>
                <w:szCs w:val="20"/>
                <w:color w:val="auto"/>
              </w:rPr>
            </w:pPr>
            <w:r>
              <w:rPr>
                <w:rFonts w:ascii="Arial" w:cs="Arial" w:eastAsia="Arial" w:hAnsi="Arial"/>
                <w:sz w:val="14"/>
                <w:szCs w:val="14"/>
                <w:b w:val="1"/>
                <w:bCs w:val="1"/>
                <w:color w:val="auto"/>
              </w:rPr>
              <w:t>June 30, 2017</w:t>
            </w:r>
          </w:p>
        </w:tc>
        <w:tc>
          <w:tcPr>
            <w:tcW w:w="640" w:type="dxa"/>
            <w:vAlign w:val="bottom"/>
            <w:tcBorders>
              <w:bottom w:val="single" w:sz="8" w:color="CCEEFF"/>
            </w:tcBorders>
          </w:tcPr>
          <w:p>
            <w:pPr>
              <w:spacing w:after="0"/>
              <w:rPr>
                <w:sz w:val="13"/>
                <w:szCs w:val="13"/>
                <w:color w:val="auto"/>
              </w:rPr>
            </w:pPr>
          </w:p>
        </w:tc>
        <w:tc>
          <w:tcPr>
            <w:tcW w:w="1300" w:type="dxa"/>
            <w:vAlign w:val="bottom"/>
            <w:tcBorders>
              <w:bottom w:val="single" w:sz="8" w:color="auto"/>
            </w:tcBorders>
            <w:gridSpan w:val="4"/>
          </w:tcPr>
          <w:p>
            <w:pPr>
              <w:jc w:val="right"/>
              <w:spacing w:after="0" w:line="155" w:lineRule="exact"/>
              <w:rPr>
                <w:sz w:val="20"/>
                <w:szCs w:val="20"/>
                <w:color w:val="auto"/>
              </w:rPr>
            </w:pPr>
            <w:r>
              <w:rPr>
                <w:rFonts w:ascii="Arial" w:cs="Arial" w:eastAsia="Arial" w:hAnsi="Arial"/>
                <w:sz w:val="14"/>
                <w:szCs w:val="14"/>
                <w:b w:val="1"/>
                <w:bCs w:val="1"/>
                <w:color w:val="auto"/>
              </w:rPr>
              <w:t>December 31, 2016</w:t>
            </w:r>
          </w:p>
        </w:tc>
      </w:tr>
      <w:tr>
        <w:trPr>
          <w:trHeight w:val="196"/>
        </w:trPr>
        <w:tc>
          <w:tcPr>
            <w:tcW w:w="5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w:t>
            </w:r>
          </w:p>
        </w:tc>
        <w:tc>
          <w:tcPr>
            <w:tcW w:w="2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386</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322</w:t>
            </w:r>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368</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310</w:t>
            </w:r>
          </w:p>
        </w:tc>
        <w:tc>
          <w:tcPr>
            <w:tcW w:w="360" w:type="dxa"/>
            <w:vAlign w:val="bottom"/>
            <w:shd w:val="clear" w:color="auto" w:fill="CCEEFF"/>
          </w:tcPr>
          <w:p>
            <w:pPr>
              <w:spacing w:after="0"/>
              <w:rPr>
                <w:sz w:val="17"/>
                <w:szCs w:val="17"/>
                <w:color w:val="auto"/>
              </w:rPr>
            </w:pPr>
          </w:p>
        </w:tc>
      </w:tr>
      <w:tr>
        <w:trPr>
          <w:trHeight w:val="203"/>
        </w:trPr>
        <w:tc>
          <w:tcPr>
            <w:tcW w:w="5000" w:type="dxa"/>
            <w:vAlign w:val="bottom"/>
          </w:tcPr>
          <w:p>
            <w:pPr>
              <w:spacing w:after="0" w:line="202" w:lineRule="exact"/>
              <w:rPr>
                <w:sz w:val="20"/>
                <w:szCs w:val="20"/>
                <w:color w:val="auto"/>
              </w:rPr>
            </w:pPr>
            <w:r>
              <w:rPr>
                <w:rFonts w:ascii="Arial" w:cs="Arial" w:eastAsia="Arial" w:hAnsi="Arial"/>
                <w:sz w:val="18"/>
                <w:szCs w:val="18"/>
                <w:color w:val="auto"/>
              </w:rPr>
              <w:t>Short-term investments</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6,500</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6,037</w:t>
            </w: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6,498</w:t>
            </w: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w w:val="97"/>
              </w:rPr>
              <w:t>6,034</w:t>
            </w:r>
          </w:p>
        </w:tc>
      </w:tr>
      <w:tr>
        <w:trPr>
          <w:trHeight w:val="203"/>
        </w:trPr>
        <w:tc>
          <w:tcPr>
            <w:tcW w:w="5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Undrawn revolving credit facilities</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2,425</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2,425</w:t>
            </w:r>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2,425</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w w:val="97"/>
              </w:rPr>
              <w:t>2,425</w:t>
            </w:r>
          </w:p>
        </w:tc>
      </w:tr>
      <w:tr>
        <w:trPr>
          <w:trHeight w:val="20"/>
        </w:trPr>
        <w:tc>
          <w:tcPr>
            <w:tcW w:w="5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10"/>
        </w:trPr>
        <w:tc>
          <w:tcPr>
            <w:tcW w:w="5000" w:type="dxa"/>
            <w:vAlign w:val="bottom"/>
          </w:tcPr>
          <w:p>
            <w:pPr>
              <w:spacing w:after="0"/>
              <w:rPr>
                <w:sz w:val="20"/>
                <w:szCs w:val="20"/>
                <w:color w:val="auto"/>
              </w:rPr>
            </w:pPr>
            <w:r>
              <w:rPr>
                <w:rFonts w:ascii="Arial" w:cs="Arial" w:eastAsia="Arial" w:hAnsi="Arial"/>
                <w:sz w:val="18"/>
                <w:szCs w:val="18"/>
                <w:color w:val="auto"/>
              </w:rPr>
              <w:t>Total available liquidity</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9,311</w:t>
            </w:r>
          </w:p>
        </w:tc>
        <w:tc>
          <w:tcPr>
            <w:tcW w:w="180" w:type="dxa"/>
            <w:vAlign w:val="bottom"/>
          </w:tcPr>
          <w:p>
            <w:pPr>
              <w:spacing w:after="0"/>
              <w:rPr>
                <w:sz w:val="18"/>
                <w:szCs w:val="18"/>
                <w:color w:val="auto"/>
              </w:rPr>
            </w:pPr>
          </w:p>
        </w:tc>
        <w:tc>
          <w:tcPr>
            <w:tcW w:w="11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8,784</w:t>
            </w:r>
          </w:p>
        </w:tc>
        <w:tc>
          <w:tcPr>
            <w:tcW w:w="64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9,291</w:t>
            </w:r>
          </w:p>
        </w:tc>
        <w:tc>
          <w:tcPr>
            <w:tcW w:w="11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w w:val="97"/>
              </w:rPr>
              <w:t>8,769</w:t>
            </w:r>
          </w:p>
        </w:tc>
      </w:tr>
      <w:tr>
        <w:trPr>
          <w:trHeight w:val="20"/>
        </w:trPr>
        <w:tc>
          <w:tcPr>
            <w:tcW w:w="5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Programs</w:t>
      </w:r>
    </w:p>
    <w:p>
      <w:pPr>
        <w:spacing w:after="0" w:line="126" w:lineRule="exact"/>
        <w:rPr>
          <w:sz w:val="20"/>
          <w:szCs w:val="20"/>
          <w:color w:val="auto"/>
        </w:rPr>
      </w:pPr>
    </w:p>
    <w:p>
      <w:pPr>
        <w:jc w:val="both"/>
        <w:ind w:firstLine="228"/>
        <w:spacing w:after="0" w:line="237" w:lineRule="auto"/>
        <w:rPr>
          <w:sz w:val="20"/>
          <w:szCs w:val="20"/>
          <w:color w:val="auto"/>
        </w:rPr>
      </w:pPr>
      <w:r>
        <w:rPr>
          <w:rFonts w:ascii="Arial" w:cs="Arial" w:eastAsia="Arial" w:hAnsi="Arial"/>
          <w:sz w:val="18"/>
          <w:szCs w:val="18"/>
          <w:color w:val="auto"/>
        </w:rPr>
        <w:t>Since July 2014, our Board of Directors has approved six share repurchase programs aggregating $11.0 billion of authority. As of June 30, 2017, $1.0 billion remained unused under a repurchase program that expires on December 31, 2018. Share repurchases under our share repurchase programs may be made through a variety of methods, which may include open market purchases, privately negotiated transactions, block trades or accelerated share repurchase transactions. Any such repurchases will be made from time to time subject to market and economic conditions, applicable legal requirements and other relevant factors. Our share repurchase programs do not obligate us to repurchase any specific number of shares and may be suspended at any time at our discretion.</w:t>
      </w:r>
    </w:p>
    <w:p>
      <w:pPr>
        <w:spacing w:after="0" w:line="178" w:lineRule="exact"/>
        <w:rPr>
          <w:sz w:val="20"/>
          <w:szCs w:val="20"/>
          <w:color w:val="auto"/>
        </w:rPr>
      </w:pPr>
    </w:p>
    <w:p>
      <w:pPr>
        <w:jc w:val="both"/>
        <w:ind w:firstLine="228"/>
        <w:spacing w:after="0" w:line="239" w:lineRule="auto"/>
        <w:rPr>
          <w:sz w:val="20"/>
          <w:szCs w:val="20"/>
          <w:color w:val="auto"/>
        </w:rPr>
      </w:pPr>
      <w:r>
        <w:rPr>
          <w:rFonts w:ascii="Arial" w:cs="Arial" w:eastAsia="Arial" w:hAnsi="Arial"/>
          <w:sz w:val="18"/>
          <w:szCs w:val="18"/>
          <w:color w:val="auto"/>
        </w:rPr>
        <w:t>During the three months ended June 30, 2017, we repurchased 10.0 million shares of AAG common stock for $450 million at a weighted average cost per share of $45.01. During the six months ended June 30, 2017, we repurchased 21.7 million shares of AAG common stock for $962 million at a weighted average cost per share of $ 44.36. Since the inception of our share repurchase programs in July 2014, we have repurchased 250.0 million shares of AAG common stock for $10.0 billion at a weighted average cost per share of $39.84.</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Dividends</w:t>
      </w:r>
    </w:p>
    <w:p>
      <w:pPr>
        <w:spacing w:after="0" w:line="12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Our Board of Directors declared the following cash dividends during the first six months of 2017:</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0" w:type="dxa"/>
            <w:vAlign w:val="bottom"/>
            <w:vMerge w:val="restart"/>
          </w:tcPr>
          <w:p>
            <w:pPr>
              <w:spacing w:after="0"/>
              <w:rPr>
                <w:sz w:val="20"/>
                <w:szCs w:val="20"/>
                <w:color w:val="auto"/>
              </w:rPr>
            </w:pPr>
            <w:r>
              <w:rPr>
                <w:rFonts w:ascii="Arial" w:cs="Arial" w:eastAsia="Arial" w:hAnsi="Arial"/>
                <w:sz w:val="14"/>
                <w:szCs w:val="14"/>
                <w:b w:val="1"/>
                <w:bCs w:val="1"/>
                <w:color w:val="auto"/>
              </w:rPr>
              <w:t>Period</w:t>
            </w:r>
          </w:p>
        </w:tc>
        <w:tc>
          <w:tcPr>
            <w:tcW w:w="584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gridSpan w:val="2"/>
          </w:tcPr>
          <w:p>
            <w:pPr>
              <w:ind w:left="200"/>
              <w:spacing w:after="0"/>
              <w:rPr>
                <w:sz w:val="20"/>
                <w:szCs w:val="20"/>
                <w:color w:val="auto"/>
              </w:rPr>
            </w:pPr>
            <w:r>
              <w:rPr>
                <w:rFonts w:ascii="Arial" w:cs="Arial" w:eastAsia="Arial" w:hAnsi="Arial"/>
                <w:sz w:val="14"/>
                <w:szCs w:val="14"/>
                <w:b w:val="1"/>
                <w:bCs w:val="1"/>
                <w:color w:val="auto"/>
              </w:rPr>
              <w:t>For stockholders</w:t>
            </w:r>
          </w:p>
        </w:tc>
        <w:tc>
          <w:tcPr>
            <w:tcW w:w="1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2"/>
        </w:trPr>
        <w:tc>
          <w:tcPr>
            <w:tcW w:w="460" w:type="dxa"/>
            <w:vAlign w:val="bottom"/>
            <w:tcBorders>
              <w:bottom w:val="single" w:sz="8" w:color="auto"/>
            </w:tcBorders>
            <w:vMerge w:val="continue"/>
          </w:tcPr>
          <w:p>
            <w:pPr>
              <w:spacing w:after="0"/>
              <w:rPr>
                <w:sz w:val="15"/>
                <w:szCs w:val="15"/>
                <w:color w:val="auto"/>
              </w:rPr>
            </w:pPr>
          </w:p>
        </w:tc>
        <w:tc>
          <w:tcPr>
            <w:tcW w:w="5840" w:type="dxa"/>
            <w:vAlign w:val="bottom"/>
            <w:vMerge w:val="continue"/>
          </w:tcPr>
          <w:p>
            <w:pPr>
              <w:spacing w:after="0"/>
              <w:rPr>
                <w:sz w:val="15"/>
                <w:szCs w:val="15"/>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Per share</w:t>
            </w:r>
          </w:p>
        </w:tc>
        <w:tc>
          <w:tcPr>
            <w:tcW w:w="1800" w:type="dxa"/>
            <w:vAlign w:val="bottom"/>
            <w:gridSpan w:val="2"/>
          </w:tcPr>
          <w:p>
            <w:pPr>
              <w:ind w:left="280"/>
              <w:spacing w:after="0"/>
              <w:rPr>
                <w:sz w:val="20"/>
                <w:szCs w:val="20"/>
                <w:color w:val="auto"/>
              </w:rPr>
            </w:pPr>
            <w:r>
              <w:rPr>
                <w:rFonts w:ascii="Arial" w:cs="Arial" w:eastAsia="Arial" w:hAnsi="Arial"/>
                <w:sz w:val="14"/>
                <w:szCs w:val="14"/>
                <w:b w:val="1"/>
                <w:bCs w:val="1"/>
                <w:color w:val="auto"/>
              </w:rPr>
              <w:t>of record as of</w:t>
            </w:r>
          </w:p>
        </w:tc>
        <w:tc>
          <w:tcPr>
            <w:tcW w:w="1800" w:type="dxa"/>
            <w:vAlign w:val="bottom"/>
            <w:gridSpan w:val="2"/>
          </w:tcPr>
          <w:p>
            <w:pPr>
              <w:ind w:left="400"/>
              <w:spacing w:after="0"/>
              <w:rPr>
                <w:sz w:val="20"/>
                <w:szCs w:val="20"/>
                <w:color w:val="auto"/>
              </w:rPr>
            </w:pPr>
            <w:r>
              <w:rPr>
                <w:rFonts w:ascii="Arial" w:cs="Arial" w:eastAsia="Arial" w:hAnsi="Arial"/>
                <w:sz w:val="14"/>
                <w:szCs w:val="14"/>
                <w:b w:val="1"/>
                <w:bCs w:val="1"/>
                <w:color w:val="auto"/>
              </w:rPr>
              <w:t>Payable on</w:t>
            </w:r>
          </w:p>
        </w:tc>
        <w:tc>
          <w:tcPr>
            <w:tcW w:w="640" w:type="dxa"/>
            <w:vAlign w:val="bottom"/>
            <w:gridSpan w:val="4"/>
          </w:tcPr>
          <w:p>
            <w:pPr>
              <w:jc w:val="right"/>
              <w:spacing w:after="0"/>
              <w:rPr>
                <w:sz w:val="20"/>
                <w:szCs w:val="20"/>
                <w:color w:val="auto"/>
              </w:rPr>
            </w:pPr>
            <w:r>
              <w:rPr>
                <w:rFonts w:ascii="Arial" w:cs="Arial" w:eastAsia="Arial" w:hAnsi="Arial"/>
                <w:sz w:val="14"/>
                <w:szCs w:val="14"/>
                <w:b w:val="1"/>
                <w:bCs w:val="1"/>
                <w:color w:val="auto"/>
                <w:w w:val="99"/>
              </w:rPr>
              <w:t>(millions)</w:t>
            </w:r>
          </w:p>
        </w:tc>
        <w:tc>
          <w:tcPr>
            <w:tcW w:w="0" w:type="dxa"/>
            <w:vAlign w:val="bottom"/>
          </w:tcPr>
          <w:p>
            <w:pPr>
              <w:spacing w:after="0"/>
              <w:rPr>
                <w:sz w:val="1"/>
                <w:szCs w:val="1"/>
                <w:color w:val="auto"/>
              </w:rPr>
            </w:pPr>
          </w:p>
        </w:tc>
      </w:tr>
      <w:tr>
        <w:trPr>
          <w:trHeight w:val="190"/>
        </w:trPr>
        <w:tc>
          <w:tcPr>
            <w:tcW w:w="63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First Quarter</w:t>
            </w:r>
          </w:p>
        </w:tc>
        <w:tc>
          <w:tcPr>
            <w:tcW w:w="2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0.10</w:t>
            </w:r>
          </w:p>
        </w:tc>
        <w:tc>
          <w:tcPr>
            <w:tcW w:w="220" w:type="dxa"/>
            <w:vAlign w:val="bottom"/>
            <w:tcBorders>
              <w:top w:val="single" w:sz="8" w:color="CCEEFF"/>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ind w:left="100"/>
              <w:spacing w:after="0" w:line="189" w:lineRule="exact"/>
              <w:rPr>
                <w:sz w:val="20"/>
                <w:szCs w:val="20"/>
                <w:color w:val="auto"/>
              </w:rPr>
            </w:pPr>
            <w:r>
              <w:rPr>
                <w:rFonts w:ascii="Arial" w:cs="Arial" w:eastAsia="Arial" w:hAnsi="Arial"/>
                <w:sz w:val="18"/>
                <w:szCs w:val="18"/>
                <w:color w:val="auto"/>
                <w:w w:val="99"/>
              </w:rPr>
              <w:t>February 13, 2017</w:t>
            </w:r>
          </w:p>
        </w:tc>
        <w:tc>
          <w:tcPr>
            <w:tcW w:w="220" w:type="dxa"/>
            <w:vAlign w:val="bottom"/>
            <w:tcBorders>
              <w:top w:val="single" w:sz="8" w:color="CCEEFF"/>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jc w:val="center"/>
              <w:ind w:left="16"/>
              <w:spacing w:after="0" w:line="189" w:lineRule="exact"/>
              <w:rPr>
                <w:sz w:val="20"/>
                <w:szCs w:val="20"/>
                <w:color w:val="auto"/>
              </w:rPr>
            </w:pPr>
            <w:r>
              <w:rPr>
                <w:rFonts w:ascii="Arial" w:cs="Arial" w:eastAsia="Arial" w:hAnsi="Arial"/>
                <w:sz w:val="18"/>
                <w:szCs w:val="18"/>
                <w:color w:val="auto"/>
              </w:rPr>
              <w:t>February 27, 2017</w:t>
            </w:r>
          </w:p>
        </w:tc>
        <w:tc>
          <w:tcPr>
            <w:tcW w:w="22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gridSpan w:val="2"/>
            <w:shd w:val="clear" w:color="auto" w:fill="CCEEFF"/>
          </w:tcPr>
          <w:p>
            <w:pPr>
              <w:jc w:val="right"/>
              <w:ind w:right="20"/>
              <w:spacing w:after="0" w:line="189"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0"/>
        </w:trPr>
        <w:tc>
          <w:tcPr>
            <w:tcW w:w="6300" w:type="dxa"/>
            <w:vAlign w:val="bottom"/>
            <w:gridSpan w:val="2"/>
          </w:tcPr>
          <w:p>
            <w:pPr>
              <w:spacing w:after="0" w:line="202" w:lineRule="exact"/>
              <w:rPr>
                <w:sz w:val="20"/>
                <w:szCs w:val="20"/>
                <w:color w:val="auto"/>
              </w:rPr>
            </w:pPr>
            <w:r>
              <w:rPr>
                <w:rFonts w:ascii="Arial" w:cs="Arial" w:eastAsia="Arial" w:hAnsi="Arial"/>
                <w:sz w:val="18"/>
                <w:szCs w:val="18"/>
                <w:color w:val="auto"/>
              </w:rPr>
              <w:t>Second Quarter</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0.10</w:t>
            </w:r>
          </w:p>
        </w:tc>
        <w:tc>
          <w:tcPr>
            <w:tcW w:w="220" w:type="dxa"/>
            <w:vAlign w:val="bottom"/>
          </w:tcPr>
          <w:p>
            <w:pPr>
              <w:spacing w:after="0"/>
              <w:rPr>
                <w:sz w:val="18"/>
                <w:szCs w:val="18"/>
                <w:color w:val="auto"/>
              </w:rPr>
            </w:pPr>
          </w:p>
        </w:tc>
        <w:tc>
          <w:tcPr>
            <w:tcW w:w="180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May 16, 2017</w:t>
            </w:r>
          </w:p>
        </w:tc>
        <w:tc>
          <w:tcPr>
            <w:tcW w:w="1800" w:type="dxa"/>
            <w:vAlign w:val="bottom"/>
            <w:gridSpan w:val="2"/>
          </w:tcPr>
          <w:p>
            <w:pPr>
              <w:jc w:val="center"/>
              <w:ind w:right="120"/>
              <w:spacing w:after="0" w:line="202" w:lineRule="exact"/>
              <w:rPr>
                <w:sz w:val="20"/>
                <w:szCs w:val="20"/>
                <w:color w:val="auto"/>
              </w:rPr>
            </w:pPr>
            <w:r>
              <w:rPr>
                <w:rFonts w:ascii="Arial" w:cs="Arial" w:eastAsia="Arial" w:hAnsi="Arial"/>
                <w:sz w:val="18"/>
                <w:szCs w:val="18"/>
                <w:color w:val="auto"/>
                <w:w w:val="98"/>
              </w:rPr>
              <w:t>May 30, 2017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3"/>
        </w:trPr>
        <w:tc>
          <w:tcPr>
            <w:tcW w:w="630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3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3"/>
              </w:rPr>
              <w:t>101</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right="20" w:firstLine="228"/>
        <w:spacing w:after="0" w:line="246" w:lineRule="auto"/>
        <w:rPr>
          <w:sz w:val="20"/>
          <w:szCs w:val="20"/>
          <w:color w:val="auto"/>
        </w:rPr>
      </w:pPr>
      <w:r>
        <w:rPr>
          <w:rFonts w:ascii="Arial" w:cs="Arial" w:eastAsia="Arial" w:hAnsi="Arial"/>
          <w:sz w:val="18"/>
          <w:szCs w:val="18"/>
          <w:color w:val="auto"/>
        </w:rPr>
        <w:t>In July 2017, we announced that our Board of Directors had declared a $0.10 per share dividend for stockholders of record on August 14, 2017, and payable on August 28, 2017.</w:t>
      </w:r>
    </w:p>
    <w:p>
      <w:pPr>
        <w:spacing w:after="0" w:line="170" w:lineRule="exact"/>
        <w:rPr>
          <w:sz w:val="20"/>
          <w:szCs w:val="20"/>
          <w:color w:val="auto"/>
        </w:rPr>
      </w:pPr>
    </w:p>
    <w:p>
      <w:pPr>
        <w:jc w:val="both"/>
        <w:ind w:firstLine="228"/>
        <w:spacing w:after="0"/>
        <w:rPr>
          <w:sz w:val="20"/>
          <w:szCs w:val="20"/>
          <w:color w:val="auto"/>
        </w:rPr>
      </w:pPr>
      <w:r>
        <w:rPr>
          <w:rFonts w:ascii="Arial" w:cs="Arial" w:eastAsia="Arial" w:hAnsi="Arial"/>
          <w:sz w:val="18"/>
          <w:szCs w:val="18"/>
          <w:color w:val="auto"/>
        </w:rPr>
        <w:t>Any future dividends that may be declared and paid from time to time will be subject to market and economic conditions, applicable legal requirements and other relevant factors. We are not obligated to continue a dividend for any fixed period, and payment of dividends may be suspended at any time at our discretion.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Cash</w:t>
      </w:r>
    </w:p>
    <w:p>
      <w:pPr>
        <w:spacing w:after="0" w:line="10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AAG</w:t>
      </w:r>
    </w:p>
    <w:p>
      <w:pPr>
        <w:spacing w:after="0" w:line="10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Operating Activities</w:t>
      </w:r>
    </w:p>
    <w:p>
      <w:pPr>
        <w:spacing w:after="0" w:line="122" w:lineRule="exact"/>
        <w:rPr>
          <w:sz w:val="20"/>
          <w:szCs w:val="20"/>
          <w:color w:val="auto"/>
        </w:rPr>
      </w:pPr>
    </w:p>
    <w:p>
      <w:pPr>
        <w:jc w:val="both"/>
        <w:ind w:firstLine="228"/>
        <w:spacing w:after="0"/>
        <w:rPr>
          <w:sz w:val="20"/>
          <w:szCs w:val="20"/>
          <w:color w:val="auto"/>
        </w:rPr>
      </w:pPr>
      <w:r>
        <w:rPr>
          <w:rFonts w:ascii="Arial" w:cs="Arial" w:eastAsia="Arial" w:hAnsi="Arial"/>
          <w:sz w:val="18"/>
          <w:szCs w:val="18"/>
          <w:color w:val="auto"/>
        </w:rPr>
        <w:t>Our net cash provided by operating activities was $3.9 billion and $4.8 billion for the first six months of 2017 and 2016, respectively, a period-over-period decrease of $895 million. The decrease was primarily due to lower profitability in the first six months of 2017 driven by higher fuel costs as well as salaries, wages and benefits, which were offset in part by higher revenues.</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Investing Activities</w:t>
      </w:r>
    </w:p>
    <w:p>
      <w:pPr>
        <w:spacing w:after="0" w:line="12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Our net cash used in investing activities was $3.3 billion and $3.8 billion for the first six months of 2017 and 2016, respectively.</w:t>
      </w:r>
    </w:p>
    <w:p>
      <w:pPr>
        <w:spacing w:after="0" w:line="185" w:lineRule="exact"/>
        <w:rPr>
          <w:sz w:val="20"/>
          <w:szCs w:val="20"/>
          <w:color w:val="auto"/>
        </w:rPr>
      </w:pPr>
    </w:p>
    <w:p>
      <w:pPr>
        <w:jc w:val="both"/>
        <w:ind w:firstLine="228"/>
        <w:spacing w:after="0" w:line="246" w:lineRule="auto"/>
        <w:rPr>
          <w:sz w:val="20"/>
          <w:szCs w:val="20"/>
          <w:color w:val="auto"/>
        </w:rPr>
      </w:pPr>
      <w:r>
        <w:rPr>
          <w:rFonts w:ascii="Arial" w:cs="Arial" w:eastAsia="Arial" w:hAnsi="Arial"/>
          <w:sz w:val="18"/>
          <w:szCs w:val="18"/>
          <w:color w:val="auto"/>
        </w:rPr>
        <w:t>Our principal investing activities in the 2017 period included expenditures of $3.2 billion for property and equipment, primarily 42 aircraft, including 15 Airbus A321 aircraft, 10 Boeing 737-800 aircraft, nine Embraer 175 aircraft, and eight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265" w:right="239" w:bottom="1440" w:gutter="0" w:footer="0" w:header="0"/>
        </w:sectPr>
      </w:pPr>
    </w:p>
    <w:bookmarkStart w:id="48" w:name="page49"/>
    <w:bookmarkEnd w:id="48"/>
    <w:p>
      <w:pPr>
        <w:jc w:val="both"/>
        <w:spacing w:after="0" w:line="24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Boeing 787 aircraft. We also had $456 million in net purchases of short-term investments. These cash outflows were offset in part by $313 million of proceeds from the sale of property and equipment, primarily including cash proceeds from aircraft sale-leaseback transactions.</w:t>
      </w:r>
    </w:p>
    <w:p>
      <w:pPr>
        <w:spacing w:after="0" w:line="197" w:lineRule="exact"/>
        <w:rPr>
          <w:sz w:val="20"/>
          <w:szCs w:val="20"/>
          <w:color w:val="auto"/>
        </w:rPr>
      </w:pPr>
    </w:p>
    <w:p>
      <w:pPr>
        <w:jc w:val="both"/>
        <w:ind w:firstLine="228"/>
        <w:spacing w:after="0"/>
        <w:rPr>
          <w:sz w:val="20"/>
          <w:szCs w:val="20"/>
          <w:color w:val="auto"/>
        </w:rPr>
      </w:pPr>
      <w:r>
        <w:rPr>
          <w:rFonts w:ascii="Arial" w:cs="Arial" w:eastAsia="Arial" w:hAnsi="Arial"/>
          <w:sz w:val="18"/>
          <w:szCs w:val="18"/>
          <w:color w:val="auto"/>
        </w:rPr>
        <w:t>Our principal investing activities in the 2016 period included expenditures of $ 3.1 billion for property and equipment, primarily 56 aircraft, including 15 Bombardier CRJ900 aircraft, 13 Airbus A321 aircraft, 12 Embraer 175 aircraft, 10 Boeing 737-800 aircraft, four Boeing 787 aircraft and two Boeing 777 aircraft. We also had $795 million in net purchases of short-term investments.</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Financing Activities</w:t>
      </w:r>
    </w:p>
    <w:p>
      <w:pPr>
        <w:spacing w:after="0" w:line="12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Our net cash used in financing activities was $621 million and $1.0 billion for the first six months of 2017 and 2016, respectively.</w:t>
      </w:r>
    </w:p>
    <w:p>
      <w:pPr>
        <w:spacing w:after="0" w:line="212" w:lineRule="exact"/>
        <w:rPr>
          <w:sz w:val="20"/>
          <w:szCs w:val="20"/>
          <w:color w:val="auto"/>
        </w:rPr>
      </w:pPr>
    </w:p>
    <w:p>
      <w:pPr>
        <w:jc w:val="both"/>
        <w:ind w:firstLine="228"/>
        <w:spacing w:after="0"/>
        <w:rPr>
          <w:sz w:val="20"/>
          <w:szCs w:val="20"/>
          <w:color w:val="auto"/>
        </w:rPr>
      </w:pPr>
      <w:r>
        <w:rPr>
          <w:rFonts w:ascii="Arial" w:cs="Arial" w:eastAsia="Arial" w:hAnsi="Arial"/>
          <w:sz w:val="18"/>
          <w:szCs w:val="18"/>
          <w:color w:val="auto"/>
        </w:rPr>
        <w:t>Our principal financing activities in the 2017 period included proceeds of $ 1.6 billion from the issuance of debt, primarily the issuance of $1.1 billion of EETCs and $533 million borrowed in connection with the financing of certain aircraft. These cash inflows were offset in part by $1.1 billion in scheduled debt repayments, $1.0 billion in share repurchases and $102 million in dividend payments.</w:t>
      </w:r>
    </w:p>
    <w:p>
      <w:pPr>
        <w:spacing w:after="0" w:line="203" w:lineRule="exact"/>
        <w:rPr>
          <w:sz w:val="20"/>
          <w:szCs w:val="20"/>
          <w:color w:val="auto"/>
        </w:rPr>
      </w:pPr>
    </w:p>
    <w:p>
      <w:pPr>
        <w:jc w:val="both"/>
        <w:ind w:firstLine="228"/>
        <w:spacing w:after="0" w:line="237" w:lineRule="auto"/>
        <w:rPr>
          <w:sz w:val="20"/>
          <w:szCs w:val="20"/>
          <w:color w:val="auto"/>
        </w:rPr>
      </w:pPr>
      <w:r>
        <w:rPr>
          <w:rFonts w:ascii="Arial" w:cs="Arial" w:eastAsia="Arial" w:hAnsi="Arial"/>
          <w:sz w:val="18"/>
          <w:szCs w:val="18"/>
          <w:color w:val="auto"/>
        </w:rPr>
        <w:t>Our principal financing activities in the 2016 period included proceeds of $4.5 billion from the issuance of debt, primarily including the issuance of $1.7 billion of EETCs, $ 1.0 billion provided under the 2016 Term Loan Facility, an $844 million issuance of special facility revenue refunding bonds related to JFK and an additional $1.0 billion borrowed in connection with the financing of certain aircraft. These cash inflows were offset in part by $3.2 billion in share repurchases, $2.2 million in debt repayments, primarily including the repayment of $588 million in remaining principal of the 2013 Citicorp Credit Facility Tranche B-2 and the refunding of approximately $1.0 billion of special facility revenue bonds related to JFK, and $119 million in dividend payments.</w:t>
      </w:r>
    </w:p>
    <w:p>
      <w:pPr>
        <w:spacing w:after="0" w:line="1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American</w:t>
      </w:r>
    </w:p>
    <w:p>
      <w:pPr>
        <w:spacing w:after="0" w:line="10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Operating Activities</w:t>
      </w:r>
    </w:p>
    <w:p>
      <w:pPr>
        <w:spacing w:after="0" w:line="122" w:lineRule="exact"/>
        <w:rPr>
          <w:sz w:val="20"/>
          <w:szCs w:val="20"/>
          <w:color w:val="auto"/>
        </w:rPr>
      </w:pPr>
    </w:p>
    <w:p>
      <w:pPr>
        <w:jc w:val="both"/>
        <w:ind w:firstLine="228"/>
        <w:spacing w:after="0" w:line="238" w:lineRule="auto"/>
        <w:rPr>
          <w:sz w:val="20"/>
          <w:szCs w:val="20"/>
          <w:color w:val="auto"/>
        </w:rPr>
      </w:pPr>
      <w:r>
        <w:rPr>
          <w:rFonts w:ascii="Arial" w:cs="Arial" w:eastAsia="Arial" w:hAnsi="Arial"/>
          <w:sz w:val="18"/>
          <w:szCs w:val="18"/>
          <w:color w:val="auto"/>
        </w:rPr>
        <w:t>American’s net cash provided by operating activities was $2.8 billion and $ 1.4 billion for the first six months of 2017 and 2016, respectively, a period-over-period increase of $ 1.3 billion. We have the ability to move funds freely between our subsidiaries to support our cash requirements. The increase in operating cash flows during the first six months of 2017 as compared to the 2016 period was primarily due to a decrease in intercompany cash transfers from American to AAG. This increase in operating cash flows was offset in part by lower profitability in the first six months of 2017 driven by higher fuel costs as well as salaries, wages and benefits, which were offset in part by higher revenues.</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Investing Activities</w:t>
      </w:r>
    </w:p>
    <w:p>
      <w:pPr>
        <w:spacing w:after="0" w:line="12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American’s net cash used in investing activities was $3.2 billion and $3.7 billion for the first six months of 2017 and 2016, respectively.</w:t>
      </w:r>
    </w:p>
    <w:p>
      <w:pPr>
        <w:spacing w:after="0" w:line="212" w:lineRule="exact"/>
        <w:rPr>
          <w:sz w:val="20"/>
          <w:szCs w:val="20"/>
          <w:color w:val="auto"/>
        </w:rPr>
      </w:pPr>
    </w:p>
    <w:p>
      <w:pPr>
        <w:jc w:val="both"/>
        <w:ind w:firstLine="228"/>
        <w:spacing w:after="0" w:line="239" w:lineRule="auto"/>
        <w:rPr>
          <w:sz w:val="20"/>
          <w:szCs w:val="20"/>
          <w:color w:val="auto"/>
        </w:rPr>
      </w:pPr>
      <w:r>
        <w:rPr>
          <w:rFonts w:ascii="Arial" w:cs="Arial" w:eastAsia="Arial" w:hAnsi="Arial"/>
          <w:sz w:val="18"/>
          <w:szCs w:val="18"/>
          <w:color w:val="auto"/>
        </w:rPr>
        <w:t>American’s principal investing activities in the 2017 period included expenditures of $3.2 billion for property and equipment, primarily 42 aircraft, including 15 Airbus A321 aircraft, 10 Boeing 737-800 aircraft, nine Embraer 175 aircraft, and eight Boeing 787 aircraft. American also had $456 million in net purchases of short-term investments. These cash outflows were offset in part by $312 million of proceeds from the sale of property and equipment, primarily including cash proceeds from aircraft sale-leaseback transactions.</w:t>
      </w:r>
    </w:p>
    <w:p>
      <w:pPr>
        <w:spacing w:after="0" w:line="202" w:lineRule="exact"/>
        <w:rPr>
          <w:sz w:val="20"/>
          <w:szCs w:val="20"/>
          <w:color w:val="auto"/>
        </w:rPr>
      </w:pPr>
    </w:p>
    <w:p>
      <w:pPr>
        <w:jc w:val="both"/>
        <w:ind w:firstLine="228"/>
        <w:spacing w:after="0"/>
        <w:rPr>
          <w:sz w:val="20"/>
          <w:szCs w:val="20"/>
          <w:color w:val="auto"/>
        </w:rPr>
      </w:pPr>
      <w:r>
        <w:rPr>
          <w:rFonts w:ascii="Arial" w:cs="Arial" w:eastAsia="Arial" w:hAnsi="Arial"/>
          <w:sz w:val="18"/>
          <w:szCs w:val="18"/>
          <w:color w:val="auto"/>
        </w:rPr>
        <w:t>American’s principal investing activities in the 2016 period included expenditures of $ 3.0 billion for property and equipment, primarily 56 aircraft, including 15 Bombardier CRJ900 aircraft, 13 Airbus A321 aircraft, 12 Embraer 175 aircraft, 10 Boeing 737-800 aircraft, four Boeing 787 aircraft and two Boeing 777 aircraft. American also had $795 million in net purchases of short-term investments.</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Financing Activities</w:t>
      </w:r>
    </w:p>
    <w:p>
      <w:pPr>
        <w:spacing w:after="0" w:line="12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American’s net cash provided by financing activities was $494 million and $2.3 billion for the first six months of 2017 and 2016, respectively.</w:t>
      </w:r>
    </w:p>
    <w:p>
      <w:pPr>
        <w:spacing w:after="0" w:line="212" w:lineRule="exact"/>
        <w:rPr>
          <w:sz w:val="20"/>
          <w:szCs w:val="20"/>
          <w:color w:val="auto"/>
        </w:rPr>
      </w:pPr>
    </w:p>
    <w:p>
      <w:pPr>
        <w:jc w:val="both"/>
        <w:ind w:firstLine="228"/>
        <w:spacing w:after="0"/>
        <w:rPr>
          <w:sz w:val="20"/>
          <w:szCs w:val="20"/>
          <w:color w:val="auto"/>
        </w:rPr>
      </w:pPr>
      <w:r>
        <w:rPr>
          <w:rFonts w:ascii="Arial" w:cs="Arial" w:eastAsia="Arial" w:hAnsi="Arial"/>
          <w:sz w:val="18"/>
          <w:szCs w:val="18"/>
          <w:color w:val="auto"/>
        </w:rPr>
        <w:t>American’s principal financing activities in the 2017 period included proceeds of $1.6 billion from the issuance of debt, primarily the issuance of $1.1 billion of EETCs and $533 million borrowed in connection with the financing of certain aircraft. These cash inflows were offset in part by $1.1 billion in scheduled debt repayments.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287" w:right="239" w:bottom="1440" w:gutter="0" w:footer="0" w:header="0"/>
        </w:sectPr>
      </w:pPr>
    </w:p>
    <w:bookmarkStart w:id="49" w:name="page50"/>
    <w:bookmarkEnd w:id="49"/>
    <w:p>
      <w:pPr>
        <w:jc w:val="both"/>
        <w:ind w:firstLine="228"/>
        <w:spacing w:after="0" w:line="23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American’s principal financing activities in the 2016 period included proceeds of $4.5 billion from the issuance of debt, primarily including the issuance of $1.7 billion of EETCs, $ 1.0 billion provided under the 2016 Term Loan Facility, an $844 million issuance of special facility revenue refunding bonds related to JFK and an additional $1.0 billion borrowed in connection with the financing of certain aircraft. These cash inflows were offset in part by $2.2 billion in debt repayments, primarily including the repayment of $588 million in remaining principal of the 2013 Citicorp Credit Facility Tranche B-2 and the refunding of approximately $1.0 billion of special facility revenue bonds related to JFK.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10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Significant Indebtedness</w:t>
      </w:r>
    </w:p>
    <w:p>
      <w:pPr>
        <w:spacing w:after="0" w:line="58" w:lineRule="exact"/>
        <w:rPr>
          <w:sz w:val="20"/>
          <w:szCs w:val="20"/>
          <w:color w:val="auto"/>
        </w:rPr>
      </w:pPr>
    </w:p>
    <w:p>
      <w:pPr>
        <w:jc w:val="both"/>
        <w:ind w:firstLine="228"/>
        <w:spacing w:after="0" w:line="239" w:lineRule="auto"/>
        <w:rPr>
          <w:sz w:val="20"/>
          <w:szCs w:val="20"/>
          <w:color w:val="auto"/>
        </w:rPr>
      </w:pPr>
      <w:r>
        <w:rPr>
          <w:rFonts w:ascii="Arial" w:cs="Arial" w:eastAsia="Arial" w:hAnsi="Arial"/>
          <w:sz w:val="18"/>
          <w:szCs w:val="18"/>
          <w:color w:val="auto"/>
        </w:rPr>
        <w:t>As of June 30, 2017, AAG and American had $25.1 billion and $23.3 billion, respectively, including current maturities of $2.3 billion and $1.8 billion, respectively, in long-term debt and capital leases. During the six months ended June 30, 2017, there have been no material changes in our significant indebtedness as discussed in our 2016 Form 10-K, except as discussed in Note 5 to AAG’s Condensed Consolidated Financial Statements in Part I, Item 1A and Note 3 to American’s Condensed Consolidated Financial Statements in Part I, Item 1B.</w:t>
      </w:r>
    </w:p>
    <w:p>
      <w:pPr>
        <w:spacing w:after="0" w:line="18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Collateral Related Covenants</w:t>
      </w:r>
    </w:p>
    <w:p>
      <w:pPr>
        <w:spacing w:after="0" w:line="45" w:lineRule="exact"/>
        <w:rPr>
          <w:sz w:val="20"/>
          <w:szCs w:val="20"/>
          <w:color w:val="auto"/>
        </w:rPr>
      </w:pPr>
    </w:p>
    <w:p>
      <w:pPr>
        <w:jc w:val="both"/>
        <w:ind w:firstLine="228"/>
        <w:spacing w:after="0" w:line="238" w:lineRule="auto"/>
        <w:rPr>
          <w:sz w:val="20"/>
          <w:szCs w:val="20"/>
          <w:color w:val="auto"/>
        </w:rPr>
      </w:pPr>
      <w:r>
        <w:rPr>
          <w:rFonts w:ascii="Arial" w:cs="Arial" w:eastAsia="Arial" w:hAnsi="Arial"/>
          <w:sz w:val="18"/>
          <w:szCs w:val="18"/>
          <w:color w:val="auto"/>
        </w:rPr>
        <w:t>Certain of our debt financing agreements contain loan to value ratio covenants and require us to appraise the related collateral annually. Pursuant to such agreements, if the loan to value ratio exceeds a specified threshold, we are required, as applicable, to pledge additional qualifying collateral (which in some cases may include cash collateral), or pay down such financing, in whole or in part. As of June 30, 2017, we were in compliance with the collateral coverage tests for the 2013 Credit Facilities, the 2014 Credit Facilities, the April 2016 Credit Facilities and the December 2016 Credit Facilities as of the most recent measurement dates.</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Credit Ratings</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details AAG and American’s credit ratings as of June 30, 2017:</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160" w:type="dxa"/>
            <w:vAlign w:val="bottom"/>
            <w:tcBorders>
              <w:bottom w:val="single" w:sz="8" w:color="CCEEFF"/>
            </w:tcBorders>
          </w:tcPr>
          <w:p>
            <w:pPr>
              <w:spacing w:after="0"/>
              <w:rPr>
                <w:sz w:val="15"/>
                <w:szCs w:val="15"/>
                <w:color w:val="auto"/>
              </w:rPr>
            </w:pPr>
          </w:p>
        </w:tc>
        <w:tc>
          <w:tcPr>
            <w:tcW w:w="924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Current Rating</w:t>
            </w:r>
          </w:p>
        </w:tc>
      </w:tr>
      <w:tr>
        <w:trPr>
          <w:trHeight w:val="196"/>
        </w:trPr>
        <w:tc>
          <w:tcPr>
            <w:tcW w:w="104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S&amp;P Local Issuer Credit Rating</w:t>
            </w:r>
          </w:p>
        </w:tc>
        <w:tc>
          <w:tcPr>
            <w:tcW w:w="102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BB-</w:t>
            </w:r>
          </w:p>
        </w:tc>
      </w:tr>
      <w:tr>
        <w:trPr>
          <w:trHeight w:val="203"/>
        </w:trPr>
        <w:tc>
          <w:tcPr>
            <w:tcW w:w="10400" w:type="dxa"/>
            <w:vAlign w:val="bottom"/>
            <w:gridSpan w:val="2"/>
          </w:tcPr>
          <w:p>
            <w:pPr>
              <w:spacing w:after="0" w:line="202" w:lineRule="exact"/>
              <w:rPr>
                <w:sz w:val="20"/>
                <w:szCs w:val="20"/>
                <w:color w:val="auto"/>
              </w:rPr>
            </w:pPr>
            <w:r>
              <w:rPr>
                <w:rFonts w:ascii="Arial" w:cs="Arial" w:eastAsia="Arial" w:hAnsi="Arial"/>
                <w:sz w:val="18"/>
                <w:szCs w:val="18"/>
                <w:color w:val="auto"/>
              </w:rPr>
              <w:t>Fitch Issuer Default Credit Rating</w:t>
            </w:r>
          </w:p>
        </w:tc>
        <w:tc>
          <w:tcPr>
            <w:tcW w:w="1020" w:type="dxa"/>
            <w:vAlign w:val="bottom"/>
          </w:tcPr>
          <w:p>
            <w:pPr>
              <w:jc w:val="center"/>
              <w:spacing w:after="0" w:line="202" w:lineRule="exact"/>
              <w:rPr>
                <w:sz w:val="20"/>
                <w:szCs w:val="20"/>
                <w:color w:val="auto"/>
              </w:rPr>
            </w:pPr>
            <w:r>
              <w:rPr>
                <w:rFonts w:ascii="Arial" w:cs="Arial" w:eastAsia="Arial" w:hAnsi="Arial"/>
                <w:sz w:val="18"/>
                <w:szCs w:val="18"/>
                <w:color w:val="auto"/>
                <w:w w:val="99"/>
              </w:rPr>
              <w:t>BB-</w:t>
            </w:r>
          </w:p>
        </w:tc>
      </w:tr>
      <w:tr>
        <w:trPr>
          <w:trHeight w:val="203"/>
        </w:trPr>
        <w:tc>
          <w:tcPr>
            <w:tcW w:w="10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 xml:space="preserve">Moody’s Corporate Family Rating </w:t>
            </w:r>
            <w:r>
              <w:rPr>
                <w:rFonts w:ascii="Arial" w:cs="Arial" w:eastAsia="Arial" w:hAnsi="Arial"/>
                <w:sz w:val="15"/>
                <w:szCs w:val="15"/>
                <w:color w:val="auto"/>
              </w:rPr>
              <w:t>(1)</w:t>
            </w:r>
          </w:p>
        </w:tc>
        <w:tc>
          <w:tcPr>
            <w:tcW w:w="10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Ba3</w:t>
            </w:r>
          </w:p>
        </w:tc>
      </w:tr>
      <w:tr>
        <w:trPr>
          <w:trHeight w:val="135"/>
        </w:trPr>
        <w:tc>
          <w:tcPr>
            <w:tcW w:w="1160" w:type="dxa"/>
            <w:vAlign w:val="bottom"/>
            <w:tcBorders>
              <w:bottom w:val="single" w:sz="8" w:color="auto"/>
            </w:tcBorders>
          </w:tcPr>
          <w:p>
            <w:pPr>
              <w:spacing w:after="0"/>
              <w:rPr>
                <w:sz w:val="11"/>
                <w:szCs w:val="11"/>
                <w:color w:val="auto"/>
              </w:rPr>
            </w:pPr>
          </w:p>
        </w:tc>
        <w:tc>
          <w:tcPr>
            <w:tcW w:w="924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250"/>
        </w:trPr>
        <w:tc>
          <w:tcPr>
            <w:tcW w:w="10400" w:type="dxa"/>
            <w:vAlign w:val="bottom"/>
            <w:gridSpan w:val="2"/>
          </w:tcPr>
          <w:p>
            <w:pPr>
              <w:spacing w:after="0"/>
              <w:rPr>
                <w:sz w:val="20"/>
                <w:szCs w:val="20"/>
                <w:color w:val="auto"/>
              </w:rPr>
            </w:pPr>
            <w:r>
              <w:rPr>
                <w:rFonts w:ascii="Arial" w:cs="Arial" w:eastAsia="Arial" w:hAnsi="Arial"/>
                <w:sz w:val="15"/>
                <w:szCs w:val="15"/>
                <w:color w:val="auto"/>
              </w:rPr>
              <w:t xml:space="preserve">(1)   </w:t>
            </w:r>
            <w:r>
              <w:rPr>
                <w:rFonts w:ascii="Arial" w:cs="Arial" w:eastAsia="Arial" w:hAnsi="Arial"/>
                <w:sz w:val="18"/>
                <w:szCs w:val="18"/>
                <w:color w:val="auto"/>
              </w:rPr>
              <w:t>The credit agency does not rate this category for American.</w:t>
            </w:r>
          </w:p>
        </w:tc>
        <w:tc>
          <w:tcPr>
            <w:tcW w:w="1020" w:type="dxa"/>
            <w:vAlign w:val="bottom"/>
          </w:tcPr>
          <w:p>
            <w:pPr>
              <w:spacing w:after="0"/>
              <w:rPr>
                <w:sz w:val="21"/>
                <w:szCs w:val="21"/>
                <w:color w:val="auto"/>
              </w:rPr>
            </w:pPr>
          </w:p>
        </w:tc>
      </w:tr>
    </w:tbl>
    <w:p>
      <w:pPr>
        <w:spacing w:after="0" w:line="202" w:lineRule="exact"/>
        <w:rPr>
          <w:sz w:val="20"/>
          <w:szCs w:val="20"/>
          <w:color w:val="auto"/>
        </w:rPr>
      </w:pPr>
    </w:p>
    <w:p>
      <w:pPr>
        <w:jc w:val="both"/>
        <w:ind w:left="240" w:firstLine="223"/>
        <w:spacing w:after="0" w:line="238" w:lineRule="auto"/>
        <w:rPr>
          <w:sz w:val="20"/>
          <w:szCs w:val="20"/>
          <w:color w:val="auto"/>
        </w:rPr>
      </w:pPr>
      <w:r>
        <w:rPr>
          <w:rFonts w:ascii="Arial" w:cs="Arial" w:eastAsia="Arial" w:hAnsi="Arial"/>
          <w:sz w:val="18"/>
          <w:szCs w:val="18"/>
          <w:color w:val="auto"/>
        </w:rPr>
        <w:t>A decrease in our credit ratings could cause our borrowing costs to increase, which would increase our interest expense and could affect our net income, and our credit ratings could adversely affect our ability to obtain additional financing. If our financial performance or industry conditions worsen, we may face future downgrades, which could negatively impact our borrowing costs and the prices of our equity or debt securities. In addition, any downgrade of our credit ratings may indicate a decline in our business and in our ability to satisfy our obligations under our indebtedness.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287"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Aircraft and Engine Purchase Commitments</w:t>
      </w:r>
    </w:p>
    <w:p>
      <w:pPr>
        <w:spacing w:after="0" w:line="126" w:lineRule="exact"/>
        <w:rPr>
          <w:sz w:val="20"/>
          <w:szCs w:val="20"/>
          <w:color w:val="auto"/>
        </w:rPr>
      </w:pPr>
    </w:p>
    <w:p>
      <w:pPr>
        <w:ind w:firstLine="228"/>
        <w:spacing w:after="0" w:line="246" w:lineRule="auto"/>
        <w:rPr>
          <w:sz w:val="20"/>
          <w:szCs w:val="20"/>
          <w:color w:val="auto"/>
        </w:rPr>
      </w:pPr>
      <w:r>
        <w:rPr>
          <w:rFonts w:ascii="Arial" w:cs="Arial" w:eastAsia="Arial" w:hAnsi="Arial"/>
          <w:sz w:val="18"/>
          <w:szCs w:val="18"/>
          <w:color w:val="auto"/>
        </w:rPr>
        <w:t>As of June 30, 2017, we had definitive purchase agreements with Airbus, Boeing and Embraer for the acquisition of the following mainline and regional aircraft:</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9"/>
              </w:rPr>
              <w:t>Remainder</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2022 and</w:t>
            </w: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of 2017</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w w:val="96"/>
              </w:rPr>
              <w:t>2018</w:t>
            </w:r>
          </w:p>
        </w:tc>
        <w:tc>
          <w:tcPr>
            <w:tcW w:w="24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w w:val="96"/>
              </w:rPr>
              <w:t>2019</w:t>
            </w:r>
          </w:p>
        </w:tc>
        <w:tc>
          <w:tcPr>
            <w:tcW w:w="24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w w:val="96"/>
              </w:rPr>
              <w:t>2020</w:t>
            </w:r>
          </w:p>
        </w:tc>
        <w:tc>
          <w:tcPr>
            <w:tcW w:w="24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5"/>
                <w:szCs w:val="15"/>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Thereafter</w:t>
            </w:r>
          </w:p>
        </w:tc>
        <w:tc>
          <w:tcPr>
            <w:tcW w:w="4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Total</w:t>
            </w:r>
          </w:p>
        </w:tc>
      </w:tr>
      <w:tr>
        <w:trPr>
          <w:trHeight w:val="163"/>
        </w:trPr>
        <w:tc>
          <w:tcPr>
            <w:tcW w:w="20" w:type="dxa"/>
            <w:vAlign w:val="bottom"/>
          </w:tcPr>
          <w:p>
            <w:pPr>
              <w:spacing w:after="0"/>
              <w:rPr>
                <w:sz w:val="14"/>
                <w:szCs w:val="14"/>
                <w:color w:val="auto"/>
              </w:rPr>
            </w:pPr>
          </w:p>
        </w:tc>
        <w:tc>
          <w:tcPr>
            <w:tcW w:w="56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94"/>
              </w:rPr>
              <w:t>Airbus</w:t>
            </w:r>
          </w:p>
        </w:tc>
        <w:tc>
          <w:tcPr>
            <w:tcW w:w="6120" w:type="dxa"/>
            <w:vAlign w:val="bottom"/>
            <w:tcBorders>
              <w:top w:val="single" w:sz="8" w:color="CCEEFF"/>
              <w:bottom w:val="single" w:sz="8" w:color="CCEEFF"/>
            </w:tcBorders>
            <w:gridSpan w:val="3"/>
            <w:shd w:val="clear" w:color="auto" w:fill="CCEEFF"/>
          </w:tcPr>
          <w:p>
            <w:pPr>
              <w:spacing w:after="0"/>
              <w:rPr>
                <w:sz w:val="14"/>
                <w:szCs w:val="14"/>
                <w:color w:val="auto"/>
              </w:rPr>
            </w:pPr>
          </w:p>
        </w:tc>
        <w:tc>
          <w:tcPr>
            <w:tcW w:w="740" w:type="dxa"/>
            <w:vAlign w:val="bottom"/>
            <w:tcBorders>
              <w:top w:val="single" w:sz="8" w:color="auto"/>
              <w:bottom w:val="single" w:sz="8" w:color="CCEEFF"/>
            </w:tcBorders>
            <w:shd w:val="clear" w:color="auto" w:fill="CCEEFF"/>
          </w:tcPr>
          <w:p>
            <w:pPr>
              <w:spacing w:after="0"/>
              <w:rPr>
                <w:sz w:val="14"/>
                <w:szCs w:val="14"/>
                <w:color w:val="auto"/>
              </w:rPr>
            </w:pPr>
          </w:p>
        </w:tc>
        <w:tc>
          <w:tcPr>
            <w:tcW w:w="260" w:type="dxa"/>
            <w:vAlign w:val="bottom"/>
            <w:tcBorders>
              <w:top w:val="single" w:sz="8" w:color="CCEEFF"/>
              <w:bottom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CCEEFF"/>
            </w:tcBorders>
            <w:shd w:val="clear" w:color="auto" w:fill="CCEEFF"/>
          </w:tcPr>
          <w:p>
            <w:pPr>
              <w:spacing w:after="0"/>
              <w:rPr>
                <w:sz w:val="14"/>
                <w:szCs w:val="14"/>
                <w:color w:val="auto"/>
              </w:rPr>
            </w:pPr>
          </w:p>
        </w:tc>
        <w:tc>
          <w:tcPr>
            <w:tcW w:w="240" w:type="dxa"/>
            <w:vAlign w:val="bottom"/>
            <w:tcBorders>
              <w:top w:val="single" w:sz="8" w:color="CCEEFF"/>
              <w:bottom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CCEEFF"/>
            </w:tcBorders>
            <w:shd w:val="clear" w:color="auto" w:fill="CCEEFF"/>
          </w:tcPr>
          <w:p>
            <w:pPr>
              <w:spacing w:after="0"/>
              <w:rPr>
                <w:sz w:val="14"/>
                <w:szCs w:val="14"/>
                <w:color w:val="auto"/>
              </w:rPr>
            </w:pPr>
          </w:p>
        </w:tc>
        <w:tc>
          <w:tcPr>
            <w:tcW w:w="240" w:type="dxa"/>
            <w:vAlign w:val="bottom"/>
            <w:tcBorders>
              <w:top w:val="single" w:sz="8" w:color="CCEEFF"/>
              <w:bottom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CCEEFF"/>
            </w:tcBorders>
            <w:shd w:val="clear" w:color="auto" w:fill="CCEEFF"/>
          </w:tcPr>
          <w:p>
            <w:pPr>
              <w:spacing w:after="0"/>
              <w:rPr>
                <w:sz w:val="14"/>
                <w:szCs w:val="14"/>
                <w:color w:val="auto"/>
              </w:rPr>
            </w:pPr>
          </w:p>
        </w:tc>
        <w:tc>
          <w:tcPr>
            <w:tcW w:w="240" w:type="dxa"/>
            <w:vAlign w:val="bottom"/>
            <w:tcBorders>
              <w:top w:val="single" w:sz="8" w:color="CCEEFF"/>
              <w:bottom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CCEEFF"/>
            </w:tcBorders>
            <w:shd w:val="clear" w:color="auto" w:fill="CCEEFF"/>
          </w:tcPr>
          <w:p>
            <w:pPr>
              <w:spacing w:after="0"/>
              <w:rPr>
                <w:sz w:val="14"/>
                <w:szCs w:val="14"/>
                <w:color w:val="auto"/>
              </w:rPr>
            </w:pPr>
          </w:p>
        </w:tc>
        <w:tc>
          <w:tcPr>
            <w:tcW w:w="240" w:type="dxa"/>
            <w:vAlign w:val="bottom"/>
            <w:tcBorders>
              <w:top w:val="single" w:sz="8" w:color="CCEEFF"/>
              <w:bottom w:val="single" w:sz="8" w:color="CCEEFF"/>
            </w:tcBorders>
            <w:shd w:val="clear" w:color="auto" w:fill="CCEEFF"/>
          </w:tcPr>
          <w:p>
            <w:pPr>
              <w:spacing w:after="0"/>
              <w:rPr>
                <w:sz w:val="14"/>
                <w:szCs w:val="14"/>
                <w:color w:val="auto"/>
              </w:rPr>
            </w:pPr>
          </w:p>
        </w:tc>
        <w:tc>
          <w:tcPr>
            <w:tcW w:w="720" w:type="dxa"/>
            <w:vAlign w:val="bottom"/>
            <w:tcBorders>
              <w:top w:val="single" w:sz="8" w:color="auto"/>
              <w:bottom w:val="single" w:sz="8" w:color="CCEEFF"/>
            </w:tcBorders>
            <w:shd w:val="clear" w:color="auto" w:fill="CCEEFF"/>
          </w:tcPr>
          <w:p>
            <w:pPr>
              <w:spacing w:after="0"/>
              <w:rPr>
                <w:sz w:val="14"/>
                <w:szCs w:val="14"/>
                <w:color w:val="auto"/>
              </w:rPr>
            </w:pPr>
          </w:p>
        </w:tc>
        <w:tc>
          <w:tcPr>
            <w:tcW w:w="260" w:type="dxa"/>
            <w:vAlign w:val="bottom"/>
            <w:tcBorders>
              <w:top w:val="single" w:sz="8" w:color="CCEEFF"/>
              <w:bottom w:val="single" w:sz="8" w:color="CCEEFF"/>
            </w:tcBorders>
            <w:shd w:val="clear" w:color="auto" w:fill="CCEEFF"/>
          </w:tcPr>
          <w:p>
            <w:pPr>
              <w:spacing w:after="0"/>
              <w:rPr>
                <w:sz w:val="14"/>
                <w:szCs w:val="14"/>
                <w:color w:val="auto"/>
              </w:rPr>
            </w:pPr>
          </w:p>
        </w:tc>
        <w:tc>
          <w:tcPr>
            <w:tcW w:w="360" w:type="dxa"/>
            <w:vAlign w:val="bottom"/>
            <w:tcBorders>
              <w:top w:val="single" w:sz="8" w:color="auto"/>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203"/>
        </w:trPr>
        <w:tc>
          <w:tcPr>
            <w:tcW w:w="20" w:type="dxa"/>
            <w:vAlign w:val="bottom"/>
          </w:tcPr>
          <w:p>
            <w:pPr>
              <w:spacing w:after="0"/>
              <w:rPr>
                <w:sz w:val="17"/>
                <w:szCs w:val="17"/>
                <w:color w:val="auto"/>
              </w:rPr>
            </w:pPr>
          </w:p>
        </w:tc>
        <w:tc>
          <w:tcPr>
            <w:tcW w:w="6680" w:type="dxa"/>
            <w:vAlign w:val="bottom"/>
            <w:gridSpan w:val="4"/>
          </w:tcPr>
          <w:p>
            <w:pPr>
              <w:spacing w:after="0" w:line="202" w:lineRule="exact"/>
              <w:rPr>
                <w:sz w:val="20"/>
                <w:szCs w:val="20"/>
                <w:color w:val="auto"/>
              </w:rPr>
            </w:pPr>
            <w:r>
              <w:rPr>
                <w:rFonts w:ascii="Arial" w:cs="Arial" w:eastAsia="Arial" w:hAnsi="Arial"/>
                <w:sz w:val="18"/>
                <w:szCs w:val="18"/>
                <w:color w:val="auto"/>
              </w:rPr>
              <w:t>A320 Family</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c>
          <w:tcPr>
            <w:tcW w:w="260" w:type="dxa"/>
            <w:vAlign w:val="bottom"/>
          </w:tcPr>
          <w:p>
            <w:pPr>
              <w:spacing w:after="0"/>
              <w:rPr>
                <w:sz w:val="17"/>
                <w:szCs w:val="17"/>
                <w:color w:val="auto"/>
              </w:rPr>
            </w:pPr>
          </w:p>
        </w:tc>
        <w:tc>
          <w:tcPr>
            <w:tcW w:w="5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w:t>
            </w:r>
          </w:p>
        </w:tc>
      </w:tr>
      <w:tr>
        <w:trPr>
          <w:trHeight w:val="203"/>
        </w:trPr>
        <w:tc>
          <w:tcPr>
            <w:tcW w:w="20" w:type="dxa"/>
            <w:vAlign w:val="bottom"/>
          </w:tcPr>
          <w:p>
            <w:pPr>
              <w:spacing w:after="0"/>
              <w:rPr>
                <w:sz w:val="17"/>
                <w:szCs w:val="17"/>
                <w:color w:val="auto"/>
              </w:rPr>
            </w:pPr>
          </w:p>
        </w:tc>
        <w:tc>
          <w:tcPr>
            <w:tcW w:w="668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A320neo Family</w:t>
            </w:r>
          </w:p>
        </w:tc>
        <w:tc>
          <w:tcPr>
            <w:tcW w:w="10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25</w:t>
            </w:r>
          </w:p>
        </w:tc>
        <w:tc>
          <w:tcPr>
            <w:tcW w:w="5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25</w:t>
            </w:r>
          </w:p>
        </w:tc>
        <w:tc>
          <w:tcPr>
            <w:tcW w:w="5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25</w:t>
            </w:r>
          </w:p>
        </w:tc>
        <w:tc>
          <w:tcPr>
            <w:tcW w:w="9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25</w:t>
            </w:r>
          </w:p>
        </w:tc>
        <w:tc>
          <w:tcPr>
            <w:tcW w:w="4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100</w:t>
            </w:r>
          </w:p>
        </w:tc>
      </w:tr>
      <w:tr>
        <w:trPr>
          <w:trHeight w:val="203"/>
        </w:trPr>
        <w:tc>
          <w:tcPr>
            <w:tcW w:w="20" w:type="dxa"/>
            <w:vAlign w:val="bottom"/>
          </w:tcPr>
          <w:p>
            <w:pPr>
              <w:spacing w:after="0"/>
              <w:rPr>
                <w:sz w:val="17"/>
                <w:szCs w:val="17"/>
                <w:color w:val="auto"/>
              </w:rPr>
            </w:pPr>
          </w:p>
        </w:tc>
        <w:tc>
          <w:tcPr>
            <w:tcW w:w="6680" w:type="dxa"/>
            <w:vAlign w:val="bottom"/>
            <w:gridSpan w:val="4"/>
          </w:tcPr>
          <w:p>
            <w:pPr>
              <w:spacing w:after="0" w:line="202" w:lineRule="exact"/>
              <w:rPr>
                <w:sz w:val="20"/>
                <w:szCs w:val="20"/>
                <w:color w:val="auto"/>
              </w:rPr>
            </w:pPr>
            <w:r>
              <w:rPr>
                <w:rFonts w:ascii="Arial" w:cs="Arial" w:eastAsia="Arial" w:hAnsi="Arial"/>
                <w:sz w:val="18"/>
                <w:szCs w:val="18"/>
                <w:color w:val="auto"/>
              </w:rPr>
              <w:t>A350 XWB</w:t>
            </w:r>
          </w:p>
        </w:tc>
        <w:tc>
          <w:tcPr>
            <w:tcW w:w="10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w:t>
            </w:r>
          </w:p>
        </w:tc>
        <w:tc>
          <w:tcPr>
            <w:tcW w:w="5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5</w:t>
            </w:r>
          </w:p>
        </w:tc>
        <w:tc>
          <w:tcPr>
            <w:tcW w:w="9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15</w:t>
            </w:r>
          </w:p>
        </w:tc>
        <w:tc>
          <w:tcPr>
            <w:tcW w:w="4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22</w:t>
            </w:r>
          </w:p>
        </w:tc>
      </w:tr>
      <w:tr>
        <w:trPr>
          <w:trHeight w:val="183"/>
        </w:trPr>
        <w:tc>
          <w:tcPr>
            <w:tcW w:w="20" w:type="dxa"/>
            <w:vAlign w:val="bottom"/>
          </w:tcPr>
          <w:p>
            <w:pPr>
              <w:spacing w:after="0"/>
              <w:rPr>
                <w:sz w:val="15"/>
                <w:szCs w:val="15"/>
                <w:color w:val="auto"/>
              </w:rPr>
            </w:pPr>
          </w:p>
        </w:tc>
        <w:tc>
          <w:tcPr>
            <w:tcW w:w="60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94"/>
              </w:rPr>
              <w:t>Boeing</w:t>
            </w:r>
          </w:p>
        </w:tc>
        <w:tc>
          <w:tcPr>
            <w:tcW w:w="6080" w:type="dxa"/>
            <w:vAlign w:val="bottom"/>
            <w:tcBorders>
              <w:bottom w:val="single" w:sz="8" w:color="CCEEFF"/>
            </w:tcBorders>
            <w:gridSpan w:val="2"/>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720" w:type="dxa"/>
            <w:vAlign w:val="bottom"/>
            <w:gridSpan w:val="3"/>
          </w:tcPr>
          <w:p>
            <w:pPr>
              <w:spacing w:after="0" w:line="202" w:lineRule="exact"/>
              <w:rPr>
                <w:sz w:val="20"/>
                <w:szCs w:val="20"/>
                <w:color w:val="auto"/>
              </w:rPr>
            </w:pPr>
            <w:r>
              <w:rPr>
                <w:rFonts w:ascii="Arial" w:cs="Arial" w:eastAsia="Arial" w:hAnsi="Arial"/>
                <w:sz w:val="18"/>
                <w:szCs w:val="18"/>
                <w:color w:val="auto"/>
              </w:rPr>
              <w:t>737-800</w:t>
            </w:r>
          </w:p>
        </w:tc>
        <w:tc>
          <w:tcPr>
            <w:tcW w:w="5960" w:type="dxa"/>
            <w:vAlign w:val="bottom"/>
          </w:tcPr>
          <w:p>
            <w:pPr>
              <w:spacing w:after="0"/>
              <w:rPr>
                <w:sz w:val="17"/>
                <w:szCs w:val="17"/>
                <w:color w:val="auto"/>
              </w:rPr>
            </w:pPr>
          </w:p>
        </w:tc>
        <w:tc>
          <w:tcPr>
            <w:tcW w:w="10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10</w:t>
            </w:r>
          </w:p>
        </w:tc>
        <w:tc>
          <w:tcPr>
            <w:tcW w:w="5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w:t>
            </w:r>
          </w:p>
        </w:tc>
      </w:tr>
      <w:tr>
        <w:trPr>
          <w:trHeight w:val="203"/>
        </w:trPr>
        <w:tc>
          <w:tcPr>
            <w:tcW w:w="20" w:type="dxa"/>
            <w:vAlign w:val="bottom"/>
          </w:tcPr>
          <w:p>
            <w:pPr>
              <w:spacing w:after="0"/>
              <w:rPr>
                <w:sz w:val="17"/>
                <w:szCs w:val="17"/>
                <w:color w:val="auto"/>
              </w:rPr>
            </w:pPr>
          </w:p>
        </w:tc>
        <w:tc>
          <w:tcPr>
            <w:tcW w:w="668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737 MAX Family</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w:t>
            </w:r>
          </w:p>
        </w:tc>
        <w:tc>
          <w:tcPr>
            <w:tcW w:w="26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16</w:t>
            </w:r>
          </w:p>
        </w:tc>
        <w:tc>
          <w:tcPr>
            <w:tcW w:w="5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20</w:t>
            </w:r>
          </w:p>
        </w:tc>
        <w:tc>
          <w:tcPr>
            <w:tcW w:w="5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20</w:t>
            </w:r>
          </w:p>
        </w:tc>
        <w:tc>
          <w:tcPr>
            <w:tcW w:w="5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20</w:t>
            </w:r>
          </w:p>
        </w:tc>
        <w:tc>
          <w:tcPr>
            <w:tcW w:w="9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20</w:t>
            </w:r>
          </w:p>
        </w:tc>
        <w:tc>
          <w:tcPr>
            <w:tcW w:w="4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100</w:t>
            </w:r>
          </w:p>
        </w:tc>
      </w:tr>
      <w:tr>
        <w:trPr>
          <w:trHeight w:val="203"/>
        </w:trPr>
        <w:tc>
          <w:tcPr>
            <w:tcW w:w="20" w:type="dxa"/>
            <w:vAlign w:val="bottom"/>
          </w:tcPr>
          <w:p>
            <w:pPr>
              <w:spacing w:after="0"/>
              <w:rPr>
                <w:sz w:val="17"/>
                <w:szCs w:val="17"/>
                <w:color w:val="auto"/>
              </w:rPr>
            </w:pPr>
          </w:p>
        </w:tc>
        <w:tc>
          <w:tcPr>
            <w:tcW w:w="6680" w:type="dxa"/>
            <w:vAlign w:val="bottom"/>
            <w:gridSpan w:val="4"/>
          </w:tcPr>
          <w:p>
            <w:pPr>
              <w:spacing w:after="0" w:line="202" w:lineRule="exact"/>
              <w:rPr>
                <w:sz w:val="20"/>
                <w:szCs w:val="20"/>
                <w:color w:val="auto"/>
              </w:rPr>
            </w:pPr>
            <w:r>
              <w:rPr>
                <w:rFonts w:ascii="Arial" w:cs="Arial" w:eastAsia="Arial" w:hAnsi="Arial"/>
                <w:sz w:val="18"/>
                <w:szCs w:val="18"/>
                <w:color w:val="auto"/>
              </w:rPr>
              <w:t>787 Family</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c>
          <w:tcPr>
            <w:tcW w:w="260" w:type="dxa"/>
            <w:vAlign w:val="bottom"/>
          </w:tcPr>
          <w:p>
            <w:pPr>
              <w:spacing w:after="0"/>
              <w:rPr>
                <w:sz w:val="17"/>
                <w:szCs w:val="17"/>
                <w:color w:val="auto"/>
              </w:rPr>
            </w:pPr>
          </w:p>
        </w:tc>
        <w:tc>
          <w:tcPr>
            <w:tcW w:w="5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6</w:t>
            </w:r>
          </w:p>
        </w:tc>
        <w:tc>
          <w:tcPr>
            <w:tcW w:w="5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w:t>
            </w:r>
          </w:p>
        </w:tc>
        <w:tc>
          <w:tcPr>
            <w:tcW w:w="5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13</w:t>
            </w:r>
          </w:p>
        </w:tc>
      </w:tr>
      <w:tr>
        <w:trPr>
          <w:trHeight w:val="183"/>
        </w:trPr>
        <w:tc>
          <w:tcPr>
            <w:tcW w:w="20" w:type="dxa"/>
            <w:vAlign w:val="bottom"/>
          </w:tcPr>
          <w:p>
            <w:pPr>
              <w:spacing w:after="0"/>
              <w:rPr>
                <w:sz w:val="15"/>
                <w:szCs w:val="15"/>
                <w:color w:val="auto"/>
              </w:rPr>
            </w:pPr>
          </w:p>
        </w:tc>
        <w:tc>
          <w:tcPr>
            <w:tcW w:w="720" w:type="dxa"/>
            <w:vAlign w:val="bottom"/>
            <w:tcBorders>
              <w:bottom w:val="single" w:sz="8" w:color="auto"/>
            </w:tcBorders>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95"/>
              </w:rPr>
              <w:t>Embraer</w:t>
            </w:r>
          </w:p>
        </w:tc>
        <w:tc>
          <w:tcPr>
            <w:tcW w:w="596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6680" w:type="dxa"/>
            <w:vAlign w:val="bottom"/>
            <w:gridSpan w:val="4"/>
          </w:tcPr>
          <w:p>
            <w:pPr>
              <w:spacing w:after="0" w:line="202" w:lineRule="exact"/>
              <w:rPr>
                <w:sz w:val="20"/>
                <w:szCs w:val="20"/>
                <w:color w:val="auto"/>
              </w:rPr>
            </w:pPr>
            <w:r>
              <w:rPr>
                <w:rFonts w:ascii="Arial" w:cs="Arial" w:eastAsia="Arial" w:hAnsi="Arial"/>
                <w:sz w:val="18"/>
                <w:szCs w:val="18"/>
                <w:color w:val="auto"/>
              </w:rPr>
              <w:t xml:space="preserve">ERJ175 </w:t>
            </w:r>
            <w:r>
              <w:rPr>
                <w:rFonts w:ascii="Arial" w:cs="Arial" w:eastAsia="Arial" w:hAnsi="Arial"/>
                <w:sz w:val="15"/>
                <w:szCs w:val="15"/>
                <w:color w:val="auto"/>
              </w:rPr>
              <w:t>(1)</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7</w:t>
            </w:r>
          </w:p>
        </w:tc>
        <w:tc>
          <w:tcPr>
            <w:tcW w:w="260" w:type="dxa"/>
            <w:vAlign w:val="bottom"/>
          </w:tcPr>
          <w:p>
            <w:pPr>
              <w:spacing w:after="0"/>
              <w:rPr>
                <w:sz w:val="17"/>
                <w:szCs w:val="17"/>
                <w:color w:val="auto"/>
              </w:rPr>
            </w:pP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9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w:t>
            </w:r>
          </w:p>
        </w:tc>
      </w:tr>
      <w:tr>
        <w:trPr>
          <w:trHeight w:val="27"/>
        </w:trPr>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9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6680" w:type="dxa"/>
            <w:vAlign w:val="bottom"/>
            <w:gridSpan w:val="4"/>
            <w:shd w:val="clear" w:color="auto" w:fill="CCEEFF"/>
          </w:tcPr>
          <w:p>
            <w:pPr>
              <w:ind w:left="160"/>
              <w:spacing w:after="0" w:line="202" w:lineRule="exact"/>
              <w:rPr>
                <w:sz w:val="20"/>
                <w:szCs w:val="20"/>
                <w:color w:val="auto"/>
              </w:rPr>
            </w:pPr>
            <w:r>
              <w:rPr>
                <w:rFonts w:ascii="Arial" w:cs="Arial" w:eastAsia="Arial" w:hAnsi="Arial"/>
                <w:sz w:val="18"/>
                <w:szCs w:val="18"/>
                <w:color w:val="auto"/>
              </w:rPr>
              <w:t>Total</w:t>
            </w:r>
          </w:p>
        </w:tc>
        <w:tc>
          <w:tcPr>
            <w:tcW w:w="10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31</w:t>
            </w:r>
          </w:p>
        </w:tc>
        <w:tc>
          <w:tcPr>
            <w:tcW w:w="5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22</w:t>
            </w:r>
          </w:p>
        </w:tc>
        <w:tc>
          <w:tcPr>
            <w:tcW w:w="5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47</w:t>
            </w:r>
          </w:p>
        </w:tc>
        <w:tc>
          <w:tcPr>
            <w:tcW w:w="5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47</w:t>
            </w:r>
          </w:p>
        </w:tc>
        <w:tc>
          <w:tcPr>
            <w:tcW w:w="5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50</w:t>
            </w:r>
          </w:p>
        </w:tc>
        <w:tc>
          <w:tcPr>
            <w:tcW w:w="9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60</w:t>
            </w:r>
          </w:p>
        </w:tc>
        <w:tc>
          <w:tcPr>
            <w:tcW w:w="4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580" w:hanging="572"/>
        <w:spacing w:after="0" w:line="246" w:lineRule="auto"/>
        <w:tabs>
          <w:tab w:leader="none" w:pos="580" w:val="left"/>
        </w:tabs>
        <w:numPr>
          <w:ilvl w:val="0"/>
          <w:numId w:val="24"/>
        </w:numPr>
        <w:rPr>
          <w:rFonts w:ascii="Arial" w:cs="Arial" w:eastAsia="Arial" w:hAnsi="Arial"/>
          <w:sz w:val="15"/>
          <w:szCs w:val="15"/>
          <w:color w:val="auto"/>
        </w:rPr>
      </w:pPr>
      <w:r>
        <w:rPr>
          <w:rFonts w:ascii="Arial" w:cs="Arial" w:eastAsia="Arial" w:hAnsi="Arial"/>
          <w:sz w:val="18"/>
          <w:szCs w:val="18"/>
          <w:color w:val="auto"/>
        </w:rPr>
        <w:t>These aircraft may be operated by wholly-owned regional subsidiaries which would operate the aircraft under capacity purchase arrangements.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We also have agreements for 42 spare engines to be delivered in 2017 and beyond.</w:t>
      </w:r>
    </w:p>
    <w:p>
      <w:pPr>
        <w:spacing w:after="0" w:line="212" w:lineRule="exact"/>
        <w:rPr>
          <w:sz w:val="20"/>
          <w:szCs w:val="20"/>
          <w:color w:val="auto"/>
        </w:rPr>
      </w:pPr>
    </w:p>
    <w:p>
      <w:pPr>
        <w:jc w:val="both"/>
        <w:ind w:firstLine="228"/>
        <w:spacing w:after="0" w:line="238" w:lineRule="auto"/>
        <w:rPr>
          <w:sz w:val="20"/>
          <w:szCs w:val="20"/>
          <w:color w:val="auto"/>
        </w:rPr>
      </w:pPr>
      <w:r>
        <w:rPr>
          <w:rFonts w:ascii="Arial" w:cs="Arial" w:eastAsia="Arial" w:hAnsi="Arial"/>
          <w:sz w:val="18"/>
          <w:szCs w:val="18"/>
          <w:color w:val="auto"/>
        </w:rPr>
        <w:t xml:space="preserve">As of June 30, 2017, we did not have financing commitments for the following aircraft currently on order and scheduled to be delivered through the end of 2017: three Boeing 737-800 aircraft, five Boeing 787 family aircraft and four Boeing 737 MAX family aircraft. In addition, we do not have financing commitments in place for substantially all aircraft currently on order and scheduled to be delivered in 2018 and beyond. See Part II, Item 1A. Risk Factors – </w:t>
      </w:r>
      <w:r>
        <w:rPr>
          <w:rFonts w:ascii="Arial" w:cs="Arial" w:eastAsia="Arial" w:hAnsi="Arial"/>
          <w:sz w:val="18"/>
          <w:szCs w:val="18"/>
          <w:i w:val="1"/>
          <w:iCs w:val="1"/>
          <w:color w:val="auto"/>
        </w:rPr>
        <w:t>“We will need to obtain sufficient financing or other capital to operate successfully”</w:t>
      </w:r>
      <w:r>
        <w:rPr>
          <w:rFonts w:ascii="Arial" w:cs="Arial" w:eastAsia="Arial" w:hAnsi="Arial"/>
          <w:sz w:val="18"/>
          <w:szCs w:val="18"/>
          <w:color w:val="auto"/>
        </w:rPr>
        <w:t xml:space="preserve"> for additional discussion.</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26" w:lineRule="exact"/>
        <w:rPr>
          <w:sz w:val="20"/>
          <w:szCs w:val="20"/>
          <w:color w:val="auto"/>
        </w:rPr>
      </w:pPr>
    </w:p>
    <w:p>
      <w:pPr>
        <w:jc w:val="both"/>
        <w:ind w:firstLine="228"/>
        <w:spacing w:after="0" w:line="238" w:lineRule="auto"/>
        <w:rPr>
          <w:sz w:val="20"/>
          <w:szCs w:val="20"/>
          <w:color w:val="auto"/>
        </w:rPr>
      </w:pPr>
      <w:r>
        <w:rPr>
          <w:rFonts w:ascii="Arial" w:cs="Arial" w:eastAsia="Arial" w:hAnsi="Arial"/>
          <w:sz w:val="18"/>
          <w:szCs w:val="18"/>
          <w:color w:val="auto"/>
        </w:rPr>
        <w:t>An off-balance sheet arrangement is any transaction, agreement or other contractual arrangement involving an unconsolidated entity under which a company has (1) made guarantees, (2) a retained or a contingent interest in transferred assets, (3) an obligation under derivative instruments classified as equity or (4) any obligation arising out of a material variable interest in an unconsolidated entity that provides financing, liquidity, market risk or credit risk support to us, or that engages in leasing, hedging or research and development arrangements with us.</w:t>
      </w:r>
    </w:p>
    <w:p>
      <w:pPr>
        <w:spacing w:after="0" w:line="20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There have been no material changes in our off-balance sheet arrangements as discussed in our 2016 Form 10-K.</w:t>
      </w:r>
    </w:p>
    <w:p>
      <w:pPr>
        <w:spacing w:after="0" w:line="19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Labor Contracts</w:t>
      </w:r>
    </w:p>
    <w:p>
      <w:pPr>
        <w:spacing w:after="0" w:line="126" w:lineRule="exact"/>
        <w:rPr>
          <w:sz w:val="20"/>
          <w:szCs w:val="20"/>
          <w:color w:val="auto"/>
        </w:rPr>
      </w:pPr>
    </w:p>
    <w:p>
      <w:pPr>
        <w:jc w:val="both"/>
        <w:ind w:firstLine="228"/>
        <w:spacing w:after="0" w:line="239" w:lineRule="auto"/>
        <w:rPr>
          <w:sz w:val="20"/>
          <w:szCs w:val="20"/>
          <w:color w:val="auto"/>
        </w:rPr>
      </w:pPr>
      <w:r>
        <w:rPr>
          <w:rFonts w:ascii="Arial" w:cs="Arial" w:eastAsia="Arial" w:hAnsi="Arial"/>
          <w:sz w:val="18"/>
          <w:szCs w:val="18"/>
          <w:color w:val="auto"/>
        </w:rPr>
        <w:t>In the second quarter of 2017, we implemented a mid-contract hourly base pay rate adjustment for our flight attendants and pilots of an average of approximately 5% and 8%, respectively. We estimate that this adjustment will result in an increase in our salary and benefits expense of approximately $ 230 million for 2017 and $350 million for 2018 and 2019. The amendable dates for these workgroups are December 2019 (flight attendants) and January 2020 (pilots).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265"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Contractual Obligations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details of our future cash contractual obligations as of June 30, 2017 (in millions):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9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8"/>
          </w:tcPr>
          <w:p>
            <w:pPr>
              <w:jc w:val="center"/>
              <w:ind w:right="380"/>
              <w:spacing w:after="0"/>
              <w:rPr>
                <w:sz w:val="20"/>
                <w:szCs w:val="20"/>
                <w:color w:val="auto"/>
              </w:rPr>
            </w:pPr>
            <w:r>
              <w:rPr>
                <w:rFonts w:ascii="Arial" w:cs="Arial" w:eastAsia="Arial" w:hAnsi="Arial"/>
                <w:sz w:val="14"/>
                <w:szCs w:val="14"/>
                <w:b w:val="1"/>
                <w:bCs w:val="1"/>
                <w:color w:val="auto"/>
              </w:rPr>
              <w:t>Payments Due by Period</w:t>
            </w: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4960" w:type="dxa"/>
            <w:vAlign w:val="bottom"/>
          </w:tcPr>
          <w:p>
            <w:pPr>
              <w:spacing w:after="0"/>
              <w:rPr>
                <w:sz w:val="12"/>
                <w:szCs w:val="12"/>
                <w:color w:val="auto"/>
              </w:rPr>
            </w:pPr>
          </w:p>
        </w:tc>
        <w:tc>
          <w:tcPr>
            <w:tcW w:w="1020" w:type="dxa"/>
            <w:vAlign w:val="bottom"/>
            <w:gridSpan w:val="3"/>
          </w:tcPr>
          <w:p>
            <w:pPr>
              <w:jc w:val="right"/>
              <w:ind w:right="260"/>
              <w:spacing w:after="0" w:line="143" w:lineRule="exact"/>
              <w:rPr>
                <w:sz w:val="20"/>
                <w:szCs w:val="20"/>
                <w:color w:val="auto"/>
              </w:rPr>
            </w:pPr>
            <w:r>
              <w:rPr>
                <w:rFonts w:ascii="Arial" w:cs="Arial" w:eastAsia="Arial" w:hAnsi="Arial"/>
                <w:sz w:val="14"/>
                <w:szCs w:val="14"/>
                <w:b w:val="1"/>
                <w:bCs w:val="1"/>
                <w:color w:val="auto"/>
              </w:rPr>
              <w:t>Remainder</w:t>
            </w: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3"/>
          </w:tcPr>
          <w:p>
            <w:pPr>
              <w:ind w:left="40"/>
              <w:spacing w:after="0" w:line="143" w:lineRule="exact"/>
              <w:rPr>
                <w:sz w:val="20"/>
                <w:szCs w:val="20"/>
                <w:color w:val="auto"/>
              </w:rPr>
            </w:pPr>
            <w:r>
              <w:rPr>
                <w:rFonts w:ascii="Arial" w:cs="Arial" w:eastAsia="Arial" w:hAnsi="Arial"/>
                <w:sz w:val="14"/>
                <w:szCs w:val="14"/>
                <w:b w:val="1"/>
                <w:bCs w:val="1"/>
                <w:color w:val="auto"/>
              </w:rPr>
              <w:t>2022 and</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75"/>
        </w:trPr>
        <w:tc>
          <w:tcPr>
            <w:tcW w:w="4960" w:type="dxa"/>
            <w:vAlign w:val="bottom"/>
          </w:tcPr>
          <w:p>
            <w:pPr>
              <w:spacing w:after="0"/>
              <w:rPr>
                <w:sz w:val="15"/>
                <w:szCs w:val="15"/>
                <w:color w:val="auto"/>
              </w:rPr>
            </w:pPr>
          </w:p>
        </w:tc>
        <w:tc>
          <w:tcPr>
            <w:tcW w:w="102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of 2017</w:t>
            </w:r>
          </w:p>
        </w:tc>
        <w:tc>
          <w:tcPr>
            <w:tcW w:w="140" w:type="dxa"/>
            <w:vAlign w:val="bottom"/>
          </w:tcPr>
          <w:p>
            <w:pPr>
              <w:spacing w:after="0"/>
              <w:rPr>
                <w:sz w:val="15"/>
                <w:szCs w:val="15"/>
                <w:color w:val="auto"/>
              </w:rPr>
            </w:pPr>
          </w:p>
        </w:tc>
        <w:tc>
          <w:tcPr>
            <w:tcW w:w="480" w:type="dxa"/>
            <w:vAlign w:val="bottom"/>
          </w:tcPr>
          <w:p>
            <w:pPr>
              <w:jc w:val="right"/>
              <w:ind w:right="71"/>
              <w:spacing w:after="0"/>
              <w:rPr>
                <w:sz w:val="20"/>
                <w:szCs w:val="20"/>
                <w:color w:val="auto"/>
              </w:rPr>
            </w:pPr>
            <w:r>
              <w:rPr>
                <w:rFonts w:ascii="Arial" w:cs="Arial" w:eastAsia="Arial" w:hAnsi="Arial"/>
                <w:sz w:val="14"/>
                <w:szCs w:val="14"/>
                <w:b w:val="1"/>
                <w:bCs w:val="1"/>
                <w:color w:val="auto"/>
                <w:w w:val="96"/>
              </w:rPr>
              <w:t>2018</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right"/>
              <w:ind w:right="111"/>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jc w:val="right"/>
              <w:ind w:right="51"/>
              <w:spacing w:after="0"/>
              <w:rPr>
                <w:sz w:val="20"/>
                <w:szCs w:val="20"/>
                <w:color w:val="auto"/>
              </w:rPr>
            </w:pPr>
            <w:r>
              <w:rPr>
                <w:rFonts w:ascii="Arial" w:cs="Arial" w:eastAsia="Arial" w:hAnsi="Arial"/>
                <w:sz w:val="14"/>
                <w:szCs w:val="14"/>
                <w:b w:val="1"/>
                <w:bCs w:val="1"/>
                <w:color w:val="auto"/>
                <w:w w:val="96"/>
              </w:rPr>
              <w:t>2021</w:t>
            </w:r>
          </w:p>
        </w:tc>
        <w:tc>
          <w:tcPr>
            <w:tcW w:w="260" w:type="dxa"/>
            <w:vAlign w:val="bottom"/>
          </w:tcPr>
          <w:p>
            <w:pPr>
              <w:spacing w:after="0"/>
              <w:rPr>
                <w:sz w:val="15"/>
                <w:szCs w:val="15"/>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Thereafter</w:t>
            </w:r>
          </w:p>
        </w:tc>
        <w:tc>
          <w:tcPr>
            <w:tcW w:w="140" w:type="dxa"/>
            <w:vAlign w:val="bottom"/>
          </w:tcPr>
          <w:p>
            <w:pPr>
              <w:spacing w:after="0"/>
              <w:rPr>
                <w:sz w:val="15"/>
                <w:szCs w:val="15"/>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Total</w:t>
            </w:r>
          </w:p>
        </w:tc>
      </w:tr>
      <w:tr>
        <w:trPr>
          <w:trHeight w:val="183"/>
        </w:trPr>
        <w:tc>
          <w:tcPr>
            <w:tcW w:w="49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i w:val="1"/>
                <w:iCs w:val="1"/>
                <w:color w:val="auto"/>
              </w:rPr>
              <w:t>American</w:t>
            </w:r>
          </w:p>
        </w:tc>
        <w:tc>
          <w:tcPr>
            <w:tcW w:w="24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 xml:space="preserve">Debt and capital lease obligations </w:t>
            </w:r>
            <w:r>
              <w:rPr>
                <w:rFonts w:ascii="Arial" w:cs="Arial" w:eastAsia="Arial" w:hAnsi="Arial"/>
                <w:sz w:val="15"/>
                <w:szCs w:val="15"/>
                <w:color w:val="auto"/>
              </w:rPr>
              <w:t>(1) (3)</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820</w:t>
            </w:r>
          </w:p>
        </w:tc>
        <w:tc>
          <w:tcPr>
            <w:tcW w:w="260" w:type="dxa"/>
            <w:vAlign w:val="bottom"/>
          </w:tcPr>
          <w:p>
            <w:pPr>
              <w:spacing w:after="0"/>
              <w:rPr>
                <w:sz w:val="17"/>
                <w:szCs w:val="17"/>
                <w:color w:val="auto"/>
              </w:rPr>
            </w:pP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2,078</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2,105</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3,513</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w w:val="97"/>
              </w:rPr>
              <w:t>2,778</w:t>
            </w:r>
          </w:p>
        </w:tc>
        <w:tc>
          <w:tcPr>
            <w:tcW w:w="160" w:type="dxa"/>
            <w:vAlign w:val="bottom"/>
          </w:tcPr>
          <w:p>
            <w:pPr>
              <w:ind w:left="40"/>
              <w:spacing w:after="0" w:line="202" w:lineRule="exact"/>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w w:val="98"/>
              </w:rPr>
              <w:t>12,024</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98"/>
              </w:rPr>
              <w:t>23,318</w:t>
            </w:r>
          </w:p>
        </w:tc>
      </w:tr>
      <w:tr>
        <w:trPr>
          <w:trHeight w:val="203"/>
        </w:trPr>
        <w:tc>
          <w:tcPr>
            <w:tcW w:w="4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 xml:space="preserve">Interest obligations </w:t>
            </w:r>
            <w:r>
              <w:rPr>
                <w:rFonts w:ascii="Arial" w:cs="Arial" w:eastAsia="Arial" w:hAnsi="Arial"/>
                <w:sz w:val="15"/>
                <w:szCs w:val="15"/>
                <w:color w:val="auto"/>
              </w:rPr>
              <w:t>(2) (3)</w:t>
            </w: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474</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927</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849</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740</w:t>
            </w: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608</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1,800</w:t>
            </w: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5,398</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 xml:space="preserve">Aircraft and engine purchase commitments </w:t>
            </w:r>
            <w:r>
              <w:rPr>
                <w:rFonts w:ascii="Arial" w:cs="Arial" w:eastAsia="Arial" w:hAnsi="Arial"/>
                <w:sz w:val="15"/>
                <w:szCs w:val="15"/>
                <w:color w:val="auto"/>
              </w:rPr>
              <w:t>(4)</w:t>
            </w:r>
          </w:p>
        </w:tc>
        <w:tc>
          <w:tcPr>
            <w:tcW w:w="24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1,778</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1,664</w:t>
            </w:r>
          </w:p>
        </w:tc>
        <w:tc>
          <w:tcPr>
            <w:tcW w:w="160" w:type="dxa"/>
            <w:vAlign w:val="bottom"/>
          </w:tcPr>
          <w:p>
            <w:pPr>
              <w:spacing w:after="0"/>
              <w:rPr>
                <w:sz w:val="17"/>
                <w:szCs w:val="17"/>
                <w:color w:val="auto"/>
              </w:rPr>
            </w:pPr>
          </w:p>
        </w:tc>
        <w:tc>
          <w:tcPr>
            <w:tcW w:w="8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2,714</w:t>
            </w:r>
          </w:p>
        </w:tc>
        <w:tc>
          <w:tcPr>
            <w:tcW w:w="160" w:type="dxa"/>
            <w:vAlign w:val="bottom"/>
          </w:tcPr>
          <w:p>
            <w:pPr>
              <w:spacing w:after="0"/>
              <w:rPr>
                <w:sz w:val="17"/>
                <w:szCs w:val="17"/>
                <w:color w:val="auto"/>
              </w:rPr>
            </w:pPr>
          </w:p>
        </w:tc>
        <w:tc>
          <w:tcPr>
            <w:tcW w:w="8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2,837</w:t>
            </w:r>
          </w:p>
        </w:tc>
        <w:tc>
          <w:tcPr>
            <w:tcW w:w="160" w:type="dxa"/>
            <w:vAlign w:val="bottom"/>
          </w:tcPr>
          <w:p>
            <w:pPr>
              <w:spacing w:after="0"/>
              <w:rPr>
                <w:sz w:val="17"/>
                <w:szCs w:val="17"/>
                <w:color w:val="auto"/>
              </w:rPr>
            </w:pPr>
          </w:p>
        </w:tc>
        <w:tc>
          <w:tcPr>
            <w:tcW w:w="7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w w:val="97"/>
              </w:rPr>
              <w:t>2,959</w:t>
            </w:r>
          </w:p>
        </w:tc>
        <w:tc>
          <w:tcPr>
            <w:tcW w:w="160" w:type="dxa"/>
            <w:vAlign w:val="bottom"/>
          </w:tcPr>
          <w:p>
            <w:pPr>
              <w:spacing w:after="0"/>
              <w:rPr>
                <w:sz w:val="17"/>
                <w:szCs w:val="17"/>
                <w:color w:val="auto"/>
              </w:rPr>
            </w:pPr>
          </w:p>
        </w:tc>
        <w:tc>
          <w:tcPr>
            <w:tcW w:w="8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3,741</w:t>
            </w:r>
          </w:p>
        </w:tc>
        <w:tc>
          <w:tcPr>
            <w:tcW w:w="140" w:type="dxa"/>
            <w:vAlign w:val="bottom"/>
          </w:tcPr>
          <w:p>
            <w:pPr>
              <w:spacing w:after="0"/>
              <w:rPr>
                <w:sz w:val="17"/>
                <w:szCs w:val="17"/>
                <w:color w:val="auto"/>
              </w:rPr>
            </w:pPr>
          </w:p>
        </w:tc>
        <w:tc>
          <w:tcPr>
            <w:tcW w:w="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98"/>
              </w:rPr>
              <w:t>15,693</w:t>
            </w:r>
          </w:p>
        </w:tc>
      </w:tr>
      <w:tr>
        <w:trPr>
          <w:trHeight w:val="203"/>
        </w:trPr>
        <w:tc>
          <w:tcPr>
            <w:tcW w:w="4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 xml:space="preserve">Operating lease commitments </w:t>
            </w:r>
            <w:r>
              <w:rPr>
                <w:rFonts w:ascii="Arial" w:cs="Arial" w:eastAsia="Arial" w:hAnsi="Arial"/>
                <w:sz w:val="15"/>
                <w:szCs w:val="15"/>
                <w:color w:val="auto"/>
              </w:rPr>
              <w:t>(5)</w:t>
            </w: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1,042</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2,054</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1,838</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1,668</w:t>
            </w: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w w:val="97"/>
              </w:rPr>
              <w:t>1,266</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3,987</w:t>
            </w: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8"/>
              </w:rPr>
              <w:t>11,855</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 xml:space="preserve">Regional capacity purchase agreements </w:t>
            </w:r>
            <w:r>
              <w:rPr>
                <w:rFonts w:ascii="Arial" w:cs="Arial" w:eastAsia="Arial" w:hAnsi="Arial"/>
                <w:sz w:val="15"/>
                <w:szCs w:val="15"/>
                <w:color w:val="auto"/>
              </w:rPr>
              <w:t>(6)</w:t>
            </w:r>
          </w:p>
        </w:tc>
        <w:tc>
          <w:tcPr>
            <w:tcW w:w="24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836</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1,395</w:t>
            </w:r>
          </w:p>
        </w:tc>
        <w:tc>
          <w:tcPr>
            <w:tcW w:w="160" w:type="dxa"/>
            <w:vAlign w:val="bottom"/>
          </w:tcPr>
          <w:p>
            <w:pPr>
              <w:spacing w:after="0"/>
              <w:rPr>
                <w:sz w:val="17"/>
                <w:szCs w:val="17"/>
                <w:color w:val="auto"/>
              </w:rPr>
            </w:pPr>
          </w:p>
        </w:tc>
        <w:tc>
          <w:tcPr>
            <w:tcW w:w="8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1,284</w:t>
            </w:r>
          </w:p>
        </w:tc>
        <w:tc>
          <w:tcPr>
            <w:tcW w:w="160" w:type="dxa"/>
            <w:vAlign w:val="bottom"/>
          </w:tcPr>
          <w:p>
            <w:pPr>
              <w:spacing w:after="0"/>
              <w:rPr>
                <w:sz w:val="17"/>
                <w:szCs w:val="17"/>
                <w:color w:val="auto"/>
              </w:rPr>
            </w:pPr>
          </w:p>
        </w:tc>
        <w:tc>
          <w:tcPr>
            <w:tcW w:w="8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1,051</w:t>
            </w:r>
          </w:p>
        </w:tc>
        <w:tc>
          <w:tcPr>
            <w:tcW w:w="160" w:type="dxa"/>
            <w:vAlign w:val="bottom"/>
          </w:tcPr>
          <w:p>
            <w:pPr>
              <w:spacing w:after="0"/>
              <w:rPr>
                <w:sz w:val="17"/>
                <w:szCs w:val="17"/>
                <w:color w:val="auto"/>
              </w:rPr>
            </w:pPr>
          </w:p>
        </w:tc>
        <w:tc>
          <w:tcPr>
            <w:tcW w:w="7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858</w:t>
            </w:r>
          </w:p>
        </w:tc>
        <w:tc>
          <w:tcPr>
            <w:tcW w:w="160" w:type="dxa"/>
            <w:vAlign w:val="bottom"/>
          </w:tcPr>
          <w:p>
            <w:pPr>
              <w:spacing w:after="0"/>
              <w:rPr>
                <w:sz w:val="17"/>
                <w:szCs w:val="17"/>
                <w:color w:val="auto"/>
              </w:rPr>
            </w:pPr>
          </w:p>
        </w:tc>
        <w:tc>
          <w:tcPr>
            <w:tcW w:w="8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2,745</w:t>
            </w:r>
          </w:p>
        </w:tc>
        <w:tc>
          <w:tcPr>
            <w:tcW w:w="140" w:type="dxa"/>
            <w:vAlign w:val="bottom"/>
          </w:tcPr>
          <w:p>
            <w:pPr>
              <w:spacing w:after="0"/>
              <w:rPr>
                <w:sz w:val="17"/>
                <w:szCs w:val="17"/>
                <w:color w:val="auto"/>
              </w:rPr>
            </w:pPr>
          </w:p>
        </w:tc>
        <w:tc>
          <w:tcPr>
            <w:tcW w:w="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8,169</w:t>
            </w:r>
          </w:p>
        </w:tc>
      </w:tr>
      <w:tr>
        <w:trPr>
          <w:trHeight w:val="203"/>
        </w:trPr>
        <w:tc>
          <w:tcPr>
            <w:tcW w:w="4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 xml:space="preserve">Minimum pension obligations </w:t>
            </w:r>
            <w:r>
              <w:rPr>
                <w:rFonts w:ascii="Arial" w:cs="Arial" w:eastAsia="Arial" w:hAnsi="Arial"/>
                <w:sz w:val="15"/>
                <w:szCs w:val="15"/>
                <w:color w:val="auto"/>
              </w:rPr>
              <w:t>(7)</w:t>
            </w:r>
          </w:p>
        </w:tc>
        <w:tc>
          <w:tcPr>
            <w:tcW w:w="2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62</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1,136</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800</w:t>
            </w: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793</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3,082</w:t>
            </w: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5,873</w:t>
            </w:r>
          </w:p>
        </w:tc>
      </w:tr>
      <w:tr>
        <w:trPr>
          <w:trHeight w:val="199"/>
        </w:trPr>
        <w:tc>
          <w:tcPr>
            <w:tcW w:w="4960" w:type="dxa"/>
            <w:vAlign w:val="bottom"/>
          </w:tcPr>
          <w:p>
            <w:pPr>
              <w:spacing w:after="0" w:line="199" w:lineRule="exact"/>
              <w:rPr>
                <w:sz w:val="20"/>
                <w:szCs w:val="20"/>
                <w:color w:val="auto"/>
              </w:rPr>
            </w:pPr>
            <w:r>
              <w:rPr>
                <w:rFonts w:ascii="Arial" w:cs="Arial" w:eastAsia="Arial" w:hAnsi="Arial"/>
                <w:sz w:val="18"/>
                <w:szCs w:val="18"/>
                <w:color w:val="auto"/>
              </w:rPr>
              <w:t>Retiree medical and other postretirement benefits and other</w:t>
            </w: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6"/>
        </w:trPr>
        <w:tc>
          <w:tcPr>
            <w:tcW w:w="4960" w:type="dxa"/>
            <w:vAlign w:val="bottom"/>
          </w:tcPr>
          <w:p>
            <w:pPr>
              <w:ind w:left="180"/>
              <w:spacing w:after="0"/>
              <w:rPr>
                <w:sz w:val="20"/>
                <w:szCs w:val="20"/>
                <w:color w:val="auto"/>
              </w:rPr>
            </w:pPr>
            <w:r>
              <w:rPr>
                <w:rFonts w:ascii="Arial" w:cs="Arial" w:eastAsia="Arial" w:hAnsi="Arial"/>
                <w:sz w:val="18"/>
                <w:szCs w:val="18"/>
                <w:color w:val="auto"/>
              </w:rPr>
              <w:t xml:space="preserve">obligations </w:t>
            </w:r>
            <w:r>
              <w:rPr>
                <w:rFonts w:ascii="Arial" w:cs="Arial" w:eastAsia="Arial" w:hAnsi="Arial"/>
                <w:sz w:val="15"/>
                <w:szCs w:val="15"/>
                <w:color w:val="auto"/>
              </w:rPr>
              <w:t>(8)</w:t>
            </w:r>
          </w:p>
        </w:tc>
        <w:tc>
          <w:tcPr>
            <w:tcW w:w="2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793</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1,075</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471</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136</w:t>
            </w:r>
          </w:p>
        </w:tc>
        <w:tc>
          <w:tcPr>
            <w:tcW w:w="160" w:type="dxa"/>
            <w:vAlign w:val="bottom"/>
          </w:tcPr>
          <w:p>
            <w:pPr>
              <w:spacing w:after="0"/>
              <w:rPr>
                <w:sz w:val="17"/>
                <w:szCs w:val="17"/>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280</w:t>
            </w:r>
          </w:p>
        </w:tc>
        <w:tc>
          <w:tcPr>
            <w:tcW w:w="160" w:type="dxa"/>
            <w:vAlign w:val="bottom"/>
          </w:tcPr>
          <w:p>
            <w:pPr>
              <w:spacing w:after="0"/>
              <w:rPr>
                <w:sz w:val="17"/>
                <w:szCs w:val="17"/>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322</w:t>
            </w:r>
          </w:p>
        </w:tc>
        <w:tc>
          <w:tcPr>
            <w:tcW w:w="140" w:type="dxa"/>
            <w:vAlign w:val="bottom"/>
          </w:tcPr>
          <w:p>
            <w:pPr>
              <w:spacing w:after="0"/>
              <w:rPr>
                <w:sz w:val="17"/>
                <w:szCs w:val="17"/>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3,077</w:t>
            </w:r>
          </w:p>
        </w:tc>
      </w:tr>
      <w:tr>
        <w:trPr>
          <w:trHeight w:val="27"/>
        </w:trPr>
        <w:tc>
          <w:tcPr>
            <w:tcW w:w="49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49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Total American Contractual Obligations</w:t>
            </w:r>
          </w:p>
        </w:tc>
        <w:tc>
          <w:tcPr>
            <w:tcW w:w="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5,743</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9,255</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10,397</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w w:val="98"/>
              </w:rPr>
              <w:t>10,745</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w w:val="97"/>
              </w:rPr>
              <w:t>9,542</w:t>
            </w:r>
          </w:p>
        </w:tc>
        <w:tc>
          <w:tcPr>
            <w:tcW w:w="1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w w:val="98"/>
              </w:rPr>
              <w:t>27,701</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8"/>
              </w:rPr>
              <w:t>73,383</w:t>
            </w:r>
          </w:p>
        </w:tc>
      </w:tr>
      <w:tr>
        <w:trPr>
          <w:trHeight w:val="419"/>
        </w:trPr>
        <w:tc>
          <w:tcPr>
            <w:tcW w:w="4960" w:type="dxa"/>
            <w:vAlign w:val="bottom"/>
          </w:tcPr>
          <w:p>
            <w:pPr>
              <w:spacing w:after="0"/>
              <w:rPr>
                <w:sz w:val="20"/>
                <w:szCs w:val="20"/>
                <w:color w:val="auto"/>
              </w:rPr>
            </w:pPr>
            <w:r>
              <w:rPr>
                <w:rFonts w:ascii="Arial" w:cs="Arial" w:eastAsia="Arial" w:hAnsi="Arial"/>
                <w:sz w:val="18"/>
                <w:szCs w:val="18"/>
                <w:i w:val="1"/>
                <w:iCs w:val="1"/>
                <w:color w:val="auto"/>
              </w:rPr>
              <w:t>AAG Parent and Other AAG Subsidiaries</w:t>
            </w: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3"/>
        </w:trPr>
        <w:tc>
          <w:tcPr>
            <w:tcW w:w="4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 xml:space="preserve">Debt and capital lease obligations </w:t>
            </w:r>
            <w:r>
              <w:rPr>
                <w:rFonts w:ascii="Arial" w:cs="Arial" w:eastAsia="Arial" w:hAnsi="Arial"/>
                <w:sz w:val="15"/>
                <w:szCs w:val="15"/>
                <w:color w:val="auto"/>
              </w:rPr>
              <w:t>(1)</w:t>
            </w:r>
          </w:p>
        </w:tc>
        <w:tc>
          <w:tcPr>
            <w:tcW w:w="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500</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750</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506</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22</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1,780</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 xml:space="preserve">Interest obligations </w:t>
            </w:r>
            <w:r>
              <w:rPr>
                <w:rFonts w:ascii="Arial" w:cs="Arial" w:eastAsia="Arial" w:hAnsi="Arial"/>
                <w:sz w:val="15"/>
                <w:szCs w:val="15"/>
                <w:color w:val="auto"/>
              </w:rPr>
              <w:t>(2)</w:t>
            </w:r>
          </w:p>
        </w:tc>
        <w:tc>
          <w:tcPr>
            <w:tcW w:w="240" w:type="dxa"/>
            <w:vAlign w:val="bottom"/>
          </w:tcPr>
          <w:p>
            <w:pPr>
              <w:spacing w:after="0"/>
              <w:rPr>
                <w:sz w:val="17"/>
                <w:szCs w:val="17"/>
                <w:color w:val="auto"/>
              </w:rPr>
            </w:pPr>
          </w:p>
        </w:tc>
        <w:tc>
          <w:tcPr>
            <w:tcW w:w="7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48</w:t>
            </w:r>
          </w:p>
        </w:tc>
        <w:tc>
          <w:tcPr>
            <w:tcW w:w="140" w:type="dxa"/>
            <w:vAlign w:val="bottom"/>
          </w:tcPr>
          <w:p>
            <w:pPr>
              <w:spacing w:after="0"/>
              <w:rPr>
                <w:sz w:val="17"/>
                <w:szCs w:val="17"/>
                <w:color w:val="auto"/>
              </w:rPr>
            </w:pPr>
          </w:p>
        </w:tc>
        <w:tc>
          <w:tcPr>
            <w:tcW w:w="7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82</w:t>
            </w:r>
          </w:p>
        </w:tc>
        <w:tc>
          <w:tcPr>
            <w:tcW w:w="160" w:type="dxa"/>
            <w:vAlign w:val="bottom"/>
          </w:tcPr>
          <w:p>
            <w:pPr>
              <w:spacing w:after="0"/>
              <w:rPr>
                <w:sz w:val="17"/>
                <w:szCs w:val="17"/>
                <w:color w:val="auto"/>
              </w:rPr>
            </w:pPr>
          </w:p>
        </w:tc>
        <w:tc>
          <w:tcPr>
            <w:tcW w:w="8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67</w:t>
            </w:r>
          </w:p>
        </w:tc>
        <w:tc>
          <w:tcPr>
            <w:tcW w:w="160" w:type="dxa"/>
            <w:vAlign w:val="bottom"/>
          </w:tcPr>
          <w:p>
            <w:pPr>
              <w:spacing w:after="0"/>
              <w:rPr>
                <w:sz w:val="17"/>
                <w:szCs w:val="17"/>
                <w:color w:val="auto"/>
              </w:rPr>
            </w:pPr>
          </w:p>
        </w:tc>
        <w:tc>
          <w:tcPr>
            <w:tcW w:w="8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14</w:t>
            </w:r>
          </w:p>
        </w:tc>
        <w:tc>
          <w:tcPr>
            <w:tcW w:w="160" w:type="dxa"/>
            <w:vAlign w:val="bottom"/>
          </w:tcPr>
          <w:p>
            <w:pPr>
              <w:spacing w:after="0"/>
              <w:rPr>
                <w:sz w:val="17"/>
                <w:szCs w:val="17"/>
                <w:color w:val="auto"/>
              </w:rPr>
            </w:pPr>
          </w:p>
        </w:tc>
        <w:tc>
          <w:tcPr>
            <w:tcW w:w="7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w:t>
            </w:r>
          </w:p>
        </w:tc>
        <w:tc>
          <w:tcPr>
            <w:tcW w:w="160" w:type="dxa"/>
            <w:vAlign w:val="bottom"/>
          </w:tcPr>
          <w:p>
            <w:pPr>
              <w:spacing w:after="0"/>
              <w:rPr>
                <w:sz w:val="17"/>
                <w:szCs w:val="17"/>
                <w:color w:val="auto"/>
              </w:rPr>
            </w:pPr>
          </w:p>
        </w:tc>
        <w:tc>
          <w:tcPr>
            <w:tcW w:w="8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8</w:t>
            </w:r>
          </w:p>
        </w:tc>
        <w:tc>
          <w:tcPr>
            <w:tcW w:w="140" w:type="dxa"/>
            <w:vAlign w:val="bottom"/>
          </w:tcPr>
          <w:p>
            <w:pPr>
              <w:spacing w:after="0"/>
              <w:rPr>
                <w:sz w:val="17"/>
                <w:szCs w:val="17"/>
                <w:color w:val="auto"/>
              </w:rPr>
            </w:pPr>
          </w:p>
        </w:tc>
        <w:tc>
          <w:tcPr>
            <w:tcW w:w="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221</w:t>
            </w:r>
          </w:p>
        </w:tc>
      </w:tr>
      <w:tr>
        <w:trPr>
          <w:trHeight w:val="203"/>
        </w:trPr>
        <w:tc>
          <w:tcPr>
            <w:tcW w:w="4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lease commitments</w:t>
            </w:r>
          </w:p>
        </w:tc>
        <w:tc>
          <w:tcPr>
            <w:tcW w:w="2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66</w:t>
            </w:r>
          </w:p>
        </w:tc>
      </w:tr>
      <w:tr>
        <w:trPr>
          <w:trHeight w:val="20"/>
        </w:trPr>
        <w:tc>
          <w:tcPr>
            <w:tcW w:w="49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4960" w:type="dxa"/>
            <w:vAlign w:val="bottom"/>
          </w:tcPr>
          <w:p>
            <w:pPr>
              <w:ind w:left="180"/>
              <w:spacing w:after="0"/>
              <w:rPr>
                <w:sz w:val="20"/>
                <w:szCs w:val="20"/>
                <w:color w:val="auto"/>
              </w:rPr>
            </w:pPr>
            <w:r>
              <w:rPr>
                <w:rFonts w:ascii="Arial" w:cs="Arial" w:eastAsia="Arial" w:hAnsi="Arial"/>
                <w:sz w:val="18"/>
                <w:szCs w:val="18"/>
                <w:color w:val="auto"/>
              </w:rPr>
              <w:t>Total AAG Contractual Obligations</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5,801</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9,852</w:t>
            </w:r>
          </w:p>
        </w:tc>
        <w:tc>
          <w:tcPr>
            <w:tcW w:w="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11,223</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u w:val="single" w:color="auto"/>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11,272</w:t>
            </w:r>
          </w:p>
        </w:tc>
        <w:tc>
          <w:tcPr>
            <w:tcW w:w="160" w:type="dxa"/>
            <w:vAlign w:val="bottom"/>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9,555</w:t>
            </w:r>
          </w:p>
        </w:tc>
        <w:tc>
          <w:tcPr>
            <w:tcW w:w="160" w:type="dxa"/>
            <w:vAlign w:val="bottom"/>
          </w:tcPr>
          <w:p>
            <w:pPr>
              <w:ind w:left="40"/>
              <w:spacing w:after="0"/>
              <w:rPr>
                <w:sz w:val="20"/>
                <w:szCs w:val="20"/>
                <w:color w:val="auto"/>
              </w:rPr>
            </w:pPr>
            <w:r>
              <w:rPr>
                <w:rFonts w:ascii="Arial" w:cs="Arial" w:eastAsia="Arial" w:hAnsi="Arial"/>
                <w:sz w:val="18"/>
                <w:szCs w:val="18"/>
                <w:u w:val="single" w:color="auto"/>
                <w:color w:val="auto"/>
                <w:w w:val="99"/>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27,747</w:t>
            </w:r>
          </w:p>
        </w:tc>
        <w:tc>
          <w:tcPr>
            <w:tcW w:w="140" w:type="dxa"/>
            <w:vAlign w:val="bottom"/>
          </w:tcPr>
          <w:p>
            <w:pPr>
              <w:jc w:val="right"/>
              <w:spacing w:after="0"/>
              <w:rPr>
                <w:sz w:val="20"/>
                <w:szCs w:val="20"/>
                <w:color w:val="auto"/>
              </w:rPr>
            </w:pPr>
            <w:r>
              <w:rPr>
                <w:rFonts w:ascii="Arial" w:cs="Arial" w:eastAsia="Arial" w:hAnsi="Arial"/>
                <w:sz w:val="18"/>
                <w:szCs w:val="18"/>
                <w:u w:val="single" w:color="auto"/>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75,450</w:t>
            </w:r>
          </w:p>
        </w:tc>
      </w:tr>
      <w:tr>
        <w:trPr>
          <w:trHeight w:val="20"/>
        </w:trPr>
        <w:tc>
          <w:tcPr>
            <w:tcW w:w="49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82" w:lineRule="exact"/>
        <w:rPr>
          <w:sz w:val="20"/>
          <w:szCs w:val="20"/>
          <w:color w:val="auto"/>
        </w:rPr>
      </w:pPr>
    </w:p>
    <w:p>
      <w:pPr>
        <w:jc w:val="both"/>
        <w:ind w:left="460" w:hanging="452"/>
        <w:spacing w:after="0"/>
        <w:tabs>
          <w:tab w:leader="none" w:pos="460" w:val="left"/>
        </w:tabs>
        <w:numPr>
          <w:ilvl w:val="0"/>
          <w:numId w:val="25"/>
        </w:numPr>
        <w:rPr>
          <w:rFonts w:ascii="Arial" w:cs="Arial" w:eastAsia="Arial" w:hAnsi="Arial"/>
          <w:sz w:val="15"/>
          <w:szCs w:val="15"/>
          <w:color w:val="auto"/>
        </w:rPr>
      </w:pPr>
      <w:r>
        <w:rPr>
          <w:rFonts w:ascii="Arial" w:cs="Arial" w:eastAsia="Arial" w:hAnsi="Arial"/>
          <w:sz w:val="18"/>
          <w:szCs w:val="18"/>
          <w:color w:val="auto"/>
        </w:rPr>
        <w:t>Amounts represent contractual amounts due. Excludes $229 million and $10 million of unamortized debt discount, premium and issuance costs as of June 30, 2017 for American and AAG Parent, respectively. For additional information, see Note 5 and Note 3 to AAG’s and American’s Condensed Consolidated Financial Statements in Part I, Items 1A and 1B.</w:t>
      </w:r>
    </w:p>
    <w:p>
      <w:pPr>
        <w:spacing w:after="0" w:line="108" w:lineRule="exact"/>
        <w:rPr>
          <w:rFonts w:ascii="Arial" w:cs="Arial" w:eastAsia="Arial" w:hAnsi="Arial"/>
          <w:sz w:val="15"/>
          <w:szCs w:val="15"/>
          <w:color w:val="auto"/>
        </w:rPr>
      </w:pPr>
    </w:p>
    <w:p>
      <w:pPr>
        <w:ind w:left="460" w:hanging="452"/>
        <w:spacing w:after="0"/>
        <w:tabs>
          <w:tab w:leader="none" w:pos="460" w:val="left"/>
        </w:tabs>
        <w:numPr>
          <w:ilvl w:val="0"/>
          <w:numId w:val="25"/>
        </w:numPr>
        <w:rPr>
          <w:rFonts w:ascii="Arial" w:cs="Arial" w:eastAsia="Arial" w:hAnsi="Arial"/>
          <w:sz w:val="15"/>
          <w:szCs w:val="15"/>
          <w:color w:val="auto"/>
        </w:rPr>
      </w:pPr>
      <w:r>
        <w:rPr>
          <w:rFonts w:ascii="Arial" w:cs="Arial" w:eastAsia="Arial" w:hAnsi="Arial"/>
          <w:sz w:val="18"/>
          <w:szCs w:val="18"/>
          <w:color w:val="auto"/>
        </w:rPr>
        <w:t>For variable-rate debt, future interest obligations are estimated using the current forward rates at June 30, 2017.</w:t>
      </w:r>
    </w:p>
    <w:p>
      <w:pPr>
        <w:spacing w:after="0" w:line="117" w:lineRule="exact"/>
        <w:rPr>
          <w:rFonts w:ascii="Arial" w:cs="Arial" w:eastAsia="Arial" w:hAnsi="Arial"/>
          <w:sz w:val="15"/>
          <w:szCs w:val="15"/>
          <w:color w:val="auto"/>
        </w:rPr>
      </w:pPr>
    </w:p>
    <w:p>
      <w:pPr>
        <w:ind w:left="460" w:right="20" w:hanging="452"/>
        <w:spacing w:after="0" w:line="246" w:lineRule="auto"/>
        <w:tabs>
          <w:tab w:leader="none" w:pos="460" w:val="left"/>
        </w:tabs>
        <w:numPr>
          <w:ilvl w:val="0"/>
          <w:numId w:val="25"/>
        </w:numPr>
        <w:rPr>
          <w:rFonts w:ascii="Arial" w:cs="Arial" w:eastAsia="Arial" w:hAnsi="Arial"/>
          <w:sz w:val="15"/>
          <w:szCs w:val="15"/>
          <w:color w:val="auto"/>
        </w:rPr>
      </w:pPr>
      <w:r>
        <w:rPr>
          <w:rFonts w:ascii="Arial" w:cs="Arial" w:eastAsia="Arial" w:hAnsi="Arial"/>
          <w:sz w:val="18"/>
          <w:szCs w:val="18"/>
          <w:color w:val="auto"/>
        </w:rPr>
        <w:t>Includes $11.3 billion of future principal payments and $2.7 billion of future interest payments, respectively, as of June 30, 2017, related to EETC notes associated with mortgage financings for the purchase of certain aircraft.</w:t>
      </w:r>
    </w:p>
    <w:p>
      <w:pPr>
        <w:spacing w:after="0" w:line="84" w:lineRule="exact"/>
        <w:rPr>
          <w:rFonts w:ascii="Arial" w:cs="Arial" w:eastAsia="Arial" w:hAnsi="Arial"/>
          <w:sz w:val="15"/>
          <w:szCs w:val="15"/>
          <w:color w:val="auto"/>
        </w:rPr>
      </w:pPr>
    </w:p>
    <w:p>
      <w:pPr>
        <w:ind w:left="460" w:hanging="452"/>
        <w:spacing w:after="0" w:line="267" w:lineRule="auto"/>
        <w:tabs>
          <w:tab w:leader="none" w:pos="460" w:val="left"/>
        </w:tabs>
        <w:numPr>
          <w:ilvl w:val="0"/>
          <w:numId w:val="25"/>
        </w:numPr>
        <w:rPr>
          <w:rFonts w:ascii="Arial" w:cs="Arial" w:eastAsia="Arial" w:hAnsi="Arial"/>
          <w:sz w:val="15"/>
          <w:szCs w:val="15"/>
          <w:color w:val="auto"/>
        </w:rPr>
      </w:pPr>
      <w:r>
        <w:rPr>
          <w:rFonts w:ascii="Arial" w:cs="Arial" w:eastAsia="Arial" w:hAnsi="Arial"/>
          <w:sz w:val="18"/>
          <w:szCs w:val="18"/>
          <w:color w:val="auto"/>
        </w:rPr>
        <w:t>See Part I, Item 2. Management’s Discussion and Analysis of Financial Condition and Results of Operations – “</w:t>
      </w:r>
      <w:r>
        <w:rPr>
          <w:rFonts w:ascii="Arial" w:cs="Arial" w:eastAsia="Arial" w:hAnsi="Arial"/>
          <w:sz w:val="18"/>
          <w:szCs w:val="18"/>
          <w:i w:val="1"/>
          <w:iCs w:val="1"/>
          <w:color w:val="auto"/>
        </w:rPr>
        <w:t>Liquidity and Capital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Resources” </w:t>
      </w:r>
      <w:r>
        <w:rPr>
          <w:rFonts w:ascii="Arial" w:cs="Arial" w:eastAsia="Arial" w:hAnsi="Arial"/>
          <w:sz w:val="18"/>
          <w:szCs w:val="18"/>
          <w:color w:val="auto"/>
        </w:rPr>
        <w:t>for additional information about these obligations.</w:t>
      </w:r>
    </w:p>
    <w:p>
      <w:pPr>
        <w:spacing w:after="0" w:line="84" w:lineRule="exact"/>
        <w:rPr>
          <w:rFonts w:ascii="Arial" w:cs="Arial" w:eastAsia="Arial" w:hAnsi="Arial"/>
          <w:sz w:val="15"/>
          <w:szCs w:val="15"/>
          <w:color w:val="auto"/>
        </w:rPr>
      </w:pPr>
    </w:p>
    <w:p>
      <w:pPr>
        <w:ind w:left="460" w:hanging="452"/>
        <w:spacing w:after="0"/>
        <w:tabs>
          <w:tab w:leader="none" w:pos="460" w:val="left"/>
        </w:tabs>
        <w:numPr>
          <w:ilvl w:val="0"/>
          <w:numId w:val="25"/>
        </w:numPr>
        <w:rPr>
          <w:rFonts w:ascii="Arial" w:cs="Arial" w:eastAsia="Arial" w:hAnsi="Arial"/>
          <w:sz w:val="14"/>
          <w:szCs w:val="14"/>
          <w:color w:val="auto"/>
        </w:rPr>
      </w:pPr>
      <w:r>
        <w:rPr>
          <w:rFonts w:ascii="Arial" w:cs="Arial" w:eastAsia="Arial" w:hAnsi="Arial"/>
          <w:sz w:val="17"/>
          <w:szCs w:val="17"/>
          <w:color w:val="auto"/>
        </w:rPr>
        <w:t>Includes $1.3 billion of future minimum lease payments related to EETC leverage leased financings of certain aircraft as of June 30, 2017.</w:t>
      </w:r>
    </w:p>
    <w:p>
      <w:pPr>
        <w:spacing w:after="0" w:line="128" w:lineRule="exact"/>
        <w:rPr>
          <w:rFonts w:ascii="Arial" w:cs="Arial" w:eastAsia="Arial" w:hAnsi="Arial"/>
          <w:sz w:val="14"/>
          <w:szCs w:val="14"/>
          <w:color w:val="auto"/>
        </w:rPr>
      </w:pPr>
    </w:p>
    <w:p>
      <w:pPr>
        <w:jc w:val="both"/>
        <w:ind w:left="460" w:hanging="452"/>
        <w:spacing w:after="0" w:line="237" w:lineRule="auto"/>
        <w:tabs>
          <w:tab w:leader="none" w:pos="460" w:val="left"/>
        </w:tabs>
        <w:numPr>
          <w:ilvl w:val="0"/>
          <w:numId w:val="25"/>
        </w:numPr>
        <w:rPr>
          <w:rFonts w:ascii="Arial" w:cs="Arial" w:eastAsia="Arial" w:hAnsi="Arial"/>
          <w:sz w:val="15"/>
          <w:szCs w:val="15"/>
          <w:color w:val="auto"/>
        </w:rPr>
      </w:pPr>
      <w:r>
        <w:rPr>
          <w:rFonts w:ascii="Arial" w:cs="Arial" w:eastAsia="Arial" w:hAnsi="Arial"/>
          <w:sz w:val="18"/>
          <w:szCs w:val="18"/>
          <w:color w:val="auto"/>
        </w:rPr>
        <w:t>Represents minimum payments under capacity purchase agreements with third-party regional carriers. These commitments are estimates of costs based on assumed minimum levels of flying under the capacity purchase agreements and our actual payments could differ materially. In the second quarter of 2017, Republic Airways Holdings Inc. (Republic), a third-party regional carrier operating under a capacity purchase agreement with us, emerged from Chapter 11 bankruptcy. In connection with Republic’s bankruptcy process, we restructured our contractual relationship with Republic and received an approximate 25% ownership interest in Republic in consideration for our unsecured claim in the case. This ownership interest is accounted for under the equity method and our portion of Republic’s financial results are recognized within other, net on the condensed consolidated statement of operations.</w:t>
      </w:r>
    </w:p>
    <w:p>
      <w:pPr>
        <w:spacing w:after="0" w:line="108" w:lineRule="exact"/>
        <w:rPr>
          <w:rFonts w:ascii="Arial" w:cs="Arial" w:eastAsia="Arial" w:hAnsi="Arial"/>
          <w:sz w:val="15"/>
          <w:szCs w:val="15"/>
          <w:color w:val="auto"/>
        </w:rPr>
      </w:pPr>
    </w:p>
    <w:p>
      <w:pPr>
        <w:ind w:left="460" w:hanging="452"/>
        <w:spacing w:after="0"/>
        <w:tabs>
          <w:tab w:leader="none" w:pos="460" w:val="left"/>
        </w:tabs>
        <w:numPr>
          <w:ilvl w:val="0"/>
          <w:numId w:val="25"/>
        </w:numPr>
        <w:rPr>
          <w:rFonts w:ascii="Arial" w:cs="Arial" w:eastAsia="Arial" w:hAnsi="Arial"/>
          <w:sz w:val="15"/>
          <w:szCs w:val="15"/>
          <w:color w:val="auto"/>
        </w:rPr>
      </w:pPr>
      <w:r>
        <w:rPr>
          <w:rFonts w:ascii="Arial" w:cs="Arial" w:eastAsia="Arial" w:hAnsi="Arial"/>
          <w:sz w:val="18"/>
          <w:szCs w:val="18"/>
          <w:color w:val="auto"/>
        </w:rPr>
        <w:t>Includes minimum pension contributions based on actuarially determined estimates.</w:t>
      </w:r>
    </w:p>
    <w:p>
      <w:pPr>
        <w:spacing w:after="0" w:line="117" w:lineRule="exact"/>
        <w:rPr>
          <w:rFonts w:ascii="Arial" w:cs="Arial" w:eastAsia="Arial" w:hAnsi="Arial"/>
          <w:sz w:val="15"/>
          <w:szCs w:val="15"/>
          <w:color w:val="auto"/>
        </w:rPr>
      </w:pPr>
    </w:p>
    <w:p>
      <w:pPr>
        <w:ind w:left="460" w:hanging="452"/>
        <w:spacing w:after="0" w:line="246" w:lineRule="auto"/>
        <w:tabs>
          <w:tab w:leader="none" w:pos="460" w:val="left"/>
        </w:tabs>
        <w:numPr>
          <w:ilvl w:val="0"/>
          <w:numId w:val="25"/>
        </w:numPr>
        <w:rPr>
          <w:rFonts w:ascii="Arial" w:cs="Arial" w:eastAsia="Arial" w:hAnsi="Arial"/>
          <w:sz w:val="15"/>
          <w:szCs w:val="15"/>
          <w:color w:val="auto"/>
        </w:rPr>
      </w:pPr>
      <w:r>
        <w:rPr>
          <w:rFonts w:ascii="Arial" w:cs="Arial" w:eastAsia="Arial" w:hAnsi="Arial"/>
          <w:sz w:val="18"/>
          <w:szCs w:val="18"/>
          <w:color w:val="auto"/>
        </w:rPr>
        <w:t>Includes retiree medical and other postretirement benefit payments, a $200 million equity investment in China Southern Airlines, the closing of which is dependent upon obtaining regulatory and other approvals, and other minimum purchase obligations.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Raising Activity and Other Possible Actions</w:t>
      </w:r>
    </w:p>
    <w:p>
      <w:pPr>
        <w:spacing w:after="0" w:line="126" w:lineRule="exact"/>
        <w:rPr>
          <w:sz w:val="20"/>
          <w:szCs w:val="20"/>
          <w:color w:val="auto"/>
        </w:rPr>
      </w:pPr>
    </w:p>
    <w:p>
      <w:pPr>
        <w:jc w:val="both"/>
        <w:ind w:firstLine="228"/>
        <w:spacing w:after="0"/>
        <w:rPr>
          <w:sz w:val="20"/>
          <w:szCs w:val="20"/>
          <w:color w:val="auto"/>
        </w:rPr>
      </w:pPr>
      <w:r>
        <w:rPr>
          <w:rFonts w:ascii="Arial" w:cs="Arial" w:eastAsia="Arial" w:hAnsi="Arial"/>
          <w:sz w:val="18"/>
          <w:szCs w:val="18"/>
          <w:color w:val="auto"/>
        </w:rPr>
        <w:t>In light of our significant financial commitments related to, among other things, new aircraft, the servicing and amortization of existing debt and equipment leasing arrangements, and future pension funding obligations, we and our subsidiaries will regularly consider, and enter into negotiations related to, capital raising activity, which may include the</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265" w:right="239" w:bottom="1440" w:gutter="0" w:footer="0" w:header="0"/>
        </w:sectPr>
      </w:pPr>
    </w:p>
    <w:bookmarkStart w:id="52" w:name="page53"/>
    <w:bookmarkEnd w:id="52"/>
    <w:p>
      <w:pPr>
        <w:jc w:val="both"/>
        <w:spacing w:after="0" w:line="23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entry into leasing transactions and future issuances of secured or unsecured debt obligations or additional equity securities in public or private offerings or otherwise. The cash available from operations and these sources, however, may not be sufficient to cover cash contractual obligations because economic factors may reduce the amount of cash generated by operations or increase costs. For instance, an economic downturn or general global instability caused by military actions, terrorism, disease outbreaks or natural disasters could reduce the demand for air travel, which would reduce the amount of cash generated by operations. An increase in costs, either due to an increase in borrowing costs caused by a reduction in credit ratings or a general increase in interest rates, or due to an increase in the cost of fuel, maintenance, or aircraft, aircraft engines or parts, could decrease the amount of cash available to cover cash contractual obligations. Moreover, certain of our financing arrangements contain significant minimum cash balance requirements. As a result, we cannot use all of our available cash to fund operations, capital expenditures and cash obligations without violating these requirements.</w:t>
      </w:r>
    </w:p>
    <w:p>
      <w:pPr>
        <w:spacing w:after="0" w:line="207" w:lineRule="exact"/>
        <w:rPr>
          <w:sz w:val="20"/>
          <w:szCs w:val="20"/>
          <w:color w:val="auto"/>
        </w:rPr>
      </w:pPr>
    </w:p>
    <w:p>
      <w:pPr>
        <w:jc w:val="both"/>
        <w:ind w:firstLine="228"/>
        <w:spacing w:after="0"/>
        <w:rPr>
          <w:sz w:val="20"/>
          <w:szCs w:val="20"/>
          <w:color w:val="auto"/>
        </w:rPr>
      </w:pPr>
      <w:r>
        <w:rPr>
          <w:rFonts w:ascii="Arial" w:cs="Arial" w:eastAsia="Arial" w:hAnsi="Arial"/>
          <w:sz w:val="18"/>
          <w:szCs w:val="18"/>
          <w:color w:val="auto"/>
        </w:rPr>
        <w:t>In the past, we have from time to time refinanced, redeemed or repurchased our debt and taken other steps to reduce or otherwise manage the aggregate amount and cost of our debt or lease obligations or otherwise improve our balance sheet. Going forward, depending on market conditions, our cash position and other considerations, we may continue to take such actions.</w:t>
      </w:r>
    </w:p>
    <w:p>
      <w:pPr>
        <w:spacing w:after="0" w:line="203" w:lineRule="exact"/>
        <w:rPr>
          <w:sz w:val="20"/>
          <w:szCs w:val="20"/>
          <w:color w:val="auto"/>
        </w:rPr>
      </w:pPr>
    </w:p>
    <w:p>
      <w:pPr>
        <w:jc w:val="both"/>
        <w:ind w:right="20" w:firstLine="228"/>
        <w:spacing w:after="0" w:line="246" w:lineRule="auto"/>
        <w:rPr>
          <w:sz w:val="20"/>
          <w:szCs w:val="20"/>
          <w:color w:val="auto"/>
        </w:rPr>
      </w:pPr>
      <w:r>
        <w:rPr>
          <w:rFonts w:ascii="Arial" w:cs="Arial" w:eastAsia="Arial" w:hAnsi="Arial"/>
          <w:sz w:val="18"/>
          <w:szCs w:val="18"/>
          <w:color w:val="auto"/>
        </w:rPr>
        <w:t>Our Board of Directors, has from time to time authorized programs to repurchase shares of our common stock, and may authorize additional share repurchase programs in the future.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6" w:lineRule="exact"/>
        <w:rPr>
          <w:sz w:val="20"/>
          <w:szCs w:val="20"/>
          <w:color w:val="auto"/>
        </w:rPr>
      </w:pPr>
    </w:p>
    <w:p>
      <w:pPr>
        <w:jc w:val="both"/>
        <w:ind w:firstLine="228"/>
        <w:spacing w:after="0" w:line="246" w:lineRule="auto"/>
        <w:rPr>
          <w:sz w:val="20"/>
          <w:szCs w:val="20"/>
          <w:color w:val="auto"/>
        </w:rPr>
      </w:pPr>
      <w:r>
        <w:rPr>
          <w:rFonts w:ascii="Arial" w:cs="Arial" w:eastAsia="Arial" w:hAnsi="Arial"/>
          <w:sz w:val="18"/>
          <w:szCs w:val="18"/>
          <w:color w:val="auto"/>
        </w:rPr>
        <w:t>In the second quarter of 2017, there were no changes to our critical accounting policies and estimates from those disclosed in the Consolidated Financial Statements and accompanying notes contained in our 2016 Form 10-K.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6" w:lineRule="exact"/>
        <w:rPr>
          <w:sz w:val="20"/>
          <w:szCs w:val="20"/>
          <w:color w:val="auto"/>
        </w:rPr>
      </w:pPr>
    </w:p>
    <w:p>
      <w:pPr>
        <w:jc w:val="both"/>
        <w:ind w:firstLine="228"/>
        <w:spacing w:after="0" w:line="246" w:lineRule="auto"/>
        <w:rPr>
          <w:sz w:val="20"/>
          <w:szCs w:val="20"/>
          <w:color w:val="auto"/>
        </w:rPr>
      </w:pPr>
      <w:r>
        <w:rPr>
          <w:rFonts w:ascii="Arial" w:cs="Arial" w:eastAsia="Arial" w:hAnsi="Arial"/>
          <w:sz w:val="18"/>
          <w:szCs w:val="18"/>
          <w:color w:val="auto"/>
        </w:rPr>
        <w:t>See Note 1 to AAG’s Condensed Consolidated Financial Statements in Part I, Item 1A and Note 1 to American’s Condensed Consolidated Financial Statements in Part I, Item 1B for further information on recent accounting pronouncements.</w:t>
      </w:r>
    </w:p>
    <w:p>
      <w:pPr>
        <w:spacing w:after="0" w:line="202" w:lineRule="exact"/>
        <w:rPr>
          <w:sz w:val="20"/>
          <w:szCs w:val="20"/>
          <w:color w:val="auto"/>
        </w:rPr>
      </w:pPr>
    </w:p>
    <w:p>
      <w:pPr>
        <w:ind w:right="4080"/>
        <w:spacing w:after="0" w:line="372" w:lineRule="auto"/>
        <w:rPr>
          <w:sz w:val="20"/>
          <w:szCs w:val="20"/>
          <w:color w:val="auto"/>
        </w:rPr>
      </w:pPr>
      <w:r>
        <w:rPr>
          <w:rFonts w:ascii="Arial" w:cs="Arial" w:eastAsia="Arial" w:hAnsi="Arial"/>
          <w:sz w:val="18"/>
          <w:szCs w:val="18"/>
          <w:b w:val="1"/>
          <w:bCs w:val="1"/>
          <w:color w:val="auto"/>
        </w:rPr>
        <w:t xml:space="preserve">ITEM 3. QUANTITATIVE AND QUALITATIVE DISCLOSURES ABOUT MARKET RISK </w:t>
      </w:r>
      <w:r>
        <w:rPr>
          <w:rFonts w:ascii="Arial" w:cs="Arial" w:eastAsia="Arial" w:hAnsi="Arial"/>
          <w:sz w:val="18"/>
          <w:szCs w:val="18"/>
          <w:b w:val="1"/>
          <w:bCs w:val="1"/>
          <w:u w:val="single" w:color="auto"/>
          <w:color w:val="auto"/>
        </w:rPr>
        <w:t>AAG and American’s Market Risk Sensitive Instruments and Positions</w:t>
      </w:r>
    </w:p>
    <w:p>
      <w:pPr>
        <w:spacing w:after="0" w:line="2" w:lineRule="exact"/>
        <w:rPr>
          <w:sz w:val="20"/>
          <w:szCs w:val="20"/>
          <w:color w:val="auto"/>
        </w:rPr>
      </w:pPr>
    </w:p>
    <w:p>
      <w:pPr>
        <w:jc w:val="both"/>
        <w:ind w:firstLine="228"/>
        <w:spacing w:after="0" w:line="246" w:lineRule="auto"/>
        <w:rPr>
          <w:sz w:val="20"/>
          <w:szCs w:val="20"/>
          <w:color w:val="auto"/>
        </w:rPr>
      </w:pPr>
      <w:r>
        <w:rPr>
          <w:rFonts w:ascii="Arial" w:cs="Arial" w:eastAsia="Arial" w:hAnsi="Arial"/>
          <w:sz w:val="18"/>
          <w:szCs w:val="18"/>
          <w:color w:val="auto"/>
        </w:rPr>
        <w:t>Our primary market risk exposures include the price of aircraft fuel, foreign currency exchange rates and interest rate risk. Our exposure to these market risks has not changed materially from our exposure discussed in our 2016 Form 10-K except as updated below.</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Aircraft Fuel</w:t>
      </w:r>
    </w:p>
    <w:p>
      <w:pPr>
        <w:spacing w:after="0" w:line="126" w:lineRule="exact"/>
        <w:rPr>
          <w:sz w:val="20"/>
          <w:szCs w:val="20"/>
          <w:color w:val="auto"/>
        </w:rPr>
      </w:pPr>
    </w:p>
    <w:p>
      <w:pPr>
        <w:jc w:val="both"/>
        <w:ind w:firstLine="228"/>
        <w:spacing w:after="0" w:line="238" w:lineRule="auto"/>
        <w:rPr>
          <w:sz w:val="20"/>
          <w:szCs w:val="20"/>
          <w:color w:val="auto"/>
        </w:rPr>
      </w:pPr>
      <w:r>
        <w:rPr>
          <w:rFonts w:ascii="Arial" w:cs="Arial" w:eastAsia="Arial" w:hAnsi="Arial"/>
          <w:sz w:val="18"/>
          <w:szCs w:val="18"/>
          <w:color w:val="auto"/>
        </w:rPr>
        <w:t>As of June 30, 2017, we did not have any fuel hedging contracts outstanding to hedge our fuel consumption. As such, and assuming we do not enter into any future transactions to hedge our fuel consumption, we will continue to be fully exposed to fluctuations in fuel prices. Our current policy is not to enter into transactions to hedge our fuel consumption, although we review that policy from time to time based on market conditions and other factors. Our 2017 forecasted mainline and regional fuel consumption is presently approximately 4.4 billion gallons, and based on this forecast, a one cent per gallon increase in aviation fuel price would result in a $44 million increase in annual expense.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26" w:lineRule="exact"/>
        <w:rPr>
          <w:sz w:val="20"/>
          <w:szCs w:val="20"/>
          <w:color w:val="auto"/>
        </w:rPr>
      </w:pPr>
    </w:p>
    <w:p>
      <w:pPr>
        <w:jc w:val="both"/>
        <w:ind w:firstLine="228"/>
        <w:spacing w:after="0"/>
        <w:rPr>
          <w:sz w:val="20"/>
          <w:szCs w:val="20"/>
          <w:color w:val="auto"/>
        </w:rPr>
      </w:pPr>
      <w:r>
        <w:rPr>
          <w:rFonts w:ascii="Arial" w:cs="Arial" w:eastAsia="Arial" w:hAnsi="Arial"/>
          <w:sz w:val="18"/>
          <w:szCs w:val="18"/>
          <w:color w:val="auto"/>
        </w:rPr>
        <w:t>We are exposed to the effect of foreign exchange rate fluctuations on the U.S. dollar value of foreign currency-denominated operating revenues and expenses. Our largest exposure comes from the British pound, Euro, Canadian dollar and various Latin American currencies, primarily the Brazilian real. We do not currently have a foreign currency hedge program.</w:t>
      </w:r>
    </w:p>
    <w:p>
      <w:pPr>
        <w:spacing w:after="0" w:line="203" w:lineRule="exact"/>
        <w:rPr>
          <w:sz w:val="20"/>
          <w:szCs w:val="20"/>
          <w:color w:val="auto"/>
        </w:rPr>
      </w:pPr>
    </w:p>
    <w:p>
      <w:pPr>
        <w:jc w:val="both"/>
        <w:ind w:firstLine="228"/>
        <w:spacing w:after="0" w:line="237" w:lineRule="auto"/>
        <w:rPr>
          <w:sz w:val="20"/>
          <w:szCs w:val="20"/>
          <w:color w:val="auto"/>
        </w:rPr>
      </w:pPr>
      <w:r>
        <w:rPr>
          <w:rFonts w:ascii="Arial" w:cs="Arial" w:eastAsia="Arial" w:hAnsi="Arial"/>
          <w:sz w:val="18"/>
          <w:szCs w:val="18"/>
          <w:color w:val="auto"/>
        </w:rPr>
        <w:t xml:space="preserve">Generally, fluctuations in foreign currencies, including devaluations, cannot be predicted by us and can significantly affect the value of our assets located outside the United States. These conditions, as well as any further delays, devaluations or imposition of more stringent repatriation restrictions, may materially adversely affect our business, results of operations and financial condition. See Part II, Item 1A. Risk Factors – </w:t>
      </w:r>
      <w:r>
        <w:rPr>
          <w:rFonts w:ascii="Arial" w:cs="Arial" w:eastAsia="Arial" w:hAnsi="Arial"/>
          <w:sz w:val="18"/>
          <w:szCs w:val="18"/>
          <w:i w:val="1"/>
          <w:iCs w:val="1"/>
          <w:color w:val="auto"/>
        </w:rPr>
        <w:t>“We operate a global business with international operations that are subject to economic and political instability and have been,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 the future may continue to be, adversely affected by numerous events, circumstances or government actions beyond our control” </w:t>
      </w:r>
      <w:r>
        <w:rPr>
          <w:rFonts w:ascii="Arial" w:cs="Arial" w:eastAsia="Arial" w:hAnsi="Arial"/>
          <w:sz w:val="18"/>
          <w:szCs w:val="18"/>
          <w:color w:val="auto"/>
        </w:rPr>
        <w:t>for</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 discussion of this and other currency risks.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287"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Interest</w:t>
      </w:r>
    </w:p>
    <w:p>
      <w:pPr>
        <w:spacing w:after="0" w:line="126" w:lineRule="exact"/>
        <w:rPr>
          <w:sz w:val="20"/>
          <w:szCs w:val="20"/>
          <w:color w:val="auto"/>
        </w:rPr>
      </w:pPr>
    </w:p>
    <w:p>
      <w:pPr>
        <w:jc w:val="both"/>
        <w:ind w:firstLine="228"/>
        <w:spacing w:after="0" w:line="239" w:lineRule="auto"/>
        <w:rPr>
          <w:sz w:val="20"/>
          <w:szCs w:val="20"/>
          <w:color w:val="auto"/>
        </w:rPr>
      </w:pPr>
      <w:r>
        <w:rPr>
          <w:rFonts w:ascii="Arial" w:cs="Arial" w:eastAsia="Arial" w:hAnsi="Arial"/>
          <w:sz w:val="18"/>
          <w:szCs w:val="18"/>
          <w:color w:val="auto"/>
        </w:rPr>
        <w:t>Our earnings and cash flow are affected by changes in interest rates due to the impact those changes have on our interest expense from variable-rate debt instruments and our interest income from short-term investments. If annual interest rates increase 100 basis points, based on our June 30, 2017 variable-rate debt and short-term investments balances, annual interest expense on variable-rate debt would increase by approximately $98 million and annual interest income on short-term investments would increase by approximately $71 million.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Evaluation of Disclosure Controls and Procedures</w:t>
      </w:r>
    </w:p>
    <w:p>
      <w:pPr>
        <w:spacing w:after="0" w:line="126" w:lineRule="exact"/>
        <w:rPr>
          <w:sz w:val="20"/>
          <w:szCs w:val="20"/>
          <w:color w:val="auto"/>
        </w:rPr>
      </w:pPr>
    </w:p>
    <w:p>
      <w:pPr>
        <w:jc w:val="both"/>
        <w:ind w:firstLine="228"/>
        <w:spacing w:after="0" w:line="236" w:lineRule="auto"/>
        <w:rPr>
          <w:sz w:val="20"/>
          <w:szCs w:val="20"/>
          <w:color w:val="auto"/>
        </w:rPr>
      </w:pPr>
      <w:r>
        <w:rPr>
          <w:rFonts w:ascii="Arial" w:cs="Arial" w:eastAsia="Arial" w:hAnsi="Arial"/>
          <w:sz w:val="18"/>
          <w:szCs w:val="18"/>
          <w:color w:val="auto"/>
        </w:rPr>
        <w:t>The term “disclosure controls and procedures” is defined in Rules 13a-15(e) and 15d-15(e) of the Securities Exchange Act of 1934, as amended (the Exchange Act). This term refers to the controls and procedures of a company that are designed to ensure that information required to be disclosed by a company in the reports that it files under the Exchange Act is recorded, processed, summarized and reported within the time periods specified by the SEC. An evaluation of the effectiveness of AAG’s and American’s disclosure controls and procedures as of June 30, 2017 was performed under the supervision and with the participation of AAG’s and American’s management, including AAG’s and American’s Chief Executive Officer (CEO) and Chief Financial Officer (CFO). Based on that evaluation, AAG’s and American’s management, including AAG’s and American’s CEO and CFO, concluded that AAG’s and American’s disclosure controls and procedures were effective as of June 30, 2017.</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6" w:lineRule="exact"/>
        <w:rPr>
          <w:sz w:val="20"/>
          <w:szCs w:val="20"/>
          <w:color w:val="auto"/>
        </w:rPr>
      </w:pPr>
    </w:p>
    <w:p>
      <w:pPr>
        <w:jc w:val="both"/>
        <w:ind w:firstLine="228"/>
        <w:spacing w:after="0" w:line="238" w:lineRule="auto"/>
        <w:rPr>
          <w:sz w:val="20"/>
          <w:szCs w:val="20"/>
          <w:color w:val="auto"/>
        </w:rPr>
      </w:pPr>
      <w:r>
        <w:rPr>
          <w:rFonts w:ascii="Arial" w:cs="Arial" w:eastAsia="Arial" w:hAnsi="Arial"/>
          <w:sz w:val="18"/>
          <w:szCs w:val="18"/>
          <w:color w:val="auto"/>
        </w:rPr>
        <w:t>On December 9, 2013, AAG acquired US Airways Group and its subsidiaries. We are still in the process of integrating certain processes, technology and operations for the post-Merger combined company, and we will continue to evaluate the impact of any related changes to our internal control over financial reporting. For the quarter ended June 30, 2017, there has been no change in AAG’s or American’s internal control over financial reporting that has materially affected, or is reasonably likely to materially affect, AAG’s and American’s internal control over financial reporting.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the Effectiveness of Controls</w:t>
      </w:r>
    </w:p>
    <w:p>
      <w:pPr>
        <w:spacing w:after="0" w:line="126" w:lineRule="exact"/>
        <w:rPr>
          <w:sz w:val="20"/>
          <w:szCs w:val="20"/>
          <w:color w:val="auto"/>
        </w:rPr>
      </w:pPr>
    </w:p>
    <w:p>
      <w:pPr>
        <w:jc w:val="both"/>
        <w:ind w:firstLine="228"/>
        <w:spacing w:after="0" w:line="238" w:lineRule="auto"/>
        <w:rPr>
          <w:sz w:val="20"/>
          <w:szCs w:val="20"/>
          <w:color w:val="auto"/>
        </w:rPr>
      </w:pPr>
      <w:r>
        <w:rPr>
          <w:rFonts w:ascii="Arial" w:cs="Arial" w:eastAsia="Arial" w:hAnsi="Arial"/>
          <w:sz w:val="18"/>
          <w:szCs w:val="18"/>
          <w:color w:val="auto"/>
        </w:rPr>
        <w:t>We believe that a controls system, no matter how well designed and operated, cannot provide absolute assurance that the objectives of the controls system are met, and no evaluation of controls can provide absolute assurance that all control issues and instances of fraud, if any, within a company have been detected. Our disclosure controls and procedures are designed to provide reasonable assurance of achieving their objectives, and the CEO and CFO of AAG and American believe that our disclosure controls and procedures were effective at the “reasonable assurance” level as of June 30, 2017.</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265"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II: OTHER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08" w:lineRule="exact"/>
        <w:rPr>
          <w:sz w:val="20"/>
          <w:szCs w:val="20"/>
          <w:color w:val="auto"/>
        </w:rPr>
      </w:pPr>
    </w:p>
    <w:p>
      <w:pPr>
        <w:jc w:val="both"/>
        <w:ind w:firstLine="228"/>
        <w:spacing w:after="0" w:line="242" w:lineRule="auto"/>
        <w:rPr>
          <w:sz w:val="20"/>
          <w:szCs w:val="20"/>
          <w:color w:val="auto"/>
        </w:rPr>
      </w:pPr>
      <w:r>
        <w:rPr>
          <w:rFonts w:ascii="Arial" w:cs="Arial" w:eastAsia="Arial" w:hAnsi="Arial"/>
          <w:sz w:val="18"/>
          <w:szCs w:val="18"/>
          <w:i w:val="1"/>
          <w:iCs w:val="1"/>
          <w:color w:val="auto"/>
        </w:rPr>
        <w:t>Chapter 11 Cases</w:t>
      </w:r>
      <w:r>
        <w:rPr>
          <w:rFonts w:ascii="Arial" w:cs="Arial" w:eastAsia="Arial" w:hAnsi="Arial"/>
          <w:sz w:val="18"/>
          <w:szCs w:val="18"/>
          <w:color w:val="auto"/>
        </w:rPr>
        <w:t>. On November 29, 2011, AMR, American, and certain of AMR’s other direct and indirect domestic subsidiaries (the</w:t>
      </w:r>
      <w:r>
        <w:rPr>
          <w:rFonts w:ascii="Arial" w:cs="Arial" w:eastAsia="Arial" w:hAnsi="Arial"/>
          <w:sz w:val="18"/>
          <w:szCs w:val="18"/>
          <w:i w:val="1"/>
          <w:iCs w:val="1"/>
          <w:color w:val="auto"/>
        </w:rPr>
        <w:t xml:space="preserve"> </w:t>
      </w:r>
      <w:r>
        <w:rPr>
          <w:rFonts w:ascii="Arial" w:cs="Arial" w:eastAsia="Arial" w:hAnsi="Arial"/>
          <w:sz w:val="18"/>
          <w:szCs w:val="18"/>
          <w:color w:val="auto"/>
        </w:rPr>
        <w:t>Debtors) filed voluntary petitions for relief under Chapter 11 of the United States Bankruptcy Code in the United States Bankruptcy Court for the Southern District of New York (the Bankruptcy Court). On October 21, 2013, the Bankruptcy Court entered an order approving and confirming the Debtors’ fourth amended joint plan of reorganization (as amended, the Plan). On the Effective Date, December 9, 2013, the Debtors consummated their reorganization pursuant to the Plan and completed the Merger.</w:t>
      </w:r>
    </w:p>
    <w:p>
      <w:pPr>
        <w:spacing w:after="0" w:line="203" w:lineRule="exact"/>
        <w:rPr>
          <w:sz w:val="20"/>
          <w:szCs w:val="20"/>
          <w:color w:val="auto"/>
        </w:rPr>
      </w:pPr>
    </w:p>
    <w:p>
      <w:pPr>
        <w:jc w:val="both"/>
        <w:ind w:firstLine="228"/>
        <w:spacing w:after="0" w:line="236" w:lineRule="auto"/>
        <w:rPr>
          <w:sz w:val="20"/>
          <w:szCs w:val="20"/>
          <w:color w:val="auto"/>
        </w:rPr>
      </w:pPr>
      <w:r>
        <w:rPr>
          <w:rFonts w:ascii="Arial" w:cs="Arial" w:eastAsia="Arial" w:hAnsi="Arial"/>
          <w:sz w:val="18"/>
          <w:szCs w:val="18"/>
          <w:color w:val="auto"/>
        </w:rPr>
        <w:t>Pursuant to rulings of the Bankruptcy Court, the Plan established the Disputed Claims Reserve to hold shares of AAG common stock reserved for issuance to disputed claimholders at the Effective Date that ultimately become holders of allowed claims. As of June 30, 2017, there were approximately 25.2 million shares of AAG common stock remaining in the Disputed Claims Reserve. As disputed claims are resolved, the claimants will receive distributions of shares from the Disputed Claims Reserve on the same basis as if such distributions had been made on or about the Effective Date. However, we are not required to distribute additional shares above the limits contemplated by the Plan, even if the shares remaining for distribution are not sufficient to fully pay any additional allowed unsecured claims. To the extent that any of the reserved shares remain undistributed upon resolution of all remaining disputed claims, such shares will not be returned to us but rather will be distributed to former AMR stockholders.</w:t>
      </w:r>
    </w:p>
    <w:p>
      <w:pPr>
        <w:spacing w:after="0" w:line="208" w:lineRule="exact"/>
        <w:rPr>
          <w:sz w:val="20"/>
          <w:szCs w:val="20"/>
          <w:color w:val="auto"/>
        </w:rPr>
      </w:pPr>
    </w:p>
    <w:p>
      <w:pPr>
        <w:jc w:val="both"/>
        <w:ind w:firstLine="228"/>
        <w:spacing w:after="0" w:line="236" w:lineRule="auto"/>
        <w:rPr>
          <w:sz w:val="20"/>
          <w:szCs w:val="20"/>
          <w:color w:val="auto"/>
        </w:rPr>
      </w:pPr>
      <w:r>
        <w:rPr>
          <w:rFonts w:ascii="Arial" w:cs="Arial" w:eastAsia="Arial" w:hAnsi="Arial"/>
          <w:sz w:val="18"/>
          <w:szCs w:val="18"/>
          <w:color w:val="auto"/>
        </w:rPr>
        <w:t>There is also pending in the Bankruptcy Court an adversary proceeding relating to an action brought by American to seek a determination that certain non-pension, postemployment benefits are not vested benefits and thus may be modified or terminated without liability to American. On April 18, 2014, the Bankruptcy Court granted American’s motion for summary judgment with respect to certain non-union employees, concluding that their benefits were not vested and could be terminated. The summary judgment motion was denied with respect to all other retirees. The Bankruptcy Court has not yet scheduled a trial on the merits concerning whether those retirees’ benefits are vested, and American cannot predict whether it will receive relief from obligations to provide benefits to any of those retirees. Our financial statements presently reflect these retirement programs without giving effect to any modification or termination of benefits that may ultimately be implemented based upon the outcome of this proceeding.</w:t>
      </w:r>
    </w:p>
    <w:p>
      <w:pPr>
        <w:spacing w:after="0" w:line="190" w:lineRule="exact"/>
        <w:rPr>
          <w:sz w:val="20"/>
          <w:szCs w:val="20"/>
          <w:color w:val="auto"/>
        </w:rPr>
      </w:pPr>
    </w:p>
    <w:p>
      <w:pPr>
        <w:jc w:val="both"/>
        <w:ind w:firstLine="228"/>
        <w:spacing w:after="0" w:line="239" w:lineRule="auto"/>
        <w:rPr>
          <w:sz w:val="20"/>
          <w:szCs w:val="20"/>
          <w:color w:val="auto"/>
        </w:rPr>
      </w:pPr>
      <w:r>
        <w:rPr>
          <w:rFonts w:ascii="Arial" w:cs="Arial" w:eastAsia="Arial" w:hAnsi="Arial"/>
          <w:sz w:val="18"/>
          <w:szCs w:val="18"/>
          <w:i w:val="1"/>
          <w:iCs w:val="1"/>
          <w:color w:val="auto"/>
        </w:rPr>
        <w:t>DOJ Antitrust Civil Investigative Demand</w:t>
      </w:r>
      <w:r>
        <w:rPr>
          <w:rFonts w:ascii="Arial" w:cs="Arial" w:eastAsia="Arial" w:hAnsi="Arial"/>
          <w:sz w:val="18"/>
          <w:szCs w:val="18"/>
          <w:color w:val="auto"/>
        </w:rPr>
        <w:t>. In June 2015, we received a Civil Investigative Demand (CID) from the United States Department</w:t>
      </w:r>
      <w:r>
        <w:rPr>
          <w:rFonts w:ascii="Arial" w:cs="Arial" w:eastAsia="Arial" w:hAnsi="Arial"/>
          <w:sz w:val="18"/>
          <w:szCs w:val="18"/>
          <w:i w:val="1"/>
          <w:iCs w:val="1"/>
          <w:color w:val="auto"/>
        </w:rPr>
        <w:t xml:space="preserve"> </w:t>
      </w:r>
      <w:r>
        <w:rPr>
          <w:rFonts w:ascii="Arial" w:cs="Arial" w:eastAsia="Arial" w:hAnsi="Arial"/>
          <w:sz w:val="18"/>
          <w:szCs w:val="18"/>
          <w:color w:val="auto"/>
        </w:rPr>
        <w:t>of Justice (DOJ) as part of an investigation into whether there have been illegal agreements or coordination of air passenger capacity. The CID seeks documents and other information from us, and other airlines have announced that they have received similar requests. We are cooperating fully with the DOJ investigation. In addition, subsequent to announcement of the delivery of CIDs by the DOJ, we, along with Delta Air Lines, Inc., Southwest Airlines Co., United Airlines, Inc. and, in the case of litigation filed in Canada, Air Canada, have been named as defendants in approximately 100 putative class action lawsuits alleging unlawful agreements with respect to air passenger capacity. The U.S. lawsuits have been consolidated in the Federal District Court for the District of Columbia. On October 28, 2016, the Court denied a motion by the airline defendants to dismiss all claims in the class actions. Both the DOJ investigation and these lawsuits are in their relatively early stages and we intend to defend these matters vigorously.</w:t>
      </w:r>
    </w:p>
    <w:p>
      <w:pPr>
        <w:spacing w:after="0" w:line="184" w:lineRule="exact"/>
        <w:rPr>
          <w:sz w:val="20"/>
          <w:szCs w:val="20"/>
          <w:color w:val="auto"/>
        </w:rPr>
      </w:pPr>
    </w:p>
    <w:p>
      <w:pPr>
        <w:jc w:val="both"/>
        <w:ind w:firstLine="228"/>
        <w:spacing w:after="0"/>
        <w:rPr>
          <w:sz w:val="20"/>
          <w:szCs w:val="20"/>
          <w:color w:val="auto"/>
        </w:rPr>
      </w:pPr>
      <w:r>
        <w:rPr>
          <w:rFonts w:ascii="Arial" w:cs="Arial" w:eastAsia="Arial" w:hAnsi="Arial"/>
          <w:sz w:val="18"/>
          <w:szCs w:val="18"/>
          <w:i w:val="1"/>
          <w:iCs w:val="1"/>
          <w:color w:val="auto"/>
        </w:rPr>
        <w:t>Private Party Antitrust Action</w:t>
      </w:r>
      <w:r>
        <w:rPr>
          <w:rFonts w:ascii="Arial" w:cs="Arial" w:eastAsia="Arial" w:hAnsi="Arial"/>
          <w:sz w:val="18"/>
          <w:szCs w:val="18"/>
          <w:color w:val="auto"/>
        </w:rPr>
        <w:t>. On July 2, 2013, a lawsuit captioned Carolyn Fjord, et al., v. US Airways Group, Inc., et al., was filed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United States District Court for the Northern District of California. The complaint named as defendants US Airways Group and US Airways, alleged that the effect of the Merger may be to create a monopoly in violation of Section 7 of the Clayton Antitrust Act, and sought injunctive relief and/or divestiture. On August 6, 2013, the plaintiffs re-filed their complaint in the Bankruptcy Court, adding AMR and American as defendants. On November 27, 2013, the Bankruptcy Court denied plaintiffs’ motion to preliminarily enjoin the Merger. On May 12, 2017, defendants filed a motion for summary judgment. On June 23, 2017, plaintiffs filed an opposition to defendants’ motion and cross-motion for summary judgment. We believe this lawsuit is without merit and intend to vigorously defend against the allegations.</w:t>
      </w:r>
    </w:p>
    <w:p>
      <w:pPr>
        <w:spacing w:after="0" w:line="185" w:lineRule="exact"/>
        <w:rPr>
          <w:sz w:val="20"/>
          <w:szCs w:val="20"/>
          <w:color w:val="auto"/>
        </w:rPr>
      </w:pPr>
    </w:p>
    <w:p>
      <w:pPr>
        <w:jc w:val="both"/>
        <w:ind w:firstLine="228"/>
        <w:spacing w:after="0" w:line="242" w:lineRule="auto"/>
        <w:rPr>
          <w:sz w:val="20"/>
          <w:szCs w:val="20"/>
          <w:color w:val="auto"/>
        </w:rPr>
      </w:pPr>
      <w:r>
        <w:rPr>
          <w:rFonts w:ascii="Arial" w:cs="Arial" w:eastAsia="Arial" w:hAnsi="Arial"/>
          <w:sz w:val="18"/>
          <w:szCs w:val="18"/>
          <w:i w:val="1"/>
          <w:iCs w:val="1"/>
          <w:color w:val="auto"/>
        </w:rPr>
        <w:t>DOJ Investigation Related to the United States Postal Service</w:t>
      </w:r>
      <w:r>
        <w:rPr>
          <w:rFonts w:ascii="Arial" w:cs="Arial" w:eastAsia="Arial" w:hAnsi="Arial"/>
          <w:sz w:val="18"/>
          <w:szCs w:val="18"/>
          <w:color w:val="auto"/>
        </w:rPr>
        <w:t>. In April 2015, the DOJ informed us of an inquiry regarding American’s 2009</w:t>
      </w:r>
      <w:r>
        <w:rPr>
          <w:rFonts w:ascii="Arial" w:cs="Arial" w:eastAsia="Arial" w:hAnsi="Arial"/>
          <w:sz w:val="18"/>
          <w:szCs w:val="18"/>
          <w:i w:val="1"/>
          <w:iCs w:val="1"/>
          <w:color w:val="auto"/>
        </w:rPr>
        <w:t xml:space="preserve"> </w:t>
      </w:r>
      <w:r>
        <w:rPr>
          <w:rFonts w:ascii="Arial" w:cs="Arial" w:eastAsia="Arial" w:hAnsi="Arial"/>
          <w:sz w:val="18"/>
          <w:szCs w:val="18"/>
          <w:color w:val="auto"/>
        </w:rPr>
        <w:t>and 2011 contracts with the United States Postal Service for the international transportation of mail by air. In October 2015, we received a CID from the DOJ seeking certain information relating to these contracts and the DOJ has also sought information concerning certain of the airlines that transport mail on a codeshare basis. The DOJ has indicated it is investigating potential violations of the False Claims Act or other statutes. We are cooperating fully with the DOJ with regard to its investigation.</w:t>
      </w:r>
    </w:p>
    <w:p>
      <w:pPr>
        <w:spacing w:after="0" w:line="185" w:lineRule="exact"/>
        <w:rPr>
          <w:sz w:val="20"/>
          <w:szCs w:val="20"/>
          <w:color w:val="auto"/>
        </w:rPr>
      </w:pPr>
    </w:p>
    <w:p>
      <w:pPr>
        <w:jc w:val="both"/>
        <w:ind w:firstLine="456"/>
        <w:spacing w:after="0" w:line="251" w:lineRule="auto"/>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In addition to the specifically identified legal proceedings, we and our subsidiaries are also engaged in other legal proceedings</w:t>
      </w:r>
      <w:r>
        <w:rPr>
          <w:rFonts w:ascii="Arial" w:cs="Arial" w:eastAsia="Arial" w:hAnsi="Arial"/>
          <w:sz w:val="18"/>
          <w:szCs w:val="18"/>
          <w:i w:val="1"/>
          <w:iCs w:val="1"/>
          <w:color w:val="auto"/>
        </w:rPr>
        <w:t xml:space="preserve"> </w:t>
      </w:r>
      <w:r>
        <w:rPr>
          <w:rFonts w:ascii="Arial" w:cs="Arial" w:eastAsia="Arial" w:hAnsi="Arial"/>
          <w:sz w:val="18"/>
          <w:szCs w:val="18"/>
          <w:color w:val="auto"/>
        </w:rPr>
        <w:t>from time to time. Legal proceedings can be complex and take many months, or even years, to reach resolution, with the final outcome depending on a number of variables, some of which are not within our control.</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265" w:right="239" w:bottom="1440" w:gutter="0" w:footer="0" w:header="0"/>
        </w:sectPr>
      </w:pPr>
    </w:p>
    <w:bookmarkStart w:id="55" w:name="page56"/>
    <w:bookmarkEnd w:id="55"/>
    <w:p>
      <w:pPr>
        <w:jc w:val="both"/>
        <w:spacing w:after="0" w:line="23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Therefore, although we will vigorously defend ourselves in each of the actions described above and such other legal proceedings, their ultimate resolution and potential financial and other impacts on us are uncertain but could be material. See Part II, Item 1A. Risk Factors – “</w:t>
      </w:r>
      <w:r>
        <w:rPr>
          <w:rFonts w:ascii="Arial" w:cs="Arial" w:eastAsia="Arial" w:hAnsi="Arial"/>
          <w:sz w:val="18"/>
          <w:szCs w:val="18"/>
          <w:i w:val="1"/>
          <w:iCs w:val="1"/>
          <w:color w:val="auto"/>
        </w:rPr>
        <w:t>We may be</w:t>
      </w:r>
      <w:r>
        <w:rPr>
          <w:rFonts w:ascii="Arial" w:cs="Arial" w:eastAsia="Arial" w:hAnsi="Arial"/>
          <w:sz w:val="18"/>
          <w:szCs w:val="18"/>
          <w:color w:val="auto"/>
        </w:rPr>
        <w:t xml:space="preserve"> </w:t>
      </w:r>
      <w:r>
        <w:rPr>
          <w:rFonts w:ascii="Arial" w:cs="Arial" w:eastAsia="Arial" w:hAnsi="Arial"/>
          <w:sz w:val="18"/>
          <w:szCs w:val="18"/>
          <w:i w:val="1"/>
          <w:iCs w:val="1"/>
          <w:color w:val="auto"/>
        </w:rPr>
        <w:t>a party to litigation in the normal course of business or otherwise, which could affect our financial position and liquidity</w:t>
      </w:r>
      <w:r>
        <w:rPr>
          <w:rFonts w:ascii="Arial" w:cs="Arial" w:eastAsia="Arial" w:hAnsi="Arial"/>
          <w:sz w:val="18"/>
          <w:szCs w:val="18"/>
          <w:color w:val="auto"/>
        </w:rPr>
        <w:t>” for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discussion.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6" w:lineRule="exact"/>
        <w:rPr>
          <w:sz w:val="20"/>
          <w:szCs w:val="20"/>
          <w:color w:val="auto"/>
        </w:rPr>
      </w:pPr>
    </w:p>
    <w:p>
      <w:pPr>
        <w:jc w:val="both"/>
        <w:ind w:firstLine="228"/>
        <w:spacing w:after="0" w:line="238" w:lineRule="auto"/>
        <w:rPr>
          <w:sz w:val="20"/>
          <w:szCs w:val="20"/>
          <w:color w:val="auto"/>
        </w:rPr>
      </w:pPr>
      <w:r>
        <w:rPr>
          <w:rFonts w:ascii="Arial" w:cs="Arial" w:eastAsia="Arial" w:hAnsi="Arial"/>
          <w:sz w:val="18"/>
          <w:szCs w:val="18"/>
          <w:color w:val="auto"/>
        </w:rPr>
        <w:t>Below are certain risk factors that may affect our business, results of operations and financial condition, or the trading price of our common stock or other securities. We caution the reader that these risk factors may not be exhaustive. We operate in a continually changing business environment, and new risks and uncertainties emerge from time to time. Management cannot predict such new risks and uncertainties, nor can it assess the extent to which any of the risk factors below or any such new risks and uncertainties, or any combination thereof, may impact our business.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AAG and Industry-Related Risks</w:t>
      </w:r>
    </w:p>
    <w:p>
      <w:pPr>
        <w:spacing w:after="0" w:line="10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Downturns in economic conditions could adversely affect our business.</w:t>
      </w:r>
    </w:p>
    <w:p>
      <w:pPr>
        <w:spacing w:after="0" w:line="126" w:lineRule="exact"/>
        <w:rPr>
          <w:sz w:val="20"/>
          <w:szCs w:val="20"/>
          <w:color w:val="auto"/>
        </w:rPr>
      </w:pPr>
    </w:p>
    <w:p>
      <w:pPr>
        <w:jc w:val="both"/>
        <w:ind w:firstLine="228"/>
        <w:spacing w:after="0" w:line="238" w:lineRule="auto"/>
        <w:rPr>
          <w:sz w:val="20"/>
          <w:szCs w:val="20"/>
          <w:color w:val="auto"/>
        </w:rPr>
      </w:pPr>
      <w:r>
        <w:rPr>
          <w:rFonts w:ascii="Arial" w:cs="Arial" w:eastAsia="Arial" w:hAnsi="Arial"/>
          <w:sz w:val="18"/>
          <w:szCs w:val="18"/>
          <w:color w:val="auto"/>
        </w:rPr>
        <w:t xml:space="preserve">Due to the discretionary nature of business and leisure travel spending and the highly competitive nature of the airline industry, our revenues are heavily influenced by the condition of the U.S. economy and economies in other regions of the world. Unfavorable conditions in these broader economies have resulted, and may result in the future, in decreased passenger demand for air travel, changes in booking practices and related reactions by our competitors, all of which in turn have had, and may have in the future, a strong negative effect on our revenues. See also </w:t>
      </w:r>
      <w:r>
        <w:rPr>
          <w:rFonts w:ascii="Arial" w:cs="Arial" w:eastAsia="Arial" w:hAnsi="Arial"/>
          <w:sz w:val="18"/>
          <w:szCs w:val="18"/>
          <w:i w:val="1"/>
          <w:iCs w:val="1"/>
          <w:color w:val="auto"/>
        </w:rPr>
        <w:t>“The airline industry is intensely competitive and dynamic”</w:t>
      </w:r>
      <w:r>
        <w:rPr>
          <w:rFonts w:ascii="Arial" w:cs="Arial" w:eastAsia="Arial" w:hAnsi="Arial"/>
          <w:sz w:val="18"/>
          <w:szCs w:val="18"/>
          <w:color w:val="auto"/>
        </w:rPr>
        <w:t xml:space="preserve"> below.</w:t>
      </w:r>
    </w:p>
    <w:p>
      <w:pPr>
        <w:spacing w:after="0" w:line="181" w:lineRule="exact"/>
        <w:rPr>
          <w:sz w:val="20"/>
          <w:szCs w:val="20"/>
          <w:color w:val="auto"/>
        </w:rPr>
      </w:pPr>
    </w:p>
    <w:p>
      <w:pPr>
        <w:ind w:left="240" w:right="520"/>
        <w:spacing w:after="0" w:line="253" w:lineRule="auto"/>
        <w:rPr>
          <w:sz w:val="20"/>
          <w:szCs w:val="20"/>
          <w:color w:val="auto"/>
        </w:rPr>
      </w:pPr>
      <w:r>
        <w:rPr>
          <w:rFonts w:ascii="Arial" w:cs="Arial" w:eastAsia="Arial" w:hAnsi="Arial"/>
          <w:sz w:val="18"/>
          <w:szCs w:val="18"/>
          <w:b w:val="1"/>
          <w:bCs w:val="1"/>
          <w:i w:val="1"/>
          <w:iCs w:val="1"/>
          <w:color w:val="auto"/>
        </w:rPr>
        <w:t>Our business is very dependent on the price and availability of aircraft fuel. Continued periods of high volatility in fuel costs, increased fuel prices or significant disruptions in the supply of aircraft fuel could have a significant negative impact on our operating results and liquidity.</w:t>
      </w:r>
    </w:p>
    <w:p>
      <w:pPr>
        <w:spacing w:after="0" w:line="83" w:lineRule="exact"/>
        <w:rPr>
          <w:sz w:val="20"/>
          <w:szCs w:val="20"/>
          <w:color w:val="auto"/>
        </w:rPr>
      </w:pPr>
    </w:p>
    <w:p>
      <w:pPr>
        <w:jc w:val="both"/>
        <w:ind w:firstLine="228"/>
        <w:spacing w:after="0"/>
        <w:rPr>
          <w:sz w:val="20"/>
          <w:szCs w:val="20"/>
          <w:color w:val="auto"/>
        </w:rPr>
      </w:pPr>
      <w:r>
        <w:rPr>
          <w:rFonts w:ascii="Arial" w:cs="Arial" w:eastAsia="Arial" w:hAnsi="Arial"/>
          <w:sz w:val="18"/>
          <w:szCs w:val="18"/>
          <w:color w:val="auto"/>
        </w:rPr>
        <w:t>Our operating results are materially impacted by changes in the availability, price volatility and cost of aircraft fuel, which represents one of the largest single cost items in our business. Jet fuel market prices have fluctuated substantially over the past several years and prices continue to be highly volatile.</w:t>
      </w:r>
    </w:p>
    <w:p>
      <w:pPr>
        <w:spacing w:after="0" w:line="203" w:lineRule="exact"/>
        <w:rPr>
          <w:sz w:val="20"/>
          <w:szCs w:val="20"/>
          <w:color w:val="auto"/>
        </w:rPr>
      </w:pPr>
    </w:p>
    <w:p>
      <w:pPr>
        <w:jc w:val="both"/>
        <w:ind w:firstLine="228"/>
        <w:spacing w:after="0" w:line="238" w:lineRule="auto"/>
        <w:rPr>
          <w:sz w:val="20"/>
          <w:szCs w:val="20"/>
          <w:color w:val="auto"/>
        </w:rPr>
      </w:pPr>
      <w:r>
        <w:rPr>
          <w:rFonts w:ascii="Arial" w:cs="Arial" w:eastAsia="Arial" w:hAnsi="Arial"/>
          <w:sz w:val="18"/>
          <w:szCs w:val="18"/>
          <w:color w:val="auto"/>
        </w:rPr>
        <w:t>Because of the amount of fuel needed to operate our business, even a relatively small increase or decrease in the price of fuel can have a material effect on our operating results and liquidity. Due to the competitive nature of the airline industry and unpredictability of the market for air travel, we can offer no assurance that we may be able to increase our fares, impose fuel surcharges or otherwise increase revenues sufficiently to offset fuel price increases. Similarly, we cannot predict the effect or the actions of our competitors if the current low fuel prices remain in place for a significant period of time or fuel prices decrease in the future.</w:t>
      </w:r>
    </w:p>
    <w:p>
      <w:pPr>
        <w:spacing w:after="0" w:line="203" w:lineRule="exact"/>
        <w:rPr>
          <w:sz w:val="20"/>
          <w:szCs w:val="20"/>
          <w:color w:val="auto"/>
        </w:rPr>
      </w:pPr>
    </w:p>
    <w:p>
      <w:pPr>
        <w:jc w:val="both"/>
        <w:ind w:firstLine="228"/>
        <w:spacing w:after="0" w:line="238" w:lineRule="auto"/>
        <w:rPr>
          <w:sz w:val="20"/>
          <w:szCs w:val="20"/>
          <w:color w:val="auto"/>
        </w:rPr>
      </w:pPr>
      <w:r>
        <w:rPr>
          <w:rFonts w:ascii="Arial" w:cs="Arial" w:eastAsia="Arial" w:hAnsi="Arial"/>
          <w:sz w:val="18"/>
          <w:szCs w:val="18"/>
          <w:color w:val="auto"/>
        </w:rPr>
        <w:t>Although we are currently able to obtain adequate supplies of aircraft fuel, we cannot predict the future availability, price volatility or cost of aircraft fuel. Natural disasters, political disruptions or wars involving oil-producing countries, changes in fuel-related governmental policy, the strength of the U.S. dollar against foreign currencies, changes in access to petroleum product pipelines and terminals, speculation in the energy futures markets, changes in aircraft fuel production capacity, environmental concerns and other unpredictable events may result in fuel supply shortages, additional fuel price volatility and cost increases in the future.</w:t>
      </w:r>
    </w:p>
    <w:p>
      <w:pPr>
        <w:spacing w:after="0" w:line="203" w:lineRule="exact"/>
        <w:rPr>
          <w:sz w:val="20"/>
          <w:szCs w:val="20"/>
          <w:color w:val="auto"/>
        </w:rPr>
      </w:pPr>
    </w:p>
    <w:p>
      <w:pPr>
        <w:jc w:val="both"/>
        <w:ind w:firstLine="228"/>
        <w:spacing w:after="0" w:line="238" w:lineRule="auto"/>
        <w:rPr>
          <w:sz w:val="20"/>
          <w:szCs w:val="20"/>
          <w:color w:val="auto"/>
        </w:rPr>
      </w:pPr>
      <w:r>
        <w:rPr>
          <w:rFonts w:ascii="Arial" w:cs="Arial" w:eastAsia="Arial" w:hAnsi="Arial"/>
          <w:sz w:val="18"/>
          <w:szCs w:val="18"/>
          <w:color w:val="auto"/>
        </w:rPr>
        <w:t>Our aviation fuel purchase contracts generally do not provide meaningful price protection against increases in fuel costs. Prior to the closing of the Merger, we sought to manage the risk of fuel price increases by using derivative contracts. Our current policy is not to enter into transactions to hedge our fuel consumption, although we review that policy from time to time based on market conditions and other factors. Accordingly, as of June 30, 2017, we did not have any fuel hedging contracts outstanding. As such, and assuming we do not enter into any future transactions to hedge our fuel consumption, we will continue to be fully exposed to fluctuations in fuel prices.</w:t>
      </w:r>
    </w:p>
    <w:p>
      <w:pPr>
        <w:spacing w:after="0" w:line="203" w:lineRule="exact"/>
        <w:rPr>
          <w:sz w:val="20"/>
          <w:szCs w:val="20"/>
          <w:color w:val="auto"/>
        </w:rPr>
      </w:pPr>
    </w:p>
    <w:p>
      <w:pPr>
        <w:jc w:val="both"/>
        <w:ind w:firstLine="228"/>
        <w:spacing w:after="0" w:line="237" w:lineRule="auto"/>
        <w:rPr>
          <w:sz w:val="20"/>
          <w:szCs w:val="20"/>
          <w:color w:val="auto"/>
        </w:rPr>
      </w:pPr>
      <w:r>
        <w:rPr>
          <w:rFonts w:ascii="Arial" w:cs="Arial" w:eastAsia="Arial" w:hAnsi="Arial"/>
          <w:sz w:val="18"/>
          <w:szCs w:val="18"/>
          <w:color w:val="auto"/>
        </w:rPr>
        <w:t xml:space="preserve">If in the future we enter into derivative contracts to hedge our fuel consumption, there can be no assurance that, at any given time, we will have derivatives in place to provide any particular level of protection against increased fuel costs or that our counterparties will be able to perform under our derivative contracts. To the extent we use derivative contracts that have the potential to create an obligation to pay upon settlement if prices decline significantly, such derivative contracts may limit our ability to benefit from lower fuel costs in the future. Also, a rapid decline in the projected price of fuel at a time when we have fuel hedging contracts in place could materially adversely impact our short-term liquidity, because hedge counterparties could require that we post collateral in the form of cash or letters of credit. See also the discussion in Part I, Item 3. Quantitative and Qualitative Disclosures About Market Risk – </w:t>
      </w:r>
      <w:r>
        <w:rPr>
          <w:rFonts w:ascii="Arial" w:cs="Arial" w:eastAsia="Arial" w:hAnsi="Arial"/>
          <w:sz w:val="18"/>
          <w:szCs w:val="18"/>
          <w:i w:val="1"/>
          <w:iCs w:val="1"/>
          <w:color w:val="auto"/>
        </w:rPr>
        <w:t>“Aircraft Fuel.”</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287" w:right="239" w:bottom="1440" w:gutter="0" w:footer="0" w:header="0"/>
        </w:sectPr>
      </w:pPr>
    </w:p>
    <w:bookmarkStart w:id="56" w:name="page57"/>
    <w:bookmarkEnd w:id="56"/>
    <w:p>
      <w:pPr>
        <w:ind w:left="24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airline industry is intensely competitive and dynamic.</w:t>
      </w:r>
    </w:p>
    <w:p>
      <w:pPr>
        <w:spacing w:after="0" w:line="126" w:lineRule="exact"/>
        <w:rPr>
          <w:sz w:val="20"/>
          <w:szCs w:val="20"/>
          <w:color w:val="auto"/>
        </w:rPr>
      </w:pPr>
    </w:p>
    <w:p>
      <w:pPr>
        <w:jc w:val="both"/>
        <w:ind w:firstLine="228"/>
        <w:spacing w:after="0" w:line="237" w:lineRule="auto"/>
        <w:rPr>
          <w:sz w:val="20"/>
          <w:szCs w:val="20"/>
          <w:color w:val="auto"/>
        </w:rPr>
      </w:pPr>
      <w:r>
        <w:rPr>
          <w:rFonts w:ascii="Arial" w:cs="Arial" w:eastAsia="Arial" w:hAnsi="Arial"/>
          <w:sz w:val="18"/>
          <w:szCs w:val="18"/>
          <w:color w:val="auto"/>
        </w:rPr>
        <w:t>Our competitors include other major domestic airlines and foreign, regional and new entrant airlines, as well as joint ventures formed by some of these airlines, many of which have more financial or other resources and/or lower cost structures than ours, as well as other forms of transportation, including rail and private automobiles. In many of our markets we compete with at least one low-cost air carrier. Our revenues are sensitive to the actions of other carriers in many areas including pricing, scheduling, capacity, amenities and promotions, which can have a substantial adverse impact not only on our revenues, but on overall industry revenues. These factors may become even more significant in periods when the industry experiences large losses, as airlines under financial stress, or in bankruptcy, may institute pricing structures intended to achieve near-term survival rather than long-term viability.</w:t>
      </w:r>
    </w:p>
    <w:p>
      <w:pPr>
        <w:spacing w:after="0" w:line="203" w:lineRule="exact"/>
        <w:rPr>
          <w:sz w:val="20"/>
          <w:szCs w:val="20"/>
          <w:color w:val="auto"/>
        </w:rPr>
      </w:pPr>
    </w:p>
    <w:p>
      <w:pPr>
        <w:jc w:val="both"/>
        <w:ind w:firstLine="228"/>
        <w:spacing w:after="0" w:line="236" w:lineRule="auto"/>
        <w:rPr>
          <w:sz w:val="20"/>
          <w:szCs w:val="20"/>
          <w:color w:val="auto"/>
        </w:rPr>
      </w:pPr>
      <w:r>
        <w:rPr>
          <w:rFonts w:ascii="Arial" w:cs="Arial" w:eastAsia="Arial" w:hAnsi="Arial"/>
          <w:sz w:val="18"/>
          <w:szCs w:val="18"/>
          <w:color w:val="auto"/>
        </w:rPr>
        <w:t>Low-cost carriers, including so-called ultra-low-cost carriers, have a profound impact on industry revenues. Using the advantage of low unit costs, these carriers offer lower fares in order to shift demand from larger, more established airlines, and represent significant competitors, particularly for customers who fly infrequently and are price sensitive and tend not to be loyal to any one particular carrier. A number of low-cost carriers have announced growth strategies including commitments to acquire significant numbers of aircraft for delivery in the next few years. These low-cost carriers are attempting to continue to increase their market share through growth and, potentially, consolidation, and could continue to have an impact on our revenues and overall performance. For example, as a result of divestitures completed in connection with gaining regulatory approval for the Merger, low-fare, low-cost carriers have gained additional access in a number of markets, including Ronald Reagan Washington National Airport (DCA), a slot-controlled airport. In addition, we and several other large network carriers have announced “basic economy” fares designed to compete against low-cost carriers and we cannot predict whether these initiatives will be successful or the competitive reaction of the low-cost carriers. The actions of the low-cost carriers, including those described above, could have a material adverse effect on our operations and financial performance.</w:t>
      </w:r>
    </w:p>
    <w:p>
      <w:pPr>
        <w:spacing w:after="0" w:line="206" w:lineRule="exact"/>
        <w:rPr>
          <w:sz w:val="20"/>
          <w:szCs w:val="20"/>
          <w:color w:val="auto"/>
        </w:rPr>
      </w:pPr>
    </w:p>
    <w:p>
      <w:pPr>
        <w:jc w:val="both"/>
        <w:ind w:firstLine="228"/>
        <w:spacing w:after="0" w:line="236" w:lineRule="auto"/>
        <w:rPr>
          <w:sz w:val="20"/>
          <w:szCs w:val="20"/>
          <w:color w:val="auto"/>
        </w:rPr>
      </w:pPr>
      <w:r>
        <w:rPr>
          <w:rFonts w:ascii="Arial" w:cs="Arial" w:eastAsia="Arial" w:hAnsi="Arial"/>
          <w:sz w:val="18"/>
          <w:szCs w:val="18"/>
          <w:color w:val="auto"/>
        </w:rPr>
        <w:t xml:space="preserve">Our presence in international markets is not as extensive as that of some of our competitors. In providing international air transportation, we compete to provide scheduled passenger and cargo service between the U.S. and various overseas locations with U.S. airlines, foreign investor-owned airlines and foreign state-owned or state-affiliated airlines, including carriers based in the Middle East, the three largest of which we believe benefit from significant government subsidies. Our international service exposes us to foreign economies and the potential for reduced demand, such as we have recently experienced in Brazil and Venezuela, when any foreign countries we serve suffer adverse local economic conditions. In addition, open skies agreements with an increasing number of countries around the world provide international airlines with open access to U.S. markets. See also </w:t>
      </w:r>
      <w:r>
        <w:rPr>
          <w:rFonts w:ascii="Arial" w:cs="Arial" w:eastAsia="Arial" w:hAnsi="Arial"/>
          <w:sz w:val="18"/>
          <w:szCs w:val="18"/>
          <w:i w:val="1"/>
          <w:iCs w:val="1"/>
          <w:color w:val="auto"/>
        </w:rPr>
        <w:t>“Our business is subject to extensive government regulation, which may result in increases in our</w:t>
      </w:r>
      <w:r>
        <w:rPr>
          <w:rFonts w:ascii="Arial" w:cs="Arial" w:eastAsia="Arial" w:hAnsi="Arial"/>
          <w:sz w:val="18"/>
          <w:szCs w:val="18"/>
          <w:color w:val="auto"/>
        </w:rPr>
        <w:t xml:space="preserve"> </w:t>
      </w:r>
      <w:r>
        <w:rPr>
          <w:rFonts w:ascii="Arial" w:cs="Arial" w:eastAsia="Arial" w:hAnsi="Arial"/>
          <w:sz w:val="18"/>
          <w:szCs w:val="18"/>
          <w:i w:val="1"/>
          <w:iCs w:val="1"/>
          <w:color w:val="auto"/>
        </w:rPr>
        <w:t>costs, disruptions to our operations, limits on our operating flexibility, reductions in the demand for air travel, and competitive disadvantages.”</w:t>
      </w:r>
    </w:p>
    <w:p>
      <w:pPr>
        <w:spacing w:after="0" w:line="208" w:lineRule="exact"/>
        <w:rPr>
          <w:sz w:val="20"/>
          <w:szCs w:val="20"/>
          <w:color w:val="auto"/>
        </w:rPr>
      </w:pPr>
    </w:p>
    <w:p>
      <w:pPr>
        <w:jc w:val="both"/>
        <w:ind w:firstLine="228"/>
        <w:spacing w:after="0" w:line="238" w:lineRule="auto"/>
        <w:rPr>
          <w:sz w:val="20"/>
          <w:szCs w:val="20"/>
          <w:color w:val="auto"/>
        </w:rPr>
      </w:pPr>
      <w:r>
        <w:rPr>
          <w:rFonts w:ascii="Arial" w:cs="Arial" w:eastAsia="Arial" w:hAnsi="Arial"/>
          <w:sz w:val="18"/>
          <w:szCs w:val="18"/>
          <w:color w:val="auto"/>
        </w:rPr>
        <w:t>Certain airline alliances, joint ventures and joint businesses have been, or may in the future be, granted immunity from antitrust regulations by governmental authorities for specific areas of cooperation, such as joint pricing decisions. To the extent alliances formed by our competitors can undertake activities that are not available to us, our ability to effectively compete may be hindered. Our ability to attract and retain customers is dependent upon, among other things, our ability to offer our customers convenient access to desired markets. Our business could be adversely affected if we are unable to maintain or obtain alliance and marketing relationships with other air carriers in desired markets.</w:t>
      </w:r>
    </w:p>
    <w:p>
      <w:pPr>
        <w:spacing w:after="0" w:line="203" w:lineRule="exact"/>
        <w:rPr>
          <w:sz w:val="20"/>
          <w:szCs w:val="20"/>
          <w:color w:val="auto"/>
        </w:rPr>
      </w:pPr>
    </w:p>
    <w:p>
      <w:pPr>
        <w:jc w:val="both"/>
        <w:ind w:firstLine="228"/>
        <w:spacing w:after="0" w:line="236" w:lineRule="auto"/>
        <w:rPr>
          <w:sz w:val="20"/>
          <w:szCs w:val="20"/>
          <w:color w:val="auto"/>
        </w:rPr>
      </w:pPr>
      <w:r>
        <w:rPr>
          <w:rFonts w:ascii="Arial" w:cs="Arial" w:eastAsia="Arial" w:hAnsi="Arial"/>
          <w:sz w:val="18"/>
          <w:szCs w:val="18"/>
          <w:color w:val="auto"/>
        </w:rPr>
        <w:t>We are party to antitrust-immunized cooperation agreements with British Airways, Iberia, Finnair, Royal Jordanian, Japan Airlines, LAN Airlines and LAN Peru. As part of the antitrust-immunized relationships, we have also established joint business agreements (JBAs) with British Airways, Iberia and Finnair, and separately with Japan Airlines. We signed a revised JBA with Qantas Airways and applied for antitrust immunity with the U.S. Department of Transportation (DOT) for the revised relationship, but we withdrew that application in November 2016 after it was tentatively denied by the DOT. However, we expect that more limited cooperation with Qantas will continue, and we intend to file a new application for antitrust immunity with the DOT this year, which, if granted, would allow us to expand that relationship further. In addition, we have signed JBAs with certain air carriers of the LATAM Airlines Group and have applied for approval in the relevant jurisdictions affected by such agreements, which applications have been approved in some cases but are still pending before a number of the relevant regulators. The foregoing arrangements are important aspects of our international network and we are dependent on the performance of the other airlines party to those agreements. No assurances can be given as to any benefits that we may derive from such arrangements or any other arrangements that may ultimately be implemented.</w:t>
      </w:r>
    </w:p>
    <w:p>
      <w:pPr>
        <w:spacing w:after="0" w:line="206" w:lineRule="exact"/>
        <w:rPr>
          <w:sz w:val="20"/>
          <w:szCs w:val="20"/>
          <w:color w:val="auto"/>
        </w:rPr>
      </w:pPr>
    </w:p>
    <w:p>
      <w:pPr>
        <w:jc w:val="both"/>
        <w:ind w:firstLine="228"/>
        <w:spacing w:after="0"/>
        <w:rPr>
          <w:sz w:val="20"/>
          <w:szCs w:val="20"/>
          <w:color w:val="auto"/>
        </w:rPr>
      </w:pPr>
      <w:r>
        <w:rPr>
          <w:rFonts w:ascii="Arial" w:cs="Arial" w:eastAsia="Arial" w:hAnsi="Arial"/>
          <w:sz w:val="18"/>
          <w:szCs w:val="18"/>
          <w:color w:val="auto"/>
        </w:rPr>
        <w:t>Additional mergers and other forms of industry consolidation, including antitrust immunity grants, may take place and may not involve us as a participant. Depending on which carriers combine and which assets, if any, are sold or otherwise transferred to other carriers in connection with any such combinations, our competitive position relative to the post-</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265" w:right="239" w:bottom="1440" w:gutter="0" w:footer="0" w:header="0"/>
        </w:sectPr>
      </w:pPr>
    </w:p>
    <w:bookmarkStart w:id="57" w:name="page58"/>
    <w:bookmarkEnd w:id="57"/>
    <w:p>
      <w:pPr>
        <w:jc w:val="both"/>
        <w:spacing w:after="0" w:line="23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combination carriers or other carriers that acquire such assets could be harmed. In addition, as carriers combine through traditional mergers or antitrust immunity grants, their route networks will grow, and that growth will result in greater overlap with our network, which in turn could result in lower overall market share and revenues for us. Such consolidation is not limited to the U.S., but could include further consolidation among international carriers in Europe and elsewhere.</w:t>
      </w:r>
    </w:p>
    <w:p>
      <w:pPr>
        <w:spacing w:after="0" w:line="180" w:lineRule="exact"/>
        <w:rPr>
          <w:sz w:val="20"/>
          <w:szCs w:val="20"/>
          <w:color w:val="auto"/>
        </w:rPr>
      </w:pPr>
    </w:p>
    <w:p>
      <w:pPr>
        <w:ind w:left="240" w:right="380"/>
        <w:spacing w:after="0" w:line="271" w:lineRule="auto"/>
        <w:rPr>
          <w:sz w:val="20"/>
          <w:szCs w:val="20"/>
          <w:color w:val="auto"/>
        </w:rPr>
      </w:pPr>
      <w:r>
        <w:rPr>
          <w:rFonts w:ascii="Arial" w:cs="Arial" w:eastAsia="Arial" w:hAnsi="Arial"/>
          <w:sz w:val="18"/>
          <w:szCs w:val="18"/>
          <w:b w:val="1"/>
          <w:bCs w:val="1"/>
          <w:i w:val="1"/>
          <w:iCs w:val="1"/>
          <w:color w:val="auto"/>
        </w:rPr>
        <w:t>Ongoing data security requirements and obligations could increase our costs, and any significant data security incident could disrupt our operations and harm our reputation, business, results of operations and financial condition.</w:t>
      </w:r>
    </w:p>
    <w:p>
      <w:pPr>
        <w:spacing w:after="0" w:line="68" w:lineRule="exact"/>
        <w:rPr>
          <w:sz w:val="20"/>
          <w:szCs w:val="20"/>
          <w:color w:val="auto"/>
        </w:rPr>
      </w:pPr>
    </w:p>
    <w:p>
      <w:pPr>
        <w:jc w:val="both"/>
        <w:ind w:firstLine="228"/>
        <w:spacing w:after="0" w:line="236" w:lineRule="auto"/>
        <w:rPr>
          <w:sz w:val="20"/>
          <w:szCs w:val="20"/>
          <w:color w:val="auto"/>
        </w:rPr>
      </w:pPr>
      <w:r>
        <w:rPr>
          <w:rFonts w:ascii="Arial" w:cs="Arial" w:eastAsia="Arial" w:hAnsi="Arial"/>
          <w:sz w:val="18"/>
          <w:szCs w:val="18"/>
          <w:color w:val="auto"/>
        </w:rPr>
        <w:t>Our business requires the appropriate and secure utilization of customer, employee, business partner and other sensitive information, and confidence in the networks and systems that allow us to operate. We cannot be certain that we will not be the target of attacks on our networks and intrusions into our data, particularly given recent advances in technical capabilities, and increased financial and political motivations to carry out cyber-attacks on physical systems, gain unauthorized access to information, and make information unavailable for use through, for example, ransomware or denial-of-service attacks, and otherwise exploit new and existing vulnerabilities in our infrastructure. The risk of a data security incident or disruption, particularly through cyber-attack or cyber intrusion, including by computer hackers, foreign governments and cyber terrorists, has increased as the number, intensity and sophistication of attempted attacks and intrusions from around the world have increased. Furthermore, in response to these threats there has been heightened legislative and regulatory focus on attacks on critical infrastructures, including those in the transportation sector, and on data security in the U.S. and abroad (particularly in the European Union (EU)), including requirements for varying levels of data subject notification in the event of a data security incident.</w:t>
      </w:r>
    </w:p>
    <w:p>
      <w:pPr>
        <w:spacing w:after="0" w:line="207" w:lineRule="exact"/>
        <w:rPr>
          <w:sz w:val="20"/>
          <w:szCs w:val="20"/>
          <w:color w:val="auto"/>
        </w:rPr>
      </w:pPr>
    </w:p>
    <w:p>
      <w:pPr>
        <w:jc w:val="both"/>
        <w:ind w:firstLine="228"/>
        <w:spacing w:after="0" w:line="239" w:lineRule="auto"/>
        <w:rPr>
          <w:sz w:val="20"/>
          <w:szCs w:val="20"/>
          <w:color w:val="auto"/>
        </w:rPr>
      </w:pPr>
      <w:r>
        <w:rPr>
          <w:rFonts w:ascii="Arial" w:cs="Arial" w:eastAsia="Arial" w:hAnsi="Arial"/>
          <w:sz w:val="18"/>
          <w:szCs w:val="18"/>
          <w:color w:val="auto"/>
        </w:rPr>
        <w:t>In addition, many of our commercial partners, including credit card companies, have imposed data security standards that we must meet. In particular, we are required by the Payment Card Industry Security Standards Council, founded by the credit card companies, to comply with their highest level of data security standards. While we continue our efforts to meet these standards, new and revised standards may be imposed that may be difficult for us to meet and could increase our costs.</w:t>
      </w:r>
    </w:p>
    <w:p>
      <w:pPr>
        <w:spacing w:after="0" w:line="202" w:lineRule="exact"/>
        <w:rPr>
          <w:sz w:val="20"/>
          <w:szCs w:val="20"/>
          <w:color w:val="auto"/>
        </w:rPr>
      </w:pPr>
    </w:p>
    <w:p>
      <w:pPr>
        <w:jc w:val="both"/>
        <w:ind w:firstLine="228"/>
        <w:spacing w:after="0" w:line="238" w:lineRule="auto"/>
        <w:rPr>
          <w:sz w:val="20"/>
          <w:szCs w:val="20"/>
          <w:color w:val="auto"/>
        </w:rPr>
      </w:pPr>
      <w:r>
        <w:rPr>
          <w:rFonts w:ascii="Arial" w:cs="Arial" w:eastAsia="Arial" w:hAnsi="Arial"/>
          <w:sz w:val="18"/>
          <w:szCs w:val="18"/>
          <w:color w:val="auto"/>
        </w:rPr>
        <w:t>A significant data security incident or our failure to comply with applicable U.S. or foreign data security regulations or other data security standards may impact our brand and expose us to litigation and regulatory enforcement actions, resulting in fines, sanctions or other penalties. Such actions could further harm our reputation, adversely impact our relationship with our customers, employees, and stockholders, result in material financial impact, and disrupt business operations. Failure to appropriately address these issues could also give rise to similar legal risks and damages.</w:t>
      </w:r>
    </w:p>
    <w:p>
      <w:pPr>
        <w:spacing w:after="0" w:line="181" w:lineRule="exact"/>
        <w:rPr>
          <w:sz w:val="20"/>
          <w:szCs w:val="20"/>
          <w:color w:val="auto"/>
        </w:rPr>
      </w:pPr>
    </w:p>
    <w:p>
      <w:pPr>
        <w:ind w:left="240" w:right="80"/>
        <w:spacing w:after="0" w:line="253" w:lineRule="auto"/>
        <w:rPr>
          <w:sz w:val="20"/>
          <w:szCs w:val="20"/>
          <w:color w:val="auto"/>
        </w:rPr>
      </w:pPr>
      <w:r>
        <w:rPr>
          <w:rFonts w:ascii="Arial" w:cs="Arial" w:eastAsia="Arial" w:hAnsi="Arial"/>
          <w:sz w:val="18"/>
          <w:szCs w:val="18"/>
          <w:b w:val="1"/>
          <w:bCs w:val="1"/>
          <w:i w:val="1"/>
          <w:iCs w:val="1"/>
          <w:color w:val="auto"/>
        </w:rPr>
        <w:t>Our high level of debt and other obligations may limit our ability to fund general corporate requirements and obtain additional financing, may limit our flexibility in responding to competitive developments and cause our business to be vulnerable to adverse economic and industry conditions.</w:t>
      </w:r>
    </w:p>
    <w:p>
      <w:pPr>
        <w:spacing w:after="0" w:line="83" w:lineRule="exact"/>
        <w:rPr>
          <w:sz w:val="20"/>
          <w:szCs w:val="20"/>
          <w:color w:val="auto"/>
        </w:rPr>
      </w:pPr>
    </w:p>
    <w:p>
      <w:pPr>
        <w:jc w:val="both"/>
        <w:ind w:firstLine="456"/>
        <w:spacing w:after="0" w:line="239" w:lineRule="auto"/>
        <w:rPr>
          <w:sz w:val="20"/>
          <w:szCs w:val="20"/>
          <w:color w:val="auto"/>
        </w:rPr>
      </w:pPr>
      <w:r>
        <w:rPr>
          <w:rFonts w:ascii="Arial" w:cs="Arial" w:eastAsia="Arial" w:hAnsi="Arial"/>
          <w:sz w:val="18"/>
          <w:szCs w:val="18"/>
          <w:color w:val="auto"/>
        </w:rPr>
        <w:t>We have significant amounts of indebtedness and other obligations, including pension obligations, obligations to make future payments on flight equipment and property leases, and substantial non-cancelable obligations under aircraft and related spare engine purchase agreements. Moreover, currently a substantial portion of our assets are pledged to secure our indebtedness. Our substantial indebtedness and other obligations could have important consequences. For example, they:</w:t>
      </w:r>
    </w:p>
    <w:p>
      <w:pPr>
        <w:spacing w:after="0" w:line="107" w:lineRule="exact"/>
        <w:rPr>
          <w:sz w:val="20"/>
          <w:szCs w:val="20"/>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may make it more difficult for us to satisfy our obligations under our indebtedness;</w:t>
      </w:r>
    </w:p>
    <w:p>
      <w:pPr>
        <w:spacing w:after="0" w:line="117" w:lineRule="exact"/>
        <w:rPr>
          <w:rFonts w:ascii="Arial" w:cs="Arial" w:eastAsia="Arial" w:hAnsi="Arial"/>
          <w:sz w:val="18"/>
          <w:szCs w:val="18"/>
          <w:color w:val="auto"/>
        </w:rPr>
      </w:pPr>
    </w:p>
    <w:p>
      <w:pPr>
        <w:ind w:left="900" w:right="20" w:hanging="325"/>
        <w:spacing w:after="0" w:line="246"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may limit our ability to obtain additional funding for working capital, capital expenditures, acquisitions, investments, integration costs, and general corporate purposes, and adversely affect the terms on which such funding can be obtained;</w:t>
      </w:r>
    </w:p>
    <w:p>
      <w:pPr>
        <w:spacing w:after="0" w:line="102" w:lineRule="exact"/>
        <w:rPr>
          <w:rFonts w:ascii="Arial" w:cs="Arial" w:eastAsia="Arial" w:hAnsi="Arial"/>
          <w:sz w:val="18"/>
          <w:szCs w:val="18"/>
          <w:color w:val="auto"/>
        </w:rPr>
      </w:pPr>
    </w:p>
    <w:p>
      <w:pPr>
        <w:ind w:left="900" w:hanging="325"/>
        <w:spacing w:after="0" w:line="246"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flow from operations to payments on our indebtedness and other obligations, thereby reducing the funds available for other purposes;</w:t>
      </w:r>
    </w:p>
    <w:p>
      <w:pPr>
        <w:spacing w:after="0" w:line="102" w:lineRule="exact"/>
        <w:rPr>
          <w:rFonts w:ascii="Arial" w:cs="Arial" w:eastAsia="Arial" w:hAnsi="Arial"/>
          <w:sz w:val="18"/>
          <w:szCs w:val="18"/>
          <w:color w:val="auto"/>
        </w:rPr>
      </w:pPr>
    </w:p>
    <w:p>
      <w:pPr>
        <w:ind w:left="900" w:right="20" w:hanging="325"/>
        <w:spacing w:after="0" w:line="246"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make us more vulnerable to economic downturns, industry conditions and catastrophic external events, particularly relative to competitors with lower relative levels of financial leverage;</w:t>
      </w:r>
    </w:p>
    <w:p>
      <w:pPr>
        <w:spacing w:after="0" w:line="102" w:lineRule="exact"/>
        <w:rPr>
          <w:rFonts w:ascii="Arial" w:cs="Arial" w:eastAsia="Arial" w:hAnsi="Arial"/>
          <w:sz w:val="18"/>
          <w:szCs w:val="18"/>
          <w:color w:val="auto"/>
        </w:rPr>
      </w:pPr>
    </w:p>
    <w:p>
      <w:pPr>
        <w:ind w:left="900" w:hanging="325"/>
        <w:spacing w:after="0" w:line="246"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contain covenants requiring us to maintain an aggregate of at least $2.0 billion of unrestricted cash and cash equivalents and amounts available to be drawn under revolving credit facilities;</w:t>
      </w:r>
    </w:p>
    <w:p>
      <w:pPr>
        <w:spacing w:after="0" w:line="102"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contain restrictive covenants that could:</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287" w:right="239" w:bottom="1440" w:gutter="0" w:footer="0" w:header="0"/>
        </w:sectPr>
      </w:pPr>
    </w:p>
    <w:bookmarkStart w:id="58" w:name="page59"/>
    <w:bookmarkEnd w:id="58"/>
    <w:p>
      <w:pPr>
        <w:ind w:left="900" w:hanging="325"/>
        <w:spacing w:after="0" w:line="246"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limit our ability to merge, consolidate, sell assets, incur additional indebtedness, issue preferred stock, make investments and pay dividends;</w:t>
      </w:r>
    </w:p>
    <w:p>
      <w:pPr>
        <w:spacing w:after="0" w:line="102" w:lineRule="exact"/>
        <w:rPr>
          <w:rFonts w:ascii="Arial" w:cs="Arial" w:eastAsia="Arial" w:hAnsi="Arial"/>
          <w:sz w:val="18"/>
          <w:szCs w:val="18"/>
          <w:color w:val="auto"/>
        </w:rPr>
      </w:pPr>
    </w:p>
    <w:p>
      <w:pPr>
        <w:jc w:val="both"/>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significantly constrain our ability to respond, or respond quickly, to unexpected disruptions in our own operations, the U.S. or global economies, or the businesses in which we operate, or to take advantage of opportunities that would improve our business, operations, or competitive position versus other airlines;</w:t>
      </w:r>
    </w:p>
    <w:p>
      <w:pPr>
        <w:spacing w:after="0" w:line="108" w:lineRule="exact"/>
        <w:rPr>
          <w:rFonts w:ascii="Arial" w:cs="Arial" w:eastAsia="Arial" w:hAnsi="Arial"/>
          <w:sz w:val="18"/>
          <w:szCs w:val="18"/>
          <w:color w:val="auto"/>
        </w:rPr>
      </w:pPr>
    </w:p>
    <w:p>
      <w:pPr>
        <w:ind w:left="900" w:hanging="325"/>
        <w:spacing w:after="0" w:line="246"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limit our ability to withstand competitive pressures and reduce our flexibility in responding to changing business and economic conditions; and</w:t>
      </w:r>
    </w:p>
    <w:p>
      <w:pPr>
        <w:spacing w:after="0" w:line="102"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result in an event of default under our indebtedness.</w:t>
      </w:r>
    </w:p>
    <w:p>
      <w:pPr>
        <w:spacing w:after="0" w:line="212" w:lineRule="exact"/>
        <w:rPr>
          <w:sz w:val="20"/>
          <w:szCs w:val="20"/>
          <w:color w:val="auto"/>
        </w:rPr>
      </w:pPr>
    </w:p>
    <w:p>
      <w:pPr>
        <w:jc w:val="both"/>
        <w:ind w:firstLine="228"/>
        <w:spacing w:after="0" w:line="236" w:lineRule="auto"/>
        <w:rPr>
          <w:sz w:val="20"/>
          <w:szCs w:val="20"/>
          <w:color w:val="auto"/>
        </w:rPr>
      </w:pPr>
      <w:r>
        <w:rPr>
          <w:rFonts w:ascii="Arial" w:cs="Arial" w:eastAsia="Arial" w:hAnsi="Arial"/>
          <w:sz w:val="18"/>
          <w:szCs w:val="18"/>
          <w:color w:val="auto"/>
        </w:rPr>
        <w:t>Further, a substantial portion of our indebtedness bears interest at fluctuating interest rates, primarily based on the London interbank offered rate for deposits of U.S. dollars (LIBOR). LIBOR tends to fluctuate based on general economic conditions, general interest rates, rates set by the Federal Reserve and other central banks, and the supply of and demand for credit in the London interbank market. We have not hedged our interest rate exposure with respect to our floating rate debt. Accordingly, our interest expense for any particular period will fluctuate based on LIBOR and other variable interest rates. To the extent these interest rates increase, our interest expense will increase, in which event we may have difficulties making interest payments and funding our other fixed costs, and our available cash flow for general corporate requirements may be adversely affected. See also the discussion of interest rate risk in Part I, Item 3. Quantitative and Qualitative Disclosures About Market Risk –</w:t>
      </w:r>
      <w:r>
        <w:rPr>
          <w:rFonts w:ascii="Arial" w:cs="Arial" w:eastAsia="Arial" w:hAnsi="Arial"/>
          <w:sz w:val="18"/>
          <w:szCs w:val="18"/>
          <w:i w:val="1"/>
          <w:iCs w:val="1"/>
          <w:color w:val="auto"/>
        </w:rPr>
        <w:t>“Interest.”</w:t>
      </w:r>
    </w:p>
    <w:p>
      <w:pPr>
        <w:spacing w:after="0" w:line="208" w:lineRule="exact"/>
        <w:rPr>
          <w:sz w:val="20"/>
          <w:szCs w:val="20"/>
          <w:color w:val="auto"/>
        </w:rPr>
      </w:pPr>
    </w:p>
    <w:p>
      <w:pPr>
        <w:jc w:val="both"/>
        <w:ind w:firstLine="228"/>
        <w:spacing w:after="0" w:line="246" w:lineRule="auto"/>
        <w:rPr>
          <w:sz w:val="20"/>
          <w:szCs w:val="20"/>
          <w:color w:val="auto"/>
        </w:rPr>
      </w:pPr>
      <w:r>
        <w:rPr>
          <w:rFonts w:ascii="Arial" w:cs="Arial" w:eastAsia="Arial" w:hAnsi="Arial"/>
          <w:sz w:val="18"/>
          <w:szCs w:val="18"/>
          <w:color w:val="auto"/>
        </w:rPr>
        <w:t>These obligations also impact our ability to obtain additional financing, if needed, and our flexibility in the conduct of our business, and could materially adversely affect our liquidity, results of operations and financial condition.</w:t>
      </w:r>
    </w:p>
    <w:p>
      <w:pPr>
        <w:spacing w:after="0" w:line="1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will need to obtain sufficient financing or other capital to operate successfully.</w:t>
      </w:r>
    </w:p>
    <w:p>
      <w:pPr>
        <w:spacing w:after="0" w:line="126" w:lineRule="exact"/>
        <w:rPr>
          <w:sz w:val="20"/>
          <w:szCs w:val="20"/>
          <w:color w:val="auto"/>
        </w:rPr>
      </w:pPr>
    </w:p>
    <w:p>
      <w:pPr>
        <w:jc w:val="both"/>
        <w:ind w:firstLine="228"/>
        <w:spacing w:after="0" w:line="236" w:lineRule="auto"/>
        <w:rPr>
          <w:sz w:val="20"/>
          <w:szCs w:val="20"/>
          <w:color w:val="auto"/>
        </w:rPr>
      </w:pPr>
      <w:r>
        <w:rPr>
          <w:rFonts w:ascii="Arial" w:cs="Arial" w:eastAsia="Arial" w:hAnsi="Arial"/>
          <w:sz w:val="18"/>
          <w:szCs w:val="18"/>
          <w:color w:val="auto"/>
        </w:rPr>
        <w:t>Our business plan contemplates significant investments in modernizing our fleet. Significant capital resources will be required to execute this plan. We estimate that, based on our commitments as of June 30, 2017, our planned aggregate expenditures for aircraft purchase commitments and certain engines on a consolidated basis for calendar years 2017-2021 would be approximately $12.0 billion. Accordingly, we will need substantial financing or other capital resources to finance such aircraft. If we are unable to arrange financing for such aircraft at customary advance rates and on terms and conditions acceptable to us, we may need to use cash from operations or cash on hand to purchase such aircraft or may seek to negotiate deferrals for such aircraft with the aircraft manufacturers. Depending on numerous factors, many of which are out of our control, such as the state of the domestic and global economies, the capital and credit markets’ view of our prospects and the airline industry in general, and the general availability of debt and equity capital at the time we seek capital, the financing or other capital resources that we will need may not be available to us, or may be available only on onerous terms and conditions. There can be no assurance that we will be successful in obtaining financing or other needed sources of capital to operate successfully. An inability to obtain necessary financing on acceptable terms would have a material adverse impact on our business, results of operations and financial condition.</w:t>
      </w:r>
    </w:p>
    <w:p>
      <w:pPr>
        <w:spacing w:after="0" w:line="184" w:lineRule="exact"/>
        <w:rPr>
          <w:sz w:val="20"/>
          <w:szCs w:val="20"/>
          <w:color w:val="auto"/>
        </w:rPr>
      </w:pPr>
    </w:p>
    <w:p>
      <w:pPr>
        <w:ind w:left="240" w:right="40"/>
        <w:spacing w:after="0" w:line="271" w:lineRule="auto"/>
        <w:rPr>
          <w:sz w:val="20"/>
          <w:szCs w:val="20"/>
          <w:color w:val="auto"/>
        </w:rPr>
      </w:pPr>
      <w:r>
        <w:rPr>
          <w:rFonts w:ascii="Arial" w:cs="Arial" w:eastAsia="Arial" w:hAnsi="Arial"/>
          <w:sz w:val="18"/>
          <w:szCs w:val="18"/>
          <w:b w:val="1"/>
          <w:bCs w:val="1"/>
          <w:i w:val="1"/>
          <w:iCs w:val="1"/>
          <w:color w:val="auto"/>
        </w:rPr>
        <w:t>We have significant pension and other postretirement benefit funding obligations, which may adversely affect our liquidity, results of operations and financial condition.</w:t>
      </w:r>
    </w:p>
    <w:p>
      <w:pPr>
        <w:spacing w:after="0" w:line="68" w:lineRule="exact"/>
        <w:rPr>
          <w:sz w:val="20"/>
          <w:szCs w:val="20"/>
          <w:color w:val="auto"/>
        </w:rPr>
      </w:pPr>
    </w:p>
    <w:p>
      <w:pPr>
        <w:jc w:val="both"/>
        <w:ind w:firstLine="228"/>
        <w:spacing w:after="0" w:line="237" w:lineRule="auto"/>
        <w:rPr>
          <w:sz w:val="20"/>
          <w:szCs w:val="20"/>
          <w:color w:val="auto"/>
        </w:rPr>
      </w:pPr>
      <w:r>
        <w:rPr>
          <w:rFonts w:ascii="Arial" w:cs="Arial" w:eastAsia="Arial" w:hAnsi="Arial"/>
          <w:sz w:val="18"/>
          <w:szCs w:val="18"/>
          <w:color w:val="auto"/>
        </w:rPr>
        <w:t>Our pension funding obligations are significant. The amount of these obligations will depend on the performance of investments held in trust by the pension plans, interest rates for determining liabilities and actuarial experience. Currently, our minimum funding obligation for our pension plans is subject to favorable temporary funding rules that are scheduled to expire at the end of 2017. Our minimum pension funding obligations are likely to increase materially beginning in 2019, when we will be required to make contributions relating to the 2018 fiscal year. In addition, we may have significant obligations for other postretirement benefits, the ultimate amount of which depends on, among other things, the outcome of an adversary proceeding related to retiree medical and other postretirement benefits and life insurance obligations filed in the Chapter 11 Cases.</w:t>
      </w:r>
    </w:p>
    <w:p>
      <w:pPr>
        <w:spacing w:after="0" w:line="181" w:lineRule="exact"/>
        <w:rPr>
          <w:sz w:val="20"/>
          <w:szCs w:val="20"/>
          <w:color w:val="auto"/>
        </w:rPr>
      </w:pPr>
    </w:p>
    <w:p>
      <w:pPr>
        <w:ind w:left="240"/>
        <w:spacing w:after="0" w:line="271" w:lineRule="auto"/>
        <w:rPr>
          <w:sz w:val="20"/>
          <w:szCs w:val="20"/>
          <w:color w:val="auto"/>
        </w:rPr>
      </w:pPr>
      <w:r>
        <w:rPr>
          <w:rFonts w:ascii="Arial" w:cs="Arial" w:eastAsia="Arial" w:hAnsi="Arial"/>
          <w:sz w:val="18"/>
          <w:szCs w:val="18"/>
          <w:b w:val="1"/>
          <w:bCs w:val="1"/>
          <w:i w:val="1"/>
          <w:iCs w:val="1"/>
          <w:color w:val="auto"/>
        </w:rPr>
        <w:t>If our financial condition worsens, provisions in our credit card processing and other commercial agreements may adversely affect our liquidity.</w:t>
      </w:r>
    </w:p>
    <w:p>
      <w:pPr>
        <w:spacing w:after="0" w:line="68" w:lineRule="exact"/>
        <w:rPr>
          <w:sz w:val="20"/>
          <w:szCs w:val="20"/>
          <w:color w:val="auto"/>
        </w:rPr>
      </w:pPr>
    </w:p>
    <w:p>
      <w:pPr>
        <w:jc w:val="both"/>
        <w:ind w:firstLine="228"/>
        <w:spacing w:after="0" w:line="238" w:lineRule="auto"/>
        <w:rPr>
          <w:sz w:val="20"/>
          <w:szCs w:val="20"/>
          <w:color w:val="auto"/>
        </w:rPr>
      </w:pPr>
      <w:r>
        <w:rPr>
          <w:rFonts w:ascii="Arial" w:cs="Arial" w:eastAsia="Arial" w:hAnsi="Arial"/>
          <w:sz w:val="18"/>
          <w:szCs w:val="18"/>
          <w:color w:val="auto"/>
        </w:rPr>
        <w:t>We have agreements with companies that process customer credit card transactions for the sale of air travel and other services. These agreements allow these processing companies, under certain conditions (including, with respect to certain agreements, the failure of American to maintain certain levels of liquidity) to hold an amount of our cash (a holdback) equal to some or all of the advance ticket sales that have been processed by that credit card processor, but for which we have not yet provided the air transportation. We are not currently required to maintain any holdbacks pursuant</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287" w:right="239" w:bottom="1440" w:gutter="0" w:footer="0" w:header="0"/>
        </w:sectPr>
      </w:pPr>
    </w:p>
    <w:bookmarkStart w:id="59" w:name="page60"/>
    <w:bookmarkEnd w:id="59"/>
    <w:p>
      <w:pPr>
        <w:jc w:val="both"/>
        <w:spacing w:after="0" w:line="23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these requirements. These holdback requirements can be modified at the discretion of the credit card processing companies upon the occurrence of specific events, including material adverse changes in our financial condition. An increase in the current holdbacks, up to and including 100% of relevant advanced ticket sales, could materially reduce our liquidity. Likewise, other of our commercial agreements contain provisions that allow other entities to impose less-favorable terms, including the acceleration of amounts due, in the event of material adverse changes in our financial condition.</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Union disputes, employee strikes and other labor-related disruptions may adversely affect our operations.</w:t>
      </w:r>
    </w:p>
    <w:p>
      <w:pPr>
        <w:spacing w:after="0" w:line="126" w:lineRule="exact"/>
        <w:rPr>
          <w:sz w:val="20"/>
          <w:szCs w:val="20"/>
          <w:color w:val="auto"/>
        </w:rPr>
      </w:pPr>
    </w:p>
    <w:p>
      <w:pPr>
        <w:jc w:val="both"/>
        <w:ind w:right="20" w:firstLine="228"/>
        <w:spacing w:after="0" w:line="238" w:lineRule="auto"/>
        <w:rPr>
          <w:sz w:val="20"/>
          <w:szCs w:val="20"/>
          <w:color w:val="auto"/>
        </w:rPr>
      </w:pPr>
      <w:r>
        <w:rPr>
          <w:rFonts w:ascii="Arial" w:cs="Arial" w:eastAsia="Arial" w:hAnsi="Arial"/>
          <w:sz w:val="18"/>
          <w:szCs w:val="18"/>
          <w:color w:val="auto"/>
        </w:rPr>
        <w:t xml:space="preserve">Relations between air carriers and labor unions in the U.S. are governed by the Railway Labor Act (RLA). Under the RLA, collective bargaining agreements (CBAs) generally contain “amendable dates” rather than expiration dates, and the RLA requires that a carrier maintain the existing terms and conditions of employment following the amendable date through a multi-stage and usually lengthy series of bargaining processes overseen by the National Mediation Board (NMB). For the dates that the CBAs with our major work groups become amendable under the RLA, see Part I, Item 1. Business – </w:t>
      </w:r>
      <w:r>
        <w:rPr>
          <w:rFonts w:ascii="Arial" w:cs="Arial" w:eastAsia="Arial" w:hAnsi="Arial"/>
          <w:sz w:val="18"/>
          <w:szCs w:val="18"/>
          <w:i w:val="1"/>
          <w:iCs w:val="1"/>
          <w:color w:val="auto"/>
        </w:rPr>
        <w:t>“Employees and Labor Relations”</w:t>
      </w:r>
      <w:r>
        <w:rPr>
          <w:rFonts w:ascii="Arial" w:cs="Arial" w:eastAsia="Arial" w:hAnsi="Arial"/>
          <w:sz w:val="18"/>
          <w:szCs w:val="18"/>
          <w:color w:val="auto"/>
        </w:rPr>
        <w:t xml:space="preserve"> in our 2016 Form 10-K.</w:t>
      </w:r>
    </w:p>
    <w:p>
      <w:pPr>
        <w:spacing w:after="0" w:line="203" w:lineRule="exact"/>
        <w:rPr>
          <w:sz w:val="20"/>
          <w:szCs w:val="20"/>
          <w:color w:val="auto"/>
        </w:rPr>
      </w:pPr>
    </w:p>
    <w:p>
      <w:pPr>
        <w:jc w:val="both"/>
        <w:ind w:firstLine="228"/>
        <w:spacing w:after="0" w:line="236" w:lineRule="auto"/>
        <w:rPr>
          <w:sz w:val="20"/>
          <w:szCs w:val="20"/>
          <w:color w:val="auto"/>
        </w:rPr>
      </w:pPr>
      <w:r>
        <w:rPr>
          <w:rFonts w:ascii="Arial" w:cs="Arial" w:eastAsia="Arial" w:hAnsi="Arial"/>
          <w:sz w:val="18"/>
          <w:szCs w:val="18"/>
          <w:color w:val="auto"/>
        </w:rPr>
        <w:t>In the case of a CBA that is amendable under the RLA, if no agreement is reached during direct negotiations between the parties, either party may request that the NMB appoint a federal mediator. The RLA prescribes no timetable for the direct negotiation and mediation processes, and it is not unusual for those processes to last for many months or even several years. If no agreement is reached in mediation, the NMB in its discretion may declare that an impasse exists and proffer binding arbitration to the parties. Either party may decline to submit to arbitration, and if arbitration is rejected by either party, a 30-day “cooling off” period commences. During or after that period, a Presidential Emergency Board (PEB) may be established, which examines the parties’ positions and recommends a solution. The PEB process lasts for 30 days and is followed by another 30-day “cooling off” period. At the end of a “cooling off” period, unless an agreement is reached or action is taken by Congress, the labor organization may exercise “self-help,” such as a strike, which could materially adversely affect our business, results of operations and financial condition.</w:t>
      </w:r>
    </w:p>
    <w:p>
      <w:pPr>
        <w:spacing w:after="0" w:line="207" w:lineRule="exact"/>
        <w:rPr>
          <w:sz w:val="20"/>
          <w:szCs w:val="20"/>
          <w:color w:val="auto"/>
        </w:rPr>
      </w:pPr>
    </w:p>
    <w:p>
      <w:pPr>
        <w:jc w:val="both"/>
        <w:ind w:firstLine="228"/>
        <w:spacing w:after="0" w:line="239" w:lineRule="auto"/>
        <w:rPr>
          <w:sz w:val="20"/>
          <w:szCs w:val="20"/>
          <w:color w:val="auto"/>
        </w:rPr>
      </w:pPr>
      <w:r>
        <w:rPr>
          <w:rFonts w:ascii="Arial" w:cs="Arial" w:eastAsia="Arial" w:hAnsi="Arial"/>
          <w:sz w:val="18"/>
          <w:szCs w:val="18"/>
          <w:color w:val="auto"/>
        </w:rPr>
        <w:t>None of the unions representing our employees presently may lawfully engage in concerted refusals to work, such as strikes, slow-downs, sick-outs or other similar activity, against us. Nonetheless, there is a risk that disgruntled employees, either with or without union involvement, could engage in one or more concerted refusals to work that could individually or collectively harm the operation of our airline and impair our financial performance. See also Part I, Item 1. Business – “Employees and Labor Relations” in our 2016 Form 10-K.</w:t>
      </w:r>
    </w:p>
    <w:p>
      <w:pPr>
        <w:spacing w:after="0" w:line="18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inability to maintain labor costs at competitive levels would harm our financial performance.</w:t>
      </w:r>
    </w:p>
    <w:p>
      <w:pPr>
        <w:spacing w:after="0" w:line="126" w:lineRule="exact"/>
        <w:rPr>
          <w:sz w:val="20"/>
          <w:szCs w:val="20"/>
          <w:color w:val="auto"/>
        </w:rPr>
      </w:pPr>
    </w:p>
    <w:p>
      <w:pPr>
        <w:jc w:val="both"/>
        <w:ind w:firstLine="228"/>
        <w:spacing w:after="0" w:line="236" w:lineRule="auto"/>
        <w:rPr>
          <w:sz w:val="20"/>
          <w:szCs w:val="20"/>
          <w:color w:val="auto"/>
        </w:rPr>
      </w:pPr>
      <w:r>
        <w:rPr>
          <w:rFonts w:ascii="Arial" w:cs="Arial" w:eastAsia="Arial" w:hAnsi="Arial"/>
          <w:sz w:val="18"/>
          <w:szCs w:val="18"/>
          <w:color w:val="auto"/>
        </w:rPr>
        <w:t>Currently, we believe our labor costs are competitive relative to the other large network carriers. However, we cannot provide assurance that labor costs going forward will remain competitive because we are in negotiations for some new agreements now and other agreements may become amendable, competitors may significantly reduce their labor costs or we may agree to higher-cost provisions in our current or future labor negotiations, such as the employee profit sharing program we instituted effective January 1, 2016 and the mid-contract adjustment we provided to our flight attendants and pilots in 2017. As of December 31, 2016, approximately 85% of our employees were represented for collective bargaining purposes by labor unions. Some of our unions have brought and may continue to bring grievances to binding arbitration, including those related to wages. Unions may also bring court actions and may seek to compel us to engage in bargaining processes where we believe we have no such obligation. If successful, there is a risk these judicial or arbitral avenues could create material additional costs that we did not anticipate.</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Interruptions or disruptions in service at one of our key facilities could have a material adverse impact on our operations.</w:t>
      </w:r>
    </w:p>
    <w:p>
      <w:pPr>
        <w:spacing w:after="0" w:line="126" w:lineRule="exact"/>
        <w:rPr>
          <w:sz w:val="20"/>
          <w:szCs w:val="20"/>
          <w:color w:val="auto"/>
        </w:rPr>
      </w:pPr>
    </w:p>
    <w:p>
      <w:pPr>
        <w:jc w:val="both"/>
        <w:ind w:firstLine="228"/>
        <w:spacing w:after="0" w:line="237" w:lineRule="auto"/>
        <w:rPr>
          <w:sz w:val="20"/>
          <w:szCs w:val="20"/>
          <w:color w:val="auto"/>
        </w:rPr>
      </w:pPr>
      <w:r>
        <w:rPr>
          <w:rFonts w:ascii="Arial" w:cs="Arial" w:eastAsia="Arial" w:hAnsi="Arial"/>
          <w:sz w:val="18"/>
          <w:szCs w:val="18"/>
          <w:color w:val="auto"/>
        </w:rPr>
        <w:t>We operate principally through hubs in Charlotte, Chicago, Dallas/Fort Worth, Los Angeles, Miami, New York, Philadelphia, Phoenix and Washington, D.C. Substantially all of our flights either originate in or fly into one of these locations. A significant interruption or disruption in service at one of our hubs resulting from air traffic control (ATC) delays, weather conditions, natural disasters, growth constraints, relations with third-party service providers, failure of computer systems, disruptions at airport facilities or other key facilities used by us to manage our operations, labor relations, power supplies, fuel supplies, terrorist activities, or otherwise could result in the cancellation or delay of a significant portion of our flights and, as a result, could have a severe impact on our business, results of operations and financial condition.</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287" w:right="239" w:bottom="1440" w:gutter="0" w:footer="0" w:header="0"/>
        </w:sectPr>
      </w:pPr>
    </w:p>
    <w:bookmarkStart w:id="60" w:name="page61"/>
    <w:bookmarkEnd w:id="60"/>
    <w:p>
      <w:pPr>
        <w:ind w:left="240" w:right="80"/>
        <w:spacing w:after="0" w:line="253"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we are unable to obtain and maintain adequate facilities and infrastructure throughout our system and, at some airports, adequate slots, we may be unable to operate our existing flight schedule and to expand or change our route network in the future, which may have a material adverse impact on our operations.</w:t>
      </w:r>
    </w:p>
    <w:p>
      <w:pPr>
        <w:spacing w:after="0" w:line="83" w:lineRule="exact"/>
        <w:rPr>
          <w:sz w:val="20"/>
          <w:szCs w:val="20"/>
          <w:color w:val="auto"/>
        </w:rPr>
      </w:pPr>
    </w:p>
    <w:p>
      <w:pPr>
        <w:jc w:val="both"/>
        <w:ind w:firstLine="228"/>
        <w:spacing w:after="0" w:line="237" w:lineRule="auto"/>
        <w:rPr>
          <w:sz w:val="20"/>
          <w:szCs w:val="20"/>
          <w:color w:val="auto"/>
        </w:rPr>
      </w:pPr>
      <w:r>
        <w:rPr>
          <w:rFonts w:ascii="Arial" w:cs="Arial" w:eastAsia="Arial" w:hAnsi="Arial"/>
          <w:sz w:val="18"/>
          <w:szCs w:val="18"/>
          <w:color w:val="auto"/>
        </w:rPr>
        <w:t>In order to operate our existing and proposed flight schedule and, where desirable, add service along new or existing routes, we must be able to maintain and/or obtain adequate gates, check-in counters, operations areas, operations control facilities and office space. As airports around the world become more congested, we are not always able to ensure that our plans for new service can be implemented in a commercially viable manner, given operating constraints at airports throughout our network, including due to inadequate facilities at desirable airports. Further, our operating costs at airports at which we operate, including our hubs, may increase significantly because of capital improvements at such airports that we may be required to fund, directly or indirectly. In some circumstances, such costs could be imposed by the relevant airport authority without our approval.</w:t>
      </w:r>
    </w:p>
    <w:p>
      <w:pPr>
        <w:spacing w:after="0" w:line="203" w:lineRule="exact"/>
        <w:rPr>
          <w:sz w:val="20"/>
          <w:szCs w:val="20"/>
          <w:color w:val="auto"/>
        </w:rPr>
      </w:pPr>
    </w:p>
    <w:p>
      <w:pPr>
        <w:jc w:val="both"/>
        <w:ind w:firstLine="228"/>
        <w:spacing w:after="0" w:line="236" w:lineRule="auto"/>
        <w:rPr>
          <w:sz w:val="20"/>
          <w:szCs w:val="20"/>
          <w:color w:val="auto"/>
        </w:rPr>
      </w:pPr>
      <w:r>
        <w:rPr>
          <w:rFonts w:ascii="Arial" w:cs="Arial" w:eastAsia="Arial" w:hAnsi="Arial"/>
          <w:sz w:val="18"/>
          <w:szCs w:val="18"/>
          <w:color w:val="auto"/>
        </w:rPr>
        <w:t>In addition, operations at three major domestic airports, certain smaller domestic airports and certain foreign airports served by us are regulated by governmental entities through the use of slots or similar regulatory mechanisms which limit the rights of carriers to conduct operations at those airports. Each slot represents the authorization to land at or take off from the particular airport during a specified time period and may have other operational restrictions as well. In the U.S., the Federal Aviation Administration (FAA) currently regulates the allocation of slots or slot exemptions at DCA and two New York City airports: John F. Kennedy International Airport and La Guardia Airport (LGA). In addition to slot restrictions, operations at LGA and DCA are also limited based on the stage length of the flight. Our operations at these airports generally require the allocation of slots or similar regulatory authority. Similarly, our operations at international airports in Beijing, Frankfurt, London Heathrow, Paris, Tokyo and other airports outside the U.S. are regulated by local slot authorities pursuant to the International Airline Trade Association (IATA) Worldwide Scheduling Guidelines and applicable local law. We currently have sufficient slots or analogous authorizations to operate our existing flights and we have generally, but not always, been able to obtain the rights to expand our operations and to change our schedules. However, there is no assurance that we will be able to obtain sufficient slots or analogous authorizations in the future or as to the cost of acquiring such rights because, among other reasons, such allocations are often sought after by other airlines and are subject to changes in governmental policies. We cannot provide any assurance that regulatory changes regarding the allocation of slots or similar regulatory authority will not have a material adverse impact on our operations.</w:t>
      </w:r>
    </w:p>
    <w:p>
      <w:pPr>
        <w:spacing w:after="0" w:line="203" w:lineRule="exact"/>
        <w:rPr>
          <w:sz w:val="20"/>
          <w:szCs w:val="20"/>
          <w:color w:val="auto"/>
        </w:rPr>
      </w:pPr>
    </w:p>
    <w:p>
      <w:pPr>
        <w:jc w:val="both"/>
        <w:ind w:firstLine="228"/>
        <w:spacing w:after="0"/>
        <w:rPr>
          <w:sz w:val="20"/>
          <w:szCs w:val="20"/>
          <w:color w:val="auto"/>
        </w:rPr>
      </w:pPr>
      <w:r>
        <w:rPr>
          <w:rFonts w:ascii="Arial" w:cs="Arial" w:eastAsia="Arial" w:hAnsi="Arial"/>
          <w:sz w:val="18"/>
          <w:szCs w:val="18"/>
          <w:color w:val="auto"/>
        </w:rPr>
        <w:t>Our ability to provide service can also be impaired at airports, such as Chicago O’Hare International Airport (ORD) and Los Angeles International Airport, where the airport gate and other facilities are inadequate to accommodate all of the service that we would like to provide, or airports such as Dallas Love Field Airport where we have no access to gates at all.</w:t>
      </w:r>
    </w:p>
    <w:p>
      <w:pPr>
        <w:spacing w:after="0" w:line="203" w:lineRule="exact"/>
        <w:rPr>
          <w:sz w:val="20"/>
          <w:szCs w:val="20"/>
          <w:color w:val="auto"/>
        </w:rPr>
      </w:pPr>
    </w:p>
    <w:p>
      <w:pPr>
        <w:jc w:val="both"/>
        <w:ind w:firstLine="228"/>
        <w:spacing w:after="0" w:line="246" w:lineRule="auto"/>
        <w:rPr>
          <w:sz w:val="20"/>
          <w:szCs w:val="20"/>
          <w:color w:val="auto"/>
        </w:rPr>
      </w:pPr>
      <w:r>
        <w:rPr>
          <w:rFonts w:ascii="Arial" w:cs="Arial" w:eastAsia="Arial" w:hAnsi="Arial"/>
          <w:sz w:val="18"/>
          <w:szCs w:val="18"/>
          <w:color w:val="auto"/>
        </w:rPr>
        <w:t>Any limitation on our ability to acquire or maintain adequate gates, ticketing facilities, operations areas, operations control facilities, slots (where applicable), or office space could have a material adverse effect on our business, results of operations and financial condition.</w:t>
      </w:r>
    </w:p>
    <w:p>
      <w:pPr>
        <w:spacing w:after="0" w:line="175" w:lineRule="exact"/>
        <w:rPr>
          <w:sz w:val="20"/>
          <w:szCs w:val="20"/>
          <w:color w:val="auto"/>
        </w:rPr>
      </w:pPr>
    </w:p>
    <w:p>
      <w:pPr>
        <w:ind w:left="240" w:right="220"/>
        <w:spacing w:after="0" w:line="271" w:lineRule="auto"/>
        <w:rPr>
          <w:sz w:val="20"/>
          <w:szCs w:val="20"/>
          <w:color w:val="auto"/>
        </w:rPr>
      </w:pPr>
      <w:r>
        <w:rPr>
          <w:rFonts w:ascii="Arial" w:cs="Arial" w:eastAsia="Arial" w:hAnsi="Arial"/>
          <w:sz w:val="18"/>
          <w:szCs w:val="18"/>
          <w:b w:val="1"/>
          <w:bCs w:val="1"/>
          <w:i w:val="1"/>
          <w:iCs w:val="1"/>
          <w:color w:val="auto"/>
        </w:rPr>
        <w:t>If we encounter problems with any of our third-party regional operators or third-party service providers, our operations could be adversely affected by a resulting decline in revenue or negative public perception about our services.</w:t>
      </w:r>
    </w:p>
    <w:p>
      <w:pPr>
        <w:spacing w:after="0" w:line="68" w:lineRule="exact"/>
        <w:rPr>
          <w:sz w:val="20"/>
          <w:szCs w:val="20"/>
          <w:color w:val="auto"/>
        </w:rPr>
      </w:pPr>
    </w:p>
    <w:p>
      <w:pPr>
        <w:jc w:val="both"/>
        <w:ind w:firstLine="228"/>
        <w:spacing w:after="0" w:line="236" w:lineRule="auto"/>
        <w:rPr>
          <w:sz w:val="20"/>
          <w:szCs w:val="20"/>
          <w:color w:val="auto"/>
        </w:rPr>
      </w:pPr>
      <w:r>
        <w:rPr>
          <w:rFonts w:ascii="Arial" w:cs="Arial" w:eastAsia="Arial" w:hAnsi="Arial"/>
          <w:sz w:val="18"/>
          <w:szCs w:val="18"/>
          <w:color w:val="auto"/>
        </w:rPr>
        <w:t>A significant portion of our regional operations are conducted by third-party operators on our behalf, primarily under capacity purchase agreements. Due to our reliance on third parties to provide these essential services, we are subject to the risks of disruptions to their operations, which may result from many of the same risk factors disclosed in this report, such as the impact of adverse economic conditions, the inability of third parties to hire or retain necessary personnel, including in particular pilots, and other risk factors, such as an out-of-court or bankruptcy restructuring of any of our regional operators. Many of these third-party regional operators provide significant regional capacity that we would be unable to replace in a short period of time should that operator fail to perform its obligations to us. Volatility in fuel prices, disruptions to capital markets and adverse economic conditions in general have subjected certain of these third-party regional operators to significant financial pressures, which have in the past and may in the future lead to bankruptcies among these operators. For example, one of our significant third-party operators of regional capacity, Republic, commenced a Chapter 11 bankruptcy in 2016. In connection with Republic’s bankruptcy process, we restructured our contractual relationship with Republic and received an approximate 25% equity interest in Republic in consideration for our unsecured claim in the case which was settled solely for an equity interest in Republic. We may also experience disruption to our regional operations if we terminate the capacity purchase agreement with one or more of our current operators and transition the services to another provider. Any significant disruption to our regional operations would have a material adverse effect on our business, results of operations and financial condition.</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265" w:right="239" w:bottom="1440" w:gutter="0" w:footer="0" w:header="0"/>
        </w:sectPr>
      </w:pPr>
    </w:p>
    <w:bookmarkStart w:id="61" w:name="page62"/>
    <w:bookmarkEnd w:id="61"/>
    <w:p>
      <w:pPr>
        <w:jc w:val="both"/>
        <w:ind w:firstLine="228"/>
        <w:spacing w:after="0" w:line="23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addition, our reliance upon others to provide essential services on behalf of our operations may result in our relative inability to control the efficiency and timeliness of contract services. We have entered into agreements with contractors to provide various facilities and services required for our operations, including distribution and sale of airline seat inventory, provision of information technology and services, regional operations, aircraft maintenance, ground services and facilities, reservations and baggage handling. Similar agreements may be entered into in any new markets we decide to serve. These agreements are generally subject to termination after notice by the third-party service provider. We are also at risk should one of these service providers cease operations, and there is no guarantee that we could replace these providers on a timely basis with comparably priced providers, or at all. Any material problems with the efficiency and timeliness of contract services, resulting from financial hardships or otherwise, could have a material adverse effect on our business, results of operations and financial condition.</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rely on third-party distribution channels and must manage effectively the costs, rights and functionality of these channels.</w:t>
      </w:r>
    </w:p>
    <w:p>
      <w:pPr>
        <w:spacing w:after="0" w:line="126" w:lineRule="exact"/>
        <w:rPr>
          <w:sz w:val="20"/>
          <w:szCs w:val="20"/>
          <w:color w:val="auto"/>
        </w:rPr>
      </w:pPr>
    </w:p>
    <w:p>
      <w:pPr>
        <w:jc w:val="both"/>
        <w:ind w:firstLine="228"/>
        <w:spacing w:after="0" w:line="236" w:lineRule="auto"/>
        <w:rPr>
          <w:sz w:val="20"/>
          <w:szCs w:val="20"/>
          <w:color w:val="auto"/>
        </w:rPr>
      </w:pPr>
      <w:r>
        <w:rPr>
          <w:rFonts w:ascii="Arial" w:cs="Arial" w:eastAsia="Arial" w:hAnsi="Arial"/>
          <w:sz w:val="18"/>
          <w:szCs w:val="18"/>
          <w:color w:val="auto"/>
        </w:rPr>
        <w:t>We rely on third-party distribution channels, including those provided by or through global distribution systems (GDSs) (e.g., Amadeus, Sabre and Travelport), conventional travel agents and online travel agents (OTAs) (e.g., Expedia, including its booking sites Orbitz and Travelocity, and The Priceline Group), to distribute a significant portion of our airline tickets, and we expect in the future to continue to rely on these channels and hope to expand their ability to distribute and collect revenues for ancillary products (e.g., fees for selective seating). These distribution channels are more expensive and at present have less functionality in respect of ancillary product offerings than those we operate ourselves, such as our call centers and our website. Certain of these distribution channels also effectively restrict the manner in which we distribute our products generally. To remain competitive, we will need to manage successfully our distribution costs and rights, increase our distribution flexibility and improve the functionality of third-party distribution channels, while maintaining an industry-competitive cost structure. These imperatives may affect our relationships with GDSs and OTAs, including as consolidation of OTAs continues or is proposed to continue, and require us to make significant investments in potential new distribution technologies. Any inability to manage our third-party distribution costs, rights and functionality at a competitive level or any material diminishment or disruption in the distribution of our tickets could have a material adverse effect on our business, results of operations and financial condition.</w:t>
      </w:r>
    </w:p>
    <w:p>
      <w:pPr>
        <w:spacing w:after="0" w:line="183" w:lineRule="exact"/>
        <w:rPr>
          <w:sz w:val="20"/>
          <w:szCs w:val="20"/>
          <w:color w:val="auto"/>
        </w:rPr>
      </w:pPr>
    </w:p>
    <w:p>
      <w:pPr>
        <w:ind w:left="240" w:right="700"/>
        <w:spacing w:after="0" w:line="271" w:lineRule="auto"/>
        <w:rPr>
          <w:sz w:val="20"/>
          <w:szCs w:val="20"/>
          <w:color w:val="auto"/>
        </w:rPr>
      </w:pPr>
      <w:r>
        <w:rPr>
          <w:rFonts w:ascii="Arial" w:cs="Arial" w:eastAsia="Arial" w:hAnsi="Arial"/>
          <w:sz w:val="18"/>
          <w:szCs w:val="18"/>
          <w:b w:val="1"/>
          <w:bCs w:val="1"/>
          <w:i w:val="1"/>
          <w:iCs w:val="1"/>
          <w:color w:val="auto"/>
        </w:rPr>
        <w:t>Our business is subject to extensive government regulation, which may result in increases in our costs, disruptions to our operations, limits on our operating flexibility, reductions in the demand for air travel, and competitive disadvantages.</w:t>
      </w:r>
    </w:p>
    <w:p>
      <w:pPr>
        <w:spacing w:after="0" w:line="68" w:lineRule="exact"/>
        <w:rPr>
          <w:sz w:val="20"/>
          <w:szCs w:val="20"/>
          <w:color w:val="auto"/>
        </w:rPr>
      </w:pPr>
    </w:p>
    <w:p>
      <w:pPr>
        <w:jc w:val="both"/>
        <w:ind w:firstLine="228"/>
        <w:spacing w:after="0" w:line="239" w:lineRule="auto"/>
        <w:rPr>
          <w:sz w:val="20"/>
          <w:szCs w:val="20"/>
          <w:color w:val="auto"/>
        </w:rPr>
      </w:pPr>
      <w:r>
        <w:rPr>
          <w:rFonts w:ascii="Arial" w:cs="Arial" w:eastAsia="Arial" w:hAnsi="Arial"/>
          <w:sz w:val="18"/>
          <w:szCs w:val="18"/>
          <w:color w:val="auto"/>
        </w:rPr>
        <w:t>Airlines are subject to extensive domestic and international regulatory requirements. In the last several years, Congress has passed laws, and the DOT, the FAA, the Transportation Security Administration and the Department of Homeland Security have issued a number of directives and other regulations, that affect the airline industry. These requirements impose substantial costs on us and restrict the ways we may conduct our business.</w:t>
      </w:r>
    </w:p>
    <w:p>
      <w:pPr>
        <w:spacing w:after="0" w:line="202" w:lineRule="exact"/>
        <w:rPr>
          <w:sz w:val="20"/>
          <w:szCs w:val="20"/>
          <w:color w:val="auto"/>
        </w:rPr>
      </w:pPr>
    </w:p>
    <w:p>
      <w:pPr>
        <w:jc w:val="both"/>
        <w:ind w:firstLine="228"/>
        <w:spacing w:after="0" w:line="238" w:lineRule="auto"/>
        <w:rPr>
          <w:sz w:val="20"/>
          <w:szCs w:val="20"/>
          <w:color w:val="auto"/>
        </w:rPr>
      </w:pPr>
      <w:r>
        <w:rPr>
          <w:rFonts w:ascii="Arial" w:cs="Arial" w:eastAsia="Arial" w:hAnsi="Arial"/>
          <w:sz w:val="18"/>
          <w:szCs w:val="18"/>
          <w:color w:val="auto"/>
        </w:rPr>
        <w:t>For example, the FAA from time to time issues directives and other regulations relating to the maintenance and operation of aircraft that require significant expenditures or operational restrictions. These requirements can be issued with little or no notice, or can otherwise impact our ability to efficiently or fully utilize our aircraft. Additionally, our failure to comply with such requirements has in the past and may in the future result in fines and other enforcement actions by the FAA or other regulators. In the future, new regulatory requirements could have a material adverse effect on us and the industry.</w:t>
      </w:r>
    </w:p>
    <w:p>
      <w:pPr>
        <w:spacing w:after="0" w:line="203" w:lineRule="exact"/>
        <w:rPr>
          <w:sz w:val="20"/>
          <w:szCs w:val="20"/>
          <w:color w:val="auto"/>
        </w:rPr>
      </w:pPr>
    </w:p>
    <w:p>
      <w:pPr>
        <w:jc w:val="both"/>
        <w:ind w:right="20" w:firstLine="228"/>
        <w:spacing w:after="0" w:line="239" w:lineRule="auto"/>
        <w:rPr>
          <w:sz w:val="20"/>
          <w:szCs w:val="20"/>
          <w:color w:val="auto"/>
        </w:rPr>
      </w:pPr>
      <w:r>
        <w:rPr>
          <w:rFonts w:ascii="Arial" w:cs="Arial" w:eastAsia="Arial" w:hAnsi="Arial"/>
          <w:sz w:val="18"/>
          <w:szCs w:val="18"/>
          <w:color w:val="auto"/>
        </w:rPr>
        <w:t>DOT consumer rules that took effect in 2010 require procedures for customer handling during long onboard delays, further regulate airline interactions with passengers through the reservations process, at the airport, and onboard the aircraft, and require disclosures concerning airline fares and ancillary fees such as baggage fees. The DOT has been aggressively investigating alleged violations of these rules. Other DOT rules apply to post-ticket purchase price increases and an expansion of tarmac delay regulations to international airlines.</w:t>
      </w:r>
    </w:p>
    <w:p>
      <w:pPr>
        <w:spacing w:after="0" w:line="202" w:lineRule="exact"/>
        <w:rPr>
          <w:sz w:val="20"/>
          <w:szCs w:val="20"/>
          <w:color w:val="auto"/>
        </w:rPr>
      </w:pPr>
    </w:p>
    <w:p>
      <w:pPr>
        <w:jc w:val="both"/>
        <w:ind w:firstLine="228"/>
        <w:spacing w:after="0" w:line="239" w:lineRule="auto"/>
        <w:rPr>
          <w:sz w:val="20"/>
          <w:szCs w:val="20"/>
          <w:color w:val="auto"/>
        </w:rPr>
      </w:pPr>
      <w:r>
        <w:rPr>
          <w:rFonts w:ascii="Arial" w:cs="Arial" w:eastAsia="Arial" w:hAnsi="Arial"/>
          <w:sz w:val="18"/>
          <w:szCs w:val="18"/>
          <w:color w:val="auto"/>
        </w:rPr>
        <w:t>The Aviation and Transportation Security Act mandates the federalization of certain airport security procedures and imposes additional security requirements on airports and airlines, most of which are funded by a per-ticket tax on passengers and a tax on airlines. Present and potential future security requirements can have the effect of imposing costs and inconvenience on travelers, potentially reducing the demand for air travel.</w:t>
      </w:r>
    </w:p>
    <w:p>
      <w:pPr>
        <w:spacing w:after="0" w:line="202" w:lineRule="exact"/>
        <w:rPr>
          <w:sz w:val="20"/>
          <w:szCs w:val="20"/>
          <w:color w:val="auto"/>
        </w:rPr>
      </w:pPr>
    </w:p>
    <w:p>
      <w:pPr>
        <w:jc w:val="both"/>
        <w:ind w:firstLine="456"/>
        <w:spacing w:after="0" w:line="246" w:lineRule="auto"/>
        <w:rPr>
          <w:sz w:val="20"/>
          <w:szCs w:val="20"/>
          <w:color w:val="auto"/>
        </w:rPr>
      </w:pPr>
      <w:r>
        <w:rPr>
          <w:rFonts w:ascii="Arial" w:cs="Arial" w:eastAsia="Arial" w:hAnsi="Arial"/>
          <w:sz w:val="18"/>
          <w:szCs w:val="18"/>
          <w:color w:val="auto"/>
        </w:rPr>
        <w:t>The results of our operations, demand for air travel, and the manner in which we conduct business each may be affected by changes in law and future actions taken by governmental agencies, including:</w:t>
      </w:r>
    </w:p>
    <w:p>
      <w:pPr>
        <w:spacing w:after="0" w:line="102" w:lineRule="exact"/>
        <w:rPr>
          <w:sz w:val="20"/>
          <w:szCs w:val="20"/>
          <w:color w:val="auto"/>
        </w:rPr>
      </w:pPr>
    </w:p>
    <w:p>
      <w:pPr>
        <w:ind w:left="900" w:right="20" w:hanging="325"/>
        <w:spacing w:after="0" w:line="246"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law which affect the services that can be offered by airlines in particular markets and at particular airports, or the types of fees that can be charged to passengers;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287" w:right="239" w:bottom="1440" w:gutter="0" w:footer="0" w:header="0"/>
        </w:sectPr>
      </w:pPr>
    </w:p>
    <w:bookmarkStart w:id="62" w:name="page63"/>
    <w:bookmarkEnd w:id="62"/>
    <w:p>
      <w:pPr>
        <w:ind w:left="900" w:hanging="325"/>
        <w:spacing w:after="0" w:line="246"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granting and timing of certain governmental approvals (including antitrust or foreign government approvals) needed for codesharing alliances, joint businesses and other arrangements with other airlines;</w:t>
      </w:r>
    </w:p>
    <w:p>
      <w:pPr>
        <w:spacing w:after="0" w:line="102" w:lineRule="exact"/>
        <w:rPr>
          <w:rFonts w:ascii="Arial" w:cs="Arial" w:eastAsia="Arial" w:hAnsi="Arial"/>
          <w:sz w:val="18"/>
          <w:szCs w:val="18"/>
          <w:color w:val="auto"/>
        </w:rPr>
      </w:pPr>
    </w:p>
    <w:p>
      <w:pPr>
        <w:ind w:left="900" w:hanging="325"/>
        <w:spacing w:after="0" w:line="246"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restrictions on competitive practices (for example, court orders, or agency regulations or orders, that would curtail an airline’s ability to respond to a competitor);</w:t>
      </w:r>
    </w:p>
    <w:p>
      <w:pPr>
        <w:spacing w:after="0" w:line="102" w:lineRule="exact"/>
        <w:rPr>
          <w:rFonts w:ascii="Arial" w:cs="Arial" w:eastAsia="Arial" w:hAnsi="Arial"/>
          <w:sz w:val="18"/>
          <w:szCs w:val="18"/>
          <w:color w:val="auto"/>
        </w:rPr>
      </w:pPr>
    </w:p>
    <w:p>
      <w:pPr>
        <w:ind w:left="900" w:right="20" w:hanging="325"/>
        <w:spacing w:after="0" w:line="246"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adoption of new passenger security standards or regulations that impact customer service standards (for example, a “passenger bill of rights”);</w:t>
      </w:r>
    </w:p>
    <w:p>
      <w:pPr>
        <w:spacing w:after="0" w:line="102" w:lineRule="exact"/>
        <w:rPr>
          <w:rFonts w:ascii="Arial" w:cs="Arial" w:eastAsia="Arial" w:hAnsi="Arial"/>
          <w:sz w:val="18"/>
          <w:szCs w:val="18"/>
          <w:color w:val="auto"/>
        </w:rPr>
      </w:pPr>
    </w:p>
    <w:p>
      <w:pPr>
        <w:ind w:left="900" w:right="20" w:hanging="325"/>
        <w:spacing w:after="0" w:line="246"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restrictions on airport operations, such as restrictions on the use of slots at airports or the auction or reallocation of slot rights currently held by us; and</w:t>
      </w:r>
    </w:p>
    <w:p>
      <w:pPr>
        <w:spacing w:after="0" w:line="102"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adoption of more restrictive locally-imposed noise restrictions.</w:t>
      </w:r>
    </w:p>
    <w:p>
      <w:pPr>
        <w:spacing w:after="0" w:line="212" w:lineRule="exact"/>
        <w:rPr>
          <w:sz w:val="20"/>
          <w:szCs w:val="20"/>
          <w:color w:val="auto"/>
        </w:rPr>
      </w:pPr>
    </w:p>
    <w:p>
      <w:pPr>
        <w:jc w:val="both"/>
        <w:ind w:firstLine="228"/>
        <w:spacing w:after="0"/>
        <w:rPr>
          <w:sz w:val="20"/>
          <w:szCs w:val="20"/>
          <w:color w:val="auto"/>
        </w:rPr>
      </w:pPr>
      <w:r>
        <w:rPr>
          <w:rFonts w:ascii="Arial" w:cs="Arial" w:eastAsia="Arial" w:hAnsi="Arial"/>
          <w:sz w:val="18"/>
          <w:szCs w:val="18"/>
          <w:color w:val="auto"/>
        </w:rPr>
        <w:t>Each additional regulation or other form of regulatory oversight increases costs and adds greater complexity to airline operations and, in some cases, may reduce the demand for air travel. There can be no assurance that our compliance with new rules, anticipated rules or other forms of regulatory oversight will not have a material adverse effect on us.</w:t>
      </w:r>
    </w:p>
    <w:p>
      <w:pPr>
        <w:spacing w:after="0" w:line="203" w:lineRule="exact"/>
        <w:rPr>
          <w:sz w:val="20"/>
          <w:szCs w:val="20"/>
          <w:color w:val="auto"/>
        </w:rPr>
      </w:pPr>
    </w:p>
    <w:p>
      <w:pPr>
        <w:jc w:val="both"/>
        <w:ind w:firstLine="228"/>
        <w:spacing w:after="0" w:line="236" w:lineRule="auto"/>
        <w:rPr>
          <w:sz w:val="20"/>
          <w:szCs w:val="20"/>
          <w:color w:val="auto"/>
        </w:rPr>
      </w:pPr>
      <w:r>
        <w:rPr>
          <w:rFonts w:ascii="Arial" w:cs="Arial" w:eastAsia="Arial" w:hAnsi="Arial"/>
          <w:sz w:val="18"/>
          <w:szCs w:val="18"/>
          <w:color w:val="auto"/>
        </w:rPr>
        <w:t>Any significant reduction in air traffic capacity at and in the airspace serving key airports in the U.S. or overseas could have a material adverse effect on our business, results of operations and financial condition. In addition, the United States National Airspace System (the ATC system) is not successfully managing the growing demand for U.S. air travel. Air traffic controllers rely on outdated procedures and technologies that are routinely overwhelmed and compel airlines to fly inefficient routes or take significant delays on the ground. The ATC system’s inability to handle existing travel demand has led government agencies to implement short-term capacity constraints during peak travel periods or adverse weather conditions in certain markets, resulting in delays and disruptions of air traffic. The outdated technologies also cause the ATC to be less resilient in the event of a failure. For example, in 2014 the ATC systems in Chicago took weeks to recover following a fire in the ATC tower at ORD, which resulted in thousands of cancelled flights.</w:t>
      </w:r>
    </w:p>
    <w:p>
      <w:pPr>
        <w:spacing w:after="0" w:line="208" w:lineRule="exact"/>
        <w:rPr>
          <w:sz w:val="20"/>
          <w:szCs w:val="20"/>
          <w:color w:val="auto"/>
        </w:rPr>
      </w:pPr>
    </w:p>
    <w:p>
      <w:pPr>
        <w:jc w:val="both"/>
        <w:ind w:firstLine="228"/>
        <w:spacing w:after="0" w:line="237" w:lineRule="auto"/>
        <w:rPr>
          <w:sz w:val="20"/>
          <w:szCs w:val="20"/>
          <w:color w:val="auto"/>
        </w:rPr>
      </w:pPr>
      <w:r>
        <w:rPr>
          <w:rFonts w:ascii="Arial" w:cs="Arial" w:eastAsia="Arial" w:hAnsi="Arial"/>
          <w:sz w:val="18"/>
          <w:szCs w:val="18"/>
          <w:color w:val="auto"/>
        </w:rPr>
        <w:t>The FAA has embarked on transforming the national airspace system, to include migration from the current radar-based air traffic control system to a GPS-based system. This ATC modernization, generally referred to as “NextGen,” has been plagued by delays and cost overruns, and it remains uncertain when the full array of benefits expected from ATC modernization will be available to the public and the airlines. Failure to update the ATC system in a timely manner and the substantial funding requirements that may be imposed on airlines of a modernized ATC system may have a material adverse effect on our business. We support legislative efforts that would establish a nimble not-for-profit entity better suited to manage the long-term investments in technology and provide a governance structure needed to successfully implement NextGen and improve the operation of the air traffic control system.</w:t>
      </w:r>
    </w:p>
    <w:p>
      <w:pPr>
        <w:spacing w:after="0" w:line="203" w:lineRule="exact"/>
        <w:rPr>
          <w:sz w:val="20"/>
          <w:szCs w:val="20"/>
          <w:color w:val="auto"/>
        </w:rPr>
      </w:pPr>
    </w:p>
    <w:p>
      <w:pPr>
        <w:jc w:val="both"/>
        <w:ind w:firstLine="228"/>
        <w:spacing w:after="0" w:line="235" w:lineRule="auto"/>
        <w:rPr>
          <w:sz w:val="20"/>
          <w:szCs w:val="20"/>
          <w:color w:val="auto"/>
        </w:rPr>
      </w:pPr>
      <w:r>
        <w:rPr>
          <w:rFonts w:ascii="Arial" w:cs="Arial" w:eastAsia="Arial" w:hAnsi="Arial"/>
          <w:sz w:val="18"/>
          <w:szCs w:val="18"/>
          <w:color w:val="auto"/>
        </w:rPr>
        <w:t>Our operating authority in international markets is subject to aviation agreements between the U.S. and the respective countries or governmental authorities, such as the EU, and in some cases, fares and schedules require the approval of the DOT and/or the relevant foreign governments. Moreover, alliances with international carriers may be subject to the jurisdiction and regulations of various foreign agencies. Bilateral and multilateral agreements among the U.S. and various foreign governments of countries we serve are subject to periodic renegotiation. We currently operate a number of international routes under government arrangements that limit the number of airlines permitted to operate on the route, the capacity of the airlines providing services on the route, or the number of airlines allowed access to particular airports. If an open skies policy were to be adopted for any of these routes, such an event could have a material adverse impact on us and could result in the impairment of material amounts of our related tangible and intangible assets. In addition, competition from revenue-sharing joint ventures, JBAs, and other alliance arrangements by and among other airlines could impair the value of our business and assets on the open skies routes. For example, the open skies air services agreement between the U.S. and the EU, which took effect in March 2008, provides airlines from the U.S. and EU member states open access to each other’s markets, with freedom of pricing and unlimited rights to fly from the U.S. to any airport in the EU, including London Heathrow Airport (LHR). As a result of the agreement, we face increased competition in these markets, including LHR. Changes in U.S. or foreign government aviation policies could result in the alteration or termination of such agreements, diminish the value of route authorities, slots or other assets located abroad, or otherwise adversely affect our international operations. The U.S. government has negotiated “open skies” agreements with many countries, which allow unrestricted route authority access between the U.S. and the foreign markets. While the U.S. has worked to increase the number of countries with which open skies agreements are in effect, a number of markets important to us, including China, do not have open skies agreements.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287" w:right="239" w:bottom="1440" w:gutter="0" w:footer="0" w:header="0"/>
        </w:sectPr>
      </w:pPr>
    </w:p>
    <w:bookmarkStart w:id="63" w:name="page64"/>
    <w:bookmarkEnd w:id="63"/>
    <w:p>
      <w:pPr>
        <w:ind w:left="24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airline industry is heavily taxed.</w:t>
      </w:r>
    </w:p>
    <w:p>
      <w:pPr>
        <w:spacing w:after="0" w:line="126" w:lineRule="exact"/>
        <w:rPr>
          <w:sz w:val="20"/>
          <w:szCs w:val="20"/>
          <w:color w:val="auto"/>
        </w:rPr>
      </w:pPr>
    </w:p>
    <w:p>
      <w:pPr>
        <w:jc w:val="both"/>
        <w:ind w:firstLine="228"/>
        <w:spacing w:after="0" w:line="236" w:lineRule="auto"/>
        <w:rPr>
          <w:sz w:val="20"/>
          <w:szCs w:val="20"/>
          <w:color w:val="auto"/>
        </w:rPr>
      </w:pPr>
      <w:r>
        <w:rPr>
          <w:rFonts w:ascii="Arial" w:cs="Arial" w:eastAsia="Arial" w:hAnsi="Arial"/>
          <w:sz w:val="18"/>
          <w:szCs w:val="18"/>
          <w:color w:val="auto"/>
        </w:rPr>
        <w:t>The airline industry is subject to extensive government fees and taxation that negatively impact our revenue and profitability. The U.S. airline industry is one of the most heavily taxed of all industries. These fees and taxes have grown significantly in the past decade for domestic flights, and various U.S. fees and taxes also are assessed on international flights. For example, as permitted by federal legislation, most major U.S. airports impose a passenger facility charge per passenger on us. In addition, the governments of foreign countries in which we operate impose on U.S. airlines, including us, various fees and taxes, and these assessments have been increasing in number and amount in recent years. Moreover, we are obligated to collect a federal excise tax, commonly referred to as the “ticket tax,” on domestic and international air transportation. We collect the excise tax, along with certain other U.S. and foreign taxes and user fees on air transportation (such as passenger security fees), and pass along the collected amounts to the appropriate governmental agencies. Although these taxes and fees are not operating expenses, they represent an additional cost to our customers. There are continuing efforts in Congress and in other countries to raise different portions of the various taxes, fees, and charges imposed on airlines and their passengers, and we may not be able to recover all of these charges from our customers. Increases in such taxes, fees and charges could negatively impact our business, results of operations and financial condition.</w:t>
      </w:r>
    </w:p>
    <w:p>
      <w:pPr>
        <w:spacing w:after="0" w:line="205" w:lineRule="exact"/>
        <w:rPr>
          <w:sz w:val="20"/>
          <w:szCs w:val="20"/>
          <w:color w:val="auto"/>
        </w:rPr>
      </w:pPr>
    </w:p>
    <w:p>
      <w:pPr>
        <w:jc w:val="both"/>
        <w:ind w:firstLine="228"/>
        <w:spacing w:after="0"/>
        <w:rPr>
          <w:sz w:val="20"/>
          <w:szCs w:val="20"/>
          <w:color w:val="auto"/>
        </w:rPr>
      </w:pPr>
      <w:r>
        <w:rPr>
          <w:rFonts w:ascii="Arial" w:cs="Arial" w:eastAsia="Arial" w:hAnsi="Arial"/>
          <w:sz w:val="18"/>
          <w:szCs w:val="18"/>
          <w:color w:val="auto"/>
        </w:rPr>
        <w:t>Under DOT regulations, all governmental taxes and fees must be included in the prices we quote or advertise to our customers. Due to the competitive revenue environment, many increases in these fees and taxes have been absorbed by the airline industry rather than being passed on to the customer. Further increases in fees and taxes may reduce demand for air travel, and thus our revenues.</w:t>
      </w:r>
    </w:p>
    <w:p>
      <w:pPr>
        <w:spacing w:after="0" w:line="181" w:lineRule="exact"/>
        <w:rPr>
          <w:sz w:val="20"/>
          <w:szCs w:val="20"/>
          <w:color w:val="auto"/>
        </w:rPr>
      </w:pPr>
    </w:p>
    <w:p>
      <w:pPr>
        <w:ind w:left="240" w:right="740"/>
        <w:spacing w:after="0" w:line="271" w:lineRule="auto"/>
        <w:rPr>
          <w:sz w:val="20"/>
          <w:szCs w:val="20"/>
          <w:color w:val="auto"/>
        </w:rPr>
      </w:pPr>
      <w:r>
        <w:rPr>
          <w:rFonts w:ascii="Arial" w:cs="Arial" w:eastAsia="Arial" w:hAnsi="Arial"/>
          <w:sz w:val="18"/>
          <w:szCs w:val="18"/>
          <w:b w:val="1"/>
          <w:bCs w:val="1"/>
          <w:i w:val="1"/>
          <w:iCs w:val="1"/>
          <w:color w:val="auto"/>
        </w:rPr>
        <w:t>Changes to our business model that are designed to increase revenues may not be successful and may cause operational difficulties or decreased demand.</w:t>
      </w:r>
    </w:p>
    <w:p>
      <w:pPr>
        <w:spacing w:after="0" w:line="68" w:lineRule="exact"/>
        <w:rPr>
          <w:sz w:val="20"/>
          <w:szCs w:val="20"/>
          <w:color w:val="auto"/>
        </w:rPr>
      </w:pPr>
    </w:p>
    <w:p>
      <w:pPr>
        <w:jc w:val="both"/>
        <w:ind w:firstLine="228"/>
        <w:spacing w:after="0" w:line="236" w:lineRule="auto"/>
        <w:rPr>
          <w:sz w:val="20"/>
          <w:szCs w:val="20"/>
          <w:color w:val="auto"/>
        </w:rPr>
      </w:pPr>
      <w:r>
        <w:rPr>
          <w:rFonts w:ascii="Arial" w:cs="Arial" w:eastAsia="Arial" w:hAnsi="Arial"/>
          <w:sz w:val="18"/>
          <w:szCs w:val="18"/>
          <w:color w:val="auto"/>
        </w:rPr>
        <w:t>We have recently instituted, and intend to institute in the future, changes to our business model to increase revenues and offset costs. These measures include premium economy service, basic economy service and charging separately for services that had previously been included within the price of a ticket and increasing other pre-existing fees. We may introduce additional initiatives in the future; however, as time goes on, we expect that it will be more difficult to identify and implement additional initiatives. We cannot assure you that these measures or any future initiatives will be successful in increasing our revenues. Additionally, the implementation of these initiatives may create logistical challenges that could harm the operational performance of our airline. Also, any new and increased fees might reduce the demand for air travel on our airline or across the industry in general, particularly if weakened economic conditions make our customers more sensitive to increased travel costs or provide a significant competitive advantage to other carriers that determine not to institute similar charges.</w:t>
      </w:r>
    </w:p>
    <w:p>
      <w:pPr>
        <w:spacing w:after="0" w:line="186" w:lineRule="exact"/>
        <w:rPr>
          <w:sz w:val="20"/>
          <w:szCs w:val="20"/>
          <w:color w:val="auto"/>
        </w:rPr>
      </w:pPr>
    </w:p>
    <w:p>
      <w:pPr>
        <w:ind w:left="240" w:right="140"/>
        <w:spacing w:after="0" w:line="271" w:lineRule="auto"/>
        <w:rPr>
          <w:sz w:val="20"/>
          <w:szCs w:val="20"/>
          <w:color w:val="auto"/>
        </w:rPr>
      </w:pPr>
      <w:r>
        <w:rPr>
          <w:rFonts w:ascii="Arial" w:cs="Arial" w:eastAsia="Arial" w:hAnsi="Arial"/>
          <w:sz w:val="18"/>
          <w:szCs w:val="18"/>
          <w:b w:val="1"/>
          <w:bCs w:val="1"/>
          <w:i w:val="1"/>
          <w:iCs w:val="1"/>
          <w:color w:val="auto"/>
        </w:rPr>
        <w:t>The loss of key personnel upon whom we depend to operate our business or the inability to attract additional qualified personnel could adversely affect our business.</w:t>
      </w:r>
    </w:p>
    <w:p>
      <w:pPr>
        <w:spacing w:after="0" w:line="68" w:lineRule="exact"/>
        <w:rPr>
          <w:sz w:val="20"/>
          <w:szCs w:val="20"/>
          <w:color w:val="auto"/>
        </w:rPr>
      </w:pPr>
    </w:p>
    <w:p>
      <w:pPr>
        <w:jc w:val="both"/>
        <w:ind w:firstLine="228"/>
        <w:spacing w:after="0" w:line="239" w:lineRule="auto"/>
        <w:rPr>
          <w:sz w:val="20"/>
          <w:szCs w:val="20"/>
          <w:color w:val="auto"/>
        </w:rPr>
      </w:pPr>
      <w:r>
        <w:rPr>
          <w:rFonts w:ascii="Arial" w:cs="Arial" w:eastAsia="Arial" w:hAnsi="Arial"/>
          <w:sz w:val="18"/>
          <w:szCs w:val="18"/>
          <w:color w:val="auto"/>
        </w:rPr>
        <w:t>We believe that our future success will depend in large part on our ability to retain or attract highly qualified management, technical and other personnel. We may not be successful in retaining key personnel or in attracting other highly qualified personnel. Any inability to retain or attract significant numbers of qualified management and other personnel would have a material adverse effect on our business, results of operations and financial condition.</w:t>
      </w:r>
    </w:p>
    <w:p>
      <w:pPr>
        <w:spacing w:after="0" w:line="180" w:lineRule="exact"/>
        <w:rPr>
          <w:sz w:val="20"/>
          <w:szCs w:val="20"/>
          <w:color w:val="auto"/>
        </w:rPr>
      </w:pPr>
    </w:p>
    <w:p>
      <w:pPr>
        <w:ind w:left="240" w:right="400"/>
        <w:spacing w:after="0" w:line="271" w:lineRule="auto"/>
        <w:rPr>
          <w:sz w:val="20"/>
          <w:szCs w:val="20"/>
          <w:color w:val="auto"/>
        </w:rPr>
      </w:pPr>
      <w:r>
        <w:rPr>
          <w:rFonts w:ascii="Arial" w:cs="Arial" w:eastAsia="Arial" w:hAnsi="Arial"/>
          <w:sz w:val="18"/>
          <w:szCs w:val="18"/>
          <w:b w:val="1"/>
          <w:bCs w:val="1"/>
          <w:i w:val="1"/>
          <w:iCs w:val="1"/>
          <w:color w:val="auto"/>
        </w:rPr>
        <w:t>We may be adversely affected by conflicts overseas or terrorist attacks; the travel industry continues to face ongoing security concerns.</w:t>
      </w:r>
    </w:p>
    <w:p>
      <w:pPr>
        <w:spacing w:after="0" w:line="68" w:lineRule="exact"/>
        <w:rPr>
          <w:sz w:val="20"/>
          <w:szCs w:val="20"/>
          <w:color w:val="auto"/>
        </w:rPr>
      </w:pPr>
    </w:p>
    <w:p>
      <w:pPr>
        <w:jc w:val="both"/>
        <w:ind w:firstLine="228"/>
        <w:spacing w:after="0" w:line="236" w:lineRule="auto"/>
        <w:rPr>
          <w:sz w:val="20"/>
          <w:szCs w:val="20"/>
          <w:color w:val="auto"/>
        </w:rPr>
      </w:pPr>
      <w:r>
        <w:rPr>
          <w:rFonts w:ascii="Arial" w:cs="Arial" w:eastAsia="Arial" w:hAnsi="Arial"/>
          <w:sz w:val="18"/>
          <w:szCs w:val="18"/>
          <w:color w:val="auto"/>
        </w:rPr>
        <w:t>Acts of terrorism or fear of such attacks, including elevated national threat warnings, wars or other military conflicts, may depress air travel, particularly on international routes, and cause declines in revenues and increases in costs. The attacks of September 11, 2001 and continuing terrorist threats, attacks and attempted attacks materially impacted and continue to impact air travel. Increased security procedures introduced at airports since the attacks of September 11, 2001 and any other such measures that may be introduced in the future generate higher operating costs for airlines. The Aviation and Transportation Security Act mandated improved flight deck security, deployment of federal air marshals on board flights, improved airport perimeter access security, airline crew security training, enhanced security screening of passengers, baggage, cargo, mail, employees and vendors, enhanced training and qualifications of security screening personnel, additional provision of passenger data to the U.S. Customs and Border Protection Agency and enhanced background checks. A concurrent increase in airport security charges and procedures, such as restrictions on carry-on baggage, has also had and may continue to have a disproportionate impact on short-haul travel, which constitutes a significant portion of our flying and revenue. Implementation of and compliance with increasingly-complex security and customs requirements will continue to result in increased costs for us and our passengers, and have caused and likely will continue to cause periodic service disruptions and delays. We have at times found it necessary or desirable to make</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265" w:right="239" w:bottom="1440" w:gutter="0" w:footer="0" w:header="0"/>
        </w:sectPr>
      </w:pPr>
    </w:p>
    <w:bookmarkStart w:id="64" w:name="page65"/>
    <w:bookmarkEnd w:id="64"/>
    <w:p>
      <w:pPr>
        <w:jc w:val="both"/>
        <w:spacing w:after="0" w:line="23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significant expenditures to comply with security-related requirements while seeking to reduce their impact on our customers, such as expenditures for automated security screening lines at airports. As a result of competitive pressure, and the need to improve security screening throughput to support the pace of our operations, it is unlikely that we will be able to capture all security-related costs through increased fares. In addition, we cannot forecast what new security requirements may be imposed in the future, or their impact on our business.</w:t>
      </w:r>
    </w:p>
    <w:p>
      <w:pPr>
        <w:spacing w:after="0" w:line="180" w:lineRule="exact"/>
        <w:rPr>
          <w:sz w:val="20"/>
          <w:szCs w:val="20"/>
          <w:color w:val="auto"/>
        </w:rPr>
      </w:pPr>
    </w:p>
    <w:p>
      <w:pPr>
        <w:jc w:val="both"/>
        <w:ind w:left="240" w:right="240"/>
        <w:spacing w:after="0" w:line="253" w:lineRule="auto"/>
        <w:rPr>
          <w:sz w:val="20"/>
          <w:szCs w:val="20"/>
          <w:color w:val="auto"/>
        </w:rPr>
      </w:pPr>
      <w:r>
        <w:rPr>
          <w:rFonts w:ascii="Arial" w:cs="Arial" w:eastAsia="Arial" w:hAnsi="Arial"/>
          <w:sz w:val="18"/>
          <w:szCs w:val="18"/>
          <w:b w:val="1"/>
          <w:bCs w:val="1"/>
          <w:i w:val="1"/>
          <w:iCs w:val="1"/>
          <w:color w:val="auto"/>
        </w:rPr>
        <w:t>We operate a global business with international operations that are subject to economic and political instability and have been, and in the future may continue to be, adversely affected by numerous events, circumstances or government actions beyond our control.</w:t>
      </w:r>
    </w:p>
    <w:p>
      <w:pPr>
        <w:spacing w:after="0" w:line="83" w:lineRule="exact"/>
        <w:rPr>
          <w:sz w:val="20"/>
          <w:szCs w:val="20"/>
          <w:color w:val="auto"/>
        </w:rPr>
      </w:pPr>
    </w:p>
    <w:p>
      <w:pPr>
        <w:jc w:val="both"/>
        <w:ind w:firstLine="228"/>
        <w:spacing w:after="0" w:line="236" w:lineRule="auto"/>
        <w:rPr>
          <w:sz w:val="20"/>
          <w:szCs w:val="20"/>
          <w:color w:val="auto"/>
        </w:rPr>
      </w:pPr>
      <w:r>
        <w:rPr>
          <w:rFonts w:ascii="Arial" w:cs="Arial" w:eastAsia="Arial" w:hAnsi="Arial"/>
          <w:sz w:val="18"/>
          <w:szCs w:val="18"/>
          <w:color w:val="auto"/>
        </w:rPr>
        <w:t>We operate a global business with operations outside of the U.S. Our current international activities and prospects have been and in the future could be adversely affected by reversals or delays in the opening of foreign markets, increased competition in international markets, the performance of our alliance, joint business and codeshare partners in a given market, exchange controls or other restrictions on repatriation of funds, currency and political risks (including changes in exchange rates and currency devaluations), environmental regulation, increases in taxes and fees and changes in international government regulation of our operations, including the inability to obtain or retain needed route authorities and/or slots. In particular, fluctuations in foreign currencies, including devaluations, exchange controls and other restrictions on the repatriation of funds, have significantly affected and may continue to significantly affect our operating performance, liquidity and the value of any cash held outside the U.S. in local currency.</w:t>
      </w:r>
    </w:p>
    <w:p>
      <w:pPr>
        <w:spacing w:after="0" w:line="208" w:lineRule="exact"/>
        <w:rPr>
          <w:sz w:val="20"/>
          <w:szCs w:val="20"/>
          <w:color w:val="auto"/>
        </w:rPr>
      </w:pPr>
    </w:p>
    <w:p>
      <w:pPr>
        <w:jc w:val="both"/>
        <w:ind w:firstLine="228"/>
        <w:spacing w:after="0"/>
        <w:rPr>
          <w:sz w:val="20"/>
          <w:szCs w:val="20"/>
          <w:color w:val="auto"/>
        </w:rPr>
      </w:pPr>
      <w:r>
        <w:rPr>
          <w:rFonts w:ascii="Arial" w:cs="Arial" w:eastAsia="Arial" w:hAnsi="Arial"/>
          <w:sz w:val="18"/>
          <w:szCs w:val="18"/>
          <w:color w:val="auto"/>
        </w:rPr>
        <w:t>Generally, fluctuations in foreign currencies, including devaluations, cannot be predicted by us and can significantly affect the value of our assets located outside the United States. These conditions, as well as any further delays, devaluations or imposition of more stringent repatriation restrictions, may materially adversely affect our business, results of operations and financial condition.</w:t>
      </w:r>
    </w:p>
    <w:p>
      <w:pPr>
        <w:spacing w:after="0" w:line="203" w:lineRule="exact"/>
        <w:rPr>
          <w:sz w:val="20"/>
          <w:szCs w:val="20"/>
          <w:color w:val="auto"/>
        </w:rPr>
      </w:pPr>
    </w:p>
    <w:p>
      <w:pPr>
        <w:jc w:val="both"/>
        <w:ind w:firstLine="228"/>
        <w:spacing w:after="0" w:line="236" w:lineRule="auto"/>
        <w:rPr>
          <w:sz w:val="20"/>
          <w:szCs w:val="20"/>
          <w:color w:val="auto"/>
        </w:rPr>
      </w:pPr>
      <w:r>
        <w:rPr>
          <w:rFonts w:ascii="Arial" w:cs="Arial" w:eastAsia="Arial" w:hAnsi="Arial"/>
          <w:sz w:val="18"/>
          <w:szCs w:val="18"/>
          <w:color w:val="auto"/>
        </w:rPr>
        <w:t>The United Kingdom held a referendum in June 2016 regarding its membership in the EU in which a majority of the United Kingdom electorate voted in favor of the British government taking the necessary action for the United Kingdom to leave the EU. In March 2017, the United Kingdom served notice of its decision to withdraw to the EU, formally initiating the withdrawal process. Serving this notice began the two-year period for the United Kingdom to negotiate the terms for its withdrawal from the EU. At this time, it is not certain what steps will need to be taken to facilitate the United Kingdom’s exit from the EU. The implications of the United Kingdom withdrawing from the EU are similarly unclear at present because it is unclear what relationship the United Kingdom will have with the EU after withdrawal. We face risks associated with the uncertainty following the referendum and the consequences that may flow from the decision to exit the EU. Among other things, the exit of the United Kingdom from the EU could adversely affect European or worldwide economic or market conditions and could contribute to further instability in global financial markets. In addition, the exit of the United Kingdom from the EU could lead to legal and regulatory uncertainty and potentially divergent treaties, laws and regulations as the United Kingdom determines which EU treaties, laws and regulations to replace or replicate, including those governing aviation, labor, environmental, data protection/privacy, competition and other matters applicable to the provision of air transportation services by us or our alliance, joint business or codeshare partners. The impact on our business of any treaties, laws and regulations that replace the existing EU counterparts cannot be predicted. Any of these effects, and others we cannot anticipate, could materially adversely affect our business, results of operations and financial condition.</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are subject to many forms of environmental and noise regulation and may incur substantial costs as a result.</w:t>
      </w:r>
    </w:p>
    <w:p>
      <w:pPr>
        <w:spacing w:after="0" w:line="126" w:lineRule="exact"/>
        <w:rPr>
          <w:sz w:val="20"/>
          <w:szCs w:val="20"/>
          <w:color w:val="auto"/>
        </w:rPr>
      </w:pPr>
    </w:p>
    <w:p>
      <w:pPr>
        <w:jc w:val="both"/>
        <w:ind w:firstLine="228"/>
        <w:spacing w:after="0" w:line="239" w:lineRule="auto"/>
        <w:rPr>
          <w:sz w:val="20"/>
          <w:szCs w:val="20"/>
          <w:color w:val="auto"/>
        </w:rPr>
      </w:pPr>
      <w:r>
        <w:rPr>
          <w:rFonts w:ascii="Arial" w:cs="Arial" w:eastAsia="Arial" w:hAnsi="Arial"/>
          <w:sz w:val="18"/>
          <w:szCs w:val="18"/>
          <w:color w:val="auto"/>
        </w:rPr>
        <w:t>We are subject to increasingly stringent federal, state, local and foreign laws, regulations and ordinances relating to the protection of the environment and noise reduction, including those relating to emissions to the air, discharges to surface and subsurface waters, safe drinking water, and the management of hazardous substances, oils and waste materials. Compliance with environmental laws and regulations can require significant expenditures, and violations can lead to significant fines and penalties.</w:t>
      </w:r>
    </w:p>
    <w:p>
      <w:pPr>
        <w:spacing w:after="0" w:line="202" w:lineRule="exact"/>
        <w:rPr>
          <w:sz w:val="20"/>
          <w:szCs w:val="20"/>
          <w:color w:val="auto"/>
        </w:rPr>
      </w:pPr>
    </w:p>
    <w:p>
      <w:pPr>
        <w:jc w:val="both"/>
        <w:ind w:firstLine="228"/>
        <w:spacing w:after="0" w:line="237" w:lineRule="auto"/>
        <w:rPr>
          <w:sz w:val="20"/>
          <w:szCs w:val="20"/>
          <w:color w:val="auto"/>
        </w:rPr>
      </w:pPr>
      <w:r>
        <w:rPr>
          <w:rFonts w:ascii="Arial" w:cs="Arial" w:eastAsia="Arial" w:hAnsi="Arial"/>
          <w:sz w:val="18"/>
          <w:szCs w:val="18"/>
          <w:color w:val="auto"/>
        </w:rPr>
        <w:t>We are also subject to other environmental laws and regulations, including those that require us to investigate and remediate soil or groundwater to meet certain remediation standards. Under federal law, generators of waste materials, and current and former owners or operators of facilities, can be subject to liability for investigation and remediation costs at locations that have been identified as requiring response actions. Liability under these laws may be strict, joint and several, meaning that we could be liable for the costs of cleaning up environmental contamination regardless of fault or the amount of waste directly attributable to us. We have liability for investigation and remediation costs at various sites, although such costs currently are not expected to have a material adverse effect on our business.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287" w:right="239" w:bottom="1440" w:gutter="0" w:footer="0" w:header="0"/>
        </w:sectPr>
      </w:pPr>
    </w:p>
    <w:bookmarkStart w:id="65" w:name="page66"/>
    <w:bookmarkEnd w:id="65"/>
    <w:p>
      <w:pPr>
        <w:jc w:val="both"/>
        <w:ind w:firstLine="228"/>
        <w:spacing w:after="0" w:line="23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have various leases and agreements with respect to real property, tanks and pipelines with airports and other operators. Under these leases and agreements, we have agreed to indemnify the lessor or operator against environmental liabilities associated with the real property or operations described under the agreement, in some cases even if we are not the party responsible for the initial event that caused the environmental damage. We also participate in leases with other airlines in fuel consortiums and fuel committees at airports, where such indemnities are generally joint and several among the participating airlines.</w:t>
      </w:r>
    </w:p>
    <w:p>
      <w:pPr>
        <w:spacing w:after="0" w:line="203" w:lineRule="exact"/>
        <w:rPr>
          <w:sz w:val="20"/>
          <w:szCs w:val="20"/>
          <w:color w:val="auto"/>
        </w:rPr>
      </w:pPr>
    </w:p>
    <w:p>
      <w:pPr>
        <w:jc w:val="both"/>
        <w:ind w:firstLine="228"/>
        <w:spacing w:after="0" w:line="239" w:lineRule="auto"/>
        <w:rPr>
          <w:sz w:val="20"/>
          <w:szCs w:val="20"/>
          <w:color w:val="auto"/>
        </w:rPr>
      </w:pPr>
      <w:r>
        <w:rPr>
          <w:rFonts w:ascii="Arial" w:cs="Arial" w:eastAsia="Arial" w:hAnsi="Arial"/>
          <w:sz w:val="18"/>
          <w:szCs w:val="18"/>
          <w:color w:val="auto"/>
        </w:rPr>
        <w:t>Governmental authorities in several U.S. and foreign cities are also considering, or have already implemented, aircraft noise reduction programs, including the imposition of nighttime curfews and limitations on daytime take offs and landings. We have been able to accommodate local noise restrictions imposed to date, but our operations could be adversely affected if locally-imposed regulations become more restrictive or widespread.</w:t>
      </w:r>
    </w:p>
    <w:p>
      <w:pPr>
        <w:spacing w:after="0" w:line="18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are subject to risks associated with climate change, including increased regulation to reduce emissions of greenhouse gases.</w:t>
      </w:r>
    </w:p>
    <w:p>
      <w:pPr>
        <w:spacing w:after="0" w:line="126" w:lineRule="exact"/>
        <w:rPr>
          <w:sz w:val="20"/>
          <w:szCs w:val="20"/>
          <w:color w:val="auto"/>
        </w:rPr>
      </w:pPr>
    </w:p>
    <w:p>
      <w:pPr>
        <w:jc w:val="both"/>
        <w:ind w:firstLine="228"/>
        <w:spacing w:after="0" w:line="236" w:lineRule="auto"/>
        <w:rPr>
          <w:sz w:val="20"/>
          <w:szCs w:val="20"/>
          <w:color w:val="auto"/>
        </w:rPr>
      </w:pPr>
      <w:r>
        <w:rPr>
          <w:rFonts w:ascii="Arial" w:cs="Arial" w:eastAsia="Arial" w:hAnsi="Arial"/>
          <w:sz w:val="18"/>
          <w:szCs w:val="18"/>
          <w:color w:val="auto"/>
        </w:rPr>
        <w:t>There is increasing global regulatory focus on climate change and greenhouse gas (GHG) emissions. For example, in October 2016, International Civil Aviation Organization (ICAO) passed a resolution adopting the ICAO Carbon Offsetting and Reduction Scheme for International Aviation (CORSIA), which is a global, market-based emissions offset program to encourage carbon-neutral growth beyond 2020. The CORSIA was supported by the board of Airlines For America (the principal U.S. airline trade association) and IATA (the principal international airline trade association), and by American and many other U.S. and foreign airlines. The CORSIA will increase operating costs for American and most other airlines, including other U.S. airlines that operate internationally, but the implementation of a global program, as compared to regional emission reduction schemes, should help to ensure that these costs will be more predictable and more evenly applied to American and its competitors. The CORSIA is expected to be implemented in phases, beginning in 2021. Certain details still need to be developed and the impact of the CORSIA cannot be fully predicted. While we do not anticipate any significant emissions allowance expenditures in 2017, compliance with the CORSIA or similar emissions-related requirements could significantly increase our operating costs beyond 2017. Further, the potential impact of the CORSIA or other emissions-related requirements on our costs will ultimately depend on a number of factors, including baseline emissions, the price of emission allowances or offsets and the number of future flights subject to such emissions-related requirements. These costs have not been completely defined and could fluctuate.</w:t>
      </w:r>
    </w:p>
    <w:p>
      <w:pPr>
        <w:spacing w:after="0" w:line="204" w:lineRule="exact"/>
        <w:rPr>
          <w:sz w:val="20"/>
          <w:szCs w:val="20"/>
          <w:color w:val="auto"/>
        </w:rPr>
      </w:pPr>
    </w:p>
    <w:p>
      <w:pPr>
        <w:jc w:val="both"/>
        <w:ind w:firstLine="228"/>
        <w:spacing w:after="0" w:line="238" w:lineRule="auto"/>
        <w:rPr>
          <w:sz w:val="20"/>
          <w:szCs w:val="20"/>
          <w:color w:val="auto"/>
        </w:rPr>
      </w:pPr>
      <w:r>
        <w:rPr>
          <w:rFonts w:ascii="Arial" w:cs="Arial" w:eastAsia="Arial" w:hAnsi="Arial"/>
          <w:sz w:val="18"/>
          <w:szCs w:val="18"/>
          <w:color w:val="auto"/>
        </w:rPr>
        <w:t>In addition, in December 2015, at the 21st Conference of the Parties to the United Nations Framework Convention on Climate Change, over 190 countries, including the United States, reached an agreement (the Paris Agreement) to reduce global greenhouse gas emissions. While the United States has since announced that it will withdraw from the Paris Agreement and there is no express reference to aviation in that agreement, to the extent countries implement that agreement or impose other climate change regulations, either with respect to the aviation industry or with respect to related industries such as the aviation fuel industry, it could have an adverse direct or indirect effect on our business.</w:t>
      </w:r>
    </w:p>
    <w:p>
      <w:pPr>
        <w:spacing w:after="0" w:line="203" w:lineRule="exact"/>
        <w:rPr>
          <w:sz w:val="20"/>
          <w:szCs w:val="20"/>
          <w:color w:val="auto"/>
        </w:rPr>
      </w:pPr>
    </w:p>
    <w:p>
      <w:pPr>
        <w:jc w:val="both"/>
        <w:ind w:firstLine="228"/>
        <w:spacing w:after="0" w:line="237" w:lineRule="auto"/>
        <w:rPr>
          <w:sz w:val="20"/>
          <w:szCs w:val="20"/>
          <w:color w:val="auto"/>
        </w:rPr>
      </w:pPr>
      <w:r>
        <w:rPr>
          <w:rFonts w:ascii="Arial" w:cs="Arial" w:eastAsia="Arial" w:hAnsi="Arial"/>
          <w:sz w:val="18"/>
          <w:szCs w:val="18"/>
          <w:color w:val="auto"/>
        </w:rPr>
        <w:t>The Environmental Protection Agency (EPA) recently issued an endangerment finding that aircraft engine GHG emissions cause or contribute to air pollution that may reasonably be anticipated to endanger public health or welfare, which is a precursor to EPA regulation of aircraft engine GHG emission standards. It is anticipated that any such standards established by the EPA would closely align with emission standards currently being developed by ICAO. In February 2016, the ICAO Committee on Aviation Environmental Protection recommended that ICAO adopt carbon dioxide certification standards that would apply to new type aircraft certified beginning in 2020, and would be phased in for newly manufactured existing aircraft type designs starting in 2023.</w:t>
      </w:r>
    </w:p>
    <w:p>
      <w:pPr>
        <w:spacing w:after="0" w:line="205" w:lineRule="exact"/>
        <w:rPr>
          <w:sz w:val="20"/>
          <w:szCs w:val="20"/>
          <w:color w:val="auto"/>
        </w:rPr>
      </w:pPr>
    </w:p>
    <w:p>
      <w:pPr>
        <w:jc w:val="both"/>
        <w:ind w:firstLine="228"/>
        <w:spacing w:after="0" w:line="239" w:lineRule="auto"/>
        <w:rPr>
          <w:sz w:val="20"/>
          <w:szCs w:val="20"/>
          <w:color w:val="auto"/>
        </w:rPr>
      </w:pPr>
      <w:r>
        <w:rPr>
          <w:rFonts w:ascii="Arial" w:cs="Arial" w:eastAsia="Arial" w:hAnsi="Arial"/>
          <w:sz w:val="18"/>
          <w:szCs w:val="18"/>
          <w:color w:val="auto"/>
        </w:rPr>
        <w:t>In addition, several states have adopted or are considering initiatives to regulate emissions of GHGs, primarily through the planned development of GHG emissions inventories and/or regional GHG cap and trade programs. Depending on the scope of such regulation, certain of our facilities and operations, or the operations of our suppliers, may be subject to additional operating and other permit requirements, likely resulting in increased operating costs.</w:t>
      </w:r>
    </w:p>
    <w:p>
      <w:pPr>
        <w:spacing w:after="0" w:line="202" w:lineRule="exact"/>
        <w:rPr>
          <w:sz w:val="20"/>
          <w:szCs w:val="20"/>
          <w:color w:val="auto"/>
        </w:rPr>
      </w:pPr>
    </w:p>
    <w:p>
      <w:pPr>
        <w:jc w:val="both"/>
        <w:ind w:firstLine="228"/>
        <w:spacing w:after="0" w:line="238" w:lineRule="auto"/>
        <w:rPr>
          <w:sz w:val="20"/>
          <w:szCs w:val="20"/>
          <w:color w:val="auto"/>
        </w:rPr>
      </w:pPr>
      <w:r>
        <w:rPr>
          <w:rFonts w:ascii="Arial" w:cs="Arial" w:eastAsia="Arial" w:hAnsi="Arial"/>
          <w:sz w:val="18"/>
          <w:szCs w:val="18"/>
          <w:color w:val="auto"/>
        </w:rPr>
        <w:t>These regulatory efforts, both internationally and in the U.S. at the federal and state levels, are still developing, and we cannot yet determine what the final regulatory programs or their impact will be in the U.S., the EU or in other areas in which we do business. However, such climate change-related regulatory activity in the future may adversely affect our business and financial results by requiring us to reduce our emissions, purchase allowances or otherwise pay for our emissions. Such activity may also impact us indirectly by increasing our operating costs, including fuel costs.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287" w:right="239" w:bottom="1440" w:gutter="0" w:footer="0" w:header="0"/>
        </w:sectPr>
      </w:pPr>
    </w:p>
    <w:bookmarkStart w:id="66" w:name="page67"/>
    <w:bookmarkEnd w:id="66"/>
    <w:p>
      <w:pPr>
        <w:ind w:left="240" w:right="140"/>
        <w:spacing w:after="0" w:line="271"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rely heavily on technology and automated systems to operate our business, and any failure of these technologies or systems could harm our business, results of operations and financial condition.</w:t>
      </w:r>
    </w:p>
    <w:p>
      <w:pPr>
        <w:spacing w:after="0" w:line="68" w:lineRule="exact"/>
        <w:rPr>
          <w:sz w:val="20"/>
          <w:szCs w:val="20"/>
          <w:color w:val="auto"/>
        </w:rPr>
      </w:pPr>
    </w:p>
    <w:p>
      <w:pPr>
        <w:jc w:val="both"/>
        <w:ind w:firstLine="228"/>
        <w:spacing w:after="0" w:line="236" w:lineRule="auto"/>
        <w:rPr>
          <w:sz w:val="20"/>
          <w:szCs w:val="20"/>
          <w:color w:val="auto"/>
        </w:rPr>
      </w:pPr>
      <w:r>
        <w:rPr>
          <w:rFonts w:ascii="Arial" w:cs="Arial" w:eastAsia="Arial" w:hAnsi="Arial"/>
          <w:sz w:val="18"/>
          <w:szCs w:val="18"/>
          <w:color w:val="auto"/>
        </w:rPr>
        <w:t>We are highly dependent on existing and emerging technology and automated systems to operate our business. These technologies and systems include our computerized airline reservation system, flight operations systems, financial planning, management and accounting systems, telecommunications systems, website, maintenance systems and check-in kiosks. In order for our operations to work efficiently, our website and reservation system must be able to accommodate a high volume of traffic, maintain secure information and deliver flight information, as well as issue electronic tickets and process critical financial information in a timely manner. Substantially all of our tickets are issued to passengers as electronic tickets. We depend on our reservation system, which is hosted and maintained under a long-term contract by a third-party service provider, to be able to issue, track and accept these electronic tickets. If our automated systems are not functioning or if our third-party service providers were to fail to adequately provide technical support, system maintenance or timely software upgrades for any one of our key existing systems, we could experience service disruptions or delays, which could harm our business and result in the loss of important data, increase our expenses and decrease our revenues. In the event that one or more of our primary technology or systems vendors goes into bankruptcy, ceases operations or fails to perform as promised, replacement services may not be readily available on a timely basis, at competitive rates or at all, and any transition time to a new system may be significant.</w:t>
      </w:r>
    </w:p>
    <w:p>
      <w:pPr>
        <w:spacing w:after="0" w:line="205" w:lineRule="exact"/>
        <w:rPr>
          <w:sz w:val="20"/>
          <w:szCs w:val="20"/>
          <w:color w:val="auto"/>
        </w:rPr>
      </w:pPr>
    </w:p>
    <w:p>
      <w:pPr>
        <w:jc w:val="both"/>
        <w:ind w:firstLine="228"/>
        <w:spacing w:after="0" w:line="237" w:lineRule="auto"/>
        <w:rPr>
          <w:sz w:val="20"/>
          <w:szCs w:val="20"/>
          <w:color w:val="auto"/>
        </w:rPr>
      </w:pPr>
      <w:r>
        <w:rPr>
          <w:rFonts w:ascii="Arial" w:cs="Arial" w:eastAsia="Arial" w:hAnsi="Arial"/>
          <w:sz w:val="18"/>
          <w:szCs w:val="18"/>
          <w:color w:val="auto"/>
        </w:rPr>
        <w:t>Our automated systems cannot be completely protected against other events that are beyond our control, including natural disasters, power failures, terrorist attacks, cyber-attacks, data theft, equipment and software failures, computer viruses or telecommunications failures. Substantial or sustained system failures could cause service delays or failures and result in our customers purchasing tickets from other airlines. We cannot assure you that our security measures, change control procedures or disaster recovery plans are adequate to prevent disruptions or delays. Disruption in or changes to these systems could result in a disruption to our business and the loss of important data. Any of the foregoing could result in a material adverse effect on our business, results of operations and financial condition.</w:t>
      </w:r>
    </w:p>
    <w:p>
      <w:pPr>
        <w:spacing w:after="0" w:line="1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face challenges in integrating our computer, communications and other technology systems.</w:t>
      </w:r>
    </w:p>
    <w:p>
      <w:pPr>
        <w:spacing w:after="0" w:line="126" w:lineRule="exact"/>
        <w:rPr>
          <w:sz w:val="20"/>
          <w:szCs w:val="20"/>
          <w:color w:val="auto"/>
        </w:rPr>
      </w:pPr>
    </w:p>
    <w:p>
      <w:pPr>
        <w:jc w:val="both"/>
        <w:ind w:firstLine="228"/>
        <w:spacing w:after="0" w:line="236" w:lineRule="auto"/>
        <w:rPr>
          <w:sz w:val="20"/>
          <w:szCs w:val="20"/>
          <w:color w:val="auto"/>
        </w:rPr>
      </w:pPr>
      <w:r>
        <w:rPr>
          <w:rFonts w:ascii="Arial" w:cs="Arial" w:eastAsia="Arial" w:hAnsi="Arial"/>
          <w:sz w:val="18"/>
          <w:szCs w:val="18"/>
          <w:color w:val="auto"/>
        </w:rPr>
        <w:t>Among the principal risks of integrating our businesses and operations are the risks relating to integrating various computer, communications and other technology systems that will be necessary to operate US Airways and American as a single airline and to achieve cost synergies by eliminating redundancies in the businesses. While we have to date successfully integrated several of our systems, including our customer reservations system and our pilot and fleet scheduling system, we still have to complete several additional important system integration projects. The integration of these systems in a number of prior airline mergers has taken longer, been more disruptive and cost more than originally forecast. The implementation process to integrate these various systems will involve a number of risks that could adversely impact our business, results of operations and financial condition. New systems will replace multiple legacy systems and the related implementation will be a complex and time-consuming project involving substantial expenditures for implementation consultants, system hardware, software and implementation activities, as well as the transformation of business and financial processes.</w:t>
      </w:r>
    </w:p>
    <w:p>
      <w:pPr>
        <w:spacing w:after="0" w:line="207" w:lineRule="exact"/>
        <w:rPr>
          <w:sz w:val="20"/>
          <w:szCs w:val="20"/>
          <w:color w:val="auto"/>
        </w:rPr>
      </w:pPr>
    </w:p>
    <w:p>
      <w:pPr>
        <w:jc w:val="both"/>
        <w:ind w:firstLine="228"/>
        <w:spacing w:after="0" w:line="239" w:lineRule="auto"/>
        <w:rPr>
          <w:sz w:val="20"/>
          <w:szCs w:val="20"/>
          <w:color w:val="auto"/>
        </w:rPr>
      </w:pPr>
      <w:r>
        <w:rPr>
          <w:rFonts w:ascii="Arial" w:cs="Arial" w:eastAsia="Arial" w:hAnsi="Arial"/>
          <w:sz w:val="18"/>
          <w:szCs w:val="18"/>
          <w:color w:val="auto"/>
        </w:rPr>
        <w:t>We cannot assure you that our security measures, change control procedures or disaster recovery plans will be adequate to prevent disruptions or delays in connection with systems integration or replacement. Disruptions in or changes to these systems could result in a disruption to our business and the loss of important data. Any of the foregoing could result in a material adverse effect on our business, results of operations and financial condition.</w:t>
      </w:r>
    </w:p>
    <w:p>
      <w:pPr>
        <w:spacing w:after="0" w:line="180" w:lineRule="exact"/>
        <w:rPr>
          <w:sz w:val="20"/>
          <w:szCs w:val="20"/>
          <w:color w:val="auto"/>
        </w:rPr>
      </w:pPr>
    </w:p>
    <w:p>
      <w:pPr>
        <w:ind w:left="240" w:right="220"/>
        <w:spacing w:after="0" w:line="271" w:lineRule="auto"/>
        <w:rPr>
          <w:sz w:val="20"/>
          <w:szCs w:val="20"/>
          <w:color w:val="auto"/>
        </w:rPr>
      </w:pPr>
      <w:r>
        <w:rPr>
          <w:rFonts w:ascii="Arial" w:cs="Arial" w:eastAsia="Arial" w:hAnsi="Arial"/>
          <w:sz w:val="18"/>
          <w:szCs w:val="18"/>
          <w:b w:val="1"/>
          <w:bCs w:val="1"/>
          <w:i w:val="1"/>
          <w:iCs w:val="1"/>
          <w:color w:val="auto"/>
        </w:rPr>
        <w:t>We are at risk of losses and adverse publicity stemming from any public incident, accident involving our personnel or aircraft or the personnel or aircraft of our regional or codeshare operators.</w:t>
      </w:r>
    </w:p>
    <w:p>
      <w:pPr>
        <w:spacing w:after="0" w:line="68" w:lineRule="exact"/>
        <w:rPr>
          <w:sz w:val="20"/>
          <w:szCs w:val="20"/>
          <w:color w:val="auto"/>
        </w:rPr>
      </w:pPr>
    </w:p>
    <w:p>
      <w:pPr>
        <w:jc w:val="both"/>
        <w:ind w:firstLine="228"/>
        <w:spacing w:after="0" w:line="236" w:lineRule="auto"/>
        <w:rPr>
          <w:sz w:val="20"/>
          <w:szCs w:val="20"/>
          <w:color w:val="auto"/>
        </w:rPr>
      </w:pPr>
      <w:r>
        <w:rPr>
          <w:rFonts w:ascii="Arial" w:cs="Arial" w:eastAsia="Arial" w:hAnsi="Arial"/>
          <w:sz w:val="18"/>
          <w:szCs w:val="18"/>
          <w:color w:val="auto"/>
        </w:rPr>
        <w:t>If our personnel or one of our aircraft, or personnel of, or an aircraft that is operated under our brand by, one of our regional operators or an airline with which we have a marketing alliance, joint business or codeshare relationship, were to be involved in a public incident, accident or catastrophe, we could be exposed to significant reputational harm and potential legal liability. The insurance we carry may be inapplicable or inadequate to cover any such incident, accident or catastrophe. In the event that our insurance is inapplicable or not adequate, we may be forced to bear substantial losses from an incident or accident. In addition, any such incident, accident or catastrophe involving our personnel or one of our aircraft (or personnel and aircraft of our regional operators and our codeshare partners) could create an adverse public perception, which could harm our reputation, result in air travelers being reluctant to fly on our aircraft or those of our regional operators or codeshare partners, and adversely impact our business, results of operations and financial condition.</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265" w:right="239" w:bottom="1440" w:gutter="0" w:footer="0" w:header="0"/>
        </w:sectPr>
      </w:pPr>
    </w:p>
    <w:bookmarkStart w:id="67" w:name="page68"/>
    <w:bookmarkEnd w:id="67"/>
    <w:p>
      <w:pPr>
        <w:ind w:left="240" w:right="880"/>
        <w:spacing w:after="0" w:line="271"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Delays in scheduled aircraft deliveries or other loss of anticipated fleet capacity, and failure of new aircraft to perform as expected, may adversely impact our business, results of operations and financial condition.</w:t>
      </w:r>
    </w:p>
    <w:p>
      <w:pPr>
        <w:spacing w:after="0" w:line="68" w:lineRule="exact"/>
        <w:rPr>
          <w:sz w:val="20"/>
          <w:szCs w:val="20"/>
          <w:color w:val="auto"/>
        </w:rPr>
      </w:pPr>
    </w:p>
    <w:p>
      <w:pPr>
        <w:jc w:val="both"/>
        <w:ind w:firstLine="228"/>
        <w:spacing w:after="0" w:line="236" w:lineRule="auto"/>
        <w:rPr>
          <w:sz w:val="20"/>
          <w:szCs w:val="20"/>
          <w:color w:val="auto"/>
        </w:rPr>
      </w:pPr>
      <w:r>
        <w:rPr>
          <w:rFonts w:ascii="Arial" w:cs="Arial" w:eastAsia="Arial" w:hAnsi="Arial"/>
          <w:sz w:val="18"/>
          <w:szCs w:val="18"/>
          <w:color w:val="auto"/>
        </w:rPr>
        <w:t>The success of our business depends on, among other things, effectively managing the number and types of aircraft we operate. In many cases, the aircraft we intend to operate are not yet in our fleet, but we have contractual commitments to purchase or lease them. If for any reason we were unable to accept or secure deliveries of new aircraft on contractually scheduled delivery dates, this could have a negative impact on our business, results of operations and financial condition. Our failure to integrate newly purchased aircraft into our fleet as planned might require us to seek extensions of the terms for some leased aircraft or otherwise delay the exit of certain aircraft from our fleet. Such unanticipated extensions or delays may require us to operate existing aircraft beyond the point at which it is economically optimal to retire them, resulting in increased maintenance costs. If new aircraft orders are not filled on a timely basis, we could face higher operating costs than planned. In addition, if the aircraft we receive do not meet expected performance or quality standards, including with respect to fuel efficiency and reliability, our business, results of operations and financial condition could be adversely impacted.</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depend on a limited number of suppliers for aircraft, aircraft engines and parts.</w:t>
      </w:r>
    </w:p>
    <w:p>
      <w:pPr>
        <w:spacing w:after="0" w:line="126" w:lineRule="exact"/>
        <w:rPr>
          <w:sz w:val="20"/>
          <w:szCs w:val="20"/>
          <w:color w:val="auto"/>
        </w:rPr>
      </w:pPr>
    </w:p>
    <w:p>
      <w:pPr>
        <w:jc w:val="both"/>
        <w:ind w:firstLine="228"/>
        <w:spacing w:after="0" w:line="239" w:lineRule="auto"/>
        <w:rPr>
          <w:sz w:val="20"/>
          <w:szCs w:val="20"/>
          <w:color w:val="auto"/>
        </w:rPr>
      </w:pPr>
      <w:r>
        <w:rPr>
          <w:rFonts w:ascii="Arial" w:cs="Arial" w:eastAsia="Arial" w:hAnsi="Arial"/>
          <w:sz w:val="18"/>
          <w:szCs w:val="18"/>
          <w:color w:val="auto"/>
        </w:rPr>
        <w:t>We depend on a limited number of suppliers for aircraft, aircraft engines and many aircraft and engine parts. As a result, we are vulnerable to any problems associated with the supply of those aircraft, parts and engines, including design defects, mechanical problems, contractual performance by the suppliers, or adverse perception by the public that would result in customer avoidance or in actions by the FAA resulting in an inability to operate our aircraft.</w:t>
      </w:r>
    </w:p>
    <w:p>
      <w:pPr>
        <w:spacing w:after="0" w:line="180" w:lineRule="exact"/>
        <w:rPr>
          <w:sz w:val="20"/>
          <w:szCs w:val="20"/>
          <w:color w:val="auto"/>
        </w:rPr>
      </w:pPr>
    </w:p>
    <w:p>
      <w:pPr>
        <w:ind w:left="240" w:right="80"/>
        <w:spacing w:after="0" w:line="302" w:lineRule="auto"/>
        <w:rPr>
          <w:sz w:val="20"/>
          <w:szCs w:val="20"/>
          <w:color w:val="auto"/>
        </w:rPr>
      </w:pPr>
      <w:r>
        <w:rPr>
          <w:rFonts w:ascii="Arial" w:cs="Arial" w:eastAsia="Arial" w:hAnsi="Arial"/>
          <w:sz w:val="17"/>
          <w:szCs w:val="17"/>
          <w:b w:val="1"/>
          <w:bCs w:val="1"/>
          <w:i w:val="1"/>
          <w:iCs w:val="1"/>
          <w:color w:val="auto"/>
        </w:rPr>
        <w:t>Our business has been and will continue to be affected by many changing economic and other conditions beyond our control, including global events that affect travel behavior, and our results of operations could be volatile and fluctuate due to seasonality.</w:t>
      </w:r>
    </w:p>
    <w:p>
      <w:pPr>
        <w:spacing w:after="0" w:line="43" w:lineRule="exact"/>
        <w:rPr>
          <w:sz w:val="20"/>
          <w:szCs w:val="20"/>
          <w:color w:val="auto"/>
        </w:rPr>
      </w:pPr>
    </w:p>
    <w:p>
      <w:pPr>
        <w:ind w:firstLine="228"/>
        <w:spacing w:after="0" w:line="246" w:lineRule="auto"/>
        <w:rPr>
          <w:sz w:val="20"/>
          <w:szCs w:val="20"/>
          <w:color w:val="auto"/>
        </w:rPr>
      </w:pPr>
      <w:r>
        <w:rPr>
          <w:rFonts w:ascii="Arial" w:cs="Arial" w:eastAsia="Arial" w:hAnsi="Arial"/>
          <w:sz w:val="18"/>
          <w:szCs w:val="18"/>
          <w:color w:val="auto"/>
        </w:rPr>
        <w:t>Our business, results of operations and financial condition have been and will continue to be affected by many changing economic and other conditions beyond our control, including, among others:</w:t>
      </w:r>
    </w:p>
    <w:p>
      <w:pPr>
        <w:spacing w:after="0" w:line="102" w:lineRule="exact"/>
        <w:rPr>
          <w:sz w:val="20"/>
          <w:szCs w:val="20"/>
          <w:color w:val="auto"/>
        </w:rPr>
      </w:pPr>
    </w:p>
    <w:p>
      <w:pPr>
        <w:ind w:left="660" w:hanging="314"/>
        <w:spacing w:after="0" w:line="246"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actual or potential changes in international, national, regional and local economic, business and financial conditions, including recession, inflation, higher interest rates, wars, terrorist attacks and political instability;</w:t>
      </w:r>
    </w:p>
    <w:p>
      <w:pPr>
        <w:spacing w:after="0" w:line="102" w:lineRule="exact"/>
        <w:rPr>
          <w:rFonts w:ascii="Arial" w:cs="Arial" w:eastAsia="Arial" w:hAnsi="Arial"/>
          <w:sz w:val="18"/>
          <w:szCs w:val="18"/>
          <w:color w:val="auto"/>
        </w:rPr>
      </w:pPr>
    </w:p>
    <w:p>
      <w:pPr>
        <w:ind w:left="660" w:hanging="314"/>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consumer preferences, perceptions, spending patterns and demographic trends;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the competitive environment due to industry consolidation, changes in airline alliance affiliations, and other factors;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actual or potential disruptions to the ATC systems;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increases in costs of safety, security, and environmental measures;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outbreaks of diseases that affect travel behavior; and</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weather and natural disasters.</w:t>
      </w:r>
    </w:p>
    <w:p>
      <w:pPr>
        <w:spacing w:after="0" w:line="212" w:lineRule="exact"/>
        <w:rPr>
          <w:sz w:val="20"/>
          <w:szCs w:val="20"/>
          <w:color w:val="auto"/>
        </w:rPr>
      </w:pPr>
    </w:p>
    <w:p>
      <w:pPr>
        <w:jc w:val="both"/>
        <w:ind w:firstLine="228"/>
        <w:spacing w:after="0" w:line="237" w:lineRule="auto"/>
        <w:rPr>
          <w:sz w:val="20"/>
          <w:szCs w:val="20"/>
          <w:color w:val="auto"/>
        </w:rPr>
      </w:pPr>
      <w:r>
        <w:rPr>
          <w:rFonts w:ascii="Arial" w:cs="Arial" w:eastAsia="Arial" w:hAnsi="Arial"/>
          <w:sz w:val="18"/>
          <w:szCs w:val="18"/>
          <w:color w:val="auto"/>
        </w:rPr>
        <w:t>In particular, an outbreak of a contagious disease such as the Ebola virus, Middle East Respiratory Syndrome, Severe Acute Respiratory Syndrome, H1N1 influenza virus, avian flu, Zika virus or any other similar illness, if it were to become associated with air travel or persist for an extended period, could materially affect the airline industry and us by reducing revenues and adversely impacting our operations and passengers’ travel behavior. As a result of these or other conditions beyond our control, our results of operations could be volatile and subject to rapid and unexpected change. In addition, due to generally weaker demand for air travel during the winter, our revenues in the first and fourth quarters of the year could be weaker than revenues in the second and third quarters of the year.</w:t>
      </w:r>
    </w:p>
    <w:p>
      <w:pPr>
        <w:spacing w:after="0" w:line="183" w:lineRule="exact"/>
        <w:rPr>
          <w:sz w:val="20"/>
          <w:szCs w:val="20"/>
          <w:color w:val="auto"/>
        </w:rPr>
      </w:pPr>
    </w:p>
    <w:p>
      <w:pPr>
        <w:ind w:left="240" w:right="100"/>
        <w:spacing w:after="0" w:line="302" w:lineRule="auto"/>
        <w:rPr>
          <w:sz w:val="20"/>
          <w:szCs w:val="20"/>
          <w:color w:val="auto"/>
        </w:rPr>
      </w:pPr>
      <w:r>
        <w:rPr>
          <w:rFonts w:ascii="Arial" w:cs="Arial" w:eastAsia="Arial" w:hAnsi="Arial"/>
          <w:sz w:val="17"/>
          <w:szCs w:val="17"/>
          <w:b w:val="1"/>
          <w:bCs w:val="1"/>
          <w:i w:val="1"/>
          <w:iCs w:val="1"/>
          <w:color w:val="auto"/>
        </w:rPr>
        <w:t>A higher than normal number of pilot retirements, more stringent duty time regulations, increased flight hour requirements for commercial airline pilots and other factors have caused a shortage of pilots which could materially adversely affect our business.</w:t>
      </w:r>
    </w:p>
    <w:p>
      <w:pPr>
        <w:spacing w:after="0" w:line="43" w:lineRule="exact"/>
        <w:rPr>
          <w:sz w:val="20"/>
          <w:szCs w:val="20"/>
          <w:color w:val="auto"/>
        </w:rPr>
      </w:pPr>
    </w:p>
    <w:p>
      <w:pPr>
        <w:jc w:val="both"/>
        <w:ind w:firstLine="228"/>
        <w:spacing w:after="0" w:line="238" w:lineRule="auto"/>
        <w:rPr>
          <w:sz w:val="20"/>
          <w:szCs w:val="20"/>
          <w:color w:val="auto"/>
        </w:rPr>
      </w:pPr>
      <w:r>
        <w:rPr>
          <w:rFonts w:ascii="Arial" w:cs="Arial" w:eastAsia="Arial" w:hAnsi="Arial"/>
          <w:sz w:val="18"/>
          <w:szCs w:val="18"/>
          <w:color w:val="auto"/>
        </w:rPr>
        <w:t>We currently have a higher than normal number of pilots eligible for retirement. Among other things, the extension of pilot careers facilitated by the FAA’s 2007 modification of the mandatory retirement age from age 60 to age 65 has now been fully implemented, resulting in large numbers of pilots in the industry approaching the revised mandatory retirement age. Further, in July 2013, the FAA issued regulations that increased the flight hours required for pilots working for airlines certificated under Part 121 of the Federal Aviation Regulations. In addition, on January 4, 2014, more stringent pilot flight</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265" w:right="239" w:bottom="1440" w:gutter="0" w:footer="0" w:header="0"/>
        </w:sectPr>
      </w:pPr>
    </w:p>
    <w:bookmarkStart w:id="68" w:name="page69"/>
    <w:bookmarkEnd w:id="68"/>
    <w:p>
      <w:pPr>
        <w:jc w:val="both"/>
        <w:spacing w:after="0" w:line="23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duty time requirements under Part 117 of the Federal Aviation Regulations took effect. These and other factors, including reductions in the number of military pilots being trained by the U.S. armed forces and available as commercial pilots upon their retirement from military service, have contributed to a shortage of qualified, entry-level pilots and increased compensation costs, particularly for our regional subsidiaries and our other regional partners who are being required by market conditions to pay significantly increased wages and large signing bonuses to their pilots in an attempt to achieve desired staffing levels. The foregoing factors have also led to increased competition from large, mainline carriers to hire pilots to replace retiring pilots. We believe that this industry-wide pilot shortage is becoming an increasing problem for airlines in the United States. Our regional partners have recently been unable to hire adequate numbers of pilots to meet their needs, resulting in a reduction in the number of flights offered, disruptions, increased costs of operations, financial difficulties and other adverse effects, and these circumstances may become more severe in the future and thereby cause a material adverse effect on our business.</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Increases in insurance costs or reductions in insurance coverage may adversely impact our operations and financial results.</w:t>
      </w:r>
    </w:p>
    <w:p>
      <w:pPr>
        <w:spacing w:after="0" w:line="126" w:lineRule="exact"/>
        <w:rPr>
          <w:sz w:val="20"/>
          <w:szCs w:val="20"/>
          <w:color w:val="auto"/>
        </w:rPr>
      </w:pPr>
    </w:p>
    <w:p>
      <w:pPr>
        <w:jc w:val="both"/>
        <w:ind w:firstLine="228"/>
        <w:spacing w:after="0" w:line="236" w:lineRule="auto"/>
        <w:rPr>
          <w:sz w:val="20"/>
          <w:szCs w:val="20"/>
          <w:color w:val="auto"/>
        </w:rPr>
      </w:pPr>
      <w:r>
        <w:rPr>
          <w:rFonts w:ascii="Arial" w:cs="Arial" w:eastAsia="Arial" w:hAnsi="Arial"/>
          <w:sz w:val="18"/>
          <w:szCs w:val="18"/>
          <w:color w:val="auto"/>
        </w:rPr>
        <w:t>The terrorist attacks of September 11, 2001 led to a significant increase in insurance premiums and a decrease in the insurance coverage available to commercial air carriers. Accordingly, our insurance costs increased significantly, and our ability to continue to obtain insurance even at current prices remains uncertain. If we are unable to maintain adequate insurance coverage, our business could be materially and adversely affected. Additionally, severe disruptions in the domestic and global financial markets could adversely impact the claims paying ability of some insurers. Future downgrades in the ratings of enough insurers could adversely impact both the availability of appropriate insurance coverage and its cost. Because of competitive pressures in our industry, our ability to pass along additional insurance costs to passengers is limited. As a result, further increases in insurance costs or reductions in available insurance coverage could have an adverse impact on our financial results.</w:t>
      </w:r>
    </w:p>
    <w:p>
      <w:pPr>
        <w:spacing w:after="0" w:line="186" w:lineRule="exact"/>
        <w:rPr>
          <w:sz w:val="20"/>
          <w:szCs w:val="20"/>
          <w:color w:val="auto"/>
        </w:rPr>
      </w:pPr>
    </w:p>
    <w:p>
      <w:pPr>
        <w:ind w:left="240" w:right="680"/>
        <w:spacing w:after="0" w:line="271" w:lineRule="auto"/>
        <w:rPr>
          <w:sz w:val="20"/>
          <w:szCs w:val="20"/>
          <w:color w:val="auto"/>
        </w:rPr>
      </w:pPr>
      <w:r>
        <w:rPr>
          <w:rFonts w:ascii="Arial" w:cs="Arial" w:eastAsia="Arial" w:hAnsi="Arial"/>
          <w:sz w:val="18"/>
          <w:szCs w:val="18"/>
          <w:b w:val="1"/>
          <w:bCs w:val="1"/>
          <w:i w:val="1"/>
          <w:iCs w:val="1"/>
          <w:color w:val="auto"/>
        </w:rPr>
        <w:t>We may be a party to litigation in the normal course of business or otherwise, which could affect our financial position and liquidity.</w:t>
      </w:r>
    </w:p>
    <w:p>
      <w:pPr>
        <w:spacing w:after="0" w:line="68" w:lineRule="exact"/>
        <w:rPr>
          <w:sz w:val="20"/>
          <w:szCs w:val="20"/>
          <w:color w:val="auto"/>
        </w:rPr>
      </w:pPr>
    </w:p>
    <w:p>
      <w:pPr>
        <w:jc w:val="both"/>
        <w:ind w:firstLine="228"/>
        <w:spacing w:after="0" w:line="236" w:lineRule="auto"/>
        <w:rPr>
          <w:sz w:val="20"/>
          <w:szCs w:val="20"/>
          <w:color w:val="auto"/>
        </w:rPr>
      </w:pPr>
      <w:r>
        <w:rPr>
          <w:rFonts w:ascii="Arial" w:cs="Arial" w:eastAsia="Arial" w:hAnsi="Arial"/>
          <w:sz w:val="18"/>
          <w:szCs w:val="18"/>
          <w:color w:val="auto"/>
        </w:rPr>
        <w:t>From time to time, we are a party to or otherwise involved in legal proceedings, claims and government inspections or investigations and other legal matters, both inside and outside the United States, arising in the ordinary course of our business or otherwise. We are currently involved in various legal proceedings and claims that have not yet been fully resolved, and additional claims may arise in the future. Legal proceedings can be complex and take many months, or even years, to reach resolution, with the final outcome depending on a number of variables, some of which are not within our control. Litigation is subject to significant uncertainty and may be expensive, time-consuming, and disruptive to our operations. Although we will vigorously defend ourselves in such legal proceedings, their ultimate resolution and potential financial and other impacts on us are uncertain. For these and other reasons, we may choose to settle legal proceedings and claims, regardless of their actual merit. If a legal proceeding is resolved against us, it could result in significant compensatory damages, and in certain circumstances punitive or trebled damages, disgorgement of revenue or profits, remedial corporate measures or injunctive relief imposed on us. If our existing insurance does not cover the amount or types of damages awarded, or if other resolution or actions taken as a result of the legal proceeding were to restrain our ability to operate or market our services, our consolidated financial position, results of operations or cash flows could be materially adversely affected. In addition, legal proceedings, and any adverse resolution thereof, can result in adverse publicity and damage to our reputation, which could adversely impact our business. Additional information regarding certain legal matters in which we are involved can be found in Part II, Item 1. Legal Proceedings.</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ability to utilize our NOL Carryforwards may be limited.</w:t>
      </w:r>
    </w:p>
    <w:p>
      <w:pPr>
        <w:spacing w:after="0" w:line="126" w:lineRule="exact"/>
        <w:rPr>
          <w:sz w:val="20"/>
          <w:szCs w:val="20"/>
          <w:color w:val="auto"/>
        </w:rPr>
      </w:pPr>
    </w:p>
    <w:p>
      <w:pPr>
        <w:jc w:val="both"/>
        <w:ind w:firstLine="228"/>
        <w:spacing w:after="0" w:line="238" w:lineRule="auto"/>
        <w:rPr>
          <w:sz w:val="20"/>
          <w:szCs w:val="20"/>
          <w:color w:val="auto"/>
        </w:rPr>
      </w:pPr>
      <w:r>
        <w:rPr>
          <w:rFonts w:ascii="Arial" w:cs="Arial" w:eastAsia="Arial" w:hAnsi="Arial"/>
          <w:sz w:val="18"/>
          <w:szCs w:val="18"/>
          <w:color w:val="auto"/>
        </w:rPr>
        <w:t>Under the Internal Revenue Code of 1986, as amended (the Code), a corporation is generally allowed a deduction for net operating losses (NOLs) carried over from prior taxable years (NOL Carryforwards). As of December 31, 2016, we had available NOL Carryforwards of approximately $10.5 billion for regular federal income tax purposes which will expire, if unused, beginning in 2022, and approximately $3.7 billion for state income tax purposes which will expire, if unused, between 2017 and 2036. Our NOL Carryforwards are subject to adjustment on audit by the Internal Revenue Service and the respective state taxing authorities.</w:t>
      </w:r>
    </w:p>
    <w:p>
      <w:pPr>
        <w:spacing w:after="0" w:line="203" w:lineRule="exact"/>
        <w:rPr>
          <w:sz w:val="20"/>
          <w:szCs w:val="20"/>
          <w:color w:val="auto"/>
        </w:rPr>
      </w:pPr>
    </w:p>
    <w:p>
      <w:pPr>
        <w:jc w:val="both"/>
        <w:ind w:firstLine="228"/>
        <w:spacing w:after="0" w:line="237" w:lineRule="auto"/>
        <w:rPr>
          <w:sz w:val="20"/>
          <w:szCs w:val="20"/>
          <w:color w:val="auto"/>
        </w:rPr>
      </w:pPr>
      <w:r>
        <w:rPr>
          <w:rFonts w:ascii="Arial" w:cs="Arial" w:eastAsia="Arial" w:hAnsi="Arial"/>
          <w:sz w:val="18"/>
          <w:szCs w:val="18"/>
          <w:color w:val="auto"/>
        </w:rPr>
        <w:t>A corporation’s ability to deduct its federal NOL Carryforwards and to utilize certain other available tax attributes can be substantially constrained under the general annual limitation rules of Section 382 of the Code (Section 382) if it undergoes an “ownership change” as defined in Section 382 (generally where cumulative stock ownership changes among material stockholders exceed 50 percent during a rolling three-year period). We experienced an ownership change in connection with our emergence from the Chapter 11 Cases and US Airways Group experienced an ownership change in connection with the Merger. The general limitation rules for a debtor in a bankruptcy case are liberalized where the ownership change</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287" w:right="239" w:bottom="1440" w:gutter="0" w:footer="0" w:header="0"/>
        </w:sectPr>
      </w:pPr>
    </w:p>
    <w:bookmarkStart w:id="69" w:name="page70"/>
    <w:bookmarkEnd w:id="69"/>
    <w:p>
      <w:pPr>
        <w:jc w:val="both"/>
        <w:spacing w:after="0" w:line="23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occurs upon emergence from bankruptcy. We elected to be covered by certain special rules for federal income tax purposes that permitted approximately $9.0 billion (with $8.9 billion of unlimited NOL still remaining at December 31, 2016) of our federal NOL Carryforwards to be utilized without regard to the annual limitation generally imposed by Section 382. If the special rules are determined not to apply, our ability to utilize such federal NOL Carryforwards may be subject to limitation. Substantially all of our remaining federal NOL Carryforwards (attributable to US Airways Group and its subsidiaries) are subject to limitation under Section 382 as a result of the Merger; however, our ability to utilize such NOL Carryforwards is not anticipated to be effectively constrained as a result of such limitation. Similar limitations may apply for state income tax purposes.</w:t>
      </w:r>
    </w:p>
    <w:p>
      <w:pPr>
        <w:spacing w:after="0" w:line="203" w:lineRule="exact"/>
        <w:rPr>
          <w:sz w:val="20"/>
          <w:szCs w:val="20"/>
          <w:color w:val="auto"/>
        </w:rPr>
      </w:pPr>
    </w:p>
    <w:p>
      <w:pPr>
        <w:jc w:val="both"/>
        <w:ind w:firstLine="228"/>
        <w:spacing w:after="0" w:line="237" w:lineRule="auto"/>
        <w:rPr>
          <w:sz w:val="20"/>
          <w:szCs w:val="20"/>
          <w:color w:val="auto"/>
        </w:rPr>
      </w:pPr>
      <w:r>
        <w:rPr>
          <w:rFonts w:ascii="Arial" w:cs="Arial" w:eastAsia="Arial" w:hAnsi="Arial"/>
          <w:sz w:val="18"/>
          <w:szCs w:val="18"/>
          <w:color w:val="auto"/>
        </w:rPr>
        <w:t>Notwithstanding the foregoing, an ownership change subsequent to our emergence from the Chapter 11 Cases may severely limit or effectively eliminate our ability to utilize our NOL Carryforwards and other tax attributes. To reduce the risk of a potential adverse effect on our ability to utilize our NOL Carryforwards, our Restated Certificate of Incorporation (Certificate of Incorporation) contains transfer restrictions applicable to certain substantial stockholders. These restrictions may adversely affect the ability of certain holders of AAG common stock to dispose of or acquire shares of AAG common stock. Although the purpose of these transfer restrictions is to prevent an ownership change from occurring, no assurance can be given that an ownership change will not occur even with these restrictions in place.</w:t>
      </w:r>
    </w:p>
    <w:p>
      <w:pPr>
        <w:spacing w:after="0" w:line="205" w:lineRule="exact"/>
        <w:rPr>
          <w:sz w:val="20"/>
          <w:szCs w:val="20"/>
          <w:color w:val="auto"/>
        </w:rPr>
      </w:pPr>
    </w:p>
    <w:p>
      <w:pPr>
        <w:jc w:val="both"/>
        <w:ind w:firstLine="228"/>
        <w:spacing w:after="0" w:line="246" w:lineRule="auto"/>
        <w:rPr>
          <w:sz w:val="20"/>
          <w:szCs w:val="20"/>
          <w:color w:val="auto"/>
        </w:rPr>
      </w:pPr>
      <w:r>
        <w:rPr>
          <w:rFonts w:ascii="Arial" w:cs="Arial" w:eastAsia="Arial" w:hAnsi="Arial"/>
          <w:sz w:val="18"/>
          <w:szCs w:val="18"/>
          <w:color w:val="auto"/>
        </w:rPr>
        <w:t>Our ability to use our NOL Carryforwards also will depend on the amount of taxable income generated in future periods. The NOL Carryforwards may expire before we can generate sufficient taxable income to use them.</w:t>
      </w:r>
    </w:p>
    <w:p>
      <w:pPr>
        <w:spacing w:after="0" w:line="175" w:lineRule="exact"/>
        <w:rPr>
          <w:sz w:val="20"/>
          <w:szCs w:val="20"/>
          <w:color w:val="auto"/>
        </w:rPr>
      </w:pPr>
    </w:p>
    <w:p>
      <w:pPr>
        <w:ind w:left="240" w:right="20"/>
        <w:spacing w:after="0" w:line="271" w:lineRule="auto"/>
        <w:rPr>
          <w:sz w:val="20"/>
          <w:szCs w:val="20"/>
          <w:color w:val="auto"/>
        </w:rPr>
      </w:pPr>
      <w:r>
        <w:rPr>
          <w:rFonts w:ascii="Arial" w:cs="Arial" w:eastAsia="Arial" w:hAnsi="Arial"/>
          <w:sz w:val="18"/>
          <w:szCs w:val="18"/>
          <w:b w:val="1"/>
          <w:bCs w:val="1"/>
          <w:i w:val="1"/>
          <w:iCs w:val="1"/>
          <w:color w:val="auto"/>
        </w:rPr>
        <w:t>We have a significant amount of goodwill, which is assessed for impairment at least annually. In addition, we may never realize the full value of our intangible assets or long-lived assets, causing us to record material impairment charges.</w:t>
      </w:r>
    </w:p>
    <w:p>
      <w:pPr>
        <w:spacing w:after="0" w:line="68" w:lineRule="exact"/>
        <w:rPr>
          <w:sz w:val="20"/>
          <w:szCs w:val="20"/>
          <w:color w:val="auto"/>
        </w:rPr>
      </w:pPr>
    </w:p>
    <w:p>
      <w:pPr>
        <w:jc w:val="both"/>
        <w:ind w:firstLine="228"/>
        <w:spacing w:after="0" w:line="239" w:lineRule="auto"/>
        <w:rPr>
          <w:sz w:val="20"/>
          <w:szCs w:val="20"/>
          <w:color w:val="auto"/>
        </w:rPr>
      </w:pPr>
      <w:r>
        <w:rPr>
          <w:rFonts w:ascii="Arial" w:cs="Arial" w:eastAsia="Arial" w:hAnsi="Arial"/>
          <w:sz w:val="18"/>
          <w:szCs w:val="18"/>
          <w:color w:val="auto"/>
        </w:rPr>
        <w:t>Goodwill is not amortized, but is assessed for impairment at least annually. In accordance with applicable accounting standards, we are required to assess our indefinite-lived intangible assets for impairment on an annual basis, or more frequently if conditions indicate that an impairment may have occurred. In addition, we are required to assess certain of our other long-lived assets for impairment if conditions indicate that an impairment may have occurred.</w:t>
      </w:r>
    </w:p>
    <w:p>
      <w:pPr>
        <w:spacing w:after="0" w:line="202" w:lineRule="exact"/>
        <w:rPr>
          <w:sz w:val="20"/>
          <w:szCs w:val="20"/>
          <w:color w:val="auto"/>
        </w:rPr>
      </w:pPr>
    </w:p>
    <w:p>
      <w:pPr>
        <w:jc w:val="both"/>
        <w:ind w:firstLine="228"/>
        <w:spacing w:after="0" w:line="238" w:lineRule="auto"/>
        <w:rPr>
          <w:sz w:val="20"/>
          <w:szCs w:val="20"/>
          <w:color w:val="auto"/>
        </w:rPr>
      </w:pPr>
      <w:r>
        <w:rPr>
          <w:rFonts w:ascii="Arial" w:cs="Arial" w:eastAsia="Arial" w:hAnsi="Arial"/>
          <w:sz w:val="18"/>
          <w:szCs w:val="18"/>
          <w:color w:val="auto"/>
        </w:rPr>
        <w:t>Future impairment of goodwill or other long-lived assets could be recorded in results of operations as a result of changes in assumptions, estimates, or circumstances, some of which are beyond our control. There can be no assurance that a material impairment charge of goodwill or tangible or intangible assets will be avoided. The value of our aircraft could be impacted in future periods by changes in supply and demand for these aircraft. Such changes in supply and demand for certain aircraft types could result from grounding of aircraft by us or other airlines. An impairment charge could have a material adverse effect on our business, results of operations and financial condition.</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price of AAG common stock has recently been and may in the future be volatile.</w:t>
      </w:r>
    </w:p>
    <w:p>
      <w:pPr>
        <w:spacing w:after="0" w:line="126" w:lineRule="exact"/>
        <w:rPr>
          <w:sz w:val="20"/>
          <w:szCs w:val="20"/>
          <w:color w:val="auto"/>
        </w:rPr>
      </w:pPr>
    </w:p>
    <w:p>
      <w:pPr>
        <w:jc w:val="both"/>
        <w:ind w:firstLine="228"/>
        <w:spacing w:after="0" w:line="246" w:lineRule="auto"/>
        <w:rPr>
          <w:sz w:val="20"/>
          <w:szCs w:val="20"/>
          <w:color w:val="auto"/>
        </w:rPr>
      </w:pPr>
      <w:r>
        <w:rPr>
          <w:rFonts w:ascii="Arial" w:cs="Arial" w:eastAsia="Arial" w:hAnsi="Arial"/>
          <w:sz w:val="18"/>
          <w:szCs w:val="18"/>
          <w:color w:val="auto"/>
        </w:rPr>
        <w:t>The market price of AAG common stock may fluctuate substantially due to a variety of factors, many of which are beyond our control, including:</w:t>
      </w:r>
    </w:p>
    <w:p>
      <w:pPr>
        <w:spacing w:after="0" w:line="102" w:lineRule="exact"/>
        <w:rPr>
          <w:sz w:val="20"/>
          <w:szCs w:val="20"/>
          <w:color w:val="auto"/>
        </w:rPr>
      </w:pPr>
    </w:p>
    <w:p>
      <w:pPr>
        <w:ind w:left="660" w:hanging="314"/>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AAG’s operating and financial results failing to meet the expectations of securities analysts or investors;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financial estimates or recommendations by securities analysts;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material announcements by us or our competitors;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movements in fuel prices;</w:t>
      </w:r>
    </w:p>
    <w:p>
      <w:pPr>
        <w:spacing w:after="0" w:line="117" w:lineRule="exact"/>
        <w:rPr>
          <w:rFonts w:ascii="Arial" w:cs="Arial" w:eastAsia="Arial" w:hAnsi="Arial"/>
          <w:sz w:val="18"/>
          <w:szCs w:val="18"/>
          <w:color w:val="auto"/>
        </w:rPr>
      </w:pPr>
    </w:p>
    <w:p>
      <w:pPr>
        <w:ind w:left="660" w:hanging="314"/>
        <w:spacing w:after="0" w:line="246"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expectations regarding our capital deployment program, including our share repurchase program and any future dividend payments that may be declared by our Board of Directors;</w:t>
      </w:r>
    </w:p>
    <w:p>
      <w:pPr>
        <w:spacing w:after="0" w:line="102" w:lineRule="exact"/>
        <w:rPr>
          <w:rFonts w:ascii="Arial" w:cs="Arial" w:eastAsia="Arial" w:hAnsi="Arial"/>
          <w:sz w:val="18"/>
          <w:szCs w:val="18"/>
          <w:color w:val="auto"/>
        </w:rPr>
      </w:pPr>
    </w:p>
    <w:p>
      <w:pPr>
        <w:ind w:left="660" w:hanging="314"/>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new regulatory pronouncements and changes in regulatory guidelines;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general and industry-specific economic conditions;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success or failure of AAG’s integration efforts;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our key personnel;</w:t>
      </w:r>
    </w:p>
    <w:p>
      <w:pPr>
        <w:spacing w:after="0" w:line="117" w:lineRule="exact"/>
        <w:rPr>
          <w:rFonts w:ascii="Arial" w:cs="Arial" w:eastAsia="Arial" w:hAnsi="Arial"/>
          <w:sz w:val="18"/>
          <w:szCs w:val="18"/>
          <w:color w:val="auto"/>
        </w:rPr>
      </w:pPr>
    </w:p>
    <w:p>
      <w:pPr>
        <w:ind w:left="660" w:right="20" w:hanging="314"/>
        <w:spacing w:after="0" w:line="246"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distributions of shares of AAG common stock pursuant to the Plan, including distributions from the disputed claims reserve established under the plan of reorganization upon the resolution of the underlying claims;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287" w:right="239" w:bottom="1440" w:gutter="0" w:footer="0" w:header="0"/>
        </w:sectPr>
      </w:pPr>
    </w:p>
    <w:bookmarkStart w:id="70" w:name="page71"/>
    <w:bookmarkEnd w:id="70"/>
    <w:p>
      <w:pPr>
        <w:ind w:left="660" w:hanging="314"/>
        <w:spacing w:after="0" w:line="246"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public sales of a substantial number of shares of AAG common stock or issuances of AAG common stock upon the exercise or conversion of convertible securities, options, warrants, restricted stock unit awards, stock appreciation rights, or similar rights;</w:t>
      </w:r>
    </w:p>
    <w:p>
      <w:pPr>
        <w:spacing w:after="0" w:line="102" w:lineRule="exact"/>
        <w:rPr>
          <w:rFonts w:ascii="Arial" w:cs="Arial" w:eastAsia="Arial" w:hAnsi="Arial"/>
          <w:sz w:val="18"/>
          <w:szCs w:val="18"/>
          <w:color w:val="auto"/>
        </w:rPr>
      </w:pPr>
    </w:p>
    <w:p>
      <w:pPr>
        <w:ind w:left="660" w:hanging="314"/>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increases or decreases in reported holdings by insiders or other significant stockholders;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fluctuations in trading volume; and</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market values of airline companies as well as general market conditions.</w:t>
      </w:r>
    </w:p>
    <w:p>
      <w:pPr>
        <w:spacing w:after="0" w:line="190" w:lineRule="exact"/>
        <w:rPr>
          <w:sz w:val="20"/>
          <w:szCs w:val="20"/>
          <w:color w:val="auto"/>
        </w:rPr>
      </w:pPr>
    </w:p>
    <w:p>
      <w:pPr>
        <w:ind w:left="240" w:right="260"/>
        <w:spacing w:after="0" w:line="253" w:lineRule="auto"/>
        <w:rPr>
          <w:sz w:val="20"/>
          <w:szCs w:val="20"/>
          <w:color w:val="auto"/>
        </w:rPr>
      </w:pPr>
      <w:r>
        <w:rPr>
          <w:rFonts w:ascii="Arial" w:cs="Arial" w:eastAsia="Arial" w:hAnsi="Arial"/>
          <w:sz w:val="18"/>
          <w:szCs w:val="18"/>
          <w:b w:val="1"/>
          <w:bCs w:val="1"/>
          <w:i w:val="1"/>
          <w:iCs w:val="1"/>
          <w:color w:val="auto"/>
        </w:rPr>
        <w:t>We cannot guarantee that we will repurchase our common stock pursuant to our share repurchase programs or continue to pay dividends on our common stock or that our capital deployment program will enhance long-term stockholder value. Our capital deployment program could increase the volatility of the price of our common stock and diminish our cash reserves.</w:t>
      </w:r>
    </w:p>
    <w:p>
      <w:pPr>
        <w:spacing w:after="0" w:line="83" w:lineRule="exact"/>
        <w:rPr>
          <w:sz w:val="20"/>
          <w:szCs w:val="20"/>
          <w:color w:val="auto"/>
        </w:rPr>
      </w:pPr>
    </w:p>
    <w:p>
      <w:pPr>
        <w:jc w:val="both"/>
        <w:ind w:firstLine="228"/>
        <w:spacing w:after="0" w:line="236" w:lineRule="auto"/>
        <w:rPr>
          <w:sz w:val="20"/>
          <w:szCs w:val="20"/>
          <w:color w:val="auto"/>
        </w:rPr>
      </w:pPr>
      <w:r>
        <w:rPr>
          <w:rFonts w:ascii="Arial" w:cs="Arial" w:eastAsia="Arial" w:hAnsi="Arial"/>
          <w:sz w:val="18"/>
          <w:szCs w:val="18"/>
          <w:color w:val="auto"/>
        </w:rPr>
        <w:t>Since July 2014, as part of our capital deployment program, our Board of Directors has approved six share repurchase programs aggregating $ 11.0 billion of authority. As of June 30, 2017, $1.0 billion remained unused under a repurchase program that expires on December 31, 2018. Share repurchases under our share repurchase programs may be made through a variety of methods, which may include open market purchases, privately negotiated transactions, block trades or accelerated share repurchase transactions. These share repurchase programs do not obligate us to acquire any specific number of shares or to repurchase any specific number of shares for any fixed period, and may be suspended at any time at our discretion. The timing and amount of repurchases, if any, will be subject to market and economic conditions, applicable legal requirements and other relevant factors. The repurchase programs may be limited, suspended or discontinued at any time without prior notice.</w:t>
      </w:r>
    </w:p>
    <w:p>
      <w:pPr>
        <w:spacing w:after="0" w:line="208" w:lineRule="exact"/>
        <w:rPr>
          <w:sz w:val="20"/>
          <w:szCs w:val="20"/>
          <w:color w:val="auto"/>
        </w:rPr>
      </w:pPr>
    </w:p>
    <w:p>
      <w:pPr>
        <w:jc w:val="both"/>
        <w:ind w:firstLine="228"/>
        <w:spacing w:after="0" w:line="237" w:lineRule="auto"/>
        <w:rPr>
          <w:sz w:val="20"/>
          <w:szCs w:val="20"/>
          <w:color w:val="auto"/>
        </w:rPr>
      </w:pPr>
      <w:r>
        <w:rPr>
          <w:rFonts w:ascii="Arial" w:cs="Arial" w:eastAsia="Arial" w:hAnsi="Arial"/>
          <w:sz w:val="18"/>
          <w:szCs w:val="18"/>
          <w:color w:val="auto"/>
        </w:rPr>
        <w:t>Although our Board of Directors commenced declaring quarterly cash dividends in July 2014 as part of our capital deployment program, any future dividends that may be declared and paid from time to time will be subject to market and economic conditions, applicable legal requirements and other relevant factors. We are not obligated to continue a dividend for any fixed period, and payment of dividends may be suspended at any time at our discretion. We will continue to retain future earnings to develop our business, as opportunities arise, and evaluate on a quarterly basis the amount and timing of future dividends based on our operating results, financial condition, capital requirements and general business conditions. The amount and timing of any future dividends may vary, and the payment of any dividend does not assure that we will be able to pay dividends in the future.</w:t>
      </w:r>
    </w:p>
    <w:p>
      <w:pPr>
        <w:spacing w:after="0" w:line="203" w:lineRule="exact"/>
        <w:rPr>
          <w:sz w:val="20"/>
          <w:szCs w:val="20"/>
          <w:color w:val="auto"/>
        </w:rPr>
      </w:pPr>
    </w:p>
    <w:p>
      <w:pPr>
        <w:jc w:val="both"/>
        <w:ind w:firstLine="228"/>
        <w:spacing w:after="0" w:line="236" w:lineRule="auto"/>
        <w:rPr>
          <w:sz w:val="20"/>
          <w:szCs w:val="20"/>
          <w:color w:val="auto"/>
        </w:rPr>
      </w:pPr>
      <w:r>
        <w:rPr>
          <w:rFonts w:ascii="Arial" w:cs="Arial" w:eastAsia="Arial" w:hAnsi="Arial"/>
          <w:sz w:val="18"/>
          <w:szCs w:val="18"/>
          <w:color w:val="auto"/>
        </w:rPr>
        <w:t>In addition, repurchases of AAG common stock pursuant to our share repurchase programs and any future dividends could affect our stock price and increase its volatility. The existence of a share repurchase program and any future dividends could cause our stock price to be higher than it would otherwise be and could potentially reduce the market liquidity for our stock. Additionally, our share repurchase programs and any future dividends will diminish our cash reserves, which may impact our ability to finance future growth and to pursue possible future strategic opportunities and acquisitions. Further, our share repurchase programs may fluctuate such that our cash flow may be insufficient to fully cover our share repurchases. Although our share repurchase programs are intended to enhance long-term stockholder value, there is no assurance that it will do so because the market price of our common stock may decline below the levels at which we repurchased shares of stock and short-term stock price fluctuations could reduce the program’s effectiveness.</w:t>
      </w:r>
    </w:p>
    <w:p>
      <w:pPr>
        <w:spacing w:after="0" w:line="186" w:lineRule="exact"/>
        <w:rPr>
          <w:sz w:val="20"/>
          <w:szCs w:val="20"/>
          <w:color w:val="auto"/>
        </w:rPr>
      </w:pPr>
    </w:p>
    <w:p>
      <w:pPr>
        <w:ind w:left="240" w:right="220"/>
        <w:spacing w:after="0" w:line="302" w:lineRule="auto"/>
        <w:rPr>
          <w:sz w:val="20"/>
          <w:szCs w:val="20"/>
          <w:color w:val="auto"/>
        </w:rPr>
      </w:pPr>
      <w:r>
        <w:rPr>
          <w:rFonts w:ascii="Arial" w:cs="Arial" w:eastAsia="Arial" w:hAnsi="Arial"/>
          <w:sz w:val="17"/>
          <w:szCs w:val="17"/>
          <w:b w:val="1"/>
          <w:bCs w:val="1"/>
          <w:i w:val="1"/>
          <w:iCs w:val="1"/>
          <w:color w:val="auto"/>
        </w:rPr>
        <w:t>Certain provisions of AAG’s Certificate of Incorporation and Bylaws make it difficult for stockholders to change the composition of our Board of Directors and may discourage takeover attempts that some of our stockholders might consider beneficial.</w:t>
      </w:r>
    </w:p>
    <w:p>
      <w:pPr>
        <w:spacing w:after="0" w:line="43" w:lineRule="exact"/>
        <w:rPr>
          <w:sz w:val="20"/>
          <w:szCs w:val="20"/>
          <w:color w:val="auto"/>
        </w:rPr>
      </w:pPr>
    </w:p>
    <w:p>
      <w:pPr>
        <w:jc w:val="both"/>
        <w:ind w:firstLine="228"/>
        <w:spacing w:after="0"/>
        <w:rPr>
          <w:sz w:val="20"/>
          <w:szCs w:val="20"/>
          <w:color w:val="auto"/>
        </w:rPr>
      </w:pPr>
      <w:r>
        <w:rPr>
          <w:rFonts w:ascii="Arial" w:cs="Arial" w:eastAsia="Arial" w:hAnsi="Arial"/>
          <w:sz w:val="18"/>
          <w:szCs w:val="18"/>
          <w:color w:val="auto"/>
        </w:rPr>
        <w:t>Certain provisions of our Certificate of Incorporation and Second Amended and Restated Bylaws (Bylaws) may have the effect of delaying or preventing changes in control if our Board of Directors determines that such changes in control are not in our best interest and the best interest of our stockholders. These provisions include, among other things, the following:</w:t>
      </w:r>
    </w:p>
    <w:p>
      <w:pPr>
        <w:spacing w:after="0" w:line="108" w:lineRule="exact"/>
        <w:rPr>
          <w:sz w:val="20"/>
          <w:szCs w:val="20"/>
          <w:color w:val="auto"/>
        </w:rPr>
      </w:pPr>
    </w:p>
    <w:p>
      <w:pPr>
        <w:ind w:left="660" w:hanging="314"/>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advance notice procedures for stockholder proposals to be considered at stockholders’ meetings;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ability of our Board of Directors to fill vacancies on the board;</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prohibition against stockholders taking action by written consent;</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prohibition against stockholders calling special meetings of stockholders;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287" w:right="239" w:bottom="1440" w:gutter="0" w:footer="0" w:header="0"/>
        </w:sectPr>
      </w:pPr>
    </w:p>
    <w:bookmarkStart w:id="71" w:name="page72"/>
    <w:bookmarkEnd w:id="71"/>
    <w:p>
      <w:pPr>
        <w:ind w:left="660" w:hanging="314"/>
        <w:spacing w:after="0" w:line="246"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requirement that holders of at least 80% of the voting power of the shares entitled to vote in the election of directors approve any amendment of our Bylaws submitted to stockholders for approval; and</w:t>
      </w:r>
    </w:p>
    <w:p>
      <w:pPr>
        <w:spacing w:after="0" w:line="102" w:lineRule="exact"/>
        <w:rPr>
          <w:rFonts w:ascii="Arial" w:cs="Arial" w:eastAsia="Arial" w:hAnsi="Arial"/>
          <w:sz w:val="18"/>
          <w:szCs w:val="18"/>
          <w:color w:val="auto"/>
        </w:rPr>
      </w:pPr>
    </w:p>
    <w:p>
      <w:pPr>
        <w:ind w:left="660" w:hanging="314"/>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super-majority voting requirements to modify or amend specified provisions of our Certificate of Incorporation.</w:t>
      </w:r>
    </w:p>
    <w:p>
      <w:pPr>
        <w:spacing w:after="0" w:line="212" w:lineRule="exact"/>
        <w:rPr>
          <w:sz w:val="20"/>
          <w:szCs w:val="20"/>
          <w:color w:val="auto"/>
        </w:rPr>
      </w:pPr>
    </w:p>
    <w:p>
      <w:pPr>
        <w:jc w:val="both"/>
        <w:ind w:firstLine="228"/>
        <w:spacing w:after="0" w:line="237" w:lineRule="auto"/>
        <w:rPr>
          <w:sz w:val="20"/>
          <w:szCs w:val="20"/>
          <w:color w:val="auto"/>
        </w:rPr>
      </w:pPr>
      <w:r>
        <w:rPr>
          <w:rFonts w:ascii="Arial" w:cs="Arial" w:eastAsia="Arial" w:hAnsi="Arial"/>
          <w:sz w:val="18"/>
          <w:szCs w:val="18"/>
          <w:color w:val="auto"/>
        </w:rPr>
        <w:t>These provisions are not intended to prevent a takeover, but are intended to protect and maximize the value of the interests of our stockholders. While these provisions have the effect of encouraging persons seeking to acquire control of our company to negotiate with our Board of Directors, they could enable our Board of Directors to prevent a transaction that some, or a majority, of our stockholders might believe to be in their best interest and, in that case, may prevent or discourage attempts to remove and replace incumbent directors. In addition, we are subject to the provisions of Section 203 of the Delaware General Corporation Law, which prohibits business combinations with interested stockholders. Interested stockholders do not include stockholders whose acquisition of our securities is approved by the Board of Directors prior to the investment under Section 203.</w:t>
      </w:r>
    </w:p>
    <w:p>
      <w:pPr>
        <w:spacing w:after="0" w:line="181" w:lineRule="exact"/>
        <w:rPr>
          <w:sz w:val="20"/>
          <w:szCs w:val="20"/>
          <w:color w:val="auto"/>
        </w:rPr>
      </w:pPr>
    </w:p>
    <w:p>
      <w:pPr>
        <w:ind w:left="240" w:right="320"/>
        <w:spacing w:after="0" w:line="271" w:lineRule="auto"/>
        <w:rPr>
          <w:sz w:val="20"/>
          <w:szCs w:val="20"/>
          <w:color w:val="auto"/>
        </w:rPr>
      </w:pPr>
      <w:r>
        <w:rPr>
          <w:rFonts w:ascii="Arial" w:cs="Arial" w:eastAsia="Arial" w:hAnsi="Arial"/>
          <w:sz w:val="18"/>
          <w:szCs w:val="18"/>
          <w:b w:val="1"/>
          <w:bCs w:val="1"/>
          <w:i w:val="1"/>
          <w:iCs w:val="1"/>
          <w:color w:val="auto"/>
        </w:rPr>
        <w:t>AAG’s Certificate of Incorporation and Bylaws include provisions that limit voting and acquisition and disposition of our equity interests.</w:t>
      </w:r>
    </w:p>
    <w:p>
      <w:pPr>
        <w:spacing w:after="0" w:line="68" w:lineRule="exact"/>
        <w:rPr>
          <w:sz w:val="20"/>
          <w:szCs w:val="20"/>
          <w:color w:val="auto"/>
        </w:rPr>
      </w:pPr>
    </w:p>
    <w:p>
      <w:pPr>
        <w:jc w:val="both"/>
        <w:ind w:firstLine="228"/>
        <w:spacing w:after="0"/>
        <w:rPr>
          <w:sz w:val="20"/>
          <w:szCs w:val="20"/>
          <w:color w:val="auto"/>
        </w:rPr>
      </w:pPr>
      <w:r>
        <w:rPr>
          <w:rFonts w:ascii="Arial" w:cs="Arial" w:eastAsia="Arial" w:hAnsi="Arial"/>
          <w:sz w:val="18"/>
          <w:szCs w:val="18"/>
          <w:color w:val="auto"/>
        </w:rPr>
        <w:t>Our Certificate of Incorporation and Bylaws include certain provisions that limit voting and ownership and disposition of our equity interests. These restrictions may adversely affect the ability of certain holders of AAG common stock and our other equity interests to vote such interests and adversely affect the ability of persons to acquire shares of AAG common stock and our other equity interests.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6" w:lineRule="exact"/>
        <w:rPr>
          <w:sz w:val="20"/>
          <w:szCs w:val="20"/>
          <w:color w:val="auto"/>
        </w:rPr>
      </w:pPr>
    </w:p>
    <w:p>
      <w:pPr>
        <w:jc w:val="both"/>
        <w:ind w:firstLine="228"/>
        <w:spacing w:after="0" w:line="246" w:lineRule="auto"/>
        <w:rPr>
          <w:sz w:val="20"/>
          <w:szCs w:val="20"/>
          <w:color w:val="auto"/>
        </w:rPr>
      </w:pPr>
      <w:r>
        <w:rPr>
          <w:rFonts w:ascii="Arial" w:cs="Arial" w:eastAsia="Arial" w:hAnsi="Arial"/>
          <w:sz w:val="18"/>
          <w:szCs w:val="18"/>
          <w:color w:val="auto"/>
        </w:rPr>
        <w:t>The following table displays information with respect to our purchases of shares of AAG common stock during the three months ended June 30, 2017.</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rPr>
              <w:t>Maximum dollar value of shares</w:t>
            </w:r>
          </w:p>
        </w:tc>
        <w:tc>
          <w:tcPr>
            <w:tcW w:w="0" w:type="dxa"/>
            <w:vAlign w:val="bottom"/>
          </w:tcPr>
          <w:p>
            <w:pPr>
              <w:spacing w:after="0"/>
              <w:rPr>
                <w:sz w:val="1"/>
                <w:szCs w:val="1"/>
                <w:color w:val="auto"/>
              </w:rPr>
            </w:pPr>
          </w:p>
        </w:tc>
      </w:tr>
      <w:tr>
        <w:trPr>
          <w:trHeight w:val="162"/>
        </w:trPr>
        <w:tc>
          <w:tcPr>
            <w:tcW w:w="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76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rPr>
              <w:t>Total number of shares</w:t>
            </w: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rPr>
              <w:t>that may be purchased under</w:t>
            </w:r>
          </w:p>
        </w:tc>
        <w:tc>
          <w:tcPr>
            <w:tcW w:w="0" w:type="dxa"/>
            <w:vAlign w:val="bottom"/>
          </w:tcPr>
          <w:p>
            <w:pPr>
              <w:spacing w:after="0"/>
              <w:rPr>
                <w:sz w:val="1"/>
                <w:szCs w:val="1"/>
                <w:color w:val="auto"/>
              </w:rPr>
            </w:pPr>
          </w:p>
        </w:tc>
      </w:tr>
      <w:tr>
        <w:trPr>
          <w:trHeight w:val="162"/>
        </w:trPr>
        <w:tc>
          <w:tcPr>
            <w:tcW w:w="280" w:type="dxa"/>
            <w:vAlign w:val="bottom"/>
          </w:tcPr>
          <w:p>
            <w:pPr>
              <w:spacing w:after="0"/>
              <w:rPr>
                <w:sz w:val="14"/>
                <w:szCs w:val="14"/>
                <w:color w:val="auto"/>
              </w:rPr>
            </w:pPr>
          </w:p>
        </w:tc>
        <w:tc>
          <w:tcPr>
            <w:tcW w:w="130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Period</w:t>
            </w:r>
          </w:p>
        </w:tc>
        <w:tc>
          <w:tcPr>
            <w:tcW w:w="1000" w:type="dxa"/>
            <w:vAlign w:val="bottom"/>
          </w:tcPr>
          <w:p>
            <w:pPr>
              <w:spacing w:after="0"/>
              <w:rPr>
                <w:sz w:val="14"/>
                <w:szCs w:val="14"/>
                <w:color w:val="auto"/>
              </w:rPr>
            </w:pPr>
          </w:p>
        </w:tc>
        <w:tc>
          <w:tcPr>
            <w:tcW w:w="216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rPr>
              <w:t>Total number</w:t>
            </w:r>
          </w:p>
        </w:tc>
        <w:tc>
          <w:tcPr>
            <w:tcW w:w="174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rPr>
              <w:t>Average price</w:t>
            </w:r>
          </w:p>
        </w:tc>
        <w:tc>
          <w:tcPr>
            <w:tcW w:w="276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rPr>
              <w:t>purchased as part of publicly</w:t>
            </w: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rPr>
              <w:t>the plan or program</w:t>
            </w:r>
          </w:p>
        </w:tc>
        <w:tc>
          <w:tcPr>
            <w:tcW w:w="0" w:type="dxa"/>
            <w:vAlign w:val="bottom"/>
          </w:tcPr>
          <w:p>
            <w:pPr>
              <w:spacing w:after="0"/>
              <w:rPr>
                <w:sz w:val="1"/>
                <w:szCs w:val="1"/>
                <w:color w:val="auto"/>
              </w:rPr>
            </w:pPr>
          </w:p>
        </w:tc>
      </w:tr>
      <w:tr>
        <w:trPr>
          <w:trHeight w:val="182"/>
        </w:trPr>
        <w:tc>
          <w:tcPr>
            <w:tcW w:w="280" w:type="dxa"/>
            <w:vAlign w:val="bottom"/>
          </w:tcPr>
          <w:p>
            <w:pPr>
              <w:spacing w:after="0"/>
              <w:rPr>
                <w:sz w:val="15"/>
                <w:szCs w:val="15"/>
                <w:color w:val="auto"/>
              </w:rPr>
            </w:pPr>
          </w:p>
        </w:tc>
        <w:tc>
          <w:tcPr>
            <w:tcW w:w="1300" w:type="dxa"/>
            <w:vAlign w:val="bottom"/>
            <w:tcBorders>
              <w:bottom w:val="single" w:sz="8" w:color="auto"/>
            </w:tcBorders>
            <w:vMerge w:val="continue"/>
          </w:tcPr>
          <w:p>
            <w:pPr>
              <w:spacing w:after="0"/>
              <w:rPr>
                <w:sz w:val="15"/>
                <w:szCs w:val="15"/>
                <w:color w:val="auto"/>
              </w:rPr>
            </w:pPr>
          </w:p>
        </w:tc>
        <w:tc>
          <w:tcPr>
            <w:tcW w:w="1000" w:type="dxa"/>
            <w:vAlign w:val="bottom"/>
          </w:tcPr>
          <w:p>
            <w:pPr>
              <w:spacing w:after="0"/>
              <w:rPr>
                <w:sz w:val="15"/>
                <w:szCs w:val="15"/>
                <w:color w:val="auto"/>
              </w:rPr>
            </w:pPr>
          </w:p>
        </w:tc>
        <w:tc>
          <w:tcPr>
            <w:tcW w:w="216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rPr>
              <w:t>of shares purchased</w:t>
            </w:r>
          </w:p>
        </w:tc>
        <w:tc>
          <w:tcPr>
            <w:tcW w:w="174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rPr>
              <w:t>paid per share</w:t>
            </w:r>
          </w:p>
        </w:tc>
        <w:tc>
          <w:tcPr>
            <w:tcW w:w="276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rPr>
              <w:t>announced plan or program</w:t>
            </w: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190"/>
        </w:trPr>
        <w:tc>
          <w:tcPr>
            <w:tcW w:w="1580" w:type="dxa"/>
            <w:vAlign w:val="bottom"/>
            <w:tcBorders>
              <w:top w:val="single" w:sz="8" w:color="CCEEFF"/>
            </w:tcBorders>
            <w:gridSpan w:val="2"/>
            <w:shd w:val="clear" w:color="auto" w:fill="CCEEFF"/>
          </w:tcPr>
          <w:p>
            <w:pPr>
              <w:ind w:left="100"/>
              <w:spacing w:after="0" w:line="189" w:lineRule="exact"/>
              <w:rPr>
                <w:sz w:val="20"/>
                <w:szCs w:val="20"/>
                <w:color w:val="auto"/>
              </w:rPr>
            </w:pPr>
            <w:r>
              <w:rPr>
                <w:rFonts w:ascii="Arial" w:cs="Arial" w:eastAsia="Arial" w:hAnsi="Arial"/>
                <w:sz w:val="18"/>
                <w:szCs w:val="18"/>
                <w:color w:val="auto"/>
              </w:rPr>
              <w:t>April 2017</w:t>
            </w:r>
          </w:p>
        </w:tc>
        <w:tc>
          <w:tcPr>
            <w:tcW w:w="1000" w:type="dxa"/>
            <w:vAlign w:val="bottom"/>
            <w:tcBorders>
              <w:top w:val="single" w:sz="8" w:color="CCEEFF"/>
            </w:tcBorders>
            <w:shd w:val="clear" w:color="auto" w:fill="CCEEFF"/>
          </w:tcPr>
          <w:p>
            <w:pPr>
              <w:spacing w:after="0"/>
              <w:rPr>
                <w:sz w:val="16"/>
                <w:szCs w:val="16"/>
                <w:color w:val="auto"/>
              </w:rPr>
            </w:pPr>
          </w:p>
        </w:tc>
        <w:tc>
          <w:tcPr>
            <w:tcW w:w="142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5,150,821</w:t>
            </w:r>
          </w:p>
        </w:tc>
        <w:tc>
          <w:tcPr>
            <w:tcW w:w="74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rPr>
              <w:t>$43.31</w:t>
            </w:r>
          </w:p>
        </w:tc>
        <w:tc>
          <w:tcPr>
            <w:tcW w:w="740" w:type="dxa"/>
            <w:vAlign w:val="bottom"/>
            <w:tcBorders>
              <w:top w:val="single" w:sz="8" w:color="CCEEFF"/>
            </w:tcBorders>
            <w:shd w:val="clear" w:color="auto" w:fill="CCEEFF"/>
          </w:tcPr>
          <w:p>
            <w:pPr>
              <w:spacing w:after="0"/>
              <w:rPr>
                <w:sz w:val="16"/>
                <w:szCs w:val="16"/>
                <w:color w:val="auto"/>
              </w:rPr>
            </w:pPr>
          </w:p>
        </w:tc>
        <w:tc>
          <w:tcPr>
            <w:tcW w:w="200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5,150,821</w:t>
            </w:r>
          </w:p>
        </w:tc>
        <w:tc>
          <w:tcPr>
            <w:tcW w:w="760" w:type="dxa"/>
            <w:vAlign w:val="bottom"/>
            <w:tcBorders>
              <w:top w:val="single" w:sz="8" w:color="CCEEFF"/>
            </w:tcBorders>
            <w:shd w:val="clear" w:color="auto" w:fill="CCEEFF"/>
          </w:tcPr>
          <w:p>
            <w:pPr>
              <w:spacing w:after="0"/>
              <w:rPr>
                <w:sz w:val="16"/>
                <w:szCs w:val="16"/>
                <w:color w:val="auto"/>
              </w:rPr>
            </w:pPr>
          </w:p>
        </w:tc>
        <w:tc>
          <w:tcPr>
            <w:tcW w:w="218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8"/>
              </w:rPr>
              <w:t>$1,265</w:t>
            </w:r>
          </w:p>
        </w:tc>
        <w:tc>
          <w:tcPr>
            <w:tcW w:w="0" w:type="dxa"/>
            <w:vAlign w:val="bottom"/>
          </w:tcPr>
          <w:p>
            <w:pPr>
              <w:spacing w:after="0"/>
              <w:rPr>
                <w:sz w:val="1"/>
                <w:szCs w:val="1"/>
                <w:color w:val="auto"/>
              </w:rPr>
            </w:pPr>
          </w:p>
        </w:tc>
      </w:tr>
      <w:tr>
        <w:trPr>
          <w:trHeight w:val="203"/>
        </w:trPr>
        <w:tc>
          <w:tcPr>
            <w:tcW w:w="158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May 2017</w:t>
            </w:r>
          </w:p>
        </w:tc>
        <w:tc>
          <w:tcPr>
            <w:tcW w:w="2420" w:type="dxa"/>
            <w:vAlign w:val="bottom"/>
            <w:gridSpan w:val="2"/>
          </w:tcPr>
          <w:p>
            <w:pPr>
              <w:jc w:val="center"/>
              <w:ind w:left="930"/>
              <w:spacing w:after="0" w:line="202" w:lineRule="exact"/>
              <w:rPr>
                <w:sz w:val="20"/>
                <w:szCs w:val="20"/>
                <w:color w:val="auto"/>
              </w:rPr>
            </w:pPr>
            <w:r>
              <w:rPr>
                <w:rFonts w:ascii="Arial" w:cs="Arial" w:eastAsia="Arial" w:hAnsi="Arial"/>
                <w:sz w:val="18"/>
                <w:szCs w:val="18"/>
                <w:color w:val="auto"/>
                <w:w w:val="99"/>
              </w:rPr>
              <w:t>2,942,746</w:t>
            </w:r>
          </w:p>
        </w:tc>
        <w:tc>
          <w:tcPr>
            <w:tcW w:w="740" w:type="dxa"/>
            <w:vAlign w:val="bottom"/>
          </w:tcPr>
          <w:p>
            <w:pPr>
              <w:spacing w:after="0"/>
              <w:rPr>
                <w:sz w:val="17"/>
                <w:szCs w:val="17"/>
                <w:color w:val="auto"/>
              </w:rPr>
            </w:pPr>
          </w:p>
        </w:tc>
        <w:tc>
          <w:tcPr>
            <w:tcW w:w="1000" w:type="dxa"/>
            <w:vAlign w:val="bottom"/>
          </w:tcPr>
          <w:p>
            <w:pPr>
              <w:jc w:val="center"/>
              <w:spacing w:after="0" w:line="202" w:lineRule="exact"/>
              <w:rPr>
                <w:sz w:val="20"/>
                <w:szCs w:val="20"/>
                <w:color w:val="auto"/>
              </w:rPr>
            </w:pPr>
            <w:r>
              <w:rPr>
                <w:rFonts w:ascii="Arial" w:cs="Arial" w:eastAsia="Arial" w:hAnsi="Arial"/>
                <w:sz w:val="18"/>
                <w:szCs w:val="18"/>
                <w:color w:val="auto"/>
              </w:rPr>
              <w:t>$45.19</w:t>
            </w:r>
          </w:p>
        </w:tc>
        <w:tc>
          <w:tcPr>
            <w:tcW w:w="740" w:type="dxa"/>
            <w:vAlign w:val="bottom"/>
          </w:tcPr>
          <w:p>
            <w:pPr>
              <w:spacing w:after="0"/>
              <w:rPr>
                <w:sz w:val="17"/>
                <w:szCs w:val="17"/>
                <w:color w:val="auto"/>
              </w:rPr>
            </w:pPr>
          </w:p>
        </w:tc>
        <w:tc>
          <w:tcPr>
            <w:tcW w:w="2000" w:type="dxa"/>
            <w:vAlign w:val="bottom"/>
          </w:tcPr>
          <w:p>
            <w:pPr>
              <w:jc w:val="center"/>
              <w:spacing w:after="0" w:line="202" w:lineRule="exact"/>
              <w:rPr>
                <w:sz w:val="20"/>
                <w:szCs w:val="20"/>
                <w:color w:val="auto"/>
              </w:rPr>
            </w:pPr>
            <w:r>
              <w:rPr>
                <w:rFonts w:ascii="Arial" w:cs="Arial" w:eastAsia="Arial" w:hAnsi="Arial"/>
                <w:sz w:val="18"/>
                <w:szCs w:val="18"/>
                <w:color w:val="auto"/>
                <w:w w:val="99"/>
              </w:rPr>
              <w:t>2,942,746</w:t>
            </w:r>
          </w:p>
        </w:tc>
        <w:tc>
          <w:tcPr>
            <w:tcW w:w="760" w:type="dxa"/>
            <w:vAlign w:val="bottom"/>
          </w:tcPr>
          <w:p>
            <w:pPr>
              <w:spacing w:after="0"/>
              <w:rPr>
                <w:sz w:val="17"/>
                <w:szCs w:val="17"/>
                <w:color w:val="auto"/>
              </w:rPr>
            </w:pPr>
          </w:p>
        </w:tc>
        <w:tc>
          <w:tcPr>
            <w:tcW w:w="2180" w:type="dxa"/>
            <w:vAlign w:val="bottom"/>
          </w:tcPr>
          <w:p>
            <w:pPr>
              <w:jc w:val="center"/>
              <w:spacing w:after="0" w:line="202" w:lineRule="exact"/>
              <w:rPr>
                <w:sz w:val="20"/>
                <w:szCs w:val="20"/>
                <w:color w:val="auto"/>
              </w:rPr>
            </w:pPr>
            <w:r>
              <w:rPr>
                <w:rFonts w:ascii="Arial" w:cs="Arial" w:eastAsia="Arial" w:hAnsi="Arial"/>
                <w:sz w:val="18"/>
                <w:szCs w:val="18"/>
                <w:color w:val="auto"/>
                <w:w w:val="98"/>
              </w:rPr>
              <w:t>$1,132</w:t>
            </w:r>
          </w:p>
        </w:tc>
        <w:tc>
          <w:tcPr>
            <w:tcW w:w="0" w:type="dxa"/>
            <w:vAlign w:val="bottom"/>
          </w:tcPr>
          <w:p>
            <w:pPr>
              <w:spacing w:after="0"/>
              <w:rPr>
                <w:sz w:val="1"/>
                <w:szCs w:val="1"/>
                <w:color w:val="auto"/>
              </w:rPr>
            </w:pPr>
          </w:p>
        </w:tc>
      </w:tr>
      <w:tr>
        <w:trPr>
          <w:trHeight w:val="203"/>
        </w:trPr>
        <w:tc>
          <w:tcPr>
            <w:tcW w:w="158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June 2017</w:t>
            </w:r>
          </w:p>
        </w:tc>
        <w:tc>
          <w:tcPr>
            <w:tcW w:w="2420" w:type="dxa"/>
            <w:vAlign w:val="bottom"/>
            <w:gridSpan w:val="2"/>
            <w:shd w:val="clear" w:color="auto" w:fill="CCEEFF"/>
          </w:tcPr>
          <w:p>
            <w:pPr>
              <w:jc w:val="center"/>
              <w:ind w:left="930"/>
              <w:spacing w:after="0" w:line="202" w:lineRule="exact"/>
              <w:rPr>
                <w:sz w:val="20"/>
                <w:szCs w:val="20"/>
                <w:color w:val="auto"/>
              </w:rPr>
            </w:pPr>
            <w:r>
              <w:rPr>
                <w:rFonts w:ascii="Arial" w:cs="Arial" w:eastAsia="Arial" w:hAnsi="Arial"/>
                <w:sz w:val="18"/>
                <w:szCs w:val="18"/>
                <w:color w:val="auto"/>
                <w:w w:val="99"/>
              </w:rPr>
              <w:t>1,904,230</w:t>
            </w:r>
          </w:p>
        </w:tc>
        <w:tc>
          <w:tcPr>
            <w:tcW w:w="740" w:type="dxa"/>
            <w:vAlign w:val="bottom"/>
            <w:shd w:val="clear" w:color="auto" w:fill="CCEEFF"/>
          </w:tcPr>
          <w:p>
            <w:pPr>
              <w:spacing w:after="0"/>
              <w:rPr>
                <w:sz w:val="17"/>
                <w:szCs w:val="17"/>
                <w:color w:val="auto"/>
              </w:rPr>
            </w:pPr>
          </w:p>
        </w:tc>
        <w:tc>
          <w:tcPr>
            <w:tcW w:w="10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$49.33</w:t>
            </w:r>
          </w:p>
        </w:tc>
        <w:tc>
          <w:tcPr>
            <w:tcW w:w="740" w:type="dxa"/>
            <w:vAlign w:val="bottom"/>
            <w:shd w:val="clear" w:color="auto" w:fill="CCEEFF"/>
          </w:tcPr>
          <w:p>
            <w:pPr>
              <w:spacing w:after="0"/>
              <w:rPr>
                <w:sz w:val="17"/>
                <w:szCs w:val="17"/>
                <w:color w:val="auto"/>
              </w:rPr>
            </w:pPr>
          </w:p>
        </w:tc>
        <w:tc>
          <w:tcPr>
            <w:tcW w:w="20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1,904,230</w:t>
            </w:r>
          </w:p>
        </w:tc>
        <w:tc>
          <w:tcPr>
            <w:tcW w:w="760" w:type="dxa"/>
            <w:vAlign w:val="bottom"/>
            <w:shd w:val="clear" w:color="auto" w:fill="CCEEFF"/>
          </w:tcPr>
          <w:p>
            <w:pPr>
              <w:spacing w:after="0"/>
              <w:rPr>
                <w:sz w:val="17"/>
                <w:szCs w:val="17"/>
                <w:color w:val="auto"/>
              </w:rPr>
            </w:pPr>
          </w:p>
        </w:tc>
        <w:tc>
          <w:tcPr>
            <w:tcW w:w="21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8"/>
              </w:rPr>
              <w:t>$1,038</w:t>
            </w:r>
          </w:p>
        </w:tc>
        <w:tc>
          <w:tcPr>
            <w:tcW w:w="0" w:type="dxa"/>
            <w:vAlign w:val="bottom"/>
          </w:tcPr>
          <w:p>
            <w:pPr>
              <w:spacing w:after="0"/>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6" w:lineRule="exact"/>
        <w:rPr>
          <w:sz w:val="20"/>
          <w:szCs w:val="20"/>
          <w:color w:val="auto"/>
        </w:rPr>
      </w:pPr>
    </w:p>
    <w:p>
      <w:pPr>
        <w:jc w:val="both"/>
        <w:ind w:firstLine="228"/>
        <w:spacing w:after="0" w:line="246" w:lineRule="auto"/>
        <w:rPr>
          <w:sz w:val="20"/>
          <w:szCs w:val="20"/>
          <w:color w:val="auto"/>
        </w:rPr>
      </w:pPr>
      <w:r>
        <w:rPr>
          <w:rFonts w:ascii="Arial" w:cs="Arial" w:eastAsia="Arial" w:hAnsi="Arial"/>
          <w:sz w:val="18"/>
          <w:szCs w:val="18"/>
          <w:color w:val="auto"/>
        </w:rPr>
        <w:t>The exhibits listed in the Exhibit Index following the signature pages to this report are filed as part of, or incorporated by reference into, this report.</w:t>
      </w:r>
    </w:p>
    <w:p>
      <w:pPr>
        <w:spacing w:after="0" w:line="197" w:lineRule="exact"/>
        <w:rPr>
          <w:sz w:val="20"/>
          <w:szCs w:val="20"/>
          <w:color w:val="auto"/>
        </w:rPr>
      </w:pPr>
    </w:p>
    <w:p>
      <w:pPr>
        <w:jc w:val="both"/>
        <w:ind w:firstLine="228"/>
        <w:spacing w:after="0"/>
        <w:rPr>
          <w:sz w:val="20"/>
          <w:szCs w:val="20"/>
          <w:color w:val="auto"/>
        </w:rPr>
      </w:pPr>
      <w:r>
        <w:rPr>
          <w:rFonts w:ascii="Arial" w:cs="Arial" w:eastAsia="Arial" w:hAnsi="Arial"/>
          <w:sz w:val="18"/>
          <w:szCs w:val="18"/>
          <w:color w:val="auto"/>
        </w:rPr>
        <w:t>Exhibits required to be filed by Item 601 of Regulation S-K: Where the amount of securities authorized to be issued under any of our long-term debt agreements does not exceed 10 percent of our assets, pursuant to paragraph (b)(4) of Item 601 of Regulation S-K, in lieu of filing such as an exhibit, we hereby agree to furnish to the Commission upon request a copy of any agreement with respect to such long-term debt.</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287" w:right="239" w:bottom="1440" w:gutter="0" w:footer="0" w:header="0"/>
        </w:sectPr>
      </w:pPr>
    </w:p>
    <w:bookmarkStart w:id="72" w:name="page73"/>
    <w:bookmarkEnd w:id="7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26" w:lineRule="exact"/>
        <w:rPr>
          <w:sz w:val="20"/>
          <w:szCs w:val="20"/>
          <w:color w:val="auto"/>
        </w:rPr>
      </w:pPr>
    </w:p>
    <w:p>
      <w:pPr>
        <w:ind w:firstLine="228"/>
        <w:spacing w:after="0" w:line="246"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2"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American Airlines Group Inc.</w:t>
      </w:r>
    </w:p>
    <w:p>
      <w:pPr>
        <w:spacing w:after="0" w:line="234"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July 28, 2017</w:t>
      </w:r>
      <w:r>
        <w:rPr>
          <w:sz w:val="20"/>
          <w:szCs w:val="20"/>
          <w:color w:val="auto"/>
        </w:rPr>
        <w:tab/>
      </w:r>
      <w:r>
        <w:rPr>
          <w:rFonts w:ascii="Arial" w:cs="Arial" w:eastAsia="Arial" w:hAnsi="Arial"/>
          <w:sz w:val="18"/>
          <w:szCs w:val="18"/>
          <w:color w:val="auto"/>
        </w:rPr>
        <w:t>By: /s/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-1905</wp:posOffset>
            </wp:positionV>
            <wp:extent cx="33274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ind w:left="6280"/>
        <w:spacing w:after="0"/>
        <w:rPr>
          <w:sz w:val="20"/>
          <w:szCs w:val="20"/>
          <w:color w:val="auto"/>
        </w:rPr>
      </w:pPr>
      <w:r>
        <w:rPr>
          <w:rFonts w:ascii="Arial" w:cs="Arial" w:eastAsia="Arial" w:hAnsi="Arial"/>
          <w:sz w:val="18"/>
          <w:szCs w:val="18"/>
          <w:color w:val="auto"/>
        </w:rPr>
        <w:t>Derek J. Kerr</w:t>
      </w:r>
    </w:p>
    <w:p>
      <w:pPr>
        <w:ind w:left="6280"/>
        <w:spacing w:after="0" w:line="234" w:lineRule="auto"/>
        <w:rPr>
          <w:sz w:val="20"/>
          <w:szCs w:val="20"/>
          <w:color w:val="auto"/>
        </w:rPr>
      </w:pPr>
      <w:r>
        <w:rPr>
          <w:rFonts w:ascii="Arial" w:cs="Arial" w:eastAsia="Arial" w:hAnsi="Arial"/>
          <w:sz w:val="18"/>
          <w:szCs w:val="18"/>
          <w:color w:val="auto"/>
        </w:rPr>
        <w:t>Executive Vice President and Chief Financial Officer</w:t>
      </w:r>
    </w:p>
    <w:p>
      <w:pPr>
        <w:spacing w:after="0" w:line="1"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(Duly Authorized Officer and Principal Financial Officer)</w:t>
      </w:r>
    </w:p>
    <w:p>
      <w:pPr>
        <w:spacing w:after="0" w:line="212" w:lineRule="exact"/>
        <w:rPr>
          <w:sz w:val="20"/>
          <w:szCs w:val="20"/>
          <w:color w:val="auto"/>
        </w:rPr>
      </w:pPr>
    </w:p>
    <w:p>
      <w:pPr>
        <w:ind w:firstLine="228"/>
        <w:spacing w:after="0" w:line="246"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2"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American Airlines, Inc.</w:t>
      </w:r>
    </w:p>
    <w:p>
      <w:pPr>
        <w:spacing w:after="0" w:line="234"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July 28, 2017</w:t>
      </w:r>
      <w:r>
        <w:rPr>
          <w:sz w:val="20"/>
          <w:szCs w:val="20"/>
          <w:color w:val="auto"/>
        </w:rPr>
        <w:tab/>
      </w:r>
      <w:r>
        <w:rPr>
          <w:rFonts w:ascii="Arial" w:cs="Arial" w:eastAsia="Arial" w:hAnsi="Arial"/>
          <w:sz w:val="18"/>
          <w:szCs w:val="18"/>
          <w:color w:val="auto"/>
        </w:rPr>
        <w:t>By: /s/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-1905</wp:posOffset>
            </wp:positionV>
            <wp:extent cx="33274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ind w:left="6280"/>
        <w:spacing w:after="0"/>
        <w:rPr>
          <w:sz w:val="20"/>
          <w:szCs w:val="20"/>
          <w:color w:val="auto"/>
        </w:rPr>
      </w:pPr>
      <w:r>
        <w:rPr>
          <w:rFonts w:ascii="Arial" w:cs="Arial" w:eastAsia="Arial" w:hAnsi="Arial"/>
          <w:sz w:val="18"/>
          <w:szCs w:val="18"/>
          <w:color w:val="auto"/>
        </w:rPr>
        <w:t>Derek J. Kerr</w:t>
      </w:r>
    </w:p>
    <w:p>
      <w:pPr>
        <w:ind w:left="6280"/>
        <w:spacing w:after="0" w:line="234" w:lineRule="auto"/>
        <w:rPr>
          <w:sz w:val="20"/>
          <w:szCs w:val="20"/>
          <w:color w:val="auto"/>
        </w:rPr>
      </w:pPr>
      <w:r>
        <w:rPr>
          <w:rFonts w:ascii="Arial" w:cs="Arial" w:eastAsia="Arial" w:hAnsi="Arial"/>
          <w:sz w:val="18"/>
          <w:szCs w:val="18"/>
          <w:color w:val="auto"/>
        </w:rPr>
        <w:t>Executive Vice President and Chief Financial Officer</w:t>
      </w:r>
    </w:p>
    <w:p>
      <w:pPr>
        <w:spacing w:after="0" w:line="1"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(Duly Authorized Officer and Principal Financial Officer)</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265" w:right="2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39"/>
        </w:trPr>
        <w:tc>
          <w:tcPr>
            <w:tcW w:w="560" w:type="dxa"/>
            <w:vAlign w:val="bottom"/>
          </w:tcPr>
          <w:p>
            <w:pPr>
              <w:spacing w:after="0"/>
              <w:rPr>
                <w:sz w:val="20"/>
                <w:szCs w:val="20"/>
                <w:color w:val="auto"/>
              </w:rPr>
            </w:pPr>
          </w:p>
        </w:tc>
        <w:tc>
          <w:tcPr>
            <w:tcW w:w="10860" w:type="dxa"/>
            <w:vAlign w:val="bottom"/>
            <w:gridSpan w:val="3"/>
          </w:tcPr>
          <w:p>
            <w:pPr>
              <w:ind w:left="4500"/>
              <w:spacing w:after="0"/>
              <w:rPr>
                <w:sz w:val="20"/>
                <w:szCs w:val="20"/>
                <w:color w:val="auto"/>
              </w:rPr>
            </w:pPr>
            <w:r>
              <w:rPr>
                <w:rFonts w:ascii="Arial" w:cs="Arial" w:eastAsia="Arial" w:hAnsi="Arial"/>
                <w:sz w:val="18"/>
                <w:szCs w:val="18"/>
                <w:b w:val="1"/>
                <w:bCs w:val="1"/>
                <w:color w:val="auto"/>
              </w:rPr>
              <w:t>EXHIBIT INDEX</w:t>
            </w:r>
          </w:p>
        </w:tc>
      </w:tr>
      <w:tr>
        <w:trPr>
          <w:trHeight w:val="378"/>
        </w:trPr>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Exhibit</w:t>
            </w:r>
          </w:p>
        </w:tc>
        <w:tc>
          <w:tcPr>
            <w:tcW w:w="5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760" w:type="dxa"/>
            <w:vAlign w:val="bottom"/>
          </w:tcPr>
          <w:p>
            <w:pPr>
              <w:spacing w:after="0"/>
              <w:rPr>
                <w:sz w:val="24"/>
                <w:szCs w:val="24"/>
                <w:color w:val="auto"/>
              </w:rPr>
            </w:pPr>
          </w:p>
        </w:tc>
      </w:tr>
      <w:tr>
        <w:trPr>
          <w:trHeight w:val="175"/>
        </w:trPr>
        <w:tc>
          <w:tcPr>
            <w:tcW w:w="560" w:type="dxa"/>
            <w:vAlign w:val="bottom"/>
          </w:tcPr>
          <w:p>
            <w:pPr>
              <w:ind w:left="20"/>
              <w:spacing w:after="0"/>
              <w:rPr>
                <w:sz w:val="20"/>
                <w:szCs w:val="20"/>
                <w:color w:val="auto"/>
              </w:rPr>
            </w:pPr>
            <w:r>
              <w:rPr>
                <w:rFonts w:ascii="Arial" w:cs="Arial" w:eastAsia="Arial" w:hAnsi="Arial"/>
                <w:sz w:val="14"/>
                <w:szCs w:val="14"/>
                <w:b w:val="1"/>
                <w:bCs w:val="1"/>
                <w:color w:val="auto"/>
                <w:w w:val="98"/>
              </w:rPr>
              <w:t>Number</w:t>
            </w:r>
          </w:p>
        </w:tc>
        <w:tc>
          <w:tcPr>
            <w:tcW w:w="5300" w:type="dxa"/>
            <w:vAlign w:val="bottom"/>
          </w:tcPr>
          <w:p>
            <w:pPr>
              <w:spacing w:after="0"/>
              <w:rPr>
                <w:sz w:val="15"/>
                <w:szCs w:val="15"/>
                <w:color w:val="auto"/>
              </w:rPr>
            </w:pPr>
          </w:p>
        </w:tc>
        <w:tc>
          <w:tcPr>
            <w:tcW w:w="5560" w:type="dxa"/>
            <w:vAlign w:val="bottom"/>
            <w:gridSpan w:val="2"/>
          </w:tcPr>
          <w:p>
            <w:pPr>
              <w:ind w:left="2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560" w:type="dxa"/>
            <w:vAlign w:val="bottom"/>
            <w:shd w:val="clear" w:color="auto" w:fill="000000"/>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r>
        <w:trPr>
          <w:trHeight w:val="303"/>
        </w:trPr>
        <w:tc>
          <w:tcPr>
            <w:tcW w:w="560" w:type="dxa"/>
            <w:vAlign w:val="bottom"/>
          </w:tcPr>
          <w:p>
            <w:pPr>
              <w:jc w:val="right"/>
              <w:ind w:right="12"/>
              <w:spacing w:after="0"/>
              <w:rPr>
                <w:sz w:val="20"/>
                <w:szCs w:val="20"/>
                <w:color w:val="auto"/>
              </w:rPr>
            </w:pPr>
            <w:r>
              <w:rPr>
                <w:rFonts w:ascii="Arial" w:cs="Arial" w:eastAsia="Arial" w:hAnsi="Arial"/>
                <w:sz w:val="18"/>
                <w:szCs w:val="18"/>
                <w:color w:val="auto"/>
                <w:w w:val="97"/>
              </w:rPr>
              <w:t>10.1#</w:t>
            </w:r>
          </w:p>
        </w:tc>
        <w:tc>
          <w:tcPr>
            <w:tcW w:w="10860" w:type="dxa"/>
            <w:vAlign w:val="bottom"/>
            <w:gridSpan w:val="3"/>
          </w:tcPr>
          <w:p>
            <w:pPr>
              <w:ind w:left="560"/>
              <w:spacing w:after="0"/>
              <w:rPr>
                <w:sz w:val="20"/>
                <w:szCs w:val="20"/>
                <w:color w:val="auto"/>
              </w:rPr>
            </w:pPr>
            <w:r>
              <w:rPr>
                <w:rFonts w:ascii="Arial" w:cs="Arial" w:eastAsia="Arial" w:hAnsi="Arial"/>
                <w:sz w:val="18"/>
                <w:szCs w:val="18"/>
                <w:color w:val="auto"/>
              </w:rPr>
              <w:t>Form of Letter Agreement, dated April 25, 2017, by and between American Airlines Group Inc. and each of Robert D. Isom, Jr.,</w:t>
            </w:r>
          </w:p>
        </w:tc>
      </w:tr>
      <w:tr>
        <w:trPr>
          <w:trHeight w:val="203"/>
        </w:trPr>
        <w:tc>
          <w:tcPr>
            <w:tcW w:w="560" w:type="dxa"/>
            <w:vAlign w:val="bottom"/>
          </w:tcPr>
          <w:p>
            <w:pPr>
              <w:spacing w:after="0"/>
              <w:rPr>
                <w:sz w:val="17"/>
                <w:szCs w:val="17"/>
                <w:color w:val="auto"/>
              </w:rPr>
            </w:pPr>
          </w:p>
        </w:tc>
        <w:tc>
          <w:tcPr>
            <w:tcW w:w="10860" w:type="dxa"/>
            <w:vAlign w:val="bottom"/>
            <w:gridSpan w:val="3"/>
          </w:tcPr>
          <w:p>
            <w:pPr>
              <w:ind w:left="560"/>
              <w:spacing w:after="0" w:line="202" w:lineRule="exact"/>
              <w:rPr>
                <w:sz w:val="20"/>
                <w:szCs w:val="20"/>
                <w:color w:val="auto"/>
              </w:rPr>
            </w:pPr>
            <w:r>
              <w:rPr>
                <w:rFonts w:ascii="Arial" w:cs="Arial" w:eastAsia="Arial" w:hAnsi="Arial"/>
                <w:sz w:val="18"/>
                <w:szCs w:val="18"/>
                <w:color w:val="auto"/>
              </w:rPr>
              <w:t>Elise Eberwein, Stephen L. Johnson and Derek J. Kerr (incorporated by reference to Exhibit 10.1 to AAG’s Current Report on</w:t>
            </w:r>
          </w:p>
        </w:tc>
      </w:tr>
      <w:tr>
        <w:trPr>
          <w:trHeight w:val="217"/>
        </w:trPr>
        <w:tc>
          <w:tcPr>
            <w:tcW w:w="560" w:type="dxa"/>
            <w:vAlign w:val="bottom"/>
          </w:tcPr>
          <w:p>
            <w:pPr>
              <w:spacing w:after="0"/>
              <w:rPr>
                <w:sz w:val="18"/>
                <w:szCs w:val="18"/>
                <w:color w:val="auto"/>
              </w:rPr>
            </w:pPr>
          </w:p>
        </w:tc>
        <w:tc>
          <w:tcPr>
            <w:tcW w:w="10860" w:type="dxa"/>
            <w:vAlign w:val="bottom"/>
            <w:gridSpan w:val="3"/>
          </w:tcPr>
          <w:p>
            <w:pPr>
              <w:ind w:left="560"/>
              <w:spacing w:after="0"/>
              <w:rPr>
                <w:sz w:val="20"/>
                <w:szCs w:val="20"/>
                <w:color w:val="auto"/>
              </w:rPr>
            </w:pPr>
            <w:r>
              <w:rPr>
                <w:rFonts w:ascii="Arial" w:cs="Arial" w:eastAsia="Arial" w:hAnsi="Arial"/>
                <w:sz w:val="18"/>
                <w:szCs w:val="18"/>
                <w:color w:val="auto"/>
              </w:rPr>
              <w:t>Form 8-K filed on May 1, 2017 (Commission File No. 1-2691)).</w:t>
            </w:r>
          </w:p>
        </w:tc>
      </w:tr>
      <w:tr>
        <w:trPr>
          <w:trHeight w:val="296"/>
        </w:trPr>
        <w:tc>
          <w:tcPr>
            <w:tcW w:w="560" w:type="dxa"/>
            <w:vAlign w:val="bottom"/>
          </w:tcPr>
          <w:p>
            <w:pPr>
              <w:jc w:val="right"/>
              <w:ind w:right="12"/>
              <w:spacing w:after="0"/>
              <w:rPr>
                <w:sz w:val="20"/>
                <w:szCs w:val="20"/>
                <w:color w:val="auto"/>
              </w:rPr>
            </w:pPr>
            <w:r>
              <w:rPr>
                <w:rFonts w:ascii="Arial" w:cs="Arial" w:eastAsia="Arial" w:hAnsi="Arial"/>
                <w:sz w:val="18"/>
                <w:szCs w:val="18"/>
                <w:color w:val="auto"/>
              </w:rPr>
              <w:t>10.2</w:t>
            </w:r>
          </w:p>
        </w:tc>
        <w:tc>
          <w:tcPr>
            <w:tcW w:w="10860" w:type="dxa"/>
            <w:vAlign w:val="bottom"/>
            <w:gridSpan w:val="3"/>
          </w:tcPr>
          <w:p>
            <w:pPr>
              <w:ind w:left="560"/>
              <w:spacing w:after="0"/>
              <w:rPr>
                <w:sz w:val="20"/>
                <w:szCs w:val="20"/>
                <w:color w:val="auto"/>
              </w:rPr>
            </w:pPr>
            <w:r>
              <w:rPr>
                <w:rFonts w:ascii="Arial" w:cs="Arial" w:eastAsia="Arial" w:hAnsi="Arial"/>
                <w:sz w:val="18"/>
                <w:szCs w:val="18"/>
                <w:color w:val="auto"/>
              </w:rPr>
              <w:t>Third Amendment to the Amended and Restated Credit and Guaranty Agreement, dated as of June 14, 2016, amending the</w:t>
            </w:r>
          </w:p>
        </w:tc>
      </w:tr>
      <w:tr>
        <w:trPr>
          <w:trHeight w:val="203"/>
        </w:trPr>
        <w:tc>
          <w:tcPr>
            <w:tcW w:w="560" w:type="dxa"/>
            <w:vAlign w:val="bottom"/>
          </w:tcPr>
          <w:p>
            <w:pPr>
              <w:spacing w:after="0"/>
              <w:rPr>
                <w:sz w:val="17"/>
                <w:szCs w:val="17"/>
                <w:color w:val="auto"/>
              </w:rPr>
            </w:pPr>
          </w:p>
        </w:tc>
        <w:tc>
          <w:tcPr>
            <w:tcW w:w="10860" w:type="dxa"/>
            <w:vAlign w:val="bottom"/>
            <w:gridSpan w:val="3"/>
          </w:tcPr>
          <w:p>
            <w:pPr>
              <w:ind w:left="560"/>
              <w:spacing w:after="0" w:line="202" w:lineRule="exact"/>
              <w:rPr>
                <w:sz w:val="20"/>
                <w:szCs w:val="20"/>
                <w:color w:val="auto"/>
              </w:rPr>
            </w:pPr>
            <w:r>
              <w:rPr>
                <w:rFonts w:ascii="Arial" w:cs="Arial" w:eastAsia="Arial" w:hAnsi="Arial"/>
                <w:sz w:val="18"/>
                <w:szCs w:val="18"/>
                <w:color w:val="auto"/>
              </w:rPr>
              <w:t>Amended and Restated Credit and Guaranty Agreement, dated as of April 20, 2015, among American Airlines, Inc., American</w:t>
            </w:r>
          </w:p>
        </w:tc>
      </w:tr>
      <w:tr>
        <w:trPr>
          <w:trHeight w:val="203"/>
        </w:trPr>
        <w:tc>
          <w:tcPr>
            <w:tcW w:w="560" w:type="dxa"/>
            <w:vAlign w:val="bottom"/>
          </w:tcPr>
          <w:p>
            <w:pPr>
              <w:spacing w:after="0"/>
              <w:rPr>
                <w:sz w:val="17"/>
                <w:szCs w:val="17"/>
                <w:color w:val="auto"/>
              </w:rPr>
            </w:pPr>
          </w:p>
        </w:tc>
        <w:tc>
          <w:tcPr>
            <w:tcW w:w="10860" w:type="dxa"/>
            <w:vAlign w:val="bottom"/>
            <w:gridSpan w:val="3"/>
          </w:tcPr>
          <w:p>
            <w:pPr>
              <w:ind w:left="560"/>
              <w:spacing w:after="0" w:line="202" w:lineRule="exact"/>
              <w:rPr>
                <w:sz w:val="20"/>
                <w:szCs w:val="20"/>
                <w:color w:val="auto"/>
              </w:rPr>
            </w:pPr>
            <w:r>
              <w:rPr>
                <w:rFonts w:ascii="Arial" w:cs="Arial" w:eastAsia="Arial" w:hAnsi="Arial"/>
                <w:sz w:val="18"/>
                <w:szCs w:val="18"/>
                <w:color w:val="auto"/>
              </w:rPr>
              <w:t>Airlines Group Inc., the lenders from time to time party thereto, Citibank N.A., as administrative agent, and certain other parties</w:t>
            </w:r>
          </w:p>
        </w:tc>
      </w:tr>
      <w:tr>
        <w:trPr>
          <w:trHeight w:val="217"/>
        </w:trPr>
        <w:tc>
          <w:tcPr>
            <w:tcW w:w="560" w:type="dxa"/>
            <w:vAlign w:val="bottom"/>
          </w:tcPr>
          <w:p>
            <w:pPr>
              <w:spacing w:after="0"/>
              <w:rPr>
                <w:sz w:val="18"/>
                <w:szCs w:val="18"/>
                <w:color w:val="auto"/>
              </w:rPr>
            </w:pPr>
          </w:p>
        </w:tc>
        <w:tc>
          <w:tcPr>
            <w:tcW w:w="10860" w:type="dxa"/>
            <w:vAlign w:val="bottom"/>
            <w:gridSpan w:val="3"/>
          </w:tcPr>
          <w:p>
            <w:pPr>
              <w:ind w:left="560"/>
              <w:spacing w:after="0"/>
              <w:rPr>
                <w:sz w:val="20"/>
                <w:szCs w:val="20"/>
                <w:color w:val="auto"/>
              </w:rPr>
            </w:pPr>
            <w:r>
              <w:rPr>
                <w:rFonts w:ascii="Arial" w:cs="Arial" w:eastAsia="Arial" w:hAnsi="Arial"/>
                <w:sz w:val="18"/>
                <w:szCs w:val="18"/>
                <w:color w:val="auto"/>
              </w:rPr>
              <w:t>thereto.</w:t>
            </w:r>
          </w:p>
        </w:tc>
      </w:tr>
      <w:tr>
        <w:trPr>
          <w:trHeight w:val="296"/>
        </w:trPr>
        <w:tc>
          <w:tcPr>
            <w:tcW w:w="560" w:type="dxa"/>
            <w:vAlign w:val="bottom"/>
          </w:tcPr>
          <w:p>
            <w:pPr>
              <w:spacing w:after="0"/>
              <w:rPr>
                <w:sz w:val="20"/>
                <w:szCs w:val="20"/>
                <w:color w:val="auto"/>
              </w:rPr>
            </w:pPr>
            <w:r>
              <w:rPr>
                <w:rFonts w:ascii="Arial" w:cs="Arial" w:eastAsia="Arial" w:hAnsi="Arial"/>
                <w:sz w:val="18"/>
                <w:szCs w:val="18"/>
                <w:color w:val="auto"/>
              </w:rPr>
              <w:t>10.3*</w:t>
            </w:r>
          </w:p>
        </w:tc>
        <w:tc>
          <w:tcPr>
            <w:tcW w:w="10860" w:type="dxa"/>
            <w:vAlign w:val="bottom"/>
            <w:gridSpan w:val="3"/>
          </w:tcPr>
          <w:p>
            <w:pPr>
              <w:ind w:left="560"/>
              <w:spacing w:after="0"/>
              <w:rPr>
                <w:sz w:val="20"/>
                <w:szCs w:val="20"/>
                <w:color w:val="auto"/>
              </w:rPr>
            </w:pPr>
            <w:r>
              <w:rPr>
                <w:rFonts w:ascii="Arial" w:cs="Arial" w:eastAsia="Arial" w:hAnsi="Arial"/>
                <w:sz w:val="18"/>
                <w:szCs w:val="18"/>
                <w:color w:val="auto"/>
              </w:rPr>
              <w:t>Amendment No. 9, dated as of April 24, 2017, to the Amended and Restated Airbus A350 XWB Purchase Agreement, dated as</w:t>
            </w:r>
          </w:p>
        </w:tc>
      </w:tr>
      <w:tr>
        <w:trPr>
          <w:trHeight w:val="217"/>
        </w:trPr>
        <w:tc>
          <w:tcPr>
            <w:tcW w:w="560" w:type="dxa"/>
            <w:vAlign w:val="bottom"/>
          </w:tcPr>
          <w:p>
            <w:pPr>
              <w:spacing w:after="0"/>
              <w:rPr>
                <w:sz w:val="18"/>
                <w:szCs w:val="18"/>
                <w:color w:val="auto"/>
              </w:rPr>
            </w:pPr>
          </w:p>
        </w:tc>
        <w:tc>
          <w:tcPr>
            <w:tcW w:w="10860" w:type="dxa"/>
            <w:vAlign w:val="bottom"/>
            <w:gridSpan w:val="3"/>
          </w:tcPr>
          <w:p>
            <w:pPr>
              <w:ind w:left="560"/>
              <w:spacing w:after="0"/>
              <w:rPr>
                <w:sz w:val="20"/>
                <w:szCs w:val="20"/>
                <w:color w:val="auto"/>
              </w:rPr>
            </w:pPr>
            <w:r>
              <w:rPr>
                <w:rFonts w:ascii="Arial" w:cs="Arial" w:eastAsia="Arial" w:hAnsi="Arial"/>
                <w:sz w:val="18"/>
                <w:szCs w:val="18"/>
                <w:color w:val="auto"/>
              </w:rPr>
              <w:t>of October 2, 2007, by and between American Airlines, Inc. and Airbus S.A.S.</w:t>
            </w:r>
          </w:p>
        </w:tc>
      </w:tr>
      <w:tr>
        <w:trPr>
          <w:trHeight w:val="296"/>
        </w:trPr>
        <w:tc>
          <w:tcPr>
            <w:tcW w:w="560" w:type="dxa"/>
            <w:vAlign w:val="bottom"/>
          </w:tcPr>
          <w:p>
            <w:pPr>
              <w:spacing w:after="0"/>
              <w:rPr>
                <w:sz w:val="20"/>
                <w:szCs w:val="20"/>
                <w:color w:val="auto"/>
              </w:rPr>
            </w:pPr>
            <w:r>
              <w:rPr>
                <w:rFonts w:ascii="Arial" w:cs="Arial" w:eastAsia="Arial" w:hAnsi="Arial"/>
                <w:sz w:val="18"/>
                <w:szCs w:val="18"/>
                <w:color w:val="auto"/>
              </w:rPr>
              <w:t>10.4*</w:t>
            </w:r>
          </w:p>
        </w:tc>
        <w:tc>
          <w:tcPr>
            <w:tcW w:w="10860" w:type="dxa"/>
            <w:vAlign w:val="bottom"/>
            <w:gridSpan w:val="3"/>
          </w:tcPr>
          <w:p>
            <w:pPr>
              <w:ind w:left="560"/>
              <w:spacing w:after="0"/>
              <w:rPr>
                <w:sz w:val="20"/>
                <w:szCs w:val="20"/>
                <w:color w:val="auto"/>
              </w:rPr>
            </w:pPr>
            <w:r>
              <w:rPr>
                <w:rFonts w:ascii="Arial" w:cs="Arial" w:eastAsia="Arial" w:hAnsi="Arial"/>
                <w:sz w:val="18"/>
                <w:szCs w:val="18"/>
                <w:color w:val="auto"/>
              </w:rPr>
              <w:t>Third Amended and Restated Letter Agreement No. 9, dated as of April 24, 2017 to the Amended and Restated Airbus A350</w:t>
            </w:r>
          </w:p>
        </w:tc>
      </w:tr>
      <w:tr>
        <w:trPr>
          <w:trHeight w:val="217"/>
        </w:trPr>
        <w:tc>
          <w:tcPr>
            <w:tcW w:w="560" w:type="dxa"/>
            <w:vAlign w:val="bottom"/>
          </w:tcPr>
          <w:p>
            <w:pPr>
              <w:spacing w:after="0"/>
              <w:rPr>
                <w:sz w:val="18"/>
                <w:szCs w:val="18"/>
                <w:color w:val="auto"/>
              </w:rPr>
            </w:pPr>
          </w:p>
        </w:tc>
        <w:tc>
          <w:tcPr>
            <w:tcW w:w="10860" w:type="dxa"/>
            <w:vAlign w:val="bottom"/>
            <w:gridSpan w:val="3"/>
          </w:tcPr>
          <w:p>
            <w:pPr>
              <w:ind w:left="560"/>
              <w:spacing w:after="0"/>
              <w:rPr>
                <w:sz w:val="20"/>
                <w:szCs w:val="20"/>
                <w:color w:val="auto"/>
              </w:rPr>
            </w:pPr>
            <w:r>
              <w:rPr>
                <w:rFonts w:ascii="Arial" w:cs="Arial" w:eastAsia="Arial" w:hAnsi="Arial"/>
                <w:sz w:val="18"/>
                <w:szCs w:val="18"/>
                <w:color w:val="auto"/>
              </w:rPr>
              <w:t>XWB Purchase Agreement, dated as of October 2, 2007, by and between American Airlines, Inc. and Airbus S.A.S.</w:t>
            </w:r>
          </w:p>
        </w:tc>
      </w:tr>
      <w:tr>
        <w:trPr>
          <w:trHeight w:val="296"/>
        </w:trPr>
        <w:tc>
          <w:tcPr>
            <w:tcW w:w="560" w:type="dxa"/>
            <w:vAlign w:val="bottom"/>
          </w:tcPr>
          <w:p>
            <w:pPr>
              <w:spacing w:after="0"/>
              <w:rPr>
                <w:sz w:val="20"/>
                <w:szCs w:val="20"/>
                <w:color w:val="auto"/>
              </w:rPr>
            </w:pPr>
            <w:r>
              <w:rPr>
                <w:rFonts w:ascii="Arial" w:cs="Arial" w:eastAsia="Arial" w:hAnsi="Arial"/>
                <w:sz w:val="18"/>
                <w:szCs w:val="18"/>
                <w:color w:val="auto"/>
              </w:rPr>
              <w:t>10.5*</w:t>
            </w:r>
          </w:p>
        </w:tc>
        <w:tc>
          <w:tcPr>
            <w:tcW w:w="10860" w:type="dxa"/>
            <w:vAlign w:val="bottom"/>
            <w:gridSpan w:val="3"/>
          </w:tcPr>
          <w:p>
            <w:pPr>
              <w:ind w:left="560"/>
              <w:spacing w:after="0"/>
              <w:rPr>
                <w:sz w:val="20"/>
                <w:szCs w:val="20"/>
                <w:color w:val="auto"/>
              </w:rPr>
            </w:pPr>
            <w:r>
              <w:rPr>
                <w:rFonts w:ascii="Arial" w:cs="Arial" w:eastAsia="Arial" w:hAnsi="Arial"/>
                <w:sz w:val="18"/>
                <w:szCs w:val="18"/>
                <w:color w:val="auto"/>
              </w:rPr>
              <w:t>Supplemental Agreement No. 9, dated as of April 24, 2017, to Purchase Agreement No. 3219 dated as of October 15, 2008, by</w:t>
            </w:r>
          </w:p>
        </w:tc>
      </w:tr>
      <w:tr>
        <w:trPr>
          <w:trHeight w:val="217"/>
        </w:trPr>
        <w:tc>
          <w:tcPr>
            <w:tcW w:w="560" w:type="dxa"/>
            <w:vAlign w:val="bottom"/>
          </w:tcPr>
          <w:p>
            <w:pPr>
              <w:spacing w:after="0"/>
              <w:rPr>
                <w:sz w:val="18"/>
                <w:szCs w:val="18"/>
                <w:color w:val="auto"/>
              </w:rPr>
            </w:pPr>
          </w:p>
        </w:tc>
        <w:tc>
          <w:tcPr>
            <w:tcW w:w="10860" w:type="dxa"/>
            <w:vAlign w:val="bottom"/>
            <w:gridSpan w:val="3"/>
          </w:tcPr>
          <w:p>
            <w:pPr>
              <w:ind w:left="560"/>
              <w:spacing w:after="0"/>
              <w:rPr>
                <w:sz w:val="20"/>
                <w:szCs w:val="20"/>
                <w:color w:val="auto"/>
              </w:rPr>
            </w:pPr>
            <w:r>
              <w:rPr>
                <w:rFonts w:ascii="Arial" w:cs="Arial" w:eastAsia="Arial" w:hAnsi="Arial"/>
                <w:sz w:val="18"/>
                <w:szCs w:val="18"/>
                <w:color w:val="auto"/>
              </w:rPr>
              <w:t>and between American Airlines, Inc. and The Boeing Company.</w:t>
            </w:r>
          </w:p>
        </w:tc>
      </w:tr>
      <w:tr>
        <w:trPr>
          <w:trHeight w:val="296"/>
        </w:trPr>
        <w:tc>
          <w:tcPr>
            <w:tcW w:w="560" w:type="dxa"/>
            <w:vAlign w:val="bottom"/>
          </w:tcPr>
          <w:p>
            <w:pPr>
              <w:spacing w:after="0"/>
              <w:rPr>
                <w:sz w:val="20"/>
                <w:szCs w:val="20"/>
                <w:color w:val="auto"/>
              </w:rPr>
            </w:pPr>
            <w:r>
              <w:rPr>
                <w:rFonts w:ascii="Arial" w:cs="Arial" w:eastAsia="Arial" w:hAnsi="Arial"/>
                <w:sz w:val="18"/>
                <w:szCs w:val="18"/>
                <w:color w:val="auto"/>
              </w:rPr>
              <w:t>10.6*</w:t>
            </w:r>
          </w:p>
        </w:tc>
        <w:tc>
          <w:tcPr>
            <w:tcW w:w="10860" w:type="dxa"/>
            <w:vAlign w:val="bottom"/>
            <w:gridSpan w:val="3"/>
          </w:tcPr>
          <w:p>
            <w:pPr>
              <w:ind w:left="560"/>
              <w:spacing w:after="0"/>
              <w:rPr>
                <w:sz w:val="20"/>
                <w:szCs w:val="20"/>
                <w:color w:val="auto"/>
              </w:rPr>
            </w:pPr>
            <w:r>
              <w:rPr>
                <w:rFonts w:ascii="Arial" w:cs="Arial" w:eastAsia="Arial" w:hAnsi="Arial"/>
                <w:sz w:val="18"/>
                <w:szCs w:val="18"/>
                <w:color w:val="auto"/>
              </w:rPr>
              <w:t>Supplemental Agreement No. 10, dated as of May 11, 2017, to Purchase Agreement No. 3219 dated as of October 15, 2008, by</w:t>
            </w:r>
          </w:p>
        </w:tc>
      </w:tr>
      <w:tr>
        <w:trPr>
          <w:trHeight w:val="217"/>
        </w:trPr>
        <w:tc>
          <w:tcPr>
            <w:tcW w:w="560" w:type="dxa"/>
            <w:vAlign w:val="bottom"/>
          </w:tcPr>
          <w:p>
            <w:pPr>
              <w:spacing w:after="0"/>
              <w:rPr>
                <w:sz w:val="18"/>
                <w:szCs w:val="18"/>
                <w:color w:val="auto"/>
              </w:rPr>
            </w:pPr>
          </w:p>
        </w:tc>
        <w:tc>
          <w:tcPr>
            <w:tcW w:w="10860" w:type="dxa"/>
            <w:vAlign w:val="bottom"/>
            <w:gridSpan w:val="3"/>
          </w:tcPr>
          <w:p>
            <w:pPr>
              <w:ind w:left="560"/>
              <w:spacing w:after="0"/>
              <w:rPr>
                <w:sz w:val="20"/>
                <w:szCs w:val="20"/>
                <w:color w:val="auto"/>
              </w:rPr>
            </w:pPr>
            <w:r>
              <w:rPr>
                <w:rFonts w:ascii="Arial" w:cs="Arial" w:eastAsia="Arial" w:hAnsi="Arial"/>
                <w:sz w:val="18"/>
                <w:szCs w:val="18"/>
                <w:color w:val="auto"/>
              </w:rPr>
              <w:t>and between American Airlines, Inc. and The Boeing Company.</w:t>
            </w:r>
          </w:p>
        </w:tc>
      </w:tr>
      <w:tr>
        <w:trPr>
          <w:trHeight w:val="311"/>
        </w:trPr>
        <w:tc>
          <w:tcPr>
            <w:tcW w:w="560" w:type="dxa"/>
            <w:vAlign w:val="bottom"/>
          </w:tcPr>
          <w:p>
            <w:pPr>
              <w:jc w:val="right"/>
              <w:ind w:right="12"/>
              <w:spacing w:after="0"/>
              <w:rPr>
                <w:sz w:val="20"/>
                <w:szCs w:val="20"/>
                <w:color w:val="auto"/>
              </w:rPr>
            </w:pPr>
            <w:r>
              <w:rPr>
                <w:rFonts w:ascii="Arial" w:cs="Arial" w:eastAsia="Arial" w:hAnsi="Arial"/>
                <w:sz w:val="18"/>
                <w:szCs w:val="18"/>
                <w:color w:val="auto"/>
              </w:rPr>
              <w:t>12.1</w:t>
            </w:r>
          </w:p>
        </w:tc>
        <w:tc>
          <w:tcPr>
            <w:tcW w:w="10860" w:type="dxa"/>
            <w:vAlign w:val="bottom"/>
            <w:gridSpan w:val="3"/>
          </w:tcPr>
          <w:p>
            <w:pPr>
              <w:ind w:left="560"/>
              <w:spacing w:after="0"/>
              <w:rPr>
                <w:sz w:val="20"/>
                <w:szCs w:val="20"/>
                <w:color w:val="auto"/>
              </w:rPr>
            </w:pPr>
            <w:r>
              <w:rPr>
                <w:rFonts w:ascii="Arial" w:cs="Arial" w:eastAsia="Arial" w:hAnsi="Arial"/>
                <w:sz w:val="18"/>
                <w:szCs w:val="18"/>
                <w:color w:val="auto"/>
              </w:rPr>
              <w:t>Computation of ratio of earnings to fixed charges of American Airlines Group Inc. for the six months ended June 30, 2017.</w:t>
            </w:r>
          </w:p>
        </w:tc>
      </w:tr>
      <w:tr>
        <w:trPr>
          <w:trHeight w:val="311"/>
        </w:trPr>
        <w:tc>
          <w:tcPr>
            <w:tcW w:w="560" w:type="dxa"/>
            <w:vAlign w:val="bottom"/>
          </w:tcPr>
          <w:p>
            <w:pPr>
              <w:jc w:val="right"/>
              <w:ind w:right="12"/>
              <w:spacing w:after="0"/>
              <w:rPr>
                <w:sz w:val="20"/>
                <w:szCs w:val="20"/>
                <w:color w:val="auto"/>
              </w:rPr>
            </w:pPr>
            <w:r>
              <w:rPr>
                <w:rFonts w:ascii="Arial" w:cs="Arial" w:eastAsia="Arial" w:hAnsi="Arial"/>
                <w:sz w:val="18"/>
                <w:szCs w:val="18"/>
                <w:color w:val="auto"/>
              </w:rPr>
              <w:t>12.2</w:t>
            </w:r>
          </w:p>
        </w:tc>
        <w:tc>
          <w:tcPr>
            <w:tcW w:w="10860" w:type="dxa"/>
            <w:vAlign w:val="bottom"/>
            <w:gridSpan w:val="3"/>
          </w:tcPr>
          <w:p>
            <w:pPr>
              <w:ind w:left="560"/>
              <w:spacing w:after="0"/>
              <w:rPr>
                <w:sz w:val="20"/>
                <w:szCs w:val="20"/>
                <w:color w:val="auto"/>
              </w:rPr>
            </w:pPr>
            <w:r>
              <w:rPr>
                <w:rFonts w:ascii="Arial" w:cs="Arial" w:eastAsia="Arial" w:hAnsi="Arial"/>
                <w:sz w:val="18"/>
                <w:szCs w:val="18"/>
                <w:color w:val="auto"/>
              </w:rPr>
              <w:t>Computation of ratio of earnings to fixed charges of American Airlines, Inc. for the six months ended June 30, 2017.</w:t>
            </w:r>
          </w:p>
        </w:tc>
      </w:tr>
      <w:tr>
        <w:trPr>
          <w:trHeight w:val="311"/>
        </w:trPr>
        <w:tc>
          <w:tcPr>
            <w:tcW w:w="560" w:type="dxa"/>
            <w:vAlign w:val="bottom"/>
          </w:tcPr>
          <w:p>
            <w:pPr>
              <w:jc w:val="right"/>
              <w:ind w:right="12"/>
              <w:spacing w:after="0"/>
              <w:rPr>
                <w:sz w:val="20"/>
                <w:szCs w:val="20"/>
                <w:color w:val="auto"/>
              </w:rPr>
            </w:pPr>
            <w:r>
              <w:rPr>
                <w:rFonts w:ascii="Arial" w:cs="Arial" w:eastAsia="Arial" w:hAnsi="Arial"/>
                <w:sz w:val="18"/>
                <w:szCs w:val="18"/>
                <w:color w:val="auto"/>
              </w:rPr>
              <w:t>31.1</w:t>
            </w:r>
          </w:p>
        </w:tc>
        <w:tc>
          <w:tcPr>
            <w:tcW w:w="10860" w:type="dxa"/>
            <w:vAlign w:val="bottom"/>
            <w:gridSpan w:val="3"/>
          </w:tcPr>
          <w:p>
            <w:pPr>
              <w:ind w:left="560"/>
              <w:spacing w:after="0"/>
              <w:rPr>
                <w:sz w:val="20"/>
                <w:szCs w:val="20"/>
                <w:color w:val="auto"/>
              </w:rPr>
            </w:pPr>
            <w:r>
              <w:rPr>
                <w:rFonts w:ascii="Arial" w:cs="Arial" w:eastAsia="Arial" w:hAnsi="Arial"/>
                <w:sz w:val="18"/>
                <w:szCs w:val="18"/>
                <w:color w:val="auto"/>
              </w:rPr>
              <w:t>Certification of AAG Chief Executive Officer pursuant to Rule 13a-14(a).</w:t>
            </w:r>
          </w:p>
        </w:tc>
      </w:tr>
      <w:tr>
        <w:trPr>
          <w:trHeight w:val="311"/>
        </w:trPr>
        <w:tc>
          <w:tcPr>
            <w:tcW w:w="560" w:type="dxa"/>
            <w:vAlign w:val="bottom"/>
          </w:tcPr>
          <w:p>
            <w:pPr>
              <w:jc w:val="right"/>
              <w:ind w:right="12"/>
              <w:spacing w:after="0"/>
              <w:rPr>
                <w:sz w:val="20"/>
                <w:szCs w:val="20"/>
                <w:color w:val="auto"/>
              </w:rPr>
            </w:pPr>
            <w:r>
              <w:rPr>
                <w:rFonts w:ascii="Arial" w:cs="Arial" w:eastAsia="Arial" w:hAnsi="Arial"/>
                <w:sz w:val="18"/>
                <w:szCs w:val="18"/>
                <w:color w:val="auto"/>
              </w:rPr>
              <w:t>31.2</w:t>
            </w:r>
          </w:p>
        </w:tc>
        <w:tc>
          <w:tcPr>
            <w:tcW w:w="10860" w:type="dxa"/>
            <w:vAlign w:val="bottom"/>
            <w:gridSpan w:val="3"/>
          </w:tcPr>
          <w:p>
            <w:pPr>
              <w:ind w:left="560"/>
              <w:spacing w:after="0"/>
              <w:rPr>
                <w:sz w:val="20"/>
                <w:szCs w:val="20"/>
                <w:color w:val="auto"/>
              </w:rPr>
            </w:pPr>
            <w:r>
              <w:rPr>
                <w:rFonts w:ascii="Arial" w:cs="Arial" w:eastAsia="Arial" w:hAnsi="Arial"/>
                <w:sz w:val="18"/>
                <w:szCs w:val="18"/>
                <w:color w:val="auto"/>
              </w:rPr>
              <w:t>Certification of AAG Chief Financial Officer pursuant to Rule 13a-14(a).</w:t>
            </w:r>
          </w:p>
        </w:tc>
      </w:tr>
      <w:tr>
        <w:trPr>
          <w:trHeight w:val="311"/>
        </w:trPr>
        <w:tc>
          <w:tcPr>
            <w:tcW w:w="560" w:type="dxa"/>
            <w:vAlign w:val="bottom"/>
          </w:tcPr>
          <w:p>
            <w:pPr>
              <w:jc w:val="right"/>
              <w:ind w:right="12"/>
              <w:spacing w:after="0"/>
              <w:rPr>
                <w:sz w:val="20"/>
                <w:szCs w:val="20"/>
                <w:color w:val="auto"/>
              </w:rPr>
            </w:pPr>
            <w:r>
              <w:rPr>
                <w:rFonts w:ascii="Arial" w:cs="Arial" w:eastAsia="Arial" w:hAnsi="Arial"/>
                <w:sz w:val="18"/>
                <w:szCs w:val="18"/>
                <w:color w:val="auto"/>
              </w:rPr>
              <w:t>31.3</w:t>
            </w:r>
          </w:p>
        </w:tc>
        <w:tc>
          <w:tcPr>
            <w:tcW w:w="10860" w:type="dxa"/>
            <w:vAlign w:val="bottom"/>
            <w:gridSpan w:val="3"/>
          </w:tcPr>
          <w:p>
            <w:pPr>
              <w:ind w:left="560"/>
              <w:spacing w:after="0"/>
              <w:rPr>
                <w:sz w:val="20"/>
                <w:szCs w:val="20"/>
                <w:color w:val="auto"/>
              </w:rPr>
            </w:pPr>
            <w:r>
              <w:rPr>
                <w:rFonts w:ascii="Arial" w:cs="Arial" w:eastAsia="Arial" w:hAnsi="Arial"/>
                <w:sz w:val="18"/>
                <w:szCs w:val="18"/>
                <w:color w:val="auto"/>
              </w:rPr>
              <w:t>Certification of American Chief Executive Officer pursuant to Rule 13a-14(a).</w:t>
            </w:r>
          </w:p>
        </w:tc>
      </w:tr>
      <w:tr>
        <w:trPr>
          <w:trHeight w:val="311"/>
        </w:trPr>
        <w:tc>
          <w:tcPr>
            <w:tcW w:w="560" w:type="dxa"/>
            <w:vAlign w:val="bottom"/>
          </w:tcPr>
          <w:p>
            <w:pPr>
              <w:jc w:val="right"/>
              <w:ind w:right="12"/>
              <w:spacing w:after="0"/>
              <w:rPr>
                <w:sz w:val="20"/>
                <w:szCs w:val="20"/>
                <w:color w:val="auto"/>
              </w:rPr>
            </w:pPr>
            <w:r>
              <w:rPr>
                <w:rFonts w:ascii="Arial" w:cs="Arial" w:eastAsia="Arial" w:hAnsi="Arial"/>
                <w:sz w:val="18"/>
                <w:szCs w:val="18"/>
                <w:color w:val="auto"/>
              </w:rPr>
              <w:t>31.4</w:t>
            </w:r>
          </w:p>
        </w:tc>
        <w:tc>
          <w:tcPr>
            <w:tcW w:w="10860" w:type="dxa"/>
            <w:vAlign w:val="bottom"/>
            <w:gridSpan w:val="3"/>
          </w:tcPr>
          <w:p>
            <w:pPr>
              <w:ind w:left="560"/>
              <w:spacing w:after="0"/>
              <w:rPr>
                <w:sz w:val="20"/>
                <w:szCs w:val="20"/>
                <w:color w:val="auto"/>
              </w:rPr>
            </w:pPr>
            <w:r>
              <w:rPr>
                <w:rFonts w:ascii="Arial" w:cs="Arial" w:eastAsia="Arial" w:hAnsi="Arial"/>
                <w:sz w:val="18"/>
                <w:szCs w:val="18"/>
                <w:color w:val="auto"/>
              </w:rPr>
              <w:t>Certification of American Chief Financial Officer pursuant to Rule 13a-14(a).</w:t>
            </w:r>
          </w:p>
        </w:tc>
      </w:tr>
      <w:tr>
        <w:trPr>
          <w:trHeight w:val="296"/>
        </w:trPr>
        <w:tc>
          <w:tcPr>
            <w:tcW w:w="560" w:type="dxa"/>
            <w:vAlign w:val="bottom"/>
          </w:tcPr>
          <w:p>
            <w:pPr>
              <w:jc w:val="right"/>
              <w:ind w:right="12"/>
              <w:spacing w:after="0"/>
              <w:rPr>
                <w:sz w:val="20"/>
                <w:szCs w:val="20"/>
                <w:color w:val="auto"/>
              </w:rPr>
            </w:pPr>
            <w:r>
              <w:rPr>
                <w:rFonts w:ascii="Arial" w:cs="Arial" w:eastAsia="Arial" w:hAnsi="Arial"/>
                <w:sz w:val="18"/>
                <w:szCs w:val="18"/>
                <w:color w:val="auto"/>
              </w:rPr>
              <w:t>32.1</w:t>
            </w:r>
          </w:p>
        </w:tc>
        <w:tc>
          <w:tcPr>
            <w:tcW w:w="10860" w:type="dxa"/>
            <w:vAlign w:val="bottom"/>
            <w:gridSpan w:val="3"/>
          </w:tcPr>
          <w:p>
            <w:pPr>
              <w:ind w:left="560"/>
              <w:spacing w:after="0"/>
              <w:rPr>
                <w:sz w:val="20"/>
                <w:szCs w:val="20"/>
                <w:color w:val="auto"/>
              </w:rPr>
            </w:pPr>
            <w:r>
              <w:rPr>
                <w:rFonts w:ascii="Arial" w:cs="Arial" w:eastAsia="Arial" w:hAnsi="Arial"/>
                <w:sz w:val="18"/>
                <w:szCs w:val="18"/>
                <w:color w:val="auto"/>
              </w:rPr>
              <w:t>AAG Certification pursuant to Rule 13a-14(b) and section 906 of the Sarbanes-Oxley Act of 2002 (subsections (a) and (b) of</w:t>
            </w:r>
          </w:p>
        </w:tc>
      </w:tr>
      <w:tr>
        <w:trPr>
          <w:trHeight w:val="217"/>
        </w:trPr>
        <w:tc>
          <w:tcPr>
            <w:tcW w:w="560" w:type="dxa"/>
            <w:vAlign w:val="bottom"/>
          </w:tcPr>
          <w:p>
            <w:pPr>
              <w:spacing w:after="0"/>
              <w:rPr>
                <w:sz w:val="18"/>
                <w:szCs w:val="18"/>
                <w:color w:val="auto"/>
              </w:rPr>
            </w:pPr>
          </w:p>
        </w:tc>
        <w:tc>
          <w:tcPr>
            <w:tcW w:w="10860" w:type="dxa"/>
            <w:vAlign w:val="bottom"/>
            <w:gridSpan w:val="3"/>
          </w:tcPr>
          <w:p>
            <w:pPr>
              <w:ind w:left="560"/>
              <w:spacing w:after="0"/>
              <w:rPr>
                <w:sz w:val="20"/>
                <w:szCs w:val="20"/>
                <w:color w:val="auto"/>
              </w:rPr>
            </w:pPr>
            <w:r>
              <w:rPr>
                <w:rFonts w:ascii="Arial" w:cs="Arial" w:eastAsia="Arial" w:hAnsi="Arial"/>
                <w:sz w:val="18"/>
                <w:szCs w:val="18"/>
                <w:color w:val="auto"/>
              </w:rPr>
              <w:t>section 1350, chapter 63 of title 18, United States Code).</w:t>
            </w:r>
          </w:p>
        </w:tc>
      </w:tr>
      <w:tr>
        <w:trPr>
          <w:trHeight w:val="296"/>
        </w:trPr>
        <w:tc>
          <w:tcPr>
            <w:tcW w:w="560" w:type="dxa"/>
            <w:vAlign w:val="bottom"/>
          </w:tcPr>
          <w:p>
            <w:pPr>
              <w:jc w:val="right"/>
              <w:ind w:right="12"/>
              <w:spacing w:after="0"/>
              <w:rPr>
                <w:sz w:val="20"/>
                <w:szCs w:val="20"/>
                <w:color w:val="auto"/>
              </w:rPr>
            </w:pPr>
            <w:r>
              <w:rPr>
                <w:rFonts w:ascii="Arial" w:cs="Arial" w:eastAsia="Arial" w:hAnsi="Arial"/>
                <w:sz w:val="18"/>
                <w:szCs w:val="18"/>
                <w:color w:val="auto"/>
              </w:rPr>
              <w:t>32.2</w:t>
            </w:r>
          </w:p>
        </w:tc>
        <w:tc>
          <w:tcPr>
            <w:tcW w:w="10860" w:type="dxa"/>
            <w:vAlign w:val="bottom"/>
            <w:gridSpan w:val="3"/>
          </w:tcPr>
          <w:p>
            <w:pPr>
              <w:ind w:left="560"/>
              <w:spacing w:after="0"/>
              <w:rPr>
                <w:sz w:val="20"/>
                <w:szCs w:val="20"/>
                <w:color w:val="auto"/>
              </w:rPr>
            </w:pPr>
            <w:r>
              <w:rPr>
                <w:rFonts w:ascii="Arial" w:cs="Arial" w:eastAsia="Arial" w:hAnsi="Arial"/>
                <w:sz w:val="18"/>
                <w:szCs w:val="18"/>
                <w:color w:val="auto"/>
              </w:rPr>
              <w:t>American Certification pursuant to Rule 13a-14(b) and section 906 of the Sarbanes-Oxley Act of 2002 (subsections (a) and (b) of</w:t>
            </w:r>
          </w:p>
        </w:tc>
      </w:tr>
      <w:tr>
        <w:trPr>
          <w:trHeight w:val="217"/>
        </w:trPr>
        <w:tc>
          <w:tcPr>
            <w:tcW w:w="560" w:type="dxa"/>
            <w:vAlign w:val="bottom"/>
          </w:tcPr>
          <w:p>
            <w:pPr>
              <w:spacing w:after="0"/>
              <w:rPr>
                <w:sz w:val="18"/>
                <w:szCs w:val="18"/>
                <w:color w:val="auto"/>
              </w:rPr>
            </w:pPr>
          </w:p>
        </w:tc>
        <w:tc>
          <w:tcPr>
            <w:tcW w:w="10860" w:type="dxa"/>
            <w:vAlign w:val="bottom"/>
            <w:gridSpan w:val="3"/>
          </w:tcPr>
          <w:p>
            <w:pPr>
              <w:ind w:left="560"/>
              <w:spacing w:after="0"/>
              <w:rPr>
                <w:sz w:val="20"/>
                <w:szCs w:val="20"/>
                <w:color w:val="auto"/>
              </w:rPr>
            </w:pPr>
            <w:r>
              <w:rPr>
                <w:rFonts w:ascii="Arial" w:cs="Arial" w:eastAsia="Arial" w:hAnsi="Arial"/>
                <w:sz w:val="18"/>
                <w:szCs w:val="18"/>
                <w:color w:val="auto"/>
              </w:rPr>
              <w:t>section 1350, chapter 63 of title 18, United States Code).</w:t>
            </w:r>
          </w:p>
        </w:tc>
      </w:tr>
    </w:tbl>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1120" w:hanging="1012"/>
        <w:spacing w:after="0"/>
        <w:tabs>
          <w:tab w:leader="none" w:pos="11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Interactive data files pursuant to Rule 405 of Regulation S-T.</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Confidential treatment has been requested with respect to certain portions of this agreement.</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Indicates management contract or compensatory plan.</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265" w:right="2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10.2</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THIRD AMENDMENT TO AMENDED AND RESTATED CREDIT AND GUARANTY AGREEMENT</w:t>
      </w:r>
    </w:p>
    <w:p>
      <w:pPr>
        <w:spacing w:after="0" w:line="225"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THIRD AMENDMENT TO AMENDED AND RESTATED CREDIT AND GUARANTY AGREEMENT (this “</w:t>
      </w:r>
      <w:r>
        <w:rPr>
          <w:rFonts w:ascii="Arial" w:cs="Arial" w:eastAsia="Arial" w:hAnsi="Arial"/>
          <w:sz w:val="16"/>
          <w:szCs w:val="16"/>
          <w:u w:val="single" w:color="auto"/>
          <w:color w:val="auto"/>
        </w:rPr>
        <w:t>Third Amendment</w:t>
      </w:r>
      <w:r>
        <w:rPr>
          <w:rFonts w:ascii="Arial" w:cs="Arial" w:eastAsia="Arial" w:hAnsi="Arial"/>
          <w:sz w:val="16"/>
          <w:szCs w:val="16"/>
          <w:color w:val="auto"/>
        </w:rPr>
        <w:t>”), dated as of June 14, 2017 among American Airlines, Inc., a Delaware corporation (the “</w:t>
      </w:r>
      <w:r>
        <w:rPr>
          <w:rFonts w:ascii="Arial" w:cs="Arial" w:eastAsia="Arial" w:hAnsi="Arial"/>
          <w:sz w:val="16"/>
          <w:szCs w:val="16"/>
          <w:u w:val="single" w:color="auto"/>
          <w:color w:val="auto"/>
        </w:rPr>
        <w:t>Borrower</w:t>
      </w:r>
      <w:r>
        <w:rPr>
          <w:rFonts w:ascii="Arial" w:cs="Arial" w:eastAsia="Arial" w:hAnsi="Arial"/>
          <w:sz w:val="16"/>
          <w:szCs w:val="16"/>
          <w:color w:val="auto"/>
        </w:rPr>
        <w:t>”), American Airlines Group Inc., a Delaware corporation (the “</w:t>
      </w:r>
      <w:r>
        <w:rPr>
          <w:rFonts w:ascii="Arial" w:cs="Arial" w:eastAsia="Arial" w:hAnsi="Arial"/>
          <w:sz w:val="16"/>
          <w:szCs w:val="16"/>
          <w:u w:val="single" w:color="auto"/>
          <w:color w:val="auto"/>
        </w:rPr>
        <w:t>Parent</w:t>
      </w:r>
      <w:r>
        <w:rPr>
          <w:rFonts w:ascii="Arial" w:cs="Arial" w:eastAsia="Arial" w:hAnsi="Arial"/>
          <w:sz w:val="16"/>
          <w:szCs w:val="16"/>
          <w:color w:val="auto"/>
        </w:rPr>
        <w:t>” or the “</w:t>
      </w:r>
      <w:r>
        <w:rPr>
          <w:rFonts w:ascii="Arial" w:cs="Arial" w:eastAsia="Arial" w:hAnsi="Arial"/>
          <w:sz w:val="16"/>
          <w:szCs w:val="16"/>
          <w:u w:val="single" w:color="auto"/>
          <w:color w:val="auto"/>
        </w:rPr>
        <w:t>Guarantor</w:t>
      </w:r>
      <w:r>
        <w:rPr>
          <w:rFonts w:ascii="Arial" w:cs="Arial" w:eastAsia="Arial" w:hAnsi="Arial"/>
          <w:sz w:val="16"/>
          <w:szCs w:val="16"/>
          <w:color w:val="auto"/>
        </w:rPr>
        <w:t>”), the lenders party hereto with a 2017 Replacement Term Loan Commitment referred to below (the “</w:t>
      </w:r>
      <w:r>
        <w:rPr>
          <w:rFonts w:ascii="Arial" w:cs="Arial" w:eastAsia="Arial" w:hAnsi="Arial"/>
          <w:sz w:val="16"/>
          <w:szCs w:val="16"/>
          <w:u w:val="single" w:color="auto"/>
          <w:color w:val="auto"/>
        </w:rPr>
        <w:t>2017 Replacement Term Lenders</w:t>
      </w:r>
      <w:r>
        <w:rPr>
          <w:rFonts w:ascii="Arial" w:cs="Arial" w:eastAsia="Arial" w:hAnsi="Arial"/>
          <w:sz w:val="16"/>
          <w:szCs w:val="16"/>
          <w:color w:val="auto"/>
        </w:rPr>
        <w:t>”), each other lender party hereto and Citibank N.A. (“</w:t>
      </w:r>
      <w:r>
        <w:rPr>
          <w:rFonts w:ascii="Arial" w:cs="Arial" w:eastAsia="Arial" w:hAnsi="Arial"/>
          <w:sz w:val="16"/>
          <w:szCs w:val="16"/>
          <w:u w:val="single" w:color="auto"/>
          <w:color w:val="auto"/>
        </w:rPr>
        <w:t>Citi</w:t>
      </w:r>
      <w:r>
        <w:rPr>
          <w:rFonts w:ascii="Arial" w:cs="Arial" w:eastAsia="Arial" w:hAnsi="Arial"/>
          <w:sz w:val="16"/>
          <w:szCs w:val="16"/>
          <w:color w:val="auto"/>
        </w:rPr>
        <w:t>”), as administrative agent (in such capacity, the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and as the designated lender of 2017 Replacement Term Loans referred to below (in such capacity, the “</w:t>
      </w:r>
      <w:r>
        <w:rPr>
          <w:rFonts w:ascii="Arial" w:cs="Arial" w:eastAsia="Arial" w:hAnsi="Arial"/>
          <w:sz w:val="16"/>
          <w:szCs w:val="16"/>
          <w:u w:val="single" w:color="auto"/>
          <w:color w:val="auto"/>
        </w:rPr>
        <w:t>Designated 2017 Replacement Term Lender</w:t>
      </w:r>
      <w:r>
        <w:rPr>
          <w:rFonts w:ascii="Arial" w:cs="Arial" w:eastAsia="Arial" w:hAnsi="Arial"/>
          <w:sz w:val="16"/>
          <w:szCs w:val="16"/>
          <w:color w:val="auto"/>
        </w:rPr>
        <w:t>”). Unless otherwise indicated, all capitalized terms used herein and not otherwise defined shall have the respective meanings provided such terms in the Credit Agreement referred to below.</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 I T N E S S E T H</w:t>
      </w:r>
      <w:r>
        <w:rPr>
          <w:rFonts w:ascii="Arial" w:cs="Arial" w:eastAsia="Arial" w:hAnsi="Arial"/>
          <w:sz w:val="18"/>
          <w:szCs w:val="18"/>
          <w:color w:val="auto"/>
        </w:rPr>
        <w:t>:</w:t>
      </w:r>
    </w:p>
    <w:p>
      <w:pPr>
        <w:spacing w:after="0" w:line="225" w:lineRule="exact"/>
        <w:rPr>
          <w:sz w:val="20"/>
          <w:szCs w:val="20"/>
          <w:color w:val="auto"/>
        </w:rPr>
      </w:pPr>
    </w:p>
    <w:p>
      <w:pPr>
        <w:ind w:right="240" w:firstLine="456"/>
        <w:spacing w:after="0" w:line="276" w:lineRule="auto"/>
        <w:rPr>
          <w:sz w:val="20"/>
          <w:szCs w:val="20"/>
          <w:color w:val="auto"/>
        </w:rPr>
      </w:pPr>
      <w:r>
        <w:rPr>
          <w:rFonts w:ascii="Arial" w:cs="Arial" w:eastAsia="Arial" w:hAnsi="Arial"/>
          <w:sz w:val="17"/>
          <w:szCs w:val="17"/>
          <w:color w:val="auto"/>
        </w:rPr>
        <w:t>WHEREAS, the Borrower, the Guarantor, the lenders from time to time party thereto, the Administrative Agent and certain other parties thereto are parties to that certain Amended and Restated Credit and Guaranty Agreement, dated as of April 20, 2015 (as amended by that certain First Amendment to Amended and Restated Credit and Guaranty Agreement, dated as of October 26, 2015, as further amended by that certain Second Amendment to Amended and Restated Credit and Guaranty Agreement, dated as of September 22, 2016, and as further amended, amended and restated, supplemented or otherwise modified to but not including the Third Amendment Effective Date as defined below,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w:t>
      </w:r>
    </w:p>
    <w:p>
      <w:pPr>
        <w:spacing w:after="0" w:line="173"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WHEREAS, on the date hereof, there are outstanding 2016 Replacement Term Loans under the Credit Agreement (the “</w:t>
      </w:r>
      <w:r>
        <w:rPr>
          <w:rFonts w:ascii="Arial" w:cs="Arial" w:eastAsia="Arial" w:hAnsi="Arial"/>
          <w:sz w:val="18"/>
          <w:szCs w:val="18"/>
          <w:u w:val="single" w:color="auto"/>
          <w:color w:val="auto"/>
        </w:rPr>
        <w:t>Existing Term Loans</w:t>
      </w:r>
      <w:r>
        <w:rPr>
          <w:rFonts w:ascii="Arial" w:cs="Arial" w:eastAsia="Arial" w:hAnsi="Arial"/>
          <w:sz w:val="18"/>
          <w:szCs w:val="18"/>
          <w:color w:val="auto"/>
        </w:rPr>
        <w:t>”) in an aggregate principal amount of $735,000,000;</w:t>
      </w:r>
    </w:p>
    <w:p>
      <w:pPr>
        <w:spacing w:after="0" w:line="17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WHEREAS, pursuant to Section 10.08(e) of the Credit Agreement, the Borrower desires to refinance in full the Existing Term Loans with the proceeds of the 2017 Replacement Term Loans (as defined below) (the “</w:t>
      </w:r>
      <w:r>
        <w:rPr>
          <w:rFonts w:ascii="Arial" w:cs="Arial" w:eastAsia="Arial" w:hAnsi="Arial"/>
          <w:sz w:val="18"/>
          <w:szCs w:val="18"/>
          <w:u w:val="single" w:color="auto"/>
          <w:color w:val="auto"/>
        </w:rPr>
        <w:t>Refinancing</w:t>
      </w:r>
      <w:r>
        <w:rPr>
          <w:rFonts w:ascii="Arial" w:cs="Arial" w:eastAsia="Arial" w:hAnsi="Arial"/>
          <w:sz w:val="18"/>
          <w:szCs w:val="18"/>
          <w:color w:val="auto"/>
        </w:rPr>
        <w:t>”); and</w:t>
      </w:r>
    </w:p>
    <w:p>
      <w:pPr>
        <w:spacing w:after="0" w:line="17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WHEREAS, the Borrower, the Administrative Agent, the 2017 Replacement Term Lenders and the other Lenders party hereto wish to amend the Credit Agreement to provide for (i) the Refinancing and (ii) certain other modifications to the Credit Agreement, in each case, on the terms and subject to the conditions set forth herein.</w:t>
      </w:r>
    </w:p>
    <w:p>
      <w:pPr>
        <w:spacing w:after="0" w:line="18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and sufficiency of which are hereby acknowledged, the parties hereto hereby agree as follows:</w:t>
      </w:r>
    </w:p>
    <w:p>
      <w:pPr>
        <w:spacing w:after="0" w:line="62" w:lineRule="exact"/>
        <w:rPr>
          <w:sz w:val="20"/>
          <w:szCs w:val="20"/>
          <w:color w:val="auto"/>
        </w:rPr>
      </w:pPr>
    </w:p>
    <w:p>
      <w:pPr>
        <w:ind w:left="460"/>
        <w:spacing w:after="0"/>
        <w:tabs>
          <w:tab w:leader="none" w:pos="4360" w:val="left"/>
        </w:tabs>
        <w:rPr>
          <w:sz w:val="20"/>
          <w:szCs w:val="20"/>
          <w:color w:val="auto"/>
        </w:rPr>
      </w:pPr>
      <w:r>
        <w:rPr>
          <w:rFonts w:ascii="Arial" w:cs="Arial" w:eastAsia="Arial" w:hAnsi="Arial"/>
          <w:sz w:val="18"/>
          <w:szCs w:val="18"/>
          <w:u w:val="single" w:color="auto"/>
          <w:color w:val="auto"/>
        </w:rPr>
        <w:t>SECTION ONE—Credit Agreement Amendments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Effective as of the Third Amendment Effective Date (as defined below):</w:t>
      </w:r>
    </w:p>
    <w:p>
      <w:pPr>
        <w:spacing w:after="0" w:line="117" w:lineRule="exact"/>
        <w:rPr>
          <w:sz w:val="20"/>
          <w:szCs w:val="20"/>
          <w:color w:val="auto"/>
        </w:rPr>
      </w:pPr>
    </w:p>
    <w:p>
      <w:pPr>
        <w:ind w:left="880" w:hanging="416"/>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Credit Agreement is hereby amended as follows:</w:t>
      </w:r>
    </w:p>
    <w:p>
      <w:pPr>
        <w:sectPr>
          <w:pgSz w:w="11900" w:h="16838" w:orient="portrait"/>
          <w:cols w:equalWidth="0" w:num="1">
            <w:col w:w="11420"/>
          </w:cols>
          <w:pgMar w:left="240" w:top="121" w:right="239" w:bottom="1440" w:gutter="0" w:footer="0" w:header="0"/>
        </w:sectPr>
      </w:pPr>
    </w:p>
    <w:bookmarkStart w:id="75" w:name="page76"/>
    <w:bookmarkEnd w:id="75"/>
    <w:p>
      <w:pPr>
        <w:ind w:left="400" w:hanging="396"/>
        <w:spacing w:after="0"/>
        <w:tabs>
          <w:tab w:leader="none" w:pos="400" w:val="left"/>
        </w:tabs>
        <w:numPr>
          <w:ilvl w:val="0"/>
          <w:numId w:val="3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1.01 of the Credit Agreement is hereby amended by inserting the following definitions in appropriate alphabetical order:</w:t>
      </w:r>
    </w:p>
    <w:p>
      <w:pPr>
        <w:spacing w:after="0" w:line="117" w:lineRule="exact"/>
        <w:rPr>
          <w:sz w:val="20"/>
          <w:szCs w:val="20"/>
          <w:color w:val="auto"/>
        </w:rPr>
      </w:pPr>
    </w:p>
    <w:p>
      <w:pPr>
        <w:ind w:firstLine="43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2017 Replacement Term Lender</w:t>
      </w:r>
      <w:r>
        <w:rPr>
          <w:rFonts w:ascii="Arial" w:cs="Arial" w:eastAsia="Arial" w:hAnsi="Arial"/>
          <w:sz w:val="18"/>
          <w:szCs w:val="18"/>
          <w:color w:val="auto"/>
        </w:rPr>
        <w:t>” shall mean each Lender having a Term Loan Commitment to provide 2017 Replacement Term Loans or, as the case may be, with an outstanding 2017 Replacement Term Loan.</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2017 Replacement Term Loans</w:t>
      </w:r>
      <w:r>
        <w:rPr>
          <w:rFonts w:ascii="Arial" w:cs="Arial" w:eastAsia="Arial" w:hAnsi="Arial"/>
          <w:sz w:val="18"/>
          <w:szCs w:val="18"/>
          <w:color w:val="auto"/>
        </w:rPr>
        <w:t>” shall be the Term Loans incurred pursuant to the Third Amendment.</w:t>
      </w:r>
    </w:p>
    <w:p>
      <w:pPr>
        <w:spacing w:after="0" w:line="117" w:lineRule="exact"/>
        <w:rPr>
          <w:sz w:val="20"/>
          <w:szCs w:val="20"/>
          <w:color w:val="auto"/>
        </w:rPr>
      </w:pPr>
    </w:p>
    <w:p>
      <w:pPr>
        <w:ind w:right="320" w:firstLine="43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2017 Replacement Term Loan Commitment</w:t>
      </w:r>
      <w:r>
        <w:rPr>
          <w:rFonts w:ascii="Arial" w:cs="Arial" w:eastAsia="Arial" w:hAnsi="Arial"/>
          <w:sz w:val="18"/>
          <w:szCs w:val="18"/>
          <w:color w:val="auto"/>
        </w:rPr>
        <w:t>” shall mean the Term Loan Commitment of each 2017 Replacement Term Lender to make 2017 Replacement Term Loans pursuant to the Third Amendment.</w:t>
      </w:r>
    </w:p>
    <w:p>
      <w:pPr>
        <w:spacing w:after="0" w:line="62" w:lineRule="exact"/>
        <w:rPr>
          <w:sz w:val="20"/>
          <w:szCs w:val="20"/>
          <w:color w:val="auto"/>
        </w:rPr>
      </w:pPr>
    </w:p>
    <w:p>
      <w:pPr>
        <w:ind w:right="280" w:firstLine="43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2017 Replacement Term Loan Commitment Schedule</w:t>
      </w:r>
      <w:r>
        <w:rPr>
          <w:rFonts w:ascii="Arial" w:cs="Arial" w:eastAsia="Arial" w:hAnsi="Arial"/>
          <w:sz w:val="18"/>
          <w:szCs w:val="18"/>
          <w:color w:val="auto"/>
        </w:rPr>
        <w:t>” shall mean the schedule of 2017 Replacement Term Loan Commitments of each 2017 Replacement Term Lender provided to the Borrower on the Third Amendment Effective Date by the Administrative Agent pursuant to the Third Amendment.</w:t>
      </w:r>
    </w:p>
    <w:p>
      <w:pPr>
        <w:spacing w:after="0" w:line="73" w:lineRule="exact"/>
        <w:rPr>
          <w:sz w:val="20"/>
          <w:szCs w:val="20"/>
          <w:color w:val="auto"/>
        </w:rPr>
      </w:pPr>
    </w:p>
    <w:p>
      <w:pPr>
        <w:ind w:right="220" w:firstLine="43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Bail-In Action</w:t>
      </w:r>
      <w:r>
        <w:rPr>
          <w:rFonts w:ascii="Arial" w:cs="Arial" w:eastAsia="Arial" w:hAnsi="Arial"/>
          <w:sz w:val="18"/>
          <w:szCs w:val="18"/>
          <w:color w:val="auto"/>
        </w:rPr>
        <w:t>” means the exercise of any Write-Down and Conversion Powers by the applicable EEA Resolution Authority in respect of any liability of an EEA Financial Institution.</w:t>
      </w:r>
    </w:p>
    <w:p>
      <w:pPr>
        <w:spacing w:after="0" w:line="62" w:lineRule="exact"/>
        <w:rPr>
          <w:sz w:val="20"/>
          <w:szCs w:val="20"/>
          <w:color w:val="auto"/>
        </w:rPr>
      </w:pPr>
    </w:p>
    <w:p>
      <w:pPr>
        <w:ind w:right="220" w:firstLine="43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Bail-In Legislation</w:t>
      </w:r>
      <w:r>
        <w:rPr>
          <w:rFonts w:ascii="Arial" w:cs="Arial" w:eastAsia="Arial" w:hAnsi="Arial"/>
          <w:sz w:val="18"/>
          <w:szCs w:val="18"/>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73" w:lineRule="exact"/>
        <w:rPr>
          <w:sz w:val="20"/>
          <w:szCs w:val="20"/>
          <w:color w:val="auto"/>
        </w:rPr>
      </w:pPr>
    </w:p>
    <w:p>
      <w:pPr>
        <w:ind w:right="12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EEA Financial Institution</w:t>
      </w:r>
      <w:r>
        <w:rPr>
          <w:rFonts w:ascii="Arial" w:cs="Arial" w:eastAsia="Arial" w:hAnsi="Arial"/>
          <w:sz w:val="18"/>
          <w:szCs w:val="18"/>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EEA Member Country</w:t>
      </w:r>
      <w:r>
        <w:rPr>
          <w:rFonts w:ascii="Arial" w:cs="Arial" w:eastAsia="Arial" w:hAnsi="Arial"/>
          <w:sz w:val="18"/>
          <w:szCs w:val="18"/>
          <w:color w:val="auto"/>
        </w:rPr>
        <w:t>” means any of the member states of the European Union, Iceland, Liechtenstein, and Norway.</w:t>
      </w:r>
    </w:p>
    <w:p>
      <w:pPr>
        <w:spacing w:after="0" w:line="117" w:lineRule="exact"/>
        <w:rPr>
          <w:sz w:val="20"/>
          <w:szCs w:val="20"/>
          <w:color w:val="auto"/>
        </w:rPr>
      </w:pPr>
    </w:p>
    <w:p>
      <w:pPr>
        <w:ind w:right="120" w:firstLine="43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EEA Resolution Authority</w:t>
      </w:r>
      <w:r>
        <w:rPr>
          <w:rFonts w:ascii="Arial" w:cs="Arial" w:eastAsia="Arial" w:hAnsi="Arial"/>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62" w:lineRule="exact"/>
        <w:rPr>
          <w:sz w:val="20"/>
          <w:szCs w:val="20"/>
          <w:color w:val="auto"/>
        </w:rPr>
      </w:pPr>
    </w:p>
    <w:p>
      <w:pPr>
        <w:ind w:right="420" w:firstLine="43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EU Bail-In Legislation Schedule</w:t>
      </w:r>
      <w:r>
        <w:rPr>
          <w:rFonts w:ascii="Arial" w:cs="Arial" w:eastAsia="Arial" w:hAnsi="Arial"/>
          <w:sz w:val="18"/>
          <w:szCs w:val="18"/>
          <w:color w:val="auto"/>
        </w:rPr>
        <w:t>” means the EU Bail-In Legislation Schedule published by the Loan Market Association (or any successor person), as in effect from time to time.</w:t>
      </w:r>
    </w:p>
    <w:p>
      <w:pPr>
        <w:spacing w:after="0" w:line="10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20"/>
          </w:cols>
          <w:pgMar w:left="700" w:top="274" w:right="279" w:bottom="1440" w:gutter="0" w:footer="0" w:header="0"/>
        </w:sectPr>
      </w:pPr>
    </w:p>
    <w:bookmarkStart w:id="76" w:name="page77"/>
    <w:bookmarkEnd w:id="76"/>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“PAC” shall mean Panum Aviation Consulting.</w:t>
      </w:r>
    </w:p>
    <w:p>
      <w:pPr>
        <w:spacing w:after="0" w:line="117" w:lineRule="exact"/>
        <w:rPr>
          <w:sz w:val="20"/>
          <w:szCs w:val="20"/>
          <w:color w:val="auto"/>
        </w:rPr>
      </w:pPr>
    </w:p>
    <w:p>
      <w:pPr>
        <w:ind w:left="460" w:firstLine="43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Third Amendment</w:t>
      </w:r>
      <w:r>
        <w:rPr>
          <w:rFonts w:ascii="Arial" w:cs="Arial" w:eastAsia="Arial" w:hAnsi="Arial"/>
          <w:sz w:val="18"/>
          <w:szCs w:val="18"/>
          <w:color w:val="auto"/>
        </w:rPr>
        <w:t>” shall mean the Third Amendment to First Amended and Restated Credit and Guaranty Agreement, dated as of June 14, 2017, by and among Parent, the Borrower, the Administrative Agent, the 2017 Replacement Term Lenders and Citibank N.A., in its capacity as the designated Lender of 2017 Replacement Term Loans.</w:t>
      </w:r>
    </w:p>
    <w:p>
      <w:pPr>
        <w:spacing w:after="0" w:line="7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Third Amendment Effective Date</w:t>
      </w:r>
      <w:r>
        <w:rPr>
          <w:rFonts w:ascii="Arial" w:cs="Arial" w:eastAsia="Arial" w:hAnsi="Arial"/>
          <w:sz w:val="18"/>
          <w:szCs w:val="18"/>
          <w:color w:val="auto"/>
        </w:rPr>
        <w:t>” shall have the meaning provided in the Third Amendment.</w:t>
      </w:r>
    </w:p>
    <w:p>
      <w:pPr>
        <w:spacing w:after="0" w:line="117" w:lineRule="exact"/>
        <w:rPr>
          <w:sz w:val="20"/>
          <w:szCs w:val="20"/>
          <w:color w:val="auto"/>
        </w:rPr>
      </w:pPr>
    </w:p>
    <w:p>
      <w:pPr>
        <w:ind w:left="460" w:right="80" w:firstLine="43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Write-Down and Conversion Powers</w:t>
      </w:r>
      <w:r>
        <w:rPr>
          <w:rFonts w:ascii="Arial" w:cs="Arial" w:eastAsia="Arial" w:hAnsi="Arial"/>
          <w:sz w:val="18"/>
          <w:szCs w:val="18"/>
          <w:color w:val="auto"/>
        </w:rPr>
        <w:t>”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73" w:lineRule="exact"/>
        <w:rPr>
          <w:sz w:val="20"/>
          <w:szCs w:val="20"/>
          <w:color w:val="auto"/>
        </w:rPr>
      </w:pPr>
    </w:p>
    <w:p>
      <w:pPr>
        <w:ind w:left="900" w:hanging="436"/>
        <w:spacing w:after="0"/>
        <w:tabs>
          <w:tab w:leader="none" w:pos="9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definition of “</w:t>
      </w:r>
      <w:r>
        <w:rPr>
          <w:rFonts w:ascii="Arial" w:cs="Arial" w:eastAsia="Arial" w:hAnsi="Arial"/>
          <w:sz w:val="17"/>
          <w:szCs w:val="17"/>
          <w:i w:val="1"/>
          <w:iCs w:val="1"/>
          <w:color w:val="auto"/>
        </w:rPr>
        <w:t>Applicable Margin</w:t>
      </w:r>
      <w:r>
        <w:rPr>
          <w:rFonts w:ascii="Arial" w:cs="Arial" w:eastAsia="Arial" w:hAnsi="Arial"/>
          <w:sz w:val="17"/>
          <w:szCs w:val="17"/>
          <w:color w:val="auto"/>
        </w:rPr>
        <w:t>” appearing in Section 1.01 of the Credit Agreement is hereby amended and restated in its entirety as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follows:</w:t>
      </w:r>
    </w:p>
    <w:p>
      <w:pPr>
        <w:spacing w:after="0" w:line="103" w:lineRule="exact"/>
        <w:rPr>
          <w:sz w:val="20"/>
          <w:szCs w:val="20"/>
          <w:color w:val="auto"/>
        </w:rPr>
      </w:pPr>
    </w:p>
    <w:p>
      <w:pPr>
        <w:ind w:left="460" w:right="160" w:firstLine="43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Applicable Margin</w:t>
      </w:r>
      <w:r>
        <w:rPr>
          <w:rFonts w:ascii="Arial" w:cs="Arial" w:eastAsia="Arial" w:hAnsi="Arial"/>
          <w:sz w:val="18"/>
          <w:szCs w:val="18"/>
          <w:color w:val="auto"/>
        </w:rPr>
        <w:t>” shall mean (a) with respect to Revolving Loans (i) that are Eurodollar Loans, 3.00% per annum and (ii) that are ABR Loans, 2.00% per annum and (b) with respect to 2017 Replacement Term Loans (i) that are Eurodollar Loans, 2.00% per annum and (ii) that are ABR Loans 1.00% per annum.</w:t>
      </w:r>
    </w:p>
    <w:p>
      <w:pPr>
        <w:spacing w:after="0" w:line="73" w:lineRule="exact"/>
        <w:rPr>
          <w:sz w:val="20"/>
          <w:szCs w:val="20"/>
          <w:color w:val="auto"/>
        </w:rPr>
      </w:pPr>
    </w:p>
    <w:p>
      <w:pPr>
        <w:ind w:left="960" w:hanging="496"/>
        <w:spacing w:after="0"/>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definition of “Appraisal” is hereby amended by replacing the first paragraph of such definition in its entirety as follows:</w:t>
      </w:r>
    </w:p>
    <w:p>
      <w:pPr>
        <w:spacing w:after="0" w:line="117" w:lineRule="exact"/>
        <w:rPr>
          <w:sz w:val="20"/>
          <w:szCs w:val="20"/>
          <w:color w:val="auto"/>
        </w:rPr>
      </w:pPr>
    </w:p>
    <w:p>
      <w:pPr>
        <w:ind w:left="46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Appraisal</w:t>
      </w:r>
      <w:r>
        <w:rPr>
          <w:rFonts w:ascii="Arial" w:cs="Arial" w:eastAsia="Arial" w:hAnsi="Arial"/>
          <w:sz w:val="17"/>
          <w:szCs w:val="17"/>
          <w:color w:val="auto"/>
        </w:rPr>
        <w:t>” shall mean (i) the Initial Appraisal and (ii) any other appraisal, dated the date of delivery thereof, prepared by (a) with respect to any Route Authorities, Slots and/or Gate Leaseholds, at the Borrower’s option, MBA, ICF or PAC (provided that such appraiser must be independent) or any other appraiser appointed by the Borrower and reasonably acceptable to the Administrative Agent, (b) with respect to Spare Parts, at the Borrower’s option, MBA, ICF, Sage or PAC (provided that such appraiser must be independent) or any other appraiser appointed by the Borrower and reasonably acceptable to the Administrative Agent, (c) with respect to any aircraft, airframe or engine, at the Borrower’s option, any of MBA, ICF, Ascend, BK, AISI, AVITAS or PAC (provided that such appraiser must be independent) or any other appraiser appointed by the Borrower and reasonably acceptable to the Administrative Agent, (d) with respect to Real Property Assets, CB Richard Ellis (provided that such appraiser must be independent) or any other appraiser by the Borrower and reasonably acceptable to the Administrative Agent and (e) with respect to any other type of property, at the Borrower’s option, MBA, ICF, Sage or PAC (provided that such appraiser must be independent) or any other appraiser appointed by the Borrower and reasonably acceptable to the Administrative Agent (in each case of any appraiser specified</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77" w:name="page78"/>
    <w:bookmarkEnd w:id="7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above in clauses (a), (b), (c), (d) and (e), including its successor). Any Appraisal with respect to:”</w:t>
      </w:r>
    </w:p>
    <w:p>
      <w:pPr>
        <w:spacing w:after="0" w:line="117" w:lineRule="exact"/>
        <w:rPr>
          <w:sz w:val="20"/>
          <w:szCs w:val="20"/>
          <w:color w:val="auto"/>
        </w:rPr>
      </w:pPr>
    </w:p>
    <w:p>
      <w:pPr>
        <w:ind w:left="-20" w:right="620" w:firstLine="464"/>
        <w:spacing w:after="0" w:line="277" w:lineRule="auto"/>
        <w:tabs>
          <w:tab w:leader="none" w:pos="918"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first sentence of the definition of “</w:t>
      </w:r>
      <w:r>
        <w:rPr>
          <w:rFonts w:ascii="Arial" w:cs="Arial" w:eastAsia="Arial" w:hAnsi="Arial"/>
          <w:sz w:val="18"/>
          <w:szCs w:val="18"/>
          <w:i w:val="1"/>
          <w:iCs w:val="1"/>
          <w:color w:val="auto"/>
        </w:rPr>
        <w:t>Class</w:t>
      </w:r>
      <w:r>
        <w:rPr>
          <w:rFonts w:ascii="Arial" w:cs="Arial" w:eastAsia="Arial" w:hAnsi="Arial"/>
          <w:sz w:val="18"/>
          <w:szCs w:val="18"/>
          <w:color w:val="auto"/>
        </w:rPr>
        <w:t>” is hereby amended by deleting “2016 Replacement Term Loans” where it first appears and replacing such term with “2017 Replacement Term Loans”.</w:t>
      </w:r>
    </w:p>
    <w:p>
      <w:pPr>
        <w:spacing w:after="0" w:line="62" w:lineRule="exact"/>
        <w:rPr>
          <w:rFonts w:ascii="Arial" w:cs="Arial" w:eastAsia="Arial" w:hAnsi="Arial"/>
          <w:sz w:val="18"/>
          <w:szCs w:val="18"/>
          <w:color w:val="auto"/>
        </w:rPr>
      </w:pPr>
    </w:p>
    <w:p>
      <w:pPr>
        <w:ind w:left="-20" w:right="120" w:firstLine="464"/>
        <w:spacing w:after="0" w:line="277" w:lineRule="auto"/>
        <w:tabs>
          <w:tab w:leader="none" w:pos="868"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definition of “Collateral Coverage Ratio” is hereby amended by adding “of determination” after “any date” and after “such date” each place where such term appears.</w:t>
      </w:r>
    </w:p>
    <w:p>
      <w:pPr>
        <w:spacing w:after="0" w:line="62" w:lineRule="exact"/>
        <w:rPr>
          <w:rFonts w:ascii="Arial" w:cs="Arial" w:eastAsia="Arial" w:hAnsi="Arial"/>
          <w:sz w:val="18"/>
          <w:szCs w:val="18"/>
          <w:color w:val="auto"/>
        </w:rPr>
      </w:pPr>
    </w:p>
    <w:p>
      <w:pPr>
        <w:ind w:left="920" w:hanging="476"/>
        <w:spacing w:after="0"/>
        <w:tabs>
          <w:tab w:leader="none" w:pos="9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definition of “</w:t>
      </w:r>
      <w:r>
        <w:rPr>
          <w:rFonts w:ascii="Arial" w:cs="Arial" w:eastAsia="Arial" w:hAnsi="Arial"/>
          <w:sz w:val="16"/>
          <w:szCs w:val="16"/>
          <w:i w:val="1"/>
          <w:iCs w:val="1"/>
          <w:color w:val="auto"/>
        </w:rPr>
        <w:t>Core Collateral</w:t>
      </w:r>
      <w:r>
        <w:rPr>
          <w:rFonts w:ascii="Arial" w:cs="Arial" w:eastAsia="Arial" w:hAnsi="Arial"/>
          <w:sz w:val="16"/>
          <w:szCs w:val="16"/>
          <w:color w:val="auto"/>
        </w:rPr>
        <w:t>” appearing in Section 1.01 of the Credit Agreement is hereby amended and restated in its entirety as follows:</w:t>
      </w:r>
    </w:p>
    <w:p>
      <w:pPr>
        <w:spacing w:after="0" w:line="14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Core Collateral</w:t>
      </w:r>
      <w:r>
        <w:rPr>
          <w:rFonts w:ascii="Arial" w:cs="Arial" w:eastAsia="Arial" w:hAnsi="Arial"/>
          <w:sz w:val="18"/>
          <w:szCs w:val="18"/>
          <w:color w:val="auto"/>
        </w:rPr>
        <w:t>” shall mean any of the following categories of assets, in each case, for which Appraisals have been delivered to the</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Administrative Agent pursuant to this Agreement:</w:t>
      </w:r>
    </w:p>
    <w:p>
      <w:pPr>
        <w:spacing w:after="0" w:line="116" w:lineRule="exact"/>
        <w:rPr>
          <w:sz w:val="20"/>
          <w:szCs w:val="20"/>
          <w:color w:val="auto"/>
        </w:rPr>
      </w:pPr>
    </w:p>
    <w:p>
      <w:pPr>
        <w:ind w:left="1460" w:hanging="567"/>
        <w:spacing w:after="0" w:line="277" w:lineRule="auto"/>
        <w:tabs>
          <w:tab w:leader="none" w:pos="1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all of the Spare Parts owned by the Borrower other than Spare Parts of the Borrower with an aggregate Appraised Value less than or equal to $100 million;</w:t>
      </w:r>
    </w:p>
    <w:p>
      <w:pPr>
        <w:spacing w:after="0" w:line="75" w:lineRule="exact"/>
        <w:rPr>
          <w:rFonts w:ascii="Arial" w:cs="Arial" w:eastAsia="Arial" w:hAnsi="Arial"/>
          <w:sz w:val="18"/>
          <w:szCs w:val="18"/>
          <w:color w:val="auto"/>
        </w:rPr>
      </w:pPr>
    </w:p>
    <w:p>
      <w:pPr>
        <w:ind w:left="1460" w:hanging="567"/>
        <w:spacing w:after="0"/>
        <w:tabs>
          <w:tab w:leader="none" w:pos="14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 number of FAA Slots (other than any Temporary Slots) held by the Borrower at DCA that is not less than the sum of (1) the product of</w:t>
      </w:r>
    </w:p>
    <w:p>
      <w:pPr>
        <w:spacing w:after="0" w:line="46" w:lineRule="exact"/>
        <w:rPr>
          <w:rFonts w:ascii="Arial" w:cs="Arial" w:eastAsia="Arial" w:hAnsi="Arial"/>
          <w:sz w:val="16"/>
          <w:szCs w:val="16"/>
          <w:color w:val="auto"/>
        </w:rPr>
      </w:pPr>
    </w:p>
    <w:p>
      <w:pPr>
        <w:ind w:left="1460" w:right="40"/>
        <w:spacing w:after="0" w:line="295" w:lineRule="auto"/>
        <w:tabs>
          <w:tab w:leader="none" w:pos="1685" w:val="left"/>
        </w:tabs>
        <w:numPr>
          <w:ilvl w:val="1"/>
          <w:numId w:val="41"/>
        </w:numPr>
        <w:rPr>
          <w:rFonts w:ascii="Arial" w:cs="Arial" w:eastAsia="Arial" w:hAnsi="Arial"/>
          <w:sz w:val="16"/>
          <w:szCs w:val="16"/>
          <w:color w:val="auto"/>
        </w:rPr>
      </w:pPr>
      <w:r>
        <w:rPr>
          <w:rFonts w:ascii="Arial" w:cs="Arial" w:eastAsia="Arial" w:hAnsi="Arial"/>
          <w:sz w:val="16"/>
          <w:szCs w:val="16"/>
          <w:color w:val="auto"/>
        </w:rPr>
        <w:t>66% and (II) the total number of FAA Slots (other than any Temporary Slots) that are Mainline Slots held by the Borrower at DCA and (2) the product of (I) 66% and (II) the total number of FAA Slots (other than any Temporary Slots) that are Commuter Slots held by the Borrower at DCA, in each case, as of the Third Amendment Effective Date based on an Officer’s Certificate of the Borrower delivered to the Administrative Agent on the Third Amendment Effective Date or such later time as the Administrative Agent may agree;</w:t>
      </w:r>
    </w:p>
    <w:p>
      <w:pPr>
        <w:spacing w:after="0" w:line="66" w:lineRule="exact"/>
        <w:rPr>
          <w:rFonts w:ascii="Arial" w:cs="Arial" w:eastAsia="Arial" w:hAnsi="Arial"/>
          <w:sz w:val="16"/>
          <w:szCs w:val="16"/>
          <w:color w:val="auto"/>
        </w:rPr>
      </w:pPr>
    </w:p>
    <w:p>
      <w:pPr>
        <w:ind w:left="1460" w:hanging="567"/>
        <w:spacing w:after="0"/>
        <w:tabs>
          <w:tab w:leader="none" w:pos="14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 number of FAA Slots (other than any Temporary Slots) held by the Borrower at LGA that is not less than the product of (I) 66% and</w:t>
      </w:r>
    </w:p>
    <w:p>
      <w:pPr>
        <w:spacing w:after="0" w:line="46" w:lineRule="exact"/>
        <w:rPr>
          <w:rFonts w:ascii="Arial" w:cs="Arial" w:eastAsia="Arial" w:hAnsi="Arial"/>
          <w:sz w:val="16"/>
          <w:szCs w:val="16"/>
          <w:color w:val="auto"/>
        </w:rPr>
      </w:pPr>
    </w:p>
    <w:p>
      <w:pPr>
        <w:jc w:val="both"/>
        <w:ind w:left="1460" w:right="100"/>
        <w:spacing w:after="0" w:line="255" w:lineRule="auto"/>
        <w:tabs>
          <w:tab w:leader="none" w:pos="1745"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total number of FAA Slots (other than any Temporary Slots) held by the Borrower at LGA as of the Third Amendment Effective Date based on an Officer’s Certificate of the Borrower delivered to the Administrative Agent on the Third Amendment Effective Date or such later time as the Administrative Agent may agree;</w:t>
      </w:r>
    </w:p>
    <w:p>
      <w:pPr>
        <w:spacing w:after="0" w:line="95" w:lineRule="exact"/>
        <w:rPr>
          <w:rFonts w:ascii="Arial" w:cs="Arial" w:eastAsia="Arial" w:hAnsi="Arial"/>
          <w:sz w:val="18"/>
          <w:szCs w:val="18"/>
          <w:color w:val="auto"/>
        </w:rPr>
      </w:pPr>
    </w:p>
    <w:p>
      <w:pPr>
        <w:ind w:left="1460" w:hanging="567"/>
        <w:spacing w:after="0"/>
        <w:tabs>
          <w:tab w:leader="none" w:pos="14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 number of FAA Slots (other than any Temporary Slots) held by the Borrower at JFK that is not less than to the product of (I) 66% and</w:t>
      </w:r>
    </w:p>
    <w:p>
      <w:pPr>
        <w:spacing w:after="0" w:line="46" w:lineRule="exact"/>
        <w:rPr>
          <w:rFonts w:ascii="Arial" w:cs="Arial" w:eastAsia="Arial" w:hAnsi="Arial"/>
          <w:sz w:val="16"/>
          <w:szCs w:val="16"/>
          <w:color w:val="auto"/>
        </w:rPr>
      </w:pPr>
    </w:p>
    <w:p>
      <w:pPr>
        <w:ind w:left="1740" w:hanging="280"/>
        <w:spacing w:after="0"/>
        <w:tabs>
          <w:tab w:leader="none" w:pos="17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total number of FAA Slots (other than any Temporary Slots) held by the Borrower at JFK as of the Third Amendment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60" w:top="274" w:right="239" w:bottom="1440" w:gutter="0" w:footer="0" w:header="0"/>
        </w:sectPr>
      </w:pPr>
    </w:p>
    <w:bookmarkStart w:id="78" w:name="page79"/>
    <w:bookmarkEnd w:id="78"/>
    <w:p>
      <w:pPr>
        <w:ind w:left="567" w:right="6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Effective Date based on an Officer’s Certificate of the Borrower delivered to the Administrative Agent on the Third Amendment Effective Date or such later time as the Administrative Agent may agree;</w:t>
      </w:r>
    </w:p>
    <w:p>
      <w:pPr>
        <w:spacing w:after="0" w:line="76" w:lineRule="exact"/>
        <w:rPr>
          <w:sz w:val="20"/>
          <w:szCs w:val="20"/>
          <w:color w:val="auto"/>
        </w:rPr>
      </w:pPr>
    </w:p>
    <w:p>
      <w:pPr>
        <w:ind w:left="567" w:hanging="567"/>
        <w:spacing w:after="0"/>
        <w:tabs>
          <w:tab w:leader="none" w:pos="567" w:val="left"/>
        </w:tabs>
        <w:numPr>
          <w:ilvl w:val="0"/>
          <w:numId w:val="44"/>
        </w:numPr>
        <w:rPr>
          <w:rFonts w:ascii="Arial" w:cs="Arial" w:eastAsia="Arial" w:hAnsi="Arial"/>
          <w:sz w:val="16"/>
          <w:szCs w:val="16"/>
          <w:color w:val="auto"/>
        </w:rPr>
      </w:pPr>
      <w:r>
        <w:rPr>
          <w:rFonts w:ascii="Arial" w:cs="Arial" w:eastAsia="Arial" w:hAnsi="Arial"/>
          <w:sz w:val="16"/>
          <w:szCs w:val="16"/>
          <w:color w:val="auto"/>
        </w:rPr>
        <w:t>(1) a number of Foreign Slots (other than any Temporary Slots) of the Borrower at airports in Asia that is not less than the product of</w:t>
      </w:r>
    </w:p>
    <w:p>
      <w:pPr>
        <w:spacing w:after="0" w:line="46" w:lineRule="exact"/>
        <w:rPr>
          <w:rFonts w:ascii="Arial" w:cs="Arial" w:eastAsia="Arial" w:hAnsi="Arial"/>
          <w:sz w:val="16"/>
          <w:szCs w:val="16"/>
          <w:color w:val="auto"/>
        </w:rPr>
      </w:pPr>
    </w:p>
    <w:p>
      <w:pPr>
        <w:ind w:left="567" w:right="160"/>
        <w:spacing w:after="0" w:line="253" w:lineRule="auto"/>
        <w:rPr>
          <w:rFonts w:ascii="Arial" w:cs="Arial" w:eastAsia="Arial" w:hAnsi="Arial"/>
          <w:sz w:val="16"/>
          <w:szCs w:val="16"/>
          <w:color w:val="auto"/>
        </w:rPr>
      </w:pPr>
      <w:r>
        <w:rPr>
          <w:rFonts w:ascii="Arial" w:cs="Arial" w:eastAsia="Arial" w:hAnsi="Arial"/>
          <w:sz w:val="18"/>
          <w:szCs w:val="18"/>
          <w:color w:val="auto"/>
        </w:rPr>
        <w:t>(I) 90% and (II) the total number of Foreign Slots (other than any Temporary Slots) of the Borrower used in any non-stop scheduled service of the Borrower between airports in the United States and airports in Asia and (2) all of the Route Authorities and Foreign Gate Leaseholds (other than Foreign Gate Leaseholds subject to Transfer Restrictions of the type specified in clause (1)(x) of the proviso to Section 1 of the SGR Security Agreement) of the Borrower used in any non-stop scheduled service of the Borrower between airports in the United States and airports in Asia;</w:t>
      </w:r>
    </w:p>
    <w:p>
      <w:pPr>
        <w:spacing w:after="0" w:line="96" w:lineRule="exact"/>
        <w:rPr>
          <w:rFonts w:ascii="Arial" w:cs="Arial" w:eastAsia="Arial" w:hAnsi="Arial"/>
          <w:sz w:val="16"/>
          <w:szCs w:val="16"/>
          <w:color w:val="auto"/>
        </w:rPr>
      </w:pPr>
    </w:p>
    <w:p>
      <w:pPr>
        <w:ind w:left="567" w:right="140" w:hanging="567"/>
        <w:spacing w:after="0" w:line="273" w:lineRule="auto"/>
        <w:tabs>
          <w:tab w:leader="none" w:pos="567" w:val="left"/>
        </w:tabs>
        <w:numPr>
          <w:ilvl w:val="0"/>
          <w:numId w:val="44"/>
        </w:numPr>
        <w:rPr>
          <w:rFonts w:ascii="Arial" w:cs="Arial" w:eastAsia="Arial" w:hAnsi="Arial"/>
          <w:sz w:val="17"/>
          <w:szCs w:val="17"/>
          <w:color w:val="auto"/>
        </w:rPr>
      </w:pPr>
      <w:r>
        <w:rPr>
          <w:rFonts w:ascii="Arial" w:cs="Arial" w:eastAsia="Arial" w:hAnsi="Arial"/>
          <w:sz w:val="17"/>
          <w:szCs w:val="17"/>
          <w:color w:val="auto"/>
        </w:rPr>
        <w:t>(1) a number of Foreign Slots (other than any Temporary Slots) of the Borrower at airports in South America that is not less than the product of (I) 90% and (II) the total number of Foreign Slots (other than any Temporary Slots) of the Borrower used in any non-stop scheduled service of the Borrower between airports in the United States and airports in South America and (2) all of the Route Authorities and Foreign Gate Leaseholds (other than Foreign Gate Leaseholds subject to Transfer Restrictions of the type specified in clause (1)(x) of the proviso to Section 1 of the SGR Security Agreement) of the Borrower used in any non-stop scheduled service of the Borrower between airports in the United States and airports in South America;</w:t>
      </w:r>
    </w:p>
    <w:p>
      <w:pPr>
        <w:spacing w:after="0" w:line="83" w:lineRule="exact"/>
        <w:rPr>
          <w:rFonts w:ascii="Arial" w:cs="Arial" w:eastAsia="Arial" w:hAnsi="Arial"/>
          <w:sz w:val="17"/>
          <w:szCs w:val="17"/>
          <w:color w:val="auto"/>
        </w:rPr>
      </w:pPr>
    </w:p>
    <w:p>
      <w:pPr>
        <w:ind w:left="567" w:hanging="567"/>
        <w:spacing w:after="0" w:line="293" w:lineRule="auto"/>
        <w:tabs>
          <w:tab w:leader="none" w:pos="567" w:val="left"/>
        </w:tabs>
        <w:numPr>
          <w:ilvl w:val="0"/>
          <w:numId w:val="44"/>
        </w:numPr>
        <w:rPr>
          <w:rFonts w:ascii="Arial" w:cs="Arial" w:eastAsia="Arial" w:hAnsi="Arial"/>
          <w:sz w:val="16"/>
          <w:szCs w:val="16"/>
          <w:color w:val="auto"/>
        </w:rPr>
      </w:pPr>
      <w:r>
        <w:rPr>
          <w:rFonts w:ascii="Arial" w:cs="Arial" w:eastAsia="Arial" w:hAnsi="Arial"/>
          <w:sz w:val="16"/>
          <w:szCs w:val="16"/>
          <w:color w:val="auto"/>
        </w:rPr>
        <w:t>(1) a number of Foreign Slots (other than any Temporary Slots) of the Borrower at airports in Central America and Mexico that is not less than the product of (I) 90% and (II) the total number of Foreign Slots (other than any Temporary Slots) of the Borrower used in any non-stop scheduled service of the Borrower between airports in the United States and airports in Central America and Mexico and (2) all of the Route Authorities and Foreign Gate Leaseholds (other than Foreign Gate Leaseholds subject to Transfer Restrictions of the type specified in clause (1)(x) of the proviso to Section 1 of the SGR Security Agreement) of the Borrower used in any non-stop scheduled service of the Borrower between airports in the United States and airports in Central America and Mexico;</w:t>
      </w:r>
    </w:p>
    <w:p>
      <w:pPr>
        <w:spacing w:after="0" w:line="70" w:lineRule="exact"/>
        <w:rPr>
          <w:rFonts w:ascii="Arial" w:cs="Arial" w:eastAsia="Arial" w:hAnsi="Arial"/>
          <w:sz w:val="16"/>
          <w:szCs w:val="16"/>
          <w:color w:val="auto"/>
        </w:rPr>
      </w:pPr>
    </w:p>
    <w:p>
      <w:pPr>
        <w:ind w:left="567" w:hanging="567"/>
        <w:spacing w:after="0"/>
        <w:tabs>
          <w:tab w:leader="none" w:pos="567" w:val="left"/>
        </w:tabs>
        <w:numPr>
          <w:ilvl w:val="0"/>
          <w:numId w:val="44"/>
        </w:numPr>
        <w:rPr>
          <w:rFonts w:ascii="Arial" w:cs="Arial" w:eastAsia="Arial" w:hAnsi="Arial"/>
          <w:sz w:val="16"/>
          <w:szCs w:val="16"/>
          <w:color w:val="auto"/>
        </w:rPr>
      </w:pPr>
      <w:r>
        <w:rPr>
          <w:rFonts w:ascii="Arial" w:cs="Arial" w:eastAsia="Arial" w:hAnsi="Arial"/>
          <w:sz w:val="16"/>
          <w:szCs w:val="16"/>
          <w:color w:val="auto"/>
        </w:rPr>
        <w:t>a number of Foreign Slots (other than any Temporary Slots) of the Borrower at LHR that is not less than the product of (I) 66% and (II)</w:t>
      </w:r>
    </w:p>
    <w:p>
      <w:pPr>
        <w:spacing w:after="0" w:line="46" w:lineRule="exact"/>
        <w:rPr>
          <w:rFonts w:ascii="Arial" w:cs="Arial" w:eastAsia="Arial" w:hAnsi="Arial"/>
          <w:sz w:val="16"/>
          <w:szCs w:val="16"/>
          <w:color w:val="auto"/>
        </w:rPr>
      </w:pPr>
    </w:p>
    <w:p>
      <w:pPr>
        <w:ind w:left="567"/>
        <w:spacing w:after="0"/>
        <w:rPr>
          <w:rFonts w:ascii="Arial" w:cs="Arial" w:eastAsia="Arial" w:hAnsi="Arial"/>
          <w:sz w:val="16"/>
          <w:szCs w:val="16"/>
          <w:color w:val="auto"/>
        </w:rPr>
      </w:pPr>
      <w:r>
        <w:rPr>
          <w:rFonts w:ascii="Arial" w:cs="Arial" w:eastAsia="Arial" w:hAnsi="Arial"/>
          <w:sz w:val="18"/>
          <w:szCs w:val="18"/>
          <w:color w:val="auto"/>
        </w:rPr>
        <w:t>(x) during the IATA summer season, the total number of IATA</w:t>
      </w:r>
    </w:p>
    <w:p>
      <w:pPr>
        <w:spacing w:after="0" w:line="143" w:lineRule="exact"/>
        <w:rPr>
          <w:sz w:val="20"/>
          <w:szCs w:val="20"/>
          <w:color w:val="auto"/>
        </w:rPr>
      </w:pPr>
    </w:p>
    <w:p>
      <w:pPr>
        <w:ind w:left="4747"/>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487"/>
          </w:cols>
          <w:pgMar w:left="1153" w:top="274" w:right="259" w:bottom="1440" w:gutter="0" w:footer="0" w:header="0"/>
        </w:sectPr>
      </w:pPr>
    </w:p>
    <w:bookmarkStart w:id="79" w:name="page80"/>
    <w:bookmarkEnd w:id="79"/>
    <w:p>
      <w:pPr>
        <w:ind w:left="148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summer season Foreign Slots (other than any Temporary Slots) of the Borrower at LHR that are IATA summer season Foreign Slots used in any non-stop scheduled service of the Borrower between airports in the United States and LHR or (y) during the IATA winter season, the total number of IATA winter season Foreign Slots (other than any Temporary Slots) of the Borrower at LHR that are IATA winter season Foreign Slots used in any non-stop scheduled service of the Borrower between airports in the United States and LHR, in each case as of the Third Amendment Effective Date based on an Officer’s Certificate of the Borrower delivered to the Administrative Agent on the Third Amendment Effective Date or such later time as the Administrative Agent may agree; or</w:t>
      </w:r>
    </w:p>
    <w:p>
      <w:pPr>
        <w:spacing w:after="0" w:line="84" w:lineRule="exact"/>
        <w:rPr>
          <w:sz w:val="20"/>
          <w:szCs w:val="20"/>
          <w:color w:val="auto"/>
        </w:rPr>
      </w:pPr>
    </w:p>
    <w:p>
      <w:pPr>
        <w:ind w:left="1480" w:right="80" w:hanging="567"/>
        <w:spacing w:after="0" w:line="276" w:lineRule="auto"/>
        <w:tabs>
          <w:tab w:leader="none" w:pos="1480" w:val="left"/>
        </w:tabs>
        <w:numPr>
          <w:ilvl w:val="1"/>
          <w:numId w:val="45"/>
        </w:numPr>
        <w:rPr>
          <w:rFonts w:ascii="Arial" w:cs="Arial" w:eastAsia="Arial" w:hAnsi="Arial"/>
          <w:sz w:val="17"/>
          <w:szCs w:val="17"/>
          <w:color w:val="auto"/>
        </w:rPr>
      </w:pPr>
      <w:r>
        <w:rPr>
          <w:rFonts w:ascii="Arial" w:cs="Arial" w:eastAsia="Arial" w:hAnsi="Arial"/>
          <w:sz w:val="17"/>
          <w:szCs w:val="17"/>
          <w:color w:val="auto"/>
        </w:rPr>
        <w:t>any Airbus A320 NEO family aircraft, Airbus 320 family aircraft, Airbus A330 family aircraft, Airbus A350 family aircraft, Boeing 737 NG family aircraft, Boeing 737 MAX family aircraft, Boeing 777 family aircraft, Boeing 787 family aircraft and/or any engines, or any combination of the foregoing assets, in each case, the Appraised Value of which is not less than the product of (i) 20% and (ii) of the product of (x) 1.6 and (y) the Total Obligations as of any date of determination; provided, that all such aircraft or engines are of the type described in Section 1110 of the Bankruptcy Code or any analogous successor provision of the Bankruptcy Code.</w:t>
      </w:r>
    </w:p>
    <w:p>
      <w:pPr>
        <w:spacing w:after="0" w:line="64" w:lineRule="exact"/>
        <w:rPr>
          <w:rFonts w:ascii="Arial" w:cs="Arial" w:eastAsia="Arial" w:hAnsi="Arial"/>
          <w:sz w:val="17"/>
          <w:szCs w:val="17"/>
          <w:color w:val="auto"/>
        </w:rPr>
      </w:pPr>
    </w:p>
    <w:p>
      <w:pPr>
        <w:ind w:left="1000" w:hanging="536"/>
        <w:spacing w:after="0"/>
        <w:tabs>
          <w:tab w:leader="none" w:pos="10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definition of “</w:t>
      </w:r>
      <w:r>
        <w:rPr>
          <w:rFonts w:ascii="Arial" w:cs="Arial" w:eastAsia="Arial" w:hAnsi="Arial"/>
          <w:sz w:val="16"/>
          <w:szCs w:val="16"/>
          <w:i w:val="1"/>
          <w:iCs w:val="1"/>
          <w:color w:val="auto"/>
        </w:rPr>
        <w:t>Flyer Miles Obligations</w:t>
      </w:r>
      <w:r>
        <w:rPr>
          <w:rFonts w:ascii="Arial" w:cs="Arial" w:eastAsia="Arial" w:hAnsi="Arial"/>
          <w:sz w:val="16"/>
          <w:szCs w:val="16"/>
          <w:color w:val="auto"/>
        </w:rPr>
        <w:t>” appearing in Section 1.01 of the Credit Agreement is hereby amended and restated in its entirety as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follows:</w:t>
      </w:r>
    </w:p>
    <w:p>
      <w:pPr>
        <w:spacing w:after="0" w:line="103" w:lineRule="exact"/>
        <w:rPr>
          <w:sz w:val="20"/>
          <w:szCs w:val="20"/>
          <w:color w:val="auto"/>
        </w:rPr>
      </w:pPr>
    </w:p>
    <w:p>
      <w:pPr>
        <w:ind w:left="460" w:right="2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Flyer Miles Obligations</w:t>
      </w:r>
      <w:r>
        <w:rPr>
          <w:rFonts w:ascii="Arial" w:cs="Arial" w:eastAsia="Arial" w:hAnsi="Arial"/>
          <w:sz w:val="18"/>
          <w:szCs w:val="18"/>
          <w:color w:val="auto"/>
        </w:rPr>
        <w:t>” shall mean, at any date of determination, all payment and performance obligations of the Borrower under any card marketing agreement with respect to credit cards co branded by the Borrower and a financial institution which may include obligations in respect of the pre-purchase by third parties of frequent flyer miles and any other similar agreements entered into by Parent or any of its Subsidiaries with any bank from time to time.</w:t>
      </w:r>
    </w:p>
    <w:p>
      <w:pPr>
        <w:spacing w:after="0" w:line="79" w:lineRule="exact"/>
        <w:rPr>
          <w:sz w:val="20"/>
          <w:szCs w:val="20"/>
          <w:color w:val="auto"/>
        </w:rPr>
      </w:pPr>
    </w:p>
    <w:p>
      <w:pPr>
        <w:ind w:right="40" w:firstLine="464"/>
        <w:spacing w:after="0" w:line="277" w:lineRule="auto"/>
        <w:tabs>
          <w:tab w:leader="none" w:pos="1038"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definition of “</w:t>
      </w:r>
      <w:r>
        <w:rPr>
          <w:rFonts w:ascii="Arial" w:cs="Arial" w:eastAsia="Arial" w:hAnsi="Arial"/>
          <w:sz w:val="18"/>
          <w:szCs w:val="18"/>
          <w:i w:val="1"/>
          <w:iCs w:val="1"/>
          <w:color w:val="auto"/>
        </w:rPr>
        <w:t>LIBO Rate</w:t>
      </w:r>
      <w:r>
        <w:rPr>
          <w:rFonts w:ascii="Arial" w:cs="Arial" w:eastAsia="Arial" w:hAnsi="Arial"/>
          <w:sz w:val="18"/>
          <w:szCs w:val="18"/>
          <w:color w:val="auto"/>
        </w:rPr>
        <w:t>” is hereby amended by deleting “2016 Replacement Term Loans” and replacing it with “2017 Replacement Term Loans” and by deleting “0.75%” and replacing it with “0.00%”.</w:t>
      </w:r>
    </w:p>
    <w:p>
      <w:pPr>
        <w:spacing w:after="0" w:line="62" w:lineRule="exact"/>
        <w:rPr>
          <w:rFonts w:ascii="Arial" w:cs="Arial" w:eastAsia="Arial" w:hAnsi="Arial"/>
          <w:sz w:val="18"/>
          <w:szCs w:val="18"/>
          <w:color w:val="auto"/>
        </w:rPr>
      </w:pPr>
    </w:p>
    <w:p>
      <w:pPr>
        <w:ind w:left="940" w:hanging="476"/>
        <w:spacing w:after="0"/>
        <w:tabs>
          <w:tab w:leader="none" w:pos="9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definition of “Officer’s Certificate” is hereby amended by adding “any Assistant Secretary,” after “the Secretary,”.</w:t>
      </w:r>
    </w:p>
    <w:p>
      <w:pPr>
        <w:spacing w:after="0" w:line="117" w:lineRule="exact"/>
        <w:rPr>
          <w:rFonts w:ascii="Arial" w:cs="Arial" w:eastAsia="Arial" w:hAnsi="Arial"/>
          <w:sz w:val="18"/>
          <w:szCs w:val="18"/>
          <w:color w:val="auto"/>
        </w:rPr>
      </w:pPr>
    </w:p>
    <w:p>
      <w:pPr>
        <w:ind w:left="900" w:hanging="436"/>
        <w:spacing w:after="0"/>
        <w:tabs>
          <w:tab w:leader="none" w:pos="9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definition of “</w:t>
      </w:r>
      <w:r>
        <w:rPr>
          <w:rFonts w:ascii="Arial" w:cs="Arial" w:eastAsia="Arial" w:hAnsi="Arial"/>
          <w:sz w:val="17"/>
          <w:szCs w:val="17"/>
          <w:i w:val="1"/>
          <w:iCs w:val="1"/>
          <w:color w:val="auto"/>
        </w:rPr>
        <w:t>Permitted Disposition</w:t>
      </w:r>
      <w:r>
        <w:rPr>
          <w:rFonts w:ascii="Arial" w:cs="Arial" w:eastAsia="Arial" w:hAnsi="Arial"/>
          <w:sz w:val="17"/>
          <w:szCs w:val="17"/>
          <w:color w:val="auto"/>
        </w:rPr>
        <w:t>” is hereby amended by deleting “$25,000,000” where it appears in clause (1) and replacing it with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“$50,000,000”.</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80" w:name="page81"/>
    <w:bookmarkEnd w:id="80"/>
    <w:p>
      <w:pPr>
        <w:ind w:right="80" w:firstLine="464"/>
        <w:spacing w:after="0" w:line="277" w:lineRule="auto"/>
        <w:tabs>
          <w:tab w:leader="none" w:pos="938" w:val="left"/>
        </w:tabs>
        <w:numPr>
          <w:ilvl w:val="0"/>
          <w:numId w:val="4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definition of “Receivables” is hereby amended by deleting “subset” where it appears and replacing it with “subject” and adding “or another financing transaction” at the end thereof.</w:t>
      </w:r>
    </w:p>
    <w:p>
      <w:pPr>
        <w:spacing w:after="0" w:line="62" w:lineRule="exact"/>
        <w:rPr>
          <w:rFonts w:ascii="Arial" w:cs="Arial" w:eastAsia="Arial" w:hAnsi="Arial"/>
          <w:sz w:val="18"/>
          <w:szCs w:val="18"/>
          <w:color w:val="auto"/>
        </w:rPr>
      </w:pPr>
    </w:p>
    <w:p>
      <w:pPr>
        <w:ind w:right="20" w:firstLine="464"/>
        <w:spacing w:after="0" w:line="277" w:lineRule="auto"/>
        <w:tabs>
          <w:tab w:leader="none" w:pos="988"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definition of “</w:t>
      </w:r>
      <w:r>
        <w:rPr>
          <w:rFonts w:ascii="Arial" w:cs="Arial" w:eastAsia="Arial" w:hAnsi="Arial"/>
          <w:sz w:val="18"/>
          <w:szCs w:val="18"/>
          <w:i w:val="1"/>
          <w:iCs w:val="1"/>
          <w:color w:val="auto"/>
        </w:rPr>
        <w:t>Repricing Event</w:t>
      </w:r>
      <w:r>
        <w:rPr>
          <w:rFonts w:ascii="Arial" w:cs="Arial" w:eastAsia="Arial" w:hAnsi="Arial"/>
          <w:sz w:val="18"/>
          <w:szCs w:val="18"/>
          <w:color w:val="auto"/>
        </w:rPr>
        <w:t>” is hereby amended by deleting “2016 Replacement Term Loans” each place it appears and replacing it with “2017 Replacement Term Loans”.</w:t>
      </w:r>
    </w:p>
    <w:p>
      <w:pPr>
        <w:spacing w:after="0" w:line="62" w:lineRule="exact"/>
        <w:rPr>
          <w:rFonts w:ascii="Arial" w:cs="Arial" w:eastAsia="Arial" w:hAnsi="Arial"/>
          <w:sz w:val="18"/>
          <w:szCs w:val="18"/>
          <w:color w:val="auto"/>
        </w:rPr>
      </w:pPr>
    </w:p>
    <w:p>
      <w:pPr>
        <w:ind w:left="1040" w:hanging="576"/>
        <w:spacing w:after="0"/>
        <w:tabs>
          <w:tab w:leader="none" w:pos="10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definition of “</w:t>
      </w:r>
      <w:r>
        <w:rPr>
          <w:rFonts w:ascii="Arial" w:cs="Arial" w:eastAsia="Arial" w:hAnsi="Arial"/>
          <w:sz w:val="16"/>
          <w:szCs w:val="16"/>
          <w:i w:val="1"/>
          <w:iCs w:val="1"/>
          <w:color w:val="auto"/>
        </w:rPr>
        <w:t>Term Loan</w:t>
      </w:r>
      <w:r>
        <w:rPr>
          <w:rFonts w:ascii="Arial" w:cs="Arial" w:eastAsia="Arial" w:hAnsi="Arial"/>
          <w:sz w:val="16"/>
          <w:szCs w:val="16"/>
          <w:color w:val="auto"/>
        </w:rPr>
        <w:t>” is hereby amended by deleting “2016 Replacement Term Loans” and replacing it with “2017 Replacement Term</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Loans”.</w:t>
      </w:r>
    </w:p>
    <w:p>
      <w:pPr>
        <w:spacing w:after="0" w:line="102" w:lineRule="exact"/>
        <w:rPr>
          <w:rFonts w:ascii="Arial" w:cs="Arial" w:eastAsia="Arial" w:hAnsi="Arial"/>
          <w:sz w:val="16"/>
          <w:szCs w:val="16"/>
          <w:color w:val="auto"/>
        </w:rPr>
      </w:pPr>
    </w:p>
    <w:p>
      <w:pPr>
        <w:ind w:left="1040" w:hanging="576"/>
        <w:spacing w:after="0"/>
        <w:tabs>
          <w:tab w:leader="none" w:pos="10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definition of “</w:t>
      </w:r>
      <w:r>
        <w:rPr>
          <w:rFonts w:ascii="Arial" w:cs="Arial" w:eastAsia="Arial" w:hAnsi="Arial"/>
          <w:sz w:val="16"/>
          <w:szCs w:val="16"/>
          <w:i w:val="1"/>
          <w:iCs w:val="1"/>
          <w:color w:val="auto"/>
        </w:rPr>
        <w:t>Term Loan Commitment</w:t>
      </w:r>
      <w:r>
        <w:rPr>
          <w:rFonts w:ascii="Arial" w:cs="Arial" w:eastAsia="Arial" w:hAnsi="Arial"/>
          <w:sz w:val="16"/>
          <w:szCs w:val="16"/>
          <w:color w:val="auto"/>
        </w:rPr>
        <w:t>” appearing in Section 1.01 of the Credit Agreement is hereby amended and restated in its entirety as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follows:</w:t>
      </w:r>
    </w:p>
    <w:p>
      <w:pPr>
        <w:spacing w:after="0" w:line="103" w:lineRule="exact"/>
        <w:rPr>
          <w:sz w:val="20"/>
          <w:szCs w:val="20"/>
          <w:color w:val="auto"/>
        </w:rPr>
      </w:pPr>
    </w:p>
    <w:p>
      <w:pPr>
        <w:ind w:left="460" w:right="140" w:firstLine="438"/>
        <w:spacing w:after="0" w:line="255" w:lineRule="auto"/>
        <w:rPr>
          <w:sz w:val="20"/>
          <w:szCs w:val="20"/>
          <w:color w:val="auto"/>
        </w:rPr>
      </w:pPr>
      <w:r>
        <w:rPr>
          <w:rFonts w:ascii="Arial" w:cs="Arial" w:eastAsia="Arial" w:hAnsi="Arial"/>
          <w:sz w:val="18"/>
          <w:szCs w:val="18"/>
          <w:i w:val="1"/>
          <w:iCs w:val="1"/>
          <w:color w:val="auto"/>
        </w:rPr>
        <w:t xml:space="preserve">“Term Loan Commitment” </w:t>
      </w:r>
      <w:r>
        <w:rPr>
          <w:rFonts w:ascii="Arial" w:cs="Arial" w:eastAsia="Arial" w:hAnsi="Arial"/>
          <w:sz w:val="18"/>
          <w:szCs w:val="18"/>
          <w:color w:val="auto"/>
        </w:rPr>
        <w:t>shall mean the commitment of each Term Lender to make Term Loans hereunder and, in the case of the 2017</w:t>
      </w:r>
      <w:r>
        <w:rPr>
          <w:rFonts w:ascii="Arial" w:cs="Arial" w:eastAsia="Arial" w:hAnsi="Arial"/>
          <w:sz w:val="18"/>
          <w:szCs w:val="18"/>
          <w:i w:val="1"/>
          <w:iCs w:val="1"/>
          <w:color w:val="auto"/>
        </w:rPr>
        <w:t xml:space="preserve"> </w:t>
      </w:r>
      <w:r>
        <w:rPr>
          <w:rFonts w:ascii="Arial" w:cs="Arial" w:eastAsia="Arial" w:hAnsi="Arial"/>
          <w:sz w:val="18"/>
          <w:szCs w:val="18"/>
          <w:color w:val="auto"/>
        </w:rPr>
        <w:t>Replacement Term Loans, in an aggregate principal amount not to exceed the amount set forth under the heading “2017 Replacement Term Loan Commitment” opposite its name in the 2017 Replacement Term Loan Commitment Schedule or in the Assignment and Acceptance pursuant to which such Term Lender became a party hereto, as the same may be changed from time to time pursuant to the terms hereof. The aggregate amount of the Term Loan Commitments as of the Third Amendment Effective Date was $735,000,000. The Term Loan Commitments as of the Third Amendment Effective Date are for 2017 Replacement Term Loans.</w:t>
      </w:r>
    </w:p>
    <w:p>
      <w:pPr>
        <w:spacing w:after="0" w:line="85" w:lineRule="exact"/>
        <w:rPr>
          <w:sz w:val="20"/>
          <w:szCs w:val="20"/>
          <w:color w:val="auto"/>
        </w:rPr>
      </w:pPr>
    </w:p>
    <w:p>
      <w:pPr>
        <w:ind w:right="400" w:firstLine="464"/>
        <w:spacing w:after="0" w:line="277" w:lineRule="auto"/>
        <w:tabs>
          <w:tab w:leader="none" w:pos="978"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definition of “</w:t>
      </w:r>
      <w:r>
        <w:rPr>
          <w:rFonts w:ascii="Arial" w:cs="Arial" w:eastAsia="Arial" w:hAnsi="Arial"/>
          <w:sz w:val="18"/>
          <w:szCs w:val="18"/>
          <w:i w:val="1"/>
          <w:iCs w:val="1"/>
          <w:color w:val="auto"/>
        </w:rPr>
        <w:t>Term Loan Maturity Date</w:t>
      </w:r>
      <w:r>
        <w:rPr>
          <w:rFonts w:ascii="Arial" w:cs="Arial" w:eastAsia="Arial" w:hAnsi="Arial"/>
          <w:sz w:val="18"/>
          <w:szCs w:val="18"/>
          <w:color w:val="auto"/>
        </w:rPr>
        <w:t>” is hereby amended by deleting “2016 Replacement Term Loans” and replacing it with “2017 Replacement Term Loans”.</w:t>
      </w:r>
    </w:p>
    <w:p>
      <w:pPr>
        <w:spacing w:after="0" w:line="62" w:lineRule="exact"/>
        <w:rPr>
          <w:rFonts w:ascii="Arial" w:cs="Arial" w:eastAsia="Arial" w:hAnsi="Arial"/>
          <w:sz w:val="18"/>
          <w:szCs w:val="18"/>
          <w:color w:val="auto"/>
        </w:rPr>
      </w:pPr>
    </w:p>
    <w:p>
      <w:pPr>
        <w:ind w:right="200" w:firstLine="464"/>
        <w:spacing w:after="0" w:line="277" w:lineRule="auto"/>
        <w:tabs>
          <w:tab w:leader="none" w:pos="1028"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definition of “US Airways” is hereby amended by adding “which merged with and into the Borrower with the Borrower as the surviving entity” at the end thereof.</w:t>
      </w:r>
    </w:p>
    <w:p>
      <w:pPr>
        <w:spacing w:after="0" w:line="62" w:lineRule="exact"/>
        <w:rPr>
          <w:rFonts w:ascii="Arial" w:cs="Arial" w:eastAsia="Arial" w:hAnsi="Arial"/>
          <w:sz w:val="18"/>
          <w:szCs w:val="18"/>
          <w:color w:val="auto"/>
        </w:rPr>
      </w:pPr>
    </w:p>
    <w:p>
      <w:pPr>
        <w:ind w:left="1080" w:hanging="616"/>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Section 2.01(b) is hereby amended and restated in its entirety as follows:</w:t>
      </w:r>
    </w:p>
    <w:p>
      <w:pPr>
        <w:spacing w:after="0" w:line="117" w:lineRule="exact"/>
        <w:rPr>
          <w:sz w:val="20"/>
          <w:szCs w:val="20"/>
          <w:color w:val="auto"/>
        </w:rPr>
      </w:pPr>
    </w:p>
    <w:p>
      <w:pPr>
        <w:ind w:left="900"/>
        <w:spacing w:after="0"/>
        <w:rPr>
          <w:sz w:val="20"/>
          <w:szCs w:val="20"/>
          <w:color w:val="auto"/>
        </w:rPr>
      </w:pPr>
      <w:r>
        <w:rPr>
          <w:rFonts w:ascii="Arial" w:cs="Arial" w:eastAsia="Arial" w:hAnsi="Arial"/>
          <w:sz w:val="16"/>
          <w:szCs w:val="16"/>
          <w:i w:val="1"/>
          <w:iCs w:val="1"/>
          <w:color w:val="auto"/>
        </w:rPr>
        <w:t>Term Loan Commitments</w:t>
      </w:r>
      <w:r>
        <w:rPr>
          <w:rFonts w:ascii="Arial" w:cs="Arial" w:eastAsia="Arial" w:hAnsi="Arial"/>
          <w:sz w:val="16"/>
          <w:szCs w:val="16"/>
          <w:color w:val="auto"/>
        </w:rPr>
        <w:t>. On the Third Amendment Effective Date, each 2017 Replacement Term Lender agrees to make to the Borrower the</w:t>
      </w:r>
    </w:p>
    <w:p>
      <w:pPr>
        <w:spacing w:after="0" w:line="46" w:lineRule="exact"/>
        <w:rPr>
          <w:sz w:val="20"/>
          <w:szCs w:val="20"/>
          <w:color w:val="auto"/>
        </w:rPr>
      </w:pPr>
    </w:p>
    <w:p>
      <w:pPr>
        <w:ind w:left="460" w:right="620"/>
        <w:spacing w:after="0" w:line="261" w:lineRule="auto"/>
        <w:rPr>
          <w:sz w:val="20"/>
          <w:szCs w:val="20"/>
          <w:color w:val="auto"/>
        </w:rPr>
      </w:pPr>
      <w:r>
        <w:rPr>
          <w:rFonts w:ascii="Arial" w:cs="Arial" w:eastAsia="Arial" w:hAnsi="Arial"/>
          <w:sz w:val="18"/>
          <w:szCs w:val="18"/>
          <w:color w:val="auto"/>
        </w:rPr>
        <w:t>2017 Replacement Term Loans denominated in Dollars in an aggregate principal amount equal to such 2017 Replacement Term Lender’s 2017 Replacement Term Loan Commitment in accordance with the terms and conditions of the Third Amendment.</w:t>
      </w:r>
    </w:p>
    <w:p>
      <w:pPr>
        <w:spacing w:after="0" w:line="76" w:lineRule="exact"/>
        <w:rPr>
          <w:sz w:val="20"/>
          <w:szCs w:val="20"/>
          <w:color w:val="auto"/>
        </w:rPr>
      </w:pPr>
    </w:p>
    <w:p>
      <w:pPr>
        <w:ind w:left="960" w:hanging="496"/>
        <w:spacing w:after="0"/>
        <w:tabs>
          <w:tab w:leader="none" w:pos="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Section 2.10(b) is hereby amended and restated in its entirety as follows:</w:t>
      </w:r>
    </w:p>
    <w:p>
      <w:pPr>
        <w:spacing w:after="0" w:line="117" w:lineRule="exact"/>
        <w:rPr>
          <w:rFonts w:ascii="Arial" w:cs="Arial" w:eastAsia="Arial" w:hAnsi="Arial"/>
          <w:sz w:val="18"/>
          <w:szCs w:val="18"/>
          <w:color w:val="auto"/>
        </w:rPr>
      </w:pPr>
    </w:p>
    <w:p>
      <w:pPr>
        <w:ind w:left="460" w:right="160" w:firstLine="443"/>
        <w:spacing w:after="0" w:line="264" w:lineRule="auto"/>
        <w:tabs>
          <w:tab w:leader="none" w:pos="1153"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The principal amounts of the 2017 Replacement Term Loans shall be repaid in consecutive annual installments (each, an “</w:t>
      </w:r>
      <w:r>
        <w:rPr>
          <w:rFonts w:ascii="Arial" w:cs="Arial" w:eastAsia="Arial" w:hAnsi="Arial"/>
          <w:sz w:val="18"/>
          <w:szCs w:val="18"/>
          <w:i w:val="1"/>
          <w:iCs w:val="1"/>
          <w:color w:val="auto"/>
        </w:rPr>
        <w:t>Installment</w:t>
      </w:r>
      <w:r>
        <w:rPr>
          <w:rFonts w:ascii="Arial" w:cs="Arial" w:eastAsia="Arial" w:hAnsi="Arial"/>
          <w:sz w:val="18"/>
          <w:szCs w:val="18"/>
          <w:color w:val="auto"/>
        </w:rPr>
        <w:t>”) of 1.00% of the sum of (i) the original aggregate principal amount of the 2015 Term Loans made on the Restatement Effective Date plus (ii) the original aggregate principal amount of any Incremental Term Loans of the same Class as the 2016</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74" w:right="279" w:bottom="1440" w:gutter="0" w:footer="0" w:header="0"/>
        </w:sectPr>
      </w:pPr>
    </w:p>
    <w:bookmarkStart w:id="81" w:name="page82"/>
    <w:bookmarkEnd w:id="81"/>
    <w:p>
      <w:pPr>
        <w:ind w:left="46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Replacement Term Loans from time to time after the Second Amendment Effective Date plus (iii) the original aggregate principal amount of any Incremental Term Loans of the same Class as the 2017 Replacement Term Loans from time to time after the Third Amendment Effective Date, on each anniversary of the Closing Date occurring prior to the Term Loan Maturity Date with respect to such 2017 Replacement Term Loans. Notwithstanding the foregoing, (1) such Installments shall be reduced in connection with any mandatory or voluntary prepayments of the 2017 Replacement Term Loans in accordance with Sections 2.12 and 2.13, as applicable, and (2) the Term Loans, together with all other amounts owed hereunder with respect thereto, shall, in any event, be paid in full no later than the applicable Term Loan Termination Date.</w:t>
      </w:r>
    </w:p>
    <w:p>
      <w:pPr>
        <w:spacing w:after="0" w:line="70" w:lineRule="exact"/>
        <w:rPr>
          <w:sz w:val="20"/>
          <w:szCs w:val="20"/>
          <w:color w:val="auto"/>
        </w:rPr>
      </w:pPr>
    </w:p>
    <w:p>
      <w:pPr>
        <w:ind w:left="1040" w:hanging="576"/>
        <w:spacing w:after="0"/>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Section 2.13(a) is hereby amended by adding the following sentence at the end thereof:</w:t>
      </w:r>
    </w:p>
    <w:p>
      <w:pPr>
        <w:spacing w:after="0" w:line="117" w:lineRule="exact"/>
        <w:rPr>
          <w:sz w:val="20"/>
          <w:szCs w:val="20"/>
          <w:color w:val="auto"/>
        </w:rPr>
      </w:pPr>
    </w:p>
    <w:p>
      <w:pPr>
        <w:ind w:left="460" w:right="80" w:firstLine="438"/>
        <w:spacing w:after="0" w:line="264" w:lineRule="auto"/>
        <w:rPr>
          <w:sz w:val="20"/>
          <w:szCs w:val="20"/>
          <w:color w:val="auto"/>
        </w:rPr>
      </w:pPr>
      <w:r>
        <w:rPr>
          <w:rFonts w:ascii="Arial" w:cs="Arial" w:eastAsia="Arial" w:hAnsi="Arial"/>
          <w:sz w:val="18"/>
          <w:szCs w:val="18"/>
          <w:color w:val="auto"/>
        </w:rPr>
        <w:t>Notwithstanding anything to the contrary above, no notice to the Administrative Agent shall be required in connection with the repayment of the Existing Term Loans (as defined in the Third Amendment) with the proceeds of 2017 Replacement Term Loans incurred on the Third Amendment Effective Date.</w:t>
      </w:r>
    </w:p>
    <w:p>
      <w:pPr>
        <w:spacing w:after="0" w:line="73" w:lineRule="exact"/>
        <w:rPr>
          <w:sz w:val="20"/>
          <w:szCs w:val="20"/>
          <w:color w:val="auto"/>
        </w:rPr>
      </w:pPr>
    </w:p>
    <w:p>
      <w:pPr>
        <w:ind w:right="760" w:firstLine="464"/>
        <w:spacing w:after="0" w:line="342" w:lineRule="auto"/>
        <w:tabs>
          <w:tab w:leader="none" w:pos="981" w:val="left"/>
        </w:tabs>
        <w:numPr>
          <w:ilvl w:val="0"/>
          <w:numId w:val="52"/>
        </w:numPr>
        <w:rPr>
          <w:rFonts w:ascii="Arial" w:cs="Arial" w:eastAsia="Arial" w:hAnsi="Arial"/>
          <w:sz w:val="16"/>
          <w:szCs w:val="16"/>
          <w:color w:val="auto"/>
        </w:rPr>
      </w:pPr>
      <w:r>
        <w:rPr>
          <w:rFonts w:ascii="Arial" w:cs="Arial" w:eastAsia="Arial" w:hAnsi="Arial"/>
          <w:sz w:val="16"/>
          <w:szCs w:val="16"/>
          <w:color w:val="auto"/>
        </w:rPr>
        <w:t>Section 2.13(d) is hereby amended by (A) deleting “2016 Replacement Term Loans” each place it appears and replacing it with “2017 Replacement Term Loans” and (B) deleting “Second Amendment Effective Date” and replacing it with “Third Amendment Effective Date”.</w:t>
      </w:r>
    </w:p>
    <w:p>
      <w:pPr>
        <w:spacing w:after="0" w:line="15" w:lineRule="exact"/>
        <w:rPr>
          <w:rFonts w:ascii="Arial" w:cs="Arial" w:eastAsia="Arial" w:hAnsi="Arial"/>
          <w:sz w:val="16"/>
          <w:szCs w:val="16"/>
          <w:color w:val="auto"/>
        </w:rPr>
      </w:pPr>
    </w:p>
    <w:p>
      <w:pPr>
        <w:ind w:left="1040" w:hanging="576"/>
        <w:spacing w:after="0"/>
        <w:tabs>
          <w:tab w:leader="none" w:pos="10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Section 2.27(c) is hereby amended by deleting “2016 Replacement Term Loans” each place it appears and replacing it with “2017 Replacement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Term Loans”.</w:t>
      </w:r>
    </w:p>
    <w:p>
      <w:pPr>
        <w:spacing w:after="0" w:line="102" w:lineRule="exact"/>
        <w:rPr>
          <w:rFonts w:ascii="Arial" w:cs="Arial" w:eastAsia="Arial" w:hAnsi="Arial"/>
          <w:sz w:val="16"/>
          <w:szCs w:val="16"/>
          <w:color w:val="auto"/>
        </w:rPr>
      </w:pPr>
    </w:p>
    <w:p>
      <w:pPr>
        <w:ind w:left="1080" w:hanging="616"/>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Section 3.08 is hereby amended by adding the following proviso at the end thereof:</w:t>
      </w:r>
    </w:p>
    <w:p>
      <w:pPr>
        <w:spacing w:after="0" w:line="117" w:lineRule="exact"/>
        <w:rPr>
          <w:rFonts w:ascii="Arial" w:cs="Arial" w:eastAsia="Arial" w:hAnsi="Arial"/>
          <w:sz w:val="18"/>
          <w:szCs w:val="18"/>
          <w:color w:val="auto"/>
        </w:rPr>
      </w:pPr>
    </w:p>
    <w:p>
      <w:pPr>
        <w:ind w:left="460" w:right="620" w:firstLine="443"/>
        <w:spacing w:after="0" w:line="277" w:lineRule="auto"/>
        <w:tabs>
          <w:tab w:leader="none" w:pos="993" w:val="left"/>
        </w:tabs>
        <w:numPr>
          <w:ilvl w:val="1"/>
          <w:numId w:val="52"/>
        </w:numPr>
        <w:rPr>
          <w:rFonts w:ascii="Arial" w:cs="Arial" w:eastAsia="Arial" w:hAnsi="Arial"/>
          <w:sz w:val="18"/>
          <w:szCs w:val="18"/>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all proceeds of the 2017 Replacement Term Loans incurred on the Third Amendment Effective Date pursuant to the Third Amendment shall solely be used as provided in the Third Amendment.</w:t>
      </w:r>
    </w:p>
    <w:p>
      <w:pPr>
        <w:spacing w:after="0" w:line="62" w:lineRule="exact"/>
        <w:rPr>
          <w:rFonts w:ascii="Arial" w:cs="Arial" w:eastAsia="Arial" w:hAnsi="Arial"/>
          <w:sz w:val="18"/>
          <w:szCs w:val="18"/>
          <w:color w:val="auto"/>
        </w:rPr>
      </w:pPr>
    </w:p>
    <w:p>
      <w:pPr>
        <w:ind w:left="1140" w:hanging="676"/>
        <w:spacing w:after="0"/>
        <w:tabs>
          <w:tab w:leader="none" w:pos="11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Section 3.16 is hereby amended by deleting “and no such reports have been made”.</w:t>
      </w:r>
    </w:p>
    <w:p>
      <w:pPr>
        <w:spacing w:after="0" w:line="117" w:lineRule="exact"/>
        <w:rPr>
          <w:rFonts w:ascii="Arial" w:cs="Arial" w:eastAsia="Arial" w:hAnsi="Arial"/>
          <w:sz w:val="18"/>
          <w:szCs w:val="18"/>
          <w:color w:val="auto"/>
        </w:rPr>
      </w:pPr>
    </w:p>
    <w:p>
      <w:pPr>
        <w:ind w:left="1120" w:hanging="656"/>
        <w:spacing w:after="0"/>
        <w:tabs>
          <w:tab w:leader="none" w:pos="11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new Section 10.19 is added as follows:</w:t>
      </w:r>
    </w:p>
    <w:p>
      <w:pPr>
        <w:spacing w:after="0" w:line="117" w:lineRule="exact"/>
        <w:rPr>
          <w:sz w:val="20"/>
          <w:szCs w:val="20"/>
          <w:color w:val="auto"/>
        </w:rPr>
      </w:pPr>
    </w:p>
    <w:p>
      <w:pPr>
        <w:ind w:left="460" w:right="180" w:firstLine="438"/>
        <w:spacing w:after="0" w:line="259" w:lineRule="auto"/>
        <w:rPr>
          <w:sz w:val="20"/>
          <w:szCs w:val="20"/>
          <w:color w:val="auto"/>
        </w:rPr>
      </w:pPr>
      <w:r>
        <w:rPr>
          <w:rFonts w:ascii="Arial" w:cs="Arial" w:eastAsia="Arial" w:hAnsi="Arial"/>
          <w:sz w:val="18"/>
          <w:szCs w:val="18"/>
          <w:color w:val="auto"/>
        </w:rPr>
        <w:t xml:space="preserve">Section 10.19 </w:t>
      </w:r>
      <w:r>
        <w:rPr>
          <w:rFonts w:ascii="Arial" w:cs="Arial" w:eastAsia="Arial" w:hAnsi="Arial"/>
          <w:sz w:val="18"/>
          <w:szCs w:val="18"/>
          <w:u w:val="single" w:color="auto"/>
          <w:color w:val="auto"/>
        </w:rPr>
        <w:t>Acknowledgment and Consent to Bail-In of EEA Financial Institutions</w:t>
      </w:r>
      <w:r>
        <w:rPr>
          <w:rFonts w:ascii="Arial" w:cs="Arial" w:eastAsia="Arial" w:hAnsi="Arial"/>
          <w:sz w:val="18"/>
          <w:szCs w:val="18"/>
          <w:color w:val="auto"/>
        </w:rPr>
        <w:t>. Notwithstanding anything to the contrary in any Loan Document or in any other agreement, arrangement or understanding among any such parties, each party hereto acknowledges that any liability of any Lender that is an EEA Financial Institution arising under any Loan Document, to the extent such liability is unsecured, may be subject to the write-down and conversion powers of an EEA</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82" w:name="page83"/>
    <w:bookmarkEnd w:id="82"/>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Resolution Authority and agrees and consents to, and acknowledges and agrees to be bound by:</w:t>
      </w:r>
    </w:p>
    <w:p>
      <w:pPr>
        <w:spacing w:after="0" w:line="117" w:lineRule="exact"/>
        <w:rPr>
          <w:sz w:val="20"/>
          <w:szCs w:val="20"/>
          <w:color w:val="auto"/>
        </w:rPr>
      </w:pPr>
    </w:p>
    <w:p>
      <w:pPr>
        <w:ind w:left="440" w:right="220" w:firstLine="443"/>
        <w:spacing w:after="0" w:line="277" w:lineRule="auto"/>
        <w:tabs>
          <w:tab w:leader="none" w:pos="1123"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application of any Write-Down and Conversion Powers by an EEA Resolution Authority to any such liabilities arising hereunder which may be payable to it by any Lender that is an EEA Financial Institution; and</w:t>
      </w:r>
    </w:p>
    <w:p>
      <w:pPr>
        <w:spacing w:after="0" w:line="62" w:lineRule="exact"/>
        <w:rPr>
          <w:rFonts w:ascii="Arial" w:cs="Arial" w:eastAsia="Arial" w:hAnsi="Arial"/>
          <w:sz w:val="18"/>
          <w:szCs w:val="18"/>
          <w:color w:val="auto"/>
        </w:rPr>
      </w:pPr>
    </w:p>
    <w:p>
      <w:pPr>
        <w:ind w:left="1140" w:hanging="257"/>
        <w:spacing w:after="0"/>
        <w:tabs>
          <w:tab w:leader="none" w:pos="11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effects of any Bail-in Action on any such liability, including, if applicable:</w:t>
      </w:r>
    </w:p>
    <w:p>
      <w:pPr>
        <w:spacing w:after="0" w:line="117" w:lineRule="exact"/>
        <w:rPr>
          <w:sz w:val="20"/>
          <w:szCs w:val="20"/>
          <w:color w:val="auto"/>
        </w:rPr>
      </w:pPr>
    </w:p>
    <w:p>
      <w:pPr>
        <w:ind w:left="1100" w:hanging="217"/>
        <w:spacing w:after="0"/>
        <w:tabs>
          <w:tab w:leader="none" w:pos="11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reduction in full or in part or cancellation of any such liability;</w:t>
      </w:r>
    </w:p>
    <w:p>
      <w:pPr>
        <w:spacing w:after="0" w:line="117" w:lineRule="exact"/>
        <w:rPr>
          <w:rFonts w:ascii="Arial" w:cs="Arial" w:eastAsia="Arial" w:hAnsi="Arial"/>
          <w:sz w:val="18"/>
          <w:szCs w:val="18"/>
          <w:color w:val="auto"/>
        </w:rPr>
      </w:pPr>
    </w:p>
    <w:p>
      <w:pPr>
        <w:ind w:left="440" w:right="120" w:firstLine="443"/>
        <w:spacing w:after="0" w:line="286" w:lineRule="auto"/>
        <w:tabs>
          <w:tab w:leader="none" w:pos="1143" w:val="left"/>
        </w:tabs>
        <w:numPr>
          <w:ilvl w:val="0"/>
          <w:numId w:val="54"/>
        </w:numPr>
        <w:rPr>
          <w:rFonts w:ascii="Arial" w:cs="Arial" w:eastAsia="Arial" w:hAnsi="Arial"/>
          <w:sz w:val="17"/>
          <w:szCs w:val="17"/>
          <w:color w:val="auto"/>
        </w:rPr>
      </w:pPr>
      <w:r>
        <w:rPr>
          <w:rFonts w:ascii="Arial" w:cs="Arial" w:eastAsia="Arial" w:hAnsi="Arial"/>
          <w:sz w:val="17"/>
          <w:szCs w:val="17"/>
          <w:color w:val="auto"/>
        </w:rPr>
        <w:t>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57" w:lineRule="exact"/>
        <w:rPr>
          <w:rFonts w:ascii="Arial" w:cs="Arial" w:eastAsia="Arial" w:hAnsi="Arial"/>
          <w:sz w:val="17"/>
          <w:szCs w:val="17"/>
          <w:color w:val="auto"/>
        </w:rPr>
      </w:pPr>
    </w:p>
    <w:p>
      <w:pPr>
        <w:ind w:left="1200" w:hanging="317"/>
        <w:spacing w:after="0"/>
        <w:tabs>
          <w:tab w:leader="none" w:pos="12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variation of the terms of such liability in connection with the exercise of the write-down and conversion powers of any EEA Resolution</w:t>
      </w:r>
    </w:p>
    <w:p>
      <w:pPr>
        <w:spacing w:after="0" w:line="46"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Authority.</w:t>
      </w:r>
    </w:p>
    <w:p>
      <w:pPr>
        <w:spacing w:after="0" w:line="103" w:lineRule="exact"/>
        <w:rPr>
          <w:sz w:val="20"/>
          <w:szCs w:val="20"/>
          <w:color w:val="auto"/>
        </w:rPr>
      </w:pPr>
    </w:p>
    <w:p>
      <w:pPr>
        <w:ind w:left="-20" w:firstLine="464"/>
        <w:spacing w:after="0" w:line="259" w:lineRule="auto"/>
        <w:tabs>
          <w:tab w:leader="none" w:pos="871"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Subject to the satisfaction (or waiver) of the conditions set forth in Section Three hereof, the 2017 Replacement Term Lenders hereby agree to make 2017 Replacement Term Loans (as defined below) to the Borrower on the Third Amendment Effective Date (as defined below) in the aggregate principal amount of $735,000,000, which shall be used solely to refinance in full all outstanding Existing Term Loans and to pay fees and expenses relating to this Third Amendment.</w:t>
      </w:r>
    </w:p>
    <w:p>
      <w:pPr>
        <w:spacing w:after="0" w:line="79" w:lineRule="exact"/>
        <w:rPr>
          <w:sz w:val="20"/>
          <w:szCs w:val="20"/>
          <w:color w:val="auto"/>
        </w:rPr>
      </w:pPr>
    </w:p>
    <w:p>
      <w:pPr>
        <w:ind w:left="-20" w:firstLine="464"/>
        <w:spacing w:after="0" w:line="273" w:lineRule="auto"/>
        <w:tabs>
          <w:tab w:leader="none" w:pos="871" w:val="left"/>
        </w:tabs>
        <w:numPr>
          <w:ilvl w:val="0"/>
          <w:numId w:val="56"/>
        </w:numPr>
        <w:rPr>
          <w:rFonts w:ascii="Arial" w:cs="Arial" w:eastAsia="Arial" w:hAnsi="Arial"/>
          <w:sz w:val="17"/>
          <w:szCs w:val="17"/>
          <w:color w:val="auto"/>
        </w:rPr>
      </w:pPr>
      <w:r>
        <w:rPr>
          <w:rFonts w:ascii="Arial" w:cs="Arial" w:eastAsia="Arial" w:hAnsi="Arial"/>
          <w:sz w:val="17"/>
          <w:szCs w:val="17"/>
          <w:color w:val="auto"/>
        </w:rPr>
        <w:t>As of the Third Amendment Effective Date, immediately prior to the effectiveness of the Third Amendment, the Administrative Agent has prepared and provided a true and correct copy to the Borrower of a schedule (the “</w:t>
      </w:r>
      <w:r>
        <w:rPr>
          <w:rFonts w:ascii="Arial" w:cs="Arial" w:eastAsia="Arial" w:hAnsi="Arial"/>
          <w:sz w:val="17"/>
          <w:szCs w:val="17"/>
          <w:u w:val="single" w:color="auto"/>
          <w:color w:val="auto"/>
        </w:rPr>
        <w:t>2017 Replacement Term Loan Commitments Schedule</w:t>
      </w:r>
      <w:r>
        <w:rPr>
          <w:rFonts w:ascii="Arial" w:cs="Arial" w:eastAsia="Arial" w:hAnsi="Arial"/>
          <w:sz w:val="17"/>
          <w:szCs w:val="17"/>
          <w:color w:val="auto"/>
        </w:rPr>
        <w:t>”) which sets forth the allocated commitments received by it (the “</w:t>
      </w:r>
      <w:r>
        <w:rPr>
          <w:rFonts w:ascii="Arial" w:cs="Arial" w:eastAsia="Arial" w:hAnsi="Arial"/>
          <w:sz w:val="17"/>
          <w:szCs w:val="17"/>
          <w:u w:val="single" w:color="auto"/>
          <w:color w:val="auto"/>
        </w:rPr>
        <w:t>2017 Replacement Term Loan Commitments</w:t>
      </w:r>
      <w:r>
        <w:rPr>
          <w:rFonts w:ascii="Arial" w:cs="Arial" w:eastAsia="Arial" w:hAnsi="Arial"/>
          <w:sz w:val="17"/>
          <w:szCs w:val="17"/>
          <w:color w:val="auto"/>
        </w:rPr>
        <w:t>”) from the Lenders providing the 2017 Replacement Term Loans (the “</w:t>
      </w:r>
      <w:r>
        <w:rPr>
          <w:rFonts w:ascii="Arial" w:cs="Arial" w:eastAsia="Arial" w:hAnsi="Arial"/>
          <w:sz w:val="17"/>
          <w:szCs w:val="17"/>
          <w:u w:val="single" w:color="auto"/>
          <w:color w:val="auto"/>
        </w:rPr>
        <w:t>2017 Replacement Term Lenders</w:t>
      </w:r>
      <w:r>
        <w:rPr>
          <w:rFonts w:ascii="Arial" w:cs="Arial" w:eastAsia="Arial" w:hAnsi="Arial"/>
          <w:sz w:val="17"/>
          <w:szCs w:val="17"/>
          <w:color w:val="auto"/>
        </w:rPr>
        <w:t>”). The Administrative Agent has notified each 2017 Replacement Term Lender of its allocated 2017 Replacement Term Loan Commitment, and each of the 2017 Replacement Term Lenders is listed as a signatory to this Third Amendment. On the Third Amendment Effective Date, all Existing Term Loans shall be refinanced in full as follows:</w:t>
      </w:r>
    </w:p>
    <w:p>
      <w:pPr>
        <w:spacing w:after="0" w:line="70" w:lineRule="exact"/>
        <w:rPr>
          <w:rFonts w:ascii="Arial" w:cs="Arial" w:eastAsia="Arial" w:hAnsi="Arial"/>
          <w:sz w:val="17"/>
          <w:szCs w:val="17"/>
          <w:color w:val="auto"/>
        </w:rPr>
      </w:pPr>
    </w:p>
    <w:p>
      <w:pPr>
        <w:ind w:left="440" w:right="160" w:firstLine="443"/>
        <w:spacing w:after="0" w:line="277" w:lineRule="auto"/>
        <w:tabs>
          <w:tab w:leader="none" w:pos="1353" w:val="left"/>
        </w:tabs>
        <w:numPr>
          <w:ilvl w:val="1"/>
          <w:numId w:val="56"/>
        </w:numPr>
        <w:rPr>
          <w:rFonts w:ascii="Arial" w:cs="Arial" w:eastAsia="Arial" w:hAnsi="Arial"/>
          <w:sz w:val="18"/>
          <w:szCs w:val="18"/>
          <w:color w:val="auto"/>
        </w:rPr>
      </w:pPr>
      <w:r>
        <w:rPr>
          <w:rFonts w:ascii="Arial" w:cs="Arial" w:eastAsia="Arial" w:hAnsi="Arial"/>
          <w:sz w:val="18"/>
          <w:szCs w:val="18"/>
          <w:color w:val="auto"/>
        </w:rPr>
        <w:t>the outstanding aggregate principal amount of Existing Term Loans of each Lender which does not have a 2017 Replacement Term Loan Commitment (each, a “</w:t>
      </w:r>
      <w:r>
        <w:rPr>
          <w:rFonts w:ascii="Arial" w:cs="Arial" w:eastAsia="Arial" w:hAnsi="Arial"/>
          <w:sz w:val="18"/>
          <w:szCs w:val="18"/>
          <w:u w:val="single" w:color="auto"/>
          <w:color w:val="auto"/>
        </w:rPr>
        <w:t>Non-Converting Term Lender</w:t>
      </w:r>
      <w:r>
        <w:rPr>
          <w:rFonts w:ascii="Arial" w:cs="Arial" w:eastAsia="Arial" w:hAnsi="Arial"/>
          <w:sz w:val="18"/>
          <w:szCs w:val="18"/>
          <w:color w:val="auto"/>
        </w:rPr>
        <w:t>”) shall be repaid in full in cash;</w:t>
      </w:r>
    </w:p>
    <w:p>
      <w:pPr>
        <w:spacing w:after="0" w:line="62" w:lineRule="exact"/>
        <w:rPr>
          <w:rFonts w:ascii="Arial" w:cs="Arial" w:eastAsia="Arial" w:hAnsi="Arial"/>
          <w:sz w:val="18"/>
          <w:szCs w:val="18"/>
          <w:color w:val="auto"/>
        </w:rPr>
      </w:pPr>
    </w:p>
    <w:p>
      <w:pPr>
        <w:ind w:left="1320" w:hanging="437"/>
        <w:spacing w:after="0"/>
        <w:tabs>
          <w:tab w:leader="none" w:pos="1320" w:val="left"/>
        </w:tabs>
        <w:numPr>
          <w:ilvl w:val="1"/>
          <w:numId w:val="56"/>
        </w:numPr>
        <w:rPr>
          <w:rFonts w:ascii="Arial" w:cs="Arial" w:eastAsia="Arial" w:hAnsi="Arial"/>
          <w:sz w:val="16"/>
          <w:szCs w:val="16"/>
          <w:color w:val="auto"/>
        </w:rPr>
      </w:pPr>
      <w:r>
        <w:rPr>
          <w:rFonts w:ascii="Arial" w:cs="Arial" w:eastAsia="Arial" w:hAnsi="Arial"/>
          <w:sz w:val="16"/>
          <w:szCs w:val="16"/>
          <w:color w:val="auto"/>
        </w:rPr>
        <w:t>to the extent any Lender has a 2017 Replacement Term Loan Commitment that is less than the full outstanding aggregate principal amount</w:t>
      </w:r>
    </w:p>
    <w:p>
      <w:pPr>
        <w:spacing w:after="0" w:line="46"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of</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60" w:top="274" w:right="259" w:bottom="1440" w:gutter="0" w:footer="0" w:header="0"/>
        </w:sectPr>
      </w:pPr>
    </w:p>
    <w:bookmarkStart w:id="83" w:name="page84"/>
    <w:bookmarkEnd w:id="83"/>
    <w:p>
      <w:pPr>
        <w:ind w:left="360" w:right="1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Existing Term Loans of such Lender, such Lender shall be repaid in cash in an amount equal to the difference between the outstanding aggregate principal amount of Existing Term Loans of such Lender and such Lender’s 2017 Replacement Term Loan Commitment (the “</w:t>
      </w:r>
      <w:r>
        <w:rPr>
          <w:rFonts w:ascii="Arial" w:cs="Arial" w:eastAsia="Arial" w:hAnsi="Arial"/>
          <w:sz w:val="18"/>
          <w:szCs w:val="18"/>
          <w:u w:val="single" w:color="auto"/>
          <w:color w:val="auto"/>
        </w:rPr>
        <w:t>Non-Converting Term</w:t>
      </w:r>
      <w:r>
        <w:rPr>
          <w:rFonts w:ascii="Arial" w:cs="Arial" w:eastAsia="Arial" w:hAnsi="Arial"/>
          <w:sz w:val="18"/>
          <w:szCs w:val="18"/>
          <w:color w:val="auto"/>
        </w:rPr>
        <w:t xml:space="preserve"> </w:t>
      </w:r>
      <w:r>
        <w:rPr>
          <w:rFonts w:ascii="Arial" w:cs="Arial" w:eastAsia="Arial" w:hAnsi="Arial"/>
          <w:sz w:val="18"/>
          <w:szCs w:val="18"/>
          <w:u w:val="single" w:color="auto"/>
          <w:color w:val="auto"/>
        </w:rPr>
        <w:t>Portion</w:t>
      </w:r>
      <w:r>
        <w:rPr>
          <w:rFonts w:ascii="Arial" w:cs="Arial" w:eastAsia="Arial" w:hAnsi="Arial"/>
          <w:sz w:val="18"/>
          <w:szCs w:val="18"/>
          <w:color w:val="auto"/>
        </w:rPr>
        <w:t>”);</w:t>
      </w:r>
    </w:p>
    <w:p>
      <w:pPr>
        <w:spacing w:after="0" w:line="73" w:lineRule="exact"/>
        <w:rPr>
          <w:sz w:val="20"/>
          <w:szCs w:val="20"/>
          <w:color w:val="auto"/>
        </w:rPr>
      </w:pPr>
    </w:p>
    <w:p>
      <w:pPr>
        <w:ind w:left="360" w:right="260" w:firstLine="443"/>
        <w:spacing w:after="0" w:line="257" w:lineRule="auto"/>
        <w:tabs>
          <w:tab w:leader="none" w:pos="1233" w:val="left"/>
        </w:tabs>
        <w:numPr>
          <w:ilvl w:val="1"/>
          <w:numId w:val="57"/>
        </w:numPr>
        <w:rPr>
          <w:rFonts w:ascii="Arial" w:cs="Arial" w:eastAsia="Arial" w:hAnsi="Arial"/>
          <w:sz w:val="18"/>
          <w:szCs w:val="18"/>
          <w:color w:val="auto"/>
        </w:rPr>
      </w:pPr>
      <w:r>
        <w:rPr>
          <w:rFonts w:ascii="Arial" w:cs="Arial" w:eastAsia="Arial" w:hAnsi="Arial"/>
          <w:sz w:val="18"/>
          <w:szCs w:val="18"/>
          <w:color w:val="auto"/>
        </w:rPr>
        <w:t>the outstanding aggregate principal amount of Existing Term Loans of each Lender which has a 2017 Replacement Term Loan Commitment (each, a “</w:t>
      </w:r>
      <w:r>
        <w:rPr>
          <w:rFonts w:ascii="Arial" w:cs="Arial" w:eastAsia="Arial" w:hAnsi="Arial"/>
          <w:sz w:val="18"/>
          <w:szCs w:val="18"/>
          <w:u w:val="single" w:color="auto"/>
          <w:color w:val="auto"/>
        </w:rPr>
        <w:t>Converting Term Lender</w:t>
      </w:r>
      <w:r>
        <w:rPr>
          <w:rFonts w:ascii="Arial" w:cs="Arial" w:eastAsia="Arial" w:hAnsi="Arial"/>
          <w:sz w:val="18"/>
          <w:szCs w:val="18"/>
          <w:color w:val="auto"/>
        </w:rPr>
        <w:t>,” and, together with the Non-Converting Term Lenders, the “</w:t>
      </w:r>
      <w:r>
        <w:rPr>
          <w:rFonts w:ascii="Arial" w:cs="Arial" w:eastAsia="Arial" w:hAnsi="Arial"/>
          <w:sz w:val="18"/>
          <w:szCs w:val="18"/>
          <w:u w:val="single" w:color="auto"/>
          <w:color w:val="auto"/>
        </w:rPr>
        <w:t>Existing Term Lenders</w:t>
      </w:r>
      <w:r>
        <w:rPr>
          <w:rFonts w:ascii="Arial" w:cs="Arial" w:eastAsia="Arial" w:hAnsi="Arial"/>
          <w:sz w:val="18"/>
          <w:szCs w:val="18"/>
          <w:color w:val="auto"/>
        </w:rPr>
        <w:t>”) shall automatically be converted into 2017 Replacement Term Loans (a “</w:t>
      </w:r>
      <w:r>
        <w:rPr>
          <w:rFonts w:ascii="Arial" w:cs="Arial" w:eastAsia="Arial" w:hAnsi="Arial"/>
          <w:sz w:val="18"/>
          <w:szCs w:val="18"/>
          <w:u w:val="single" w:color="auto"/>
          <w:color w:val="auto"/>
        </w:rPr>
        <w:t>Converted 2017 Replacement Term Loan</w:t>
      </w:r>
      <w:r>
        <w:rPr>
          <w:rFonts w:ascii="Arial" w:cs="Arial" w:eastAsia="Arial" w:hAnsi="Arial"/>
          <w:sz w:val="18"/>
          <w:szCs w:val="18"/>
          <w:color w:val="auto"/>
        </w:rPr>
        <w:t>”) in a principal amount equal to such Converting Term Lender’s Existing Term Loans outstanding on the Third Amendment Effective Date immediately prior to such conversion, less an amount equal to any Non-Converting Term Portion; and</w:t>
      </w:r>
    </w:p>
    <w:p>
      <w:pPr>
        <w:spacing w:after="0" w:line="80" w:lineRule="exact"/>
        <w:rPr>
          <w:rFonts w:ascii="Arial" w:cs="Arial" w:eastAsia="Arial" w:hAnsi="Arial"/>
          <w:sz w:val="18"/>
          <w:szCs w:val="18"/>
          <w:color w:val="auto"/>
        </w:rPr>
      </w:pPr>
    </w:p>
    <w:p>
      <w:pPr>
        <w:ind w:left="360" w:firstLine="443"/>
        <w:spacing w:after="0" w:line="272" w:lineRule="auto"/>
        <w:tabs>
          <w:tab w:leader="none" w:pos="1223" w:val="left"/>
        </w:tabs>
        <w:numPr>
          <w:ilvl w:val="1"/>
          <w:numId w:val="57"/>
        </w:numPr>
        <w:rPr>
          <w:rFonts w:ascii="Arial" w:cs="Arial" w:eastAsia="Arial" w:hAnsi="Arial"/>
          <w:sz w:val="17"/>
          <w:szCs w:val="17"/>
          <w:color w:val="auto"/>
        </w:rPr>
      </w:pPr>
      <w:r>
        <w:rPr>
          <w:rFonts w:ascii="Arial" w:cs="Arial" w:eastAsia="Arial" w:hAnsi="Arial"/>
          <w:sz w:val="17"/>
          <w:szCs w:val="17"/>
          <w:color w:val="auto"/>
        </w:rPr>
        <w:t>(1) each 2017 Replacement Term Lender that is not an Existing Term Lender (each, a “</w:t>
      </w:r>
      <w:r>
        <w:rPr>
          <w:rFonts w:ascii="Arial" w:cs="Arial" w:eastAsia="Arial" w:hAnsi="Arial"/>
          <w:sz w:val="17"/>
          <w:szCs w:val="17"/>
          <w:u w:val="single" w:color="auto"/>
          <w:color w:val="auto"/>
        </w:rPr>
        <w:t>New Term Lender</w:t>
      </w:r>
      <w:r>
        <w:rPr>
          <w:rFonts w:ascii="Arial" w:cs="Arial" w:eastAsia="Arial" w:hAnsi="Arial"/>
          <w:sz w:val="17"/>
          <w:szCs w:val="17"/>
          <w:color w:val="auto"/>
        </w:rPr>
        <w:t>”) and (2) each Converting Term Lender with a 2017 Replacement Term Loan Commitment in an amount in excess of the aggregate principal amount of Existing Term Loans of such Converting Term Lender (such difference, the “</w:t>
      </w:r>
      <w:r>
        <w:rPr>
          <w:rFonts w:ascii="Arial" w:cs="Arial" w:eastAsia="Arial" w:hAnsi="Arial"/>
          <w:sz w:val="17"/>
          <w:szCs w:val="17"/>
          <w:u w:val="single" w:color="auto"/>
          <w:color w:val="auto"/>
        </w:rPr>
        <w:t>New Term Commitment</w:t>
      </w:r>
      <w:r>
        <w:rPr>
          <w:rFonts w:ascii="Arial" w:cs="Arial" w:eastAsia="Arial" w:hAnsi="Arial"/>
          <w:sz w:val="17"/>
          <w:szCs w:val="17"/>
          <w:color w:val="auto"/>
        </w:rPr>
        <w:t>”), agrees to make to the Borrower a new Term Loan (each, a “</w:t>
      </w:r>
      <w:r>
        <w:rPr>
          <w:rFonts w:ascii="Arial" w:cs="Arial" w:eastAsia="Arial" w:hAnsi="Arial"/>
          <w:sz w:val="17"/>
          <w:szCs w:val="17"/>
          <w:u w:val="single" w:color="auto"/>
          <w:color w:val="auto"/>
        </w:rPr>
        <w:t>New Term</w:t>
      </w:r>
      <w:r>
        <w:rPr>
          <w:rFonts w:ascii="Arial" w:cs="Arial" w:eastAsia="Arial" w:hAnsi="Arial"/>
          <w:sz w:val="17"/>
          <w:szCs w:val="17"/>
          <w:color w:val="auto"/>
        </w:rPr>
        <w:t xml:space="preserve"> </w:t>
      </w:r>
      <w:r>
        <w:rPr>
          <w:rFonts w:ascii="Arial" w:cs="Arial" w:eastAsia="Arial" w:hAnsi="Arial"/>
          <w:sz w:val="17"/>
          <w:szCs w:val="17"/>
          <w:u w:val="single" w:color="auto"/>
          <w:color w:val="auto"/>
        </w:rPr>
        <w:t>Loan</w:t>
      </w:r>
      <w:r>
        <w:rPr>
          <w:rFonts w:ascii="Arial" w:cs="Arial" w:eastAsia="Arial" w:hAnsi="Arial"/>
          <w:sz w:val="17"/>
          <w:szCs w:val="17"/>
          <w:color w:val="auto"/>
        </w:rPr>
        <w:t>” and, collectively, the “</w:t>
      </w:r>
      <w:r>
        <w:rPr>
          <w:rFonts w:ascii="Arial" w:cs="Arial" w:eastAsia="Arial" w:hAnsi="Arial"/>
          <w:sz w:val="17"/>
          <w:szCs w:val="17"/>
          <w:u w:val="single" w:color="auto"/>
          <w:color w:val="auto"/>
        </w:rPr>
        <w:t>New Term Loans</w:t>
      </w:r>
      <w:r>
        <w:rPr>
          <w:rFonts w:ascii="Arial" w:cs="Arial" w:eastAsia="Arial" w:hAnsi="Arial"/>
          <w:sz w:val="17"/>
          <w:szCs w:val="17"/>
          <w:color w:val="auto"/>
        </w:rPr>
        <w:t>” and, together with the Converted 2017 Replacement Term Loans, the “</w:t>
      </w:r>
      <w:r>
        <w:rPr>
          <w:rFonts w:ascii="Arial" w:cs="Arial" w:eastAsia="Arial" w:hAnsi="Arial"/>
          <w:sz w:val="17"/>
          <w:szCs w:val="17"/>
          <w:u w:val="single" w:color="auto"/>
          <w:color w:val="auto"/>
        </w:rPr>
        <w:t>2017 Replacement Term</w:t>
      </w:r>
      <w:r>
        <w:rPr>
          <w:rFonts w:ascii="Arial" w:cs="Arial" w:eastAsia="Arial" w:hAnsi="Arial"/>
          <w:sz w:val="17"/>
          <w:szCs w:val="17"/>
          <w:color w:val="auto"/>
        </w:rPr>
        <w:t xml:space="preserve"> </w:t>
      </w:r>
      <w:r>
        <w:rPr>
          <w:rFonts w:ascii="Arial" w:cs="Arial" w:eastAsia="Arial" w:hAnsi="Arial"/>
          <w:sz w:val="17"/>
          <w:szCs w:val="17"/>
          <w:u w:val="single" w:color="auto"/>
          <w:color w:val="auto"/>
        </w:rPr>
        <w:t>Loans</w:t>
      </w:r>
      <w:r>
        <w:rPr>
          <w:rFonts w:ascii="Arial" w:cs="Arial" w:eastAsia="Arial" w:hAnsi="Arial"/>
          <w:sz w:val="17"/>
          <w:szCs w:val="17"/>
          <w:color w:val="auto"/>
        </w:rPr>
        <w:t>”) in a principal amount equal to such Converting Term Lender’s New Term Commitment or such New Term Lender’s 2017 Replacement Term Loan Commitment, as the case may be, on the Third Amendment Effective Date, which 2017 Replacement Term Loans shall be subject to the terms of the Credit Agreement after giving effect to this Third Amendment.</w:t>
      </w:r>
    </w:p>
    <w:p>
      <w:pPr>
        <w:spacing w:after="0" w:line="69" w:lineRule="exact"/>
        <w:rPr>
          <w:rFonts w:ascii="Arial" w:cs="Arial" w:eastAsia="Arial" w:hAnsi="Arial"/>
          <w:sz w:val="17"/>
          <w:szCs w:val="17"/>
          <w:color w:val="auto"/>
        </w:rPr>
      </w:pPr>
    </w:p>
    <w:p>
      <w:pPr>
        <w:ind w:left="-100" w:right="100" w:firstLine="464"/>
        <w:spacing w:after="0" w:line="271" w:lineRule="auto"/>
        <w:tabs>
          <w:tab w:leader="none" w:pos="851" w:val="left"/>
        </w:tabs>
        <w:numPr>
          <w:ilvl w:val="0"/>
          <w:numId w:val="58"/>
        </w:numPr>
        <w:rPr>
          <w:rFonts w:ascii="Arial" w:cs="Arial" w:eastAsia="Arial" w:hAnsi="Arial"/>
          <w:sz w:val="17"/>
          <w:szCs w:val="17"/>
          <w:color w:val="auto"/>
        </w:rPr>
      </w:pPr>
      <w:r>
        <w:rPr>
          <w:rFonts w:ascii="Arial" w:cs="Arial" w:eastAsia="Arial" w:hAnsi="Arial"/>
          <w:sz w:val="17"/>
          <w:szCs w:val="17"/>
          <w:color w:val="auto"/>
        </w:rPr>
        <w:t>On the Third Amendment Effective Date, each 2017 Replacement Term Lender hereby agrees to fund its 2017 Replacement Term Loans in an aggregate principal amount equal to such 2017 Replacement Term Lender’s 2017 Replacement Term Loan Commitment as follows: (x) each Converting Term Lender shall fund its 2017 Replacement Term Loans to the Borrower by converting its then outstanding principal amount of Existing Term Loans into 2017 Replacement Term Loans in an equal principal amount as provided in clause (ii)(y) above, (y) (1) each Converting Term Lender with a New Term Commitment shall fund in cash an amount equal to its New Term Commitment to the Designated 2017 Replacement Term Lender and (2) each New Term Lender shall fund in cash an amount equal to its 2017 Replacement Term Loan Commitment to the Designated 2017 Replacement Term Lender, and (z) the Designated 2017 Replacement Term Lender shall fund in cash to the Borrower an amount equal to the New Term Commitment of each Converting Term Lender and the 2017 Replacement Term Loan Commitment of each New Term Lender.</w:t>
      </w:r>
    </w:p>
    <w:p>
      <w:pPr>
        <w:spacing w:after="0" w:line="70" w:lineRule="exact"/>
        <w:rPr>
          <w:rFonts w:ascii="Arial" w:cs="Arial" w:eastAsia="Arial" w:hAnsi="Arial"/>
          <w:sz w:val="17"/>
          <w:szCs w:val="17"/>
          <w:color w:val="auto"/>
        </w:rPr>
      </w:pPr>
    </w:p>
    <w:p>
      <w:pPr>
        <w:jc w:val="both"/>
        <w:ind w:left="-100" w:right="360" w:firstLine="464"/>
        <w:spacing w:after="0" w:line="312" w:lineRule="auto"/>
        <w:tabs>
          <w:tab w:leader="none" w:pos="831" w:val="left"/>
        </w:tabs>
        <w:numPr>
          <w:ilvl w:val="0"/>
          <w:numId w:val="58"/>
        </w:numPr>
        <w:rPr>
          <w:rFonts w:ascii="Arial" w:cs="Arial" w:eastAsia="Arial" w:hAnsi="Arial"/>
          <w:sz w:val="16"/>
          <w:szCs w:val="16"/>
          <w:color w:val="auto"/>
        </w:rPr>
      </w:pPr>
      <w:r>
        <w:rPr>
          <w:rFonts w:ascii="Arial" w:cs="Arial" w:eastAsia="Arial" w:hAnsi="Arial"/>
          <w:sz w:val="16"/>
          <w:szCs w:val="16"/>
          <w:color w:val="auto"/>
        </w:rPr>
        <w:t>All outstanding Borrowings of Existing Term Loans shall continue in effect for the equivalent principal amount of 2017 Replacement Term Loans after the Third Amendment Effective Date and each resulting “borrowing” of 2017 Replacement Term Loans shall be deemed to constitute a new deemed “borrowing” under the Credit Agreement and be subject to the same Interest Period (and the same LIBO Rate) applicable to the Existing Term</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40" w:top="274" w:right="319" w:bottom="1440" w:gutter="0" w:footer="0" w:header="0"/>
        </w:sectPr>
      </w:pPr>
    </w:p>
    <w:bookmarkStart w:id="84" w:name="page85"/>
    <w:bookmarkEnd w:id="84"/>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Loans to which it relates immediately prior to the Third Amendment Effective Date, which Interest Period shall continue in effect (until such Interest Periods expire, at which time subsequent Interest Periods shall be determined in accordance with the provisions of Section 2.05 of the Credit Agreement). New Term Loans shall be initially incurred as Eurodollar Loans and shall be allocated ratably to the outstanding deemed “borrowings” of 2017 Replacement Term Loans on the Third Amendment Effective Date. Each such Borrowing of New Term Loans shall be subject to (x) an Interest Period which commences on the Third Amendment Effective Date and ends on the last day of the Interest Period applicable to the Existing Term Loans and (y) the same LIBO Rate applicable to the 2017 Replacement Term Loans. The 2017 Replacement Term Loans of each 2017 Replacement Term Lender shall be allocated ratably to such Interest Periods (based upon the relative principal amounts of Borrowings of Existing Term Loans subject to such Interest Periods immediately prior to the Third Amendment Effective Date), with the effect being that Existing Term Loans which are converted into Converted 2017 Replacement Term Loans hereunder shall continue to be subject to the same Interest Periods and any 2017 Replacement Term Loans that are funded in cash on the Third Amendment Effective Date shall be ratably allocated to the various Interest Periods as described above.</w:t>
      </w:r>
    </w:p>
    <w:p>
      <w:pPr>
        <w:spacing w:after="0" w:line="70" w:lineRule="exact"/>
        <w:rPr>
          <w:sz w:val="20"/>
          <w:szCs w:val="20"/>
          <w:color w:val="auto"/>
        </w:rPr>
      </w:pPr>
    </w:p>
    <w:p>
      <w:pPr>
        <w:ind w:right="60" w:firstLine="464"/>
        <w:spacing w:after="0" w:line="272" w:lineRule="auto"/>
        <w:tabs>
          <w:tab w:leader="none" w:pos="891" w:val="left"/>
        </w:tabs>
        <w:numPr>
          <w:ilvl w:val="0"/>
          <w:numId w:val="59"/>
        </w:numPr>
        <w:rPr>
          <w:rFonts w:ascii="Arial" w:cs="Arial" w:eastAsia="Arial" w:hAnsi="Arial"/>
          <w:sz w:val="17"/>
          <w:szCs w:val="17"/>
          <w:color w:val="auto"/>
        </w:rPr>
      </w:pPr>
      <w:r>
        <w:rPr>
          <w:rFonts w:ascii="Arial" w:cs="Arial" w:eastAsia="Arial" w:hAnsi="Arial"/>
          <w:sz w:val="17"/>
          <w:szCs w:val="17"/>
          <w:color w:val="auto"/>
        </w:rPr>
        <w:t>On the Third Amendment Effective Date, the Borrower shall pay in cash (a) all interest accrued on the Existing Term Loans through the Third Amendment Effective Date and (b) to each Non-Converting Term Lender and each Converting Term Lender with a Non-Converting Term Portion, any breakage loss or expenses due under Section 2.15 of the Credit Agreement (it being understood that existing Interest Periods of the Existing Term Loans held by 2017 Replacement Term Lenders prior to the Third Amendment Effective Date shall continue on and after the Third Amendment Effective Date and shall accrue interest in accordance with Section 2.07 of the Credit Agreement on and after the Third Amendment Effective Date). Each Converting Term Lender hereby waives any entitlement to any breakage loss or expenses due under Section 3.15 of the Credit Agreement with respect to the repayment of that portion of its Existing Term Loans with the proceeds of Converted 2017 Replacement Term Loans.</w:t>
      </w:r>
    </w:p>
    <w:p>
      <w:pPr>
        <w:spacing w:after="0" w:line="69" w:lineRule="exact"/>
        <w:rPr>
          <w:rFonts w:ascii="Arial" w:cs="Arial" w:eastAsia="Arial" w:hAnsi="Arial"/>
          <w:sz w:val="17"/>
          <w:szCs w:val="17"/>
          <w:color w:val="auto"/>
        </w:rPr>
      </w:pPr>
    </w:p>
    <w:p>
      <w:pPr>
        <w:ind w:right="80" w:firstLine="464"/>
        <w:spacing w:after="0" w:line="264" w:lineRule="auto"/>
        <w:tabs>
          <w:tab w:leader="none" w:pos="941" w:val="left"/>
        </w:tabs>
        <w:numPr>
          <w:ilvl w:val="0"/>
          <w:numId w:val="59"/>
        </w:numPr>
        <w:rPr>
          <w:rFonts w:ascii="Arial" w:cs="Arial" w:eastAsia="Arial" w:hAnsi="Arial"/>
          <w:sz w:val="18"/>
          <w:szCs w:val="18"/>
          <w:color w:val="auto"/>
        </w:rPr>
      </w:pPr>
      <w:r>
        <w:rPr>
          <w:rFonts w:ascii="Arial" w:cs="Arial" w:eastAsia="Arial" w:hAnsi="Arial"/>
          <w:sz w:val="18"/>
          <w:szCs w:val="18"/>
          <w:color w:val="auto"/>
        </w:rPr>
        <w:t>On the Third Amendment Effective Date, all promissory notes, if any, evidencing the Existing Term Loans shall be automatically cancelled, and any 2017 Replacement Term Lender may request that its 2017 Replacement Term Loan be evidenced by a promissory pursuant to Section 2.10(f) of the Credit Agreement.</w:t>
      </w:r>
    </w:p>
    <w:p>
      <w:pPr>
        <w:spacing w:after="0" w:line="181"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u w:val="single" w:color="auto"/>
          <w:color w:val="auto"/>
        </w:rPr>
        <w:t>SECTION TWO—Titles and Roles</w:t>
      </w:r>
      <w:r>
        <w:rPr>
          <w:rFonts w:ascii="Arial" w:cs="Arial" w:eastAsia="Arial" w:hAnsi="Arial"/>
          <w:sz w:val="18"/>
          <w:szCs w:val="18"/>
          <w:color w:val="auto"/>
        </w:rPr>
        <w:t>. The parties hereto agree that, as of the Third Amendment Effective Date and in connection with the Third Amendment:</w:t>
      </w:r>
    </w:p>
    <w:p>
      <w:pPr>
        <w:spacing w:after="0" w:line="62" w:lineRule="exact"/>
        <w:rPr>
          <w:sz w:val="20"/>
          <w:szCs w:val="20"/>
          <w:color w:val="auto"/>
        </w:rPr>
      </w:pPr>
    </w:p>
    <w:p>
      <w:pPr>
        <w:ind w:right="20" w:firstLine="464"/>
        <w:spacing w:after="0" w:line="259" w:lineRule="auto"/>
        <w:tabs>
          <w:tab w:leader="none" w:pos="881"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each of Citi, Barclays, CS Securities, DBSI, GSLP, JPMS, ML, MS, BNP Securities, CA-CIB, ICBC and US Bank (each as defined in the Engagement Letter dated May 31, 2017, by and between, </w:t>
      </w:r>
      <w:r>
        <w:rPr>
          <w:rFonts w:ascii="Arial" w:cs="Arial" w:eastAsia="Arial" w:hAnsi="Arial"/>
          <w:sz w:val="18"/>
          <w:szCs w:val="18"/>
          <w:i w:val="1"/>
          <w:iCs w:val="1"/>
          <w:color w:val="auto"/>
        </w:rPr>
        <w:t>inter alios</w:t>
      </w:r>
      <w:r>
        <w:rPr>
          <w:rFonts w:ascii="Arial" w:cs="Arial" w:eastAsia="Arial" w:hAnsi="Arial"/>
          <w:sz w:val="18"/>
          <w:szCs w:val="18"/>
          <w:color w:val="auto"/>
        </w:rPr>
        <w:t>, the Borrower and the Lead Arrangers (as defined below) (the “</w:t>
      </w:r>
      <w:r>
        <w:rPr>
          <w:rFonts w:ascii="Arial" w:cs="Arial" w:eastAsia="Arial" w:hAnsi="Arial"/>
          <w:sz w:val="18"/>
          <w:szCs w:val="18"/>
          <w:u w:val="single" w:color="auto"/>
          <w:color w:val="auto"/>
        </w:rPr>
        <w:t>Engagement Letter</w:t>
      </w:r>
      <w:r>
        <w:rPr>
          <w:rFonts w:ascii="Arial" w:cs="Arial" w:eastAsia="Arial" w:hAnsi="Arial"/>
          <w:sz w:val="18"/>
          <w:szCs w:val="18"/>
          <w:color w:val="auto"/>
        </w:rPr>
        <w:t>”)) and any permitted assignees under the Engagement Letter, shall be designated as, and perform the roles associated with, a joint lead arranger and bookrunner (in such capacity, collectively, the “</w:t>
      </w:r>
      <w:r>
        <w:rPr>
          <w:rFonts w:ascii="Arial" w:cs="Arial" w:eastAsia="Arial" w:hAnsi="Arial"/>
          <w:sz w:val="18"/>
          <w:szCs w:val="18"/>
          <w:u w:val="single" w:color="auto"/>
          <w:color w:val="auto"/>
        </w:rPr>
        <w:t>Lead Arrangers</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right="840" w:firstLine="464"/>
        <w:spacing w:after="0" w:line="277" w:lineRule="auto"/>
        <w:tabs>
          <w:tab w:leader="none" w:pos="891" w:val="left"/>
        </w:tabs>
        <w:numPr>
          <w:ilvl w:val="0"/>
          <w:numId w:val="60"/>
        </w:numPr>
        <w:rPr>
          <w:rFonts w:ascii="Arial" w:cs="Arial" w:eastAsia="Arial" w:hAnsi="Arial"/>
          <w:sz w:val="18"/>
          <w:szCs w:val="18"/>
          <w:color w:val="auto"/>
        </w:rPr>
      </w:pPr>
      <w:r>
        <w:rPr>
          <w:rFonts w:ascii="Arial" w:cs="Arial" w:eastAsia="Arial" w:hAnsi="Arial"/>
          <w:sz w:val="18"/>
          <w:szCs w:val="18"/>
          <w:color w:val="auto"/>
        </w:rPr>
        <w:t>each of Citi, Barclays, CS Securities, DBSI, GSLP, JPMS, ML and MS shall be designated as, and perform the roles associated with, a syndication agent (in such capacity, collectively, the “</w:t>
      </w:r>
      <w:r>
        <w:rPr>
          <w:rFonts w:ascii="Arial" w:cs="Arial" w:eastAsia="Arial" w:hAnsi="Arial"/>
          <w:sz w:val="18"/>
          <w:szCs w:val="18"/>
          <w:u w:val="single" w:color="auto"/>
          <w:color w:val="auto"/>
        </w:rPr>
        <w:t>Syndication Agents</w:t>
      </w:r>
      <w:r>
        <w:rPr>
          <w:rFonts w:ascii="Arial" w:cs="Arial" w:eastAsia="Arial" w:hAnsi="Arial"/>
          <w:sz w:val="18"/>
          <w:szCs w:val="18"/>
          <w:color w:val="auto"/>
        </w:rPr>
        <w:t>”);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85" w:name="page86"/>
    <w:bookmarkEnd w:id="85"/>
    <w:p>
      <w:pPr>
        <w:ind w:right="240" w:firstLine="464"/>
        <w:spacing w:after="0" w:line="277" w:lineRule="auto"/>
        <w:tabs>
          <w:tab w:leader="none" w:pos="881" w:val="left"/>
        </w:tabs>
        <w:numPr>
          <w:ilvl w:val="0"/>
          <w:numId w:val="6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of BNP Securities, CA-CIB, ICBC and US Bank shall be designated as, and perform the roles associated with, a documentation agent (in such capacity, collectively, the “</w:t>
      </w:r>
      <w:r>
        <w:rPr>
          <w:rFonts w:ascii="Arial" w:cs="Arial" w:eastAsia="Arial" w:hAnsi="Arial"/>
          <w:sz w:val="18"/>
          <w:szCs w:val="18"/>
          <w:u w:val="single" w:color="auto"/>
          <w:color w:val="auto"/>
        </w:rPr>
        <w:t>Documentation Agents</w:t>
      </w:r>
      <w:r>
        <w:rPr>
          <w:rFonts w:ascii="Arial" w:cs="Arial" w:eastAsia="Arial" w:hAnsi="Arial"/>
          <w:sz w:val="18"/>
          <w:szCs w:val="18"/>
          <w:color w:val="auto"/>
        </w:rPr>
        <w:t>”).</w:t>
      </w:r>
    </w:p>
    <w:p>
      <w:pPr>
        <w:spacing w:after="0" w:line="17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For the avoidance of doubt, the provisions of Section 10.04 of the Credit Agreement shall apply to, and inure to the benefit of, each Lead Arranger, each Syndication Agent and each Documentation Agent in connection with their respective roles hereunder.</w:t>
      </w:r>
    </w:p>
    <w:p>
      <w:pPr>
        <w:spacing w:after="0" w:line="170"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u w:val="single" w:color="auto"/>
          <w:color w:val="auto"/>
        </w:rPr>
        <w:t>SECTION THREE—Conditions to Effectiveness</w:t>
      </w:r>
      <w:r>
        <w:rPr>
          <w:rFonts w:ascii="Arial" w:cs="Arial" w:eastAsia="Arial" w:hAnsi="Arial"/>
          <w:sz w:val="18"/>
          <w:szCs w:val="18"/>
          <w:color w:val="auto"/>
        </w:rPr>
        <w:t>. The provisions of Section One of this Third Amendment shall become effective on the date (the “</w:t>
      </w:r>
      <w:r>
        <w:rPr>
          <w:rFonts w:ascii="Arial" w:cs="Arial" w:eastAsia="Arial" w:hAnsi="Arial"/>
          <w:sz w:val="18"/>
          <w:szCs w:val="18"/>
          <w:u w:val="single" w:color="auto"/>
          <w:color w:val="auto"/>
        </w:rPr>
        <w:t>Third Amendment Effective Date</w:t>
      </w:r>
      <w:r>
        <w:rPr>
          <w:rFonts w:ascii="Arial" w:cs="Arial" w:eastAsia="Arial" w:hAnsi="Arial"/>
          <w:sz w:val="18"/>
          <w:szCs w:val="18"/>
          <w:color w:val="auto"/>
        </w:rPr>
        <w:t>”) when each of the following conditions specified below shall have been satisfied:</w:t>
      </w:r>
    </w:p>
    <w:p>
      <w:pPr>
        <w:spacing w:after="0" w:line="62" w:lineRule="exact"/>
        <w:rPr>
          <w:sz w:val="20"/>
          <w:szCs w:val="20"/>
          <w:color w:val="auto"/>
        </w:rPr>
      </w:pPr>
    </w:p>
    <w:p>
      <w:pPr>
        <w:ind w:right="340" w:firstLine="464"/>
        <w:spacing w:after="0" w:line="286" w:lineRule="auto"/>
        <w:tabs>
          <w:tab w:leader="none" w:pos="878" w:val="left"/>
        </w:tabs>
        <w:numPr>
          <w:ilvl w:val="1"/>
          <w:numId w:val="62"/>
        </w:numPr>
        <w:rPr>
          <w:rFonts w:ascii="Arial" w:cs="Arial" w:eastAsia="Arial" w:hAnsi="Arial"/>
          <w:sz w:val="17"/>
          <w:szCs w:val="17"/>
          <w:color w:val="auto"/>
        </w:rPr>
      </w:pPr>
      <w:r>
        <w:rPr>
          <w:rFonts w:ascii="Arial" w:cs="Arial" w:eastAsia="Arial" w:hAnsi="Arial"/>
          <w:sz w:val="17"/>
          <w:szCs w:val="17"/>
          <w:color w:val="auto"/>
        </w:rPr>
        <w:t>The Borrower, the Guarantor, the Administrative Agent, the 2017 Designated Replacement Term Lender and the 2017 Replacement Term Lenders and such other lenders constituting the Required Lenders shall have signed a counterpart hereof (whether the same or different counterparts) and shall have delivered the same to Milbank, Tweed, Hadley &amp; McCloy LLP, 28 Liberty Street, New York, NY 10005, attention: ###;</w:t>
      </w:r>
    </w:p>
    <w:p>
      <w:pPr>
        <w:spacing w:after="0" w:line="57" w:lineRule="exact"/>
        <w:rPr>
          <w:rFonts w:ascii="Arial" w:cs="Arial" w:eastAsia="Arial" w:hAnsi="Arial"/>
          <w:sz w:val="17"/>
          <w:szCs w:val="17"/>
          <w:color w:val="auto"/>
        </w:rPr>
      </w:pPr>
    </w:p>
    <w:p>
      <w:pPr>
        <w:ind w:right="40" w:firstLine="464"/>
        <w:spacing w:after="0" w:line="288" w:lineRule="auto"/>
        <w:tabs>
          <w:tab w:leader="none" w:pos="891" w:val="left"/>
        </w:tabs>
        <w:numPr>
          <w:ilvl w:val="1"/>
          <w:numId w:val="62"/>
        </w:numPr>
        <w:rPr>
          <w:rFonts w:ascii="Arial" w:cs="Arial" w:eastAsia="Arial" w:hAnsi="Arial"/>
          <w:sz w:val="16"/>
          <w:szCs w:val="16"/>
          <w:color w:val="auto"/>
        </w:rPr>
      </w:pPr>
      <w:r>
        <w:rPr>
          <w:rFonts w:ascii="Arial" w:cs="Arial" w:eastAsia="Arial" w:hAnsi="Arial"/>
          <w:sz w:val="16"/>
          <w:szCs w:val="16"/>
          <w:color w:val="auto"/>
        </w:rPr>
        <w:t>all reasonable invoiced out-of-pocket expenses incurred by the Lenders and the Administrative Agent pursuant to Section 10.04 of the Credit Agreement or the Engagement Letter (including the reasonable and documented fees, charges and disbursements of counsel) and all accrued and unpaid fees, owing and payable (including any fees agreed to in connection with this Third Amendment) shall have been paid to the extent invoiced at least two</w:t>
      </w:r>
    </w:p>
    <w:p>
      <w:pPr>
        <w:ind w:left="260" w:hanging="252"/>
        <w:spacing w:after="0"/>
        <w:tabs>
          <w:tab w:leader="none" w:pos="2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Business Days prior to the Third Amendment Effective Date (or such shorter period as may be agreed by the Borrower);</w:t>
      </w:r>
    </w:p>
    <w:p>
      <w:pPr>
        <w:spacing w:after="0" w:line="102" w:lineRule="exact"/>
        <w:rPr>
          <w:rFonts w:ascii="Arial" w:cs="Arial" w:eastAsia="Arial" w:hAnsi="Arial"/>
          <w:sz w:val="18"/>
          <w:szCs w:val="18"/>
          <w:color w:val="auto"/>
        </w:rPr>
      </w:pPr>
    </w:p>
    <w:p>
      <w:pPr>
        <w:ind w:left="880" w:hanging="416"/>
        <w:spacing w:after="0"/>
        <w:tabs>
          <w:tab w:leader="none" w:pos="880" w:val="left"/>
        </w:tabs>
        <w:numPr>
          <w:ilvl w:val="1"/>
          <w:numId w:val="63"/>
        </w:numPr>
        <w:rPr>
          <w:rFonts w:ascii="Arial" w:cs="Arial" w:eastAsia="Arial" w:hAnsi="Arial"/>
          <w:sz w:val="17"/>
          <w:szCs w:val="17"/>
          <w:color w:val="auto"/>
        </w:rPr>
      </w:pPr>
      <w:r>
        <w:rPr>
          <w:rFonts w:ascii="Arial" w:cs="Arial" w:eastAsia="Arial" w:hAnsi="Arial"/>
          <w:sz w:val="17"/>
          <w:szCs w:val="17"/>
          <w:color w:val="auto"/>
        </w:rPr>
        <w:t>the Administrative Agent shall have received an Officer’s Certificate certifying as to the Collateral Coverage Ratio in accordance with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Section 4.02(d) of the Credit Agreement;</w:t>
      </w:r>
    </w:p>
    <w:p>
      <w:pPr>
        <w:spacing w:after="0" w:line="103" w:lineRule="exact"/>
        <w:rPr>
          <w:sz w:val="20"/>
          <w:szCs w:val="20"/>
          <w:color w:val="auto"/>
        </w:rPr>
      </w:pPr>
    </w:p>
    <w:p>
      <w:pPr>
        <w:ind w:right="200" w:firstLine="464"/>
        <w:spacing w:after="0" w:line="342" w:lineRule="auto"/>
        <w:tabs>
          <w:tab w:leader="none" w:pos="891" w:val="left"/>
        </w:tabs>
        <w:numPr>
          <w:ilvl w:val="1"/>
          <w:numId w:val="64"/>
        </w:numPr>
        <w:rPr>
          <w:rFonts w:ascii="Arial" w:cs="Arial" w:eastAsia="Arial" w:hAnsi="Arial"/>
          <w:sz w:val="16"/>
          <w:szCs w:val="16"/>
          <w:color w:val="auto"/>
        </w:rPr>
      </w:pPr>
      <w:r>
        <w:rPr>
          <w:rFonts w:ascii="Arial" w:cs="Arial" w:eastAsia="Arial" w:hAnsi="Arial"/>
          <w:sz w:val="16"/>
          <w:szCs w:val="16"/>
          <w:color w:val="auto"/>
        </w:rPr>
        <w:t>the Administrative Agent shall have received a customary written opinion of Latham &amp; Watkins LLP, special counsel for the Borrower and the Guarantor addressed to the Administrative Agent and the 2017 Replacement Term Lenders party hereto, and dated the Third Amendment Effective Date;</w:t>
      </w:r>
    </w:p>
    <w:p>
      <w:pPr>
        <w:spacing w:after="0" w:line="15" w:lineRule="exact"/>
        <w:rPr>
          <w:rFonts w:ascii="Arial" w:cs="Arial" w:eastAsia="Arial" w:hAnsi="Arial"/>
          <w:sz w:val="16"/>
          <w:szCs w:val="16"/>
          <w:color w:val="auto"/>
        </w:rPr>
      </w:pPr>
    </w:p>
    <w:p>
      <w:pPr>
        <w:ind w:firstLine="464"/>
        <w:spacing w:after="0" w:line="286" w:lineRule="auto"/>
        <w:tabs>
          <w:tab w:leader="none" w:pos="881" w:val="left"/>
        </w:tabs>
        <w:numPr>
          <w:ilvl w:val="1"/>
          <w:numId w:val="64"/>
        </w:numPr>
        <w:rPr>
          <w:rFonts w:ascii="Arial" w:cs="Arial" w:eastAsia="Arial" w:hAnsi="Arial"/>
          <w:sz w:val="16"/>
          <w:szCs w:val="16"/>
          <w:color w:val="auto"/>
        </w:rPr>
      </w:pPr>
      <w:r>
        <w:rPr>
          <w:rFonts w:ascii="Arial" w:cs="Arial" w:eastAsia="Arial" w:hAnsi="Arial"/>
          <w:sz w:val="16"/>
          <w:szCs w:val="16"/>
          <w:color w:val="auto"/>
        </w:rPr>
        <w:t xml:space="preserve">the Administrative Agent shall have received a certificate of the Secretary or Assistant Secretary (or similar Responsible Officer), dated the Third Amendment Effective Date (i) certifying as to the incumbency and specimen signature of each Responsible Officer of the Borrower and the Guarantor executing this Third Amendment or any other document delivered by it in connection herewith (such certificate to contain a certification of another Responsible Officer of that entity as to the incumbency and signature of the Responsible Officer signing the certificate referred to in this </w:t>
      </w:r>
      <w:r>
        <w:rPr>
          <w:rFonts w:ascii="Arial" w:cs="Arial" w:eastAsia="Arial" w:hAnsi="Arial"/>
          <w:sz w:val="16"/>
          <w:szCs w:val="16"/>
          <w:u w:val="single" w:color="auto"/>
          <w:color w:val="auto"/>
        </w:rPr>
        <w:t>clause (e)</w:t>
      </w:r>
      <w:r>
        <w:rPr>
          <w:rFonts w:ascii="Arial" w:cs="Arial" w:eastAsia="Arial" w:hAnsi="Arial"/>
          <w:sz w:val="16"/>
          <w:szCs w:val="16"/>
          <w:color w:val="auto"/>
        </w:rPr>
        <w:t>),</w:t>
      </w:r>
    </w:p>
    <w:p>
      <w:pPr>
        <w:spacing w:after="0" w:line="1" w:lineRule="exact"/>
        <w:rPr>
          <w:rFonts w:ascii="Arial" w:cs="Arial" w:eastAsia="Arial" w:hAnsi="Arial"/>
          <w:sz w:val="16"/>
          <w:szCs w:val="16"/>
          <w:color w:val="auto"/>
        </w:rPr>
      </w:pPr>
    </w:p>
    <w:p>
      <w:pPr>
        <w:ind w:right="100" w:firstLine="8"/>
        <w:spacing w:after="0" w:line="281" w:lineRule="auto"/>
        <w:tabs>
          <w:tab w:leader="none" w:pos="265" w:val="left"/>
        </w:tabs>
        <w:numPr>
          <w:ilvl w:val="0"/>
          <w:numId w:val="65"/>
        </w:numPr>
        <w:rPr>
          <w:rFonts w:ascii="Arial" w:cs="Arial" w:eastAsia="Arial" w:hAnsi="Arial"/>
          <w:sz w:val="16"/>
          <w:szCs w:val="16"/>
          <w:color w:val="auto"/>
        </w:rPr>
      </w:pPr>
      <w:r>
        <w:rPr>
          <w:rFonts w:ascii="Arial" w:cs="Arial" w:eastAsia="Arial" w:hAnsi="Arial"/>
          <w:sz w:val="16"/>
          <w:szCs w:val="16"/>
          <w:color w:val="auto"/>
        </w:rPr>
        <w:t>attaching each constitutional document of each Loan Party or certifying that each constitutional document of each Loan Party previously delivered to the Administrative Agent has not been amended, supplemented, rescinded or otherwise modified and remains in full force and effect as of the date hereof,</w:t>
      </w:r>
    </w:p>
    <w:p>
      <w:pPr>
        <w:spacing w:after="0" w:line="1" w:lineRule="exact"/>
        <w:rPr>
          <w:rFonts w:ascii="Arial" w:cs="Arial" w:eastAsia="Arial" w:hAnsi="Arial"/>
          <w:sz w:val="16"/>
          <w:szCs w:val="16"/>
          <w:color w:val="auto"/>
        </w:rPr>
      </w:pPr>
    </w:p>
    <w:p>
      <w:pPr>
        <w:ind w:right="520" w:firstLine="8"/>
        <w:spacing w:after="0" w:line="261" w:lineRule="auto"/>
        <w:tabs>
          <w:tab w:leader="none" w:pos="315" w:val="left"/>
        </w:tabs>
        <w:numPr>
          <w:ilvl w:val="0"/>
          <w:numId w:val="65"/>
        </w:numPr>
        <w:rPr>
          <w:rFonts w:ascii="Arial" w:cs="Arial" w:eastAsia="Arial" w:hAnsi="Arial"/>
          <w:sz w:val="18"/>
          <w:szCs w:val="18"/>
          <w:color w:val="auto"/>
        </w:rPr>
      </w:pPr>
      <w:r>
        <w:rPr>
          <w:rFonts w:ascii="Arial" w:cs="Arial" w:eastAsia="Arial" w:hAnsi="Arial"/>
          <w:sz w:val="18"/>
          <w:szCs w:val="18"/>
          <w:color w:val="auto"/>
        </w:rPr>
        <w:t>attaching resolutions of each Loan Party approving the transactions contemplated by the Third Amendment and (iv) attaching a certificate of good standing for the Borrower and the Guarantor</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274" w:right="279" w:bottom="1440" w:gutter="0" w:footer="0" w:header="0"/>
        </w:sectPr>
      </w:pPr>
    </w:p>
    <w:bookmarkStart w:id="86" w:name="page87"/>
    <w:bookmarkEnd w:id="86"/>
    <w:p>
      <w:pPr>
        <w:ind w:right="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the state of such entity’s incorporation or formation, dated as of a recent date, as to the good standing of that entity (to the extent available in the applicable jurisdiction);</w:t>
      </w:r>
    </w:p>
    <w:p>
      <w:pPr>
        <w:spacing w:after="0" w:line="62" w:lineRule="exact"/>
        <w:rPr>
          <w:sz w:val="20"/>
          <w:szCs w:val="20"/>
          <w:color w:val="auto"/>
        </w:rPr>
      </w:pPr>
    </w:p>
    <w:p>
      <w:pPr>
        <w:ind w:right="320" w:firstLine="464"/>
        <w:spacing w:after="0" w:line="291" w:lineRule="auto"/>
        <w:tabs>
          <w:tab w:leader="none" w:pos="861"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Administrative Agent shall have received an Officer’s Certificate certifying (A) the truth in all material respects of the representations and warranties set forth in the Credit Agreement and the other Loan Documents (other than representations and warranties set forth in Sections 3.05(b), 3.06,</w:t>
      </w:r>
    </w:p>
    <w:p>
      <w:pPr>
        <w:spacing w:after="0" w:line="286" w:lineRule="auto"/>
        <w:rPr>
          <w:rFonts w:ascii="Arial" w:cs="Arial" w:eastAsia="Arial" w:hAnsi="Arial"/>
          <w:sz w:val="16"/>
          <w:szCs w:val="16"/>
          <w:color w:val="auto"/>
        </w:rPr>
      </w:pPr>
      <w:r>
        <w:rPr>
          <w:rFonts w:ascii="Arial" w:cs="Arial" w:eastAsia="Arial" w:hAnsi="Arial"/>
          <w:sz w:val="16"/>
          <w:szCs w:val="16"/>
          <w:color w:val="auto"/>
        </w:rPr>
        <w:t xml:space="preserve">3.09(a) and 3.19 of the Credit Agreement) as though made on the date hereof, or, in the case of any such representation and warranty that relates to a specified date, as though made as of such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representation or warranty that is qualified by materiality (it being understood that any representation or warranty that excludes circumstances that would not result in a “Material Adverse Change” or “Material Adverse Effect” shall not be considered (for purposes of this proviso) to be qualified by materiality;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for purposes of this Section 3(f), the representations and warranties contained in Sections 3.04(a) and 3.05(a) of the Credit Agreement shall be deemed to refer to the audited consolidated financial statements of Parent and its Subsidiaries for the fiscal year ended December 31, 2016, included in Parent’s Annual Report on Form 10-K for 2016 (as amended) and the unaudited consolidated financial statements of Parent and its Subsidiaries for the fiscal quarter ended March 31, 2017, Annual Report on Form 10-K for 2016 and Quarterly Reports on Form 10-Q, or Current Reports on Form 8-K that have been filed after December 31, 2016 by Parent with the SEC) shall be true and correct in all respects as of the applicable date, before and after giving effect to this Third Amendment and (B) as to the absence of any event occurring and continuing, or resulting from this Third Amendment on, the Third Amendment Effective Date, that constitutes a Default or Event of Default; and</w:t>
      </w:r>
    </w:p>
    <w:p>
      <w:pPr>
        <w:spacing w:after="0" w:line="62" w:lineRule="exact"/>
        <w:rPr>
          <w:rFonts w:ascii="Arial" w:cs="Arial" w:eastAsia="Arial" w:hAnsi="Arial"/>
          <w:sz w:val="16"/>
          <w:szCs w:val="16"/>
          <w:color w:val="auto"/>
        </w:rPr>
      </w:pPr>
    </w:p>
    <w:p>
      <w:pPr>
        <w:ind w:left="900" w:hanging="436"/>
        <w:spacing w:after="0"/>
        <w:tabs>
          <w:tab w:leader="none" w:pos="9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Administrative Agent shall have received a Loan Request delivered in compliance with Section 2.03(b) of the Credit Agreement not later than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1:00 p.m. New York City time one (1) Business Day before the Third Amendment Effective Date or such shorter time as the Administrative Agent may agree.</w:t>
      </w:r>
    </w:p>
    <w:p>
      <w:pPr>
        <w:spacing w:after="0" w:line="234"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u w:val="single" w:color="auto"/>
          <w:color w:val="auto"/>
        </w:rPr>
        <w:t>SECTION FOUR—No Default; Representations and Warranties</w:t>
      </w:r>
      <w:r>
        <w:rPr>
          <w:rFonts w:ascii="Arial" w:cs="Arial" w:eastAsia="Arial" w:hAnsi="Arial"/>
          <w:sz w:val="16"/>
          <w:szCs w:val="16"/>
          <w:color w:val="auto"/>
        </w:rPr>
        <w:t xml:space="preserve">. In order to induce the 2017 Replacement Term Lenders and the Administrative Agent to enter into this Third Amendment, the Borrower represents and warrants to each of the 2017 Replacement Term Lenders and the Administrative Agent that, on and as of the date hereof after giving effect to this Third Amendment, (i) no Default or Event of Default has occurred and is continuing or would result from giving effect to this Third Amendment and (ii) the representations and warranties contained in the Credit Agreement and the other Loan Documents (other than representations and warranties set forth in Sections 3.05(b), 3.06, 3.09(a) and 3.19 of the Credit Agreement) are true and correct in all material respects on and as of the date hereof with the same effect as if made on and as of the date hereof or, in the case of any representations and warranties that expressly relate to an earlier date, as though made as of such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representation or warranty that is qualified by materiality (it being understood that any representation or warranty that excludes circumstances that would not result in a “Material Adverse Change” or “Material Adverse Effect” shall not be considered (for purposes of this proviso) to be qualified by materiality;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for purposes of this Section 4, the representations and warranties contained in Sections 3.04(a) and 3.05(a) of the Credit Agreement shall be deemed to refer to the audited consolidated financial statements of Parent and its Subsidiaries for the fiscal year ended December 31, 2016, included in Parent’s Annual</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74" w:right="259" w:bottom="1440" w:gutter="0" w:footer="0" w:header="0"/>
        </w:sectPr>
      </w:pPr>
    </w:p>
    <w:bookmarkStart w:id="87" w:name="page88"/>
    <w:bookmarkEnd w:id="87"/>
    <w:p>
      <w:pPr>
        <w:ind w:right="3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Report on Form 10-K for 2016 (as amended) and the unaudited consolidated financial statements of Parent and its Subsidiaries for the fiscal quarter ended March 31, 2017, Annual Report on Form 10-K for 2016 and Quarterly Reports on Form 10-Q, or Current Reports on Form 8-K that have been filed after December 31, 2016 by Parent with the SEC) shall be true and correct in all respects as of the applicable date, before and after giving effect to this Third Amendment.</w:t>
      </w:r>
    </w:p>
    <w:p>
      <w:pPr>
        <w:spacing w:after="0" w:line="187"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u w:val="single" w:color="auto"/>
          <w:color w:val="auto"/>
        </w:rPr>
        <w:t>SECTION FIVE—Confirmation</w:t>
      </w:r>
      <w:r>
        <w:rPr>
          <w:rFonts w:ascii="Arial" w:cs="Arial" w:eastAsia="Arial" w:hAnsi="Arial"/>
          <w:sz w:val="17"/>
          <w:szCs w:val="17"/>
          <w:color w:val="auto"/>
        </w:rPr>
        <w:t>. The Borrower and the Guarantor hereby confirm that all of their obligations under the Credit Agreement (as amended hereby) are, and shall continue to be, in full force and effect. The parties hereto (i) confirm and agree that the term “Obligations” and “Guaranteed Obligations” as used in the Credit Agreement and the other Loan Documents shall include, without limitation, all obligations of the Borrower with respect to the 2017 Replacement Term Loans (after giving effect to this Third Amendment) and all obligations of the Guarantor with respect to the guarantee of such obligations, respectively, and (ii) reaffirm the grant of Liens on the Collateral to secure the Obligations (including the Obligations under the 2017 Replacement Term Loans incurred pursuant to this Third Amendment) pursuant to the Collateral Documents.</w:t>
      </w:r>
    </w:p>
    <w:p>
      <w:pPr>
        <w:spacing w:after="0" w:line="17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u w:val="single" w:color="auto"/>
          <w:color w:val="auto"/>
        </w:rPr>
        <w:t>SECTION SIX—Reference to and Effect on the Credit Agreement</w:t>
      </w:r>
      <w:r>
        <w:rPr>
          <w:rFonts w:ascii="Arial" w:cs="Arial" w:eastAsia="Arial" w:hAnsi="Arial"/>
          <w:sz w:val="16"/>
          <w:szCs w:val="16"/>
          <w:color w:val="auto"/>
        </w:rPr>
        <w:t>. On and after the Third Amendment Effective Date, each reference in the Credit Agreement to “this Agreement,” “hereunder,” “hereof” or words of like import referring to the Credit Agreement, shall mean and be a reference to the Credit Agreement as amended by this Third Amendment. The Credit Agreement and each of the other Loan Documents, as specifically amended by this Third Amendment, are and shall continue to be in full force and effect and are hereby in all respects ratified and confirmed. This Third Amendment shall be deemed to be a “Loan Document” for all purposes of the Credit Agreement (as amended hereby) and the other Loan Documents. The execution, delivery and effectiveness of this Third Amendment shall not, except as expressly provided herein, operate as an amendment or waiver of any right, power or remedy of any Lender or any Agent under any of the Loan Documents, nor constitute an amendment or waiver of any provision of any of the Loan Documents.</w:t>
      </w:r>
    </w:p>
    <w:p>
      <w:pPr>
        <w:spacing w:after="0" w:line="16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u w:val="single" w:color="auto"/>
          <w:color w:val="auto"/>
        </w:rPr>
        <w:t>SECTION SEVEN—Execution in Counterparts</w:t>
      </w:r>
      <w:r>
        <w:rPr>
          <w:rFonts w:ascii="Arial" w:cs="Arial" w:eastAsia="Arial" w:hAnsi="Arial"/>
          <w:sz w:val="18"/>
          <w:szCs w:val="18"/>
          <w:color w:val="auto"/>
        </w:rPr>
        <w:t>. This Third Amendment may be executed in counterparts (and by different parties hereto on different counterparts), each of which shall constitute an original, but all of which when taken together shall constitute a single contract. This Third Amendment shall be binding upon and inure to the benefit of the parties hereto and their respective successors and assigns. Delivery of an executed counterpart of a signature page of this Third Amendment by facsimile or electronic .pdf copy shall be effective as delivery of a manually executed counterpart of this Third Amendment.</w:t>
      </w:r>
    </w:p>
    <w:p>
      <w:pPr>
        <w:spacing w:after="0" w:line="188"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u w:val="single" w:color="auto"/>
          <w:color w:val="auto"/>
        </w:rPr>
        <w:t>SECTION EIGHT—Governing Law</w:t>
      </w:r>
      <w:r>
        <w:rPr>
          <w:rFonts w:ascii="Arial" w:cs="Arial" w:eastAsia="Arial" w:hAnsi="Arial"/>
          <w:sz w:val="18"/>
          <w:szCs w:val="18"/>
          <w:color w:val="auto"/>
        </w:rPr>
        <w:t>. THIS THIRD AMENDMENT AND THE RIGHTS AND OBLIGATIONS OF THE PARTIES UNDER THIS THIRD AMENDMENT SHALL BE GOVERNED BY, AND CONSTRUED AND INTERPRETED IN ACCORDANCE WITH, THE LAWS OF THE STATE OF NEW YORK.</w:t>
      </w:r>
    </w:p>
    <w:p>
      <w:pPr>
        <w:spacing w:after="0" w:line="181" w:lineRule="exact"/>
        <w:rPr>
          <w:sz w:val="20"/>
          <w:szCs w:val="20"/>
          <w:color w:val="auto"/>
        </w:rPr>
      </w:pPr>
    </w:p>
    <w:p>
      <w:pPr>
        <w:ind w:right="240" w:firstLine="456"/>
        <w:spacing w:after="0" w:line="342" w:lineRule="auto"/>
        <w:rPr>
          <w:sz w:val="20"/>
          <w:szCs w:val="20"/>
          <w:color w:val="auto"/>
        </w:rPr>
      </w:pPr>
      <w:r>
        <w:rPr>
          <w:rFonts w:ascii="Arial" w:cs="Arial" w:eastAsia="Arial" w:hAnsi="Arial"/>
          <w:sz w:val="16"/>
          <w:szCs w:val="16"/>
          <w:u w:val="single" w:color="auto"/>
          <w:color w:val="auto"/>
        </w:rPr>
        <w:t>SECTION NINE—Miscellaneous</w:t>
      </w:r>
      <w:r>
        <w:rPr>
          <w:rFonts w:ascii="Arial" w:cs="Arial" w:eastAsia="Arial" w:hAnsi="Arial"/>
          <w:sz w:val="16"/>
          <w:szCs w:val="16"/>
          <w:color w:val="auto"/>
        </w:rPr>
        <w:t>. (a) The provisions set forth in Sections 10.03, 10.04, 10.05(b)-(d), 10.09, 10.10, 10.11, 10.13, 10.15, 10.16 and 10.17 of the Credit Agreement are hereby incorporated mutatis mutandis herein by reference thereto as fully and to the same extent as if set forth herein.</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88" w:name="page89"/>
    <w:bookmarkEnd w:id="88"/>
    <w:p>
      <w:pPr>
        <w:ind w:left="-80" w:firstLine="464"/>
        <w:spacing w:after="0" w:line="264" w:lineRule="auto"/>
        <w:tabs>
          <w:tab w:leader="none" w:pos="811" w:val="left"/>
        </w:tabs>
        <w:numPr>
          <w:ilvl w:val="0"/>
          <w:numId w:val="6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purposes of determining withholding Taxes imposed under FATCA, from and after the effective date of this Third Amendment, the Borrower and the Administrative Agent shall treat (and the Lenders party hereto hereby authorize the Administrative Agent to treat) the Term Loan Facility as not qualifying as a “grandfathered obligation” within the meaning of Treasury Regulation Section 1.1471-2(b)(2)(i).</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THIS PAGE IS LEFT BLANK INTENTIONALLY]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80"/>
          </w:cols>
          <w:pgMar w:left="320" w:top="274" w:right="299" w:bottom="1440" w:gutter="0" w:footer="0" w:header="0"/>
        </w:sectPr>
      </w:pPr>
    </w:p>
    <w:bookmarkStart w:id="89" w:name="page90"/>
    <w:bookmarkEnd w:id="89"/>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Third Amendment to be duly executed and delivered as of the day and year first above written.</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AMERICAN AIRLINES, INC., as the Borrower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Thomas T. Weir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Thomas T. Weir</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Vice President and Treasurer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AMERICAN AIRLINES GROUP INC., as Parent and</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Guarantor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Thomas T. Weir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Thomas T. Weir</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Vice President and Treasurer</w:t>
      </w:r>
    </w:p>
    <w:p>
      <w:pPr>
        <w:spacing w:after="0" w:line="139"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[Third Amendment to Amended and Restated Credit and Guaranty Agreement (LHR)]</w:t>
      </w:r>
    </w:p>
    <w:p>
      <w:pPr>
        <w:sectPr>
          <w:pgSz w:w="11900" w:h="16838" w:orient="portrait"/>
          <w:cols w:equalWidth="0" w:num="1">
            <w:col w:w="11220"/>
          </w:cols>
          <w:pgMar w:left="240" w:top="274" w:right="439" w:bottom="1440" w:gutter="0" w:footer="0" w:header="0"/>
        </w:sectPr>
      </w:pPr>
    </w:p>
    <w:bookmarkStart w:id="90" w:name="page91"/>
    <w:bookmarkEnd w:id="90"/>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CITIBANK N.A.,</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Administrative Agent</w:t>
      </w:r>
    </w:p>
    <w:p>
      <w:pPr>
        <w:spacing w:after="0" w:line="211" w:lineRule="exact"/>
        <w:rPr>
          <w:sz w:val="20"/>
          <w:szCs w:val="20"/>
          <w:color w:val="auto"/>
        </w:rPr>
      </w:pPr>
    </w:p>
    <w:p>
      <w:pPr>
        <w:jc w:val="right"/>
        <w:ind w:right="1459"/>
        <w:spacing w:after="0"/>
        <w:rPr>
          <w:sz w:val="20"/>
          <w:szCs w:val="20"/>
          <w:color w:val="auto"/>
        </w:rPr>
      </w:pPr>
      <w:r>
        <w:rPr>
          <w:rFonts w:ascii="Arial" w:cs="Arial" w:eastAsia="Arial" w:hAnsi="Arial"/>
          <w:sz w:val="18"/>
          <w:szCs w:val="18"/>
          <w:color w:val="auto"/>
        </w:rPr>
        <w:t>By:  /s/ Matthew S.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Name: Matthew S. Burke</w:t>
      </w:r>
    </w:p>
    <w:p>
      <w:pPr>
        <w:spacing w:after="0" w:line="3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 Vice President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[Third Amendment to Amended and Restated Credit and Guaranty Agreement (LHR)]</w:t>
      </w:r>
    </w:p>
    <w:p>
      <w:pPr>
        <w:sectPr>
          <w:pgSz w:w="11900" w:h="16838" w:orient="portrait"/>
          <w:cols w:equalWidth="0" w:num="1">
            <w:col w:w="9019"/>
          </w:cols>
          <w:pgMar w:left="1440" w:top="274" w:right="1440" w:bottom="1440" w:gutter="0" w:footer="0" w:header="0"/>
        </w:sectPr>
      </w:pPr>
    </w:p>
    <w:bookmarkStart w:id="91" w:name="page92"/>
    <w:bookmarkEnd w:id="91"/>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CITIBANK, N.A.,</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5"/>
          <w:szCs w:val="15"/>
          <w:color w:val="auto"/>
        </w:rPr>
        <w:t>as the Designated 2017 Replacement Term Lender, a 2017</w:t>
      </w:r>
    </w:p>
    <w:p>
      <w:pPr>
        <w:spacing w:after="0" w:line="44"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Replacement Term Lender, and as a Revolving Lender</w:t>
      </w:r>
    </w:p>
    <w:p>
      <w:pPr>
        <w:spacing w:after="0" w:line="22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Matthew S.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Matthew S. Burke</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 Vice President</w:t>
      </w:r>
    </w:p>
    <w:p>
      <w:pPr>
        <w:spacing w:after="0" w:line="139" w:lineRule="exact"/>
        <w:rPr>
          <w:sz w:val="20"/>
          <w:szCs w:val="20"/>
          <w:color w:val="auto"/>
        </w:rPr>
      </w:pPr>
    </w:p>
    <w:p>
      <w:pPr>
        <w:ind w:left="2020"/>
        <w:spacing w:after="0"/>
        <w:rPr>
          <w:sz w:val="20"/>
          <w:szCs w:val="20"/>
          <w:color w:val="auto"/>
        </w:rPr>
      </w:pPr>
      <w:r>
        <w:rPr>
          <w:rFonts w:ascii="Arial" w:cs="Arial" w:eastAsia="Arial" w:hAnsi="Arial"/>
          <w:sz w:val="14"/>
          <w:szCs w:val="14"/>
          <w:color w:val="auto"/>
        </w:rPr>
        <w:t>[Third Amendment to Amended and Restated Credit and Guaranty Agreement (LHR)]</w:t>
      </w:r>
    </w:p>
    <w:p>
      <w:pPr>
        <w:sectPr>
          <w:pgSz w:w="11900" w:h="16838" w:orient="portrait"/>
          <w:cols w:equalWidth="0" w:num="1">
            <w:col w:w="9860"/>
          </w:cols>
          <w:pgMar w:left="1440" w:top="274" w:right="599" w:bottom="1440" w:gutter="0" w:footer="0" w:header="0"/>
        </w:sectPr>
      </w:pPr>
    </w:p>
    <w:bookmarkStart w:id="92" w:name="page93"/>
    <w:bookmarkEnd w:id="92"/>
    <w:p>
      <w:pPr>
        <w:jc w:val="right"/>
        <w:spacing w:after="0"/>
        <w:rPr>
          <w:sz w:val="20"/>
          <w:szCs w:val="20"/>
          <w:color w:val="auto"/>
        </w:rPr>
      </w:pPr>
      <w:r>
        <w:rPr>
          <w:rFonts w:ascii="Arial" w:cs="Arial" w:eastAsia="Arial" w:hAnsi="Arial"/>
          <w:sz w:val="20"/>
          <w:szCs w:val="20"/>
          <w:b w:val="1"/>
          <w:bCs w:val="1"/>
          <w:color w:val="auto"/>
        </w:rPr>
        <w:t>Exhibit 10.3</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Amendment No. 9</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to the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Amended and Restated Airbus A350 XWB Purchase Agreement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dated as of October 2, 2007</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between</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AIRBUS S.A.S.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and</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AMERICAN AIRLINES, INC.</w:t>
      </w:r>
    </w:p>
    <w:p>
      <w:pPr>
        <w:spacing w:after="0" w:line="200" w:lineRule="exact"/>
        <w:rPr>
          <w:sz w:val="20"/>
          <w:szCs w:val="20"/>
          <w:color w:val="auto"/>
        </w:rPr>
      </w:pPr>
    </w:p>
    <w:p>
      <w:pPr>
        <w:spacing w:after="0" w:line="232" w:lineRule="exact"/>
        <w:rPr>
          <w:sz w:val="20"/>
          <w:szCs w:val="20"/>
          <w:color w:val="auto"/>
        </w:rPr>
      </w:pPr>
    </w:p>
    <w:p>
      <w:pPr>
        <w:jc w:val="both"/>
        <w:ind w:firstLine="799"/>
        <w:spacing w:after="0" w:line="276" w:lineRule="auto"/>
        <w:rPr>
          <w:sz w:val="20"/>
          <w:szCs w:val="20"/>
          <w:color w:val="auto"/>
        </w:rPr>
      </w:pPr>
      <w:r>
        <w:rPr>
          <w:rFonts w:ascii="Arial" w:cs="Arial" w:eastAsia="Arial" w:hAnsi="Arial"/>
          <w:sz w:val="18"/>
          <w:szCs w:val="18"/>
          <w:color w:val="auto"/>
        </w:rPr>
        <w:t>This Amendment No. 9 to the Amended and Restated Airbus A350 XWB Purchase Agreement between Airbus S.A.S. and American Airlines, Inc. (as successor in interest to US Airways, Inc.) (this “</w:t>
      </w:r>
      <w:r>
        <w:rPr>
          <w:rFonts w:ascii="Arial" w:cs="Arial" w:eastAsia="Arial" w:hAnsi="Arial"/>
          <w:sz w:val="18"/>
          <w:szCs w:val="18"/>
          <w:u w:val="single" w:color="auto"/>
          <w:color w:val="auto"/>
        </w:rPr>
        <w:t>Amendment</w:t>
      </w:r>
      <w:r>
        <w:rPr>
          <w:rFonts w:ascii="Arial" w:cs="Arial" w:eastAsia="Arial" w:hAnsi="Arial"/>
          <w:sz w:val="18"/>
          <w:szCs w:val="18"/>
          <w:color w:val="auto"/>
        </w:rPr>
        <w:t xml:space="preserve">”) is entered into as of April 24, 2017 by and between Airbus S.A.S., a </w:t>
      </w:r>
      <w:r>
        <w:rPr>
          <w:rFonts w:ascii="Arial" w:cs="Arial" w:eastAsia="Arial" w:hAnsi="Arial"/>
          <w:sz w:val="18"/>
          <w:szCs w:val="18"/>
          <w:i w:val="1"/>
          <w:iCs w:val="1"/>
          <w:color w:val="auto"/>
        </w:rPr>
        <w:t>société par actions simplifiée,</w:t>
      </w:r>
      <w:r>
        <w:rPr>
          <w:rFonts w:ascii="Arial" w:cs="Arial" w:eastAsia="Arial" w:hAnsi="Arial"/>
          <w:sz w:val="18"/>
          <w:szCs w:val="18"/>
          <w:color w:val="auto"/>
        </w:rPr>
        <w:t xml:space="preserve"> organized and existing under the laws of the Republic of France, having its registered office located at 1, rond-point Maurice Bellonte, 31700 Blagnac, France (the “</w:t>
      </w:r>
      <w:r>
        <w:rPr>
          <w:rFonts w:ascii="Arial" w:cs="Arial" w:eastAsia="Arial" w:hAnsi="Arial"/>
          <w:sz w:val="18"/>
          <w:szCs w:val="18"/>
          <w:u w:val="single" w:color="auto"/>
          <w:color w:val="auto"/>
        </w:rPr>
        <w:t>Seller</w:t>
      </w:r>
      <w:r>
        <w:rPr>
          <w:rFonts w:ascii="Arial" w:cs="Arial" w:eastAsia="Arial" w:hAnsi="Arial"/>
          <w:sz w:val="18"/>
          <w:szCs w:val="18"/>
          <w:color w:val="auto"/>
        </w:rPr>
        <w:t>”), and American Airlines, Inc., a corporation organized and existing under the laws of the State of Delaware, United States of America, having its principal corporate offices located at 4333 Amon Carter Boulevard, Fort Worth, Texas 76155, U.S.A., as successor by merger to US Airways, Inc. (the “</w:t>
      </w:r>
      <w:r>
        <w:rPr>
          <w:rFonts w:ascii="Arial" w:cs="Arial" w:eastAsia="Arial" w:hAnsi="Arial"/>
          <w:sz w:val="18"/>
          <w:szCs w:val="18"/>
          <w:u w:val="single" w:color="auto"/>
          <w:color w:val="auto"/>
        </w:rPr>
        <w:t>Buyer</w:t>
      </w:r>
      <w:r>
        <w:rPr>
          <w:rFonts w:ascii="Arial" w:cs="Arial" w:eastAsia="Arial" w:hAnsi="Arial"/>
          <w:sz w:val="18"/>
          <w:szCs w:val="18"/>
          <w:color w:val="auto"/>
        </w:rPr>
        <w: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 I T N E S S E T H</w:t>
      </w:r>
    </w:p>
    <w:p>
      <w:pPr>
        <w:spacing w:after="0" w:line="216" w:lineRule="exact"/>
        <w:rPr>
          <w:sz w:val="20"/>
          <w:szCs w:val="20"/>
          <w:color w:val="auto"/>
        </w:rPr>
      </w:pPr>
    </w:p>
    <w:p>
      <w:pPr>
        <w:jc w:val="both"/>
        <w:ind w:firstLine="799"/>
        <w:spacing w:after="0" w:line="250" w:lineRule="auto"/>
        <w:rPr>
          <w:sz w:val="20"/>
          <w:szCs w:val="20"/>
          <w:color w:val="auto"/>
        </w:rPr>
      </w:pPr>
      <w:r>
        <w:rPr>
          <w:rFonts w:ascii="Arial" w:cs="Arial" w:eastAsia="Arial" w:hAnsi="Arial"/>
          <w:sz w:val="20"/>
          <w:szCs w:val="20"/>
          <w:color w:val="auto"/>
        </w:rPr>
        <w:t>WHEREAS, the Buyer and the Seller entered into an Amended and Restated Airbus A350 XWB Purchase Agreement, dated as of October 2, 2007 (together with all Exhibits, Appendices and Letter Agreements attached thereto and as amended, modified or supplemented from time to time, hereinafter called the “</w:t>
      </w:r>
      <w:r>
        <w:rPr>
          <w:rFonts w:ascii="Arial" w:cs="Arial" w:eastAsia="Arial" w:hAnsi="Arial"/>
          <w:sz w:val="20"/>
          <w:szCs w:val="20"/>
          <w:u w:val="single" w:color="auto"/>
          <w:color w:val="auto"/>
        </w:rPr>
        <w:t>Agreement</w:t>
      </w:r>
      <w:r>
        <w:rPr>
          <w:rFonts w:ascii="Arial" w:cs="Arial" w:eastAsia="Arial" w:hAnsi="Arial"/>
          <w:sz w:val="20"/>
          <w:szCs w:val="20"/>
          <w:color w:val="auto"/>
        </w:rPr>
        <w:t>”);</w:t>
      </w:r>
    </w:p>
    <w:p>
      <w:pPr>
        <w:spacing w:after="0" w:line="186" w:lineRule="exact"/>
        <w:rPr>
          <w:sz w:val="20"/>
          <w:szCs w:val="20"/>
          <w:color w:val="auto"/>
        </w:rPr>
      </w:pPr>
    </w:p>
    <w:p>
      <w:pPr>
        <w:jc w:val="both"/>
        <w:ind w:firstLine="799"/>
        <w:spacing w:after="0" w:line="250" w:lineRule="auto"/>
        <w:rPr>
          <w:sz w:val="20"/>
          <w:szCs w:val="20"/>
          <w:color w:val="auto"/>
        </w:rPr>
      </w:pPr>
      <w:r>
        <w:rPr>
          <w:rFonts w:ascii="Arial" w:cs="Arial" w:eastAsia="Arial" w:hAnsi="Arial"/>
          <w:sz w:val="20"/>
          <w:szCs w:val="20"/>
          <w:color w:val="auto"/>
        </w:rPr>
        <w:t>WHEREAS, the Buyer and the Seller entered into an Airbus A320 Family Aircraft Purchase Agreement, dated as of July 20, 2011 (together with all Exhibits, Appendices and Letter Agreements attached thereto and as amended, modified or supplemented from time to time, hereinafter called the “</w:t>
      </w:r>
      <w:r>
        <w:rPr>
          <w:rFonts w:ascii="Arial" w:cs="Arial" w:eastAsia="Arial" w:hAnsi="Arial"/>
          <w:sz w:val="20"/>
          <w:szCs w:val="20"/>
          <w:u w:val="single" w:color="auto"/>
          <w:color w:val="auto"/>
        </w:rPr>
        <w:t>Airbus A320 Agreement</w:t>
      </w:r>
      <w:r>
        <w:rPr>
          <w:rFonts w:ascii="Arial" w:cs="Arial" w:eastAsia="Arial" w:hAnsi="Arial"/>
          <w:sz w:val="20"/>
          <w:szCs w:val="20"/>
          <w:color w:val="auto"/>
        </w:rPr>
        <w:t>”);</w:t>
      </w:r>
    </w:p>
    <w:p>
      <w:pPr>
        <w:spacing w:after="0" w:line="186" w:lineRule="exact"/>
        <w:rPr>
          <w:sz w:val="20"/>
          <w:szCs w:val="20"/>
          <w:color w:val="auto"/>
        </w:rPr>
      </w:pPr>
    </w:p>
    <w:p>
      <w:pPr>
        <w:jc w:val="both"/>
        <w:ind w:firstLine="799"/>
        <w:spacing w:after="0" w:line="260" w:lineRule="auto"/>
        <w:rPr>
          <w:sz w:val="20"/>
          <w:szCs w:val="20"/>
          <w:color w:val="auto"/>
        </w:rPr>
      </w:pPr>
      <w:r>
        <w:rPr>
          <w:rFonts w:ascii="Arial" w:cs="Arial" w:eastAsia="Arial" w:hAnsi="Arial"/>
          <w:sz w:val="20"/>
          <w:szCs w:val="20"/>
          <w:color w:val="auto"/>
        </w:rPr>
        <w:t>WHEREAS, the Buyer and the Seller have agreed to amend the Scheduled Delivery Months applicable to the Aircraft as set forth herein; and</w:t>
      </w:r>
    </w:p>
    <w:p>
      <w:pPr>
        <w:spacing w:after="0" w:line="177" w:lineRule="exact"/>
        <w:rPr>
          <w:sz w:val="20"/>
          <w:szCs w:val="20"/>
          <w:color w:val="auto"/>
        </w:rPr>
      </w:pPr>
    </w:p>
    <w:p>
      <w:pPr>
        <w:ind w:left="800"/>
        <w:spacing w:after="0"/>
        <w:rPr>
          <w:sz w:val="20"/>
          <w:szCs w:val="20"/>
          <w:color w:val="auto"/>
        </w:rPr>
      </w:pPr>
      <w:r>
        <w:rPr>
          <w:rFonts w:ascii="Arial" w:cs="Arial" w:eastAsia="Arial" w:hAnsi="Arial"/>
          <w:sz w:val="19"/>
          <w:szCs w:val="19"/>
          <w:color w:val="auto"/>
        </w:rPr>
        <w:t>WHEREAS, the Buyer and the Seller have agreed to amend certain additional terms of the Agreement as set forth herein.</w:t>
      </w:r>
    </w:p>
    <w:p>
      <w:pPr>
        <w:spacing w:after="0" w:line="227" w:lineRule="exact"/>
        <w:rPr>
          <w:sz w:val="20"/>
          <w:szCs w:val="20"/>
          <w:color w:val="auto"/>
        </w:rPr>
      </w:pPr>
    </w:p>
    <w:p>
      <w:pPr>
        <w:ind w:left="800"/>
        <w:spacing w:after="0"/>
        <w:rPr>
          <w:sz w:val="20"/>
          <w:szCs w:val="20"/>
          <w:color w:val="auto"/>
        </w:rPr>
      </w:pPr>
      <w:r>
        <w:rPr>
          <w:rFonts w:ascii="Arial" w:cs="Arial" w:eastAsia="Arial" w:hAnsi="Arial"/>
          <w:sz w:val="20"/>
          <w:szCs w:val="20"/>
          <w:color w:val="auto"/>
        </w:rPr>
        <w:t>NOW, THEREFORE, IT IS AGREED AS FOLLOWS:</w:t>
      </w:r>
    </w:p>
    <w:p>
      <w:pPr>
        <w:spacing w:after="0" w:line="216" w:lineRule="exact"/>
        <w:rPr>
          <w:sz w:val="20"/>
          <w:szCs w:val="20"/>
          <w:color w:val="auto"/>
        </w:rPr>
      </w:pPr>
    </w:p>
    <w:p>
      <w:pPr>
        <w:jc w:val="both"/>
        <w:ind w:firstLine="799"/>
        <w:spacing w:after="0" w:line="260" w:lineRule="auto"/>
        <w:rPr>
          <w:sz w:val="20"/>
          <w:szCs w:val="20"/>
          <w:color w:val="auto"/>
        </w:rPr>
      </w:pPr>
      <w:r>
        <w:rPr>
          <w:rFonts w:ascii="Arial" w:cs="Arial" w:eastAsia="Arial" w:hAnsi="Arial"/>
          <w:sz w:val="20"/>
          <w:szCs w:val="20"/>
          <w:color w:val="auto"/>
        </w:rPr>
        <w:t>Capitalized terms used herein and not otherwise defined in this Amendment will have the meanings assigned to them in the Agreement. The terms “herein,” “hereof,” and “hereunder” and words of similar import refer to this Amendment.</w:t>
      </w:r>
    </w:p>
    <w:p>
      <w:pPr>
        <w:sectPr>
          <w:pgSz w:w="11900" w:h="16838" w:orient="portrait"/>
          <w:cols w:equalWidth="0" w:num="1">
            <w:col w:w="11420"/>
          </w:cols>
          <w:pgMar w:left="240" w:top="115" w:right="239" w:bottom="1440" w:gutter="0" w:footer="0" w:header="0"/>
        </w:sectPr>
      </w:pPr>
    </w:p>
    <w:bookmarkStart w:id="93" w:name="page94"/>
    <w:bookmarkEnd w:id="93"/>
    <w:p>
      <w:pPr>
        <w:ind w:left="800" w:hanging="792"/>
        <w:spacing w:after="0"/>
        <w:tabs>
          <w:tab w:leader="none" w:pos="800" w:val="left"/>
        </w:tabs>
        <w:numPr>
          <w:ilvl w:val="0"/>
          <w:numId w:val="6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DELIVERY</w:t>
      </w:r>
    </w:p>
    <w:p>
      <w:pPr>
        <w:spacing w:after="0" w:line="249" w:lineRule="exact"/>
        <w:rPr>
          <w:sz w:val="20"/>
          <w:szCs w:val="20"/>
          <w:color w:val="auto"/>
        </w:rPr>
      </w:pPr>
    </w:p>
    <w:p>
      <w:pPr>
        <w:ind w:left="800" w:right="20" w:hanging="796"/>
        <w:spacing w:after="0" w:line="260" w:lineRule="auto"/>
        <w:tabs>
          <w:tab w:leader="none" w:pos="78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20"/>
          <w:szCs w:val="20"/>
          <w:color w:val="auto"/>
        </w:rPr>
        <w:t>The Seller and the Buyer agree to reschedule the Scheduled Delivery Month of each of the ten (10) Aircraft identified in Clause 9.1.1 of the Agreement with [*CTR].</w:t>
      </w:r>
    </w:p>
    <w:p>
      <w:pPr>
        <w:spacing w:after="0" w:line="204" w:lineRule="exact"/>
        <w:rPr>
          <w:sz w:val="20"/>
          <w:szCs w:val="20"/>
          <w:color w:val="auto"/>
        </w:rPr>
      </w:pPr>
    </w:p>
    <w:p>
      <w:pPr>
        <w:spacing w:after="0"/>
        <w:tabs>
          <w:tab w:leader="none" w:pos="780" w:val="left"/>
        </w:tabs>
        <w:rPr>
          <w:sz w:val="20"/>
          <w:szCs w:val="20"/>
          <w:color w:val="auto"/>
        </w:rPr>
      </w:pPr>
      <w:r>
        <w:rPr>
          <w:rFonts w:ascii="Arial" w:cs="Arial" w:eastAsia="Arial" w:hAnsi="Arial"/>
          <w:sz w:val="20"/>
          <w:szCs w:val="20"/>
          <w:color w:val="auto"/>
        </w:rPr>
        <w:t>1.2</w:t>
      </w:r>
      <w:r>
        <w:rPr>
          <w:sz w:val="20"/>
          <w:szCs w:val="20"/>
          <w:color w:val="auto"/>
        </w:rPr>
        <w:tab/>
      </w:r>
      <w:r>
        <w:rPr>
          <w:rFonts w:ascii="Arial" w:cs="Arial" w:eastAsia="Arial" w:hAnsi="Arial"/>
          <w:sz w:val="16"/>
          <w:szCs w:val="16"/>
          <w:color w:val="auto"/>
        </w:rPr>
        <w:t>Clause 9.1.1 of the Agreement is hereby deleted and restated to read in its entirety as follows:</w:t>
      </w:r>
    </w:p>
    <w:p>
      <w:pPr>
        <w:spacing w:after="0" w:line="216" w:lineRule="exact"/>
        <w:rPr>
          <w:sz w:val="20"/>
          <w:szCs w:val="20"/>
          <w:color w:val="auto"/>
        </w:rPr>
      </w:pPr>
    </w:p>
    <w:p>
      <w:pPr>
        <w:ind w:left="800"/>
        <w:spacing w:after="0"/>
        <w:rPr>
          <w:sz w:val="20"/>
          <w:szCs w:val="20"/>
          <w:color w:val="auto"/>
        </w:rPr>
      </w:pPr>
      <w:r>
        <w:rPr>
          <w:rFonts w:ascii="Arial" w:cs="Arial" w:eastAsia="Arial" w:hAnsi="Arial"/>
          <w:sz w:val="20"/>
          <w:szCs w:val="20"/>
          <w:color w:val="auto"/>
        </w:rPr>
        <w:t>QUOTE</w:t>
      </w:r>
    </w:p>
    <w:p>
      <w:pPr>
        <w:spacing w:after="0" w:line="216" w:lineRule="exact"/>
        <w:rPr>
          <w:sz w:val="20"/>
          <w:szCs w:val="20"/>
          <w:color w:val="auto"/>
        </w:rPr>
      </w:pPr>
    </w:p>
    <w:p>
      <w:pPr>
        <w:ind w:left="800" w:right="20"/>
        <w:spacing w:after="0" w:line="287" w:lineRule="auto"/>
        <w:rPr>
          <w:sz w:val="20"/>
          <w:szCs w:val="20"/>
          <w:color w:val="auto"/>
        </w:rPr>
      </w:pPr>
      <w:r>
        <w:rPr>
          <w:rFonts w:ascii="Arial" w:cs="Arial" w:eastAsia="Arial" w:hAnsi="Arial"/>
          <w:sz w:val="19"/>
          <w:szCs w:val="19"/>
          <w:color w:val="auto"/>
        </w:rPr>
        <w:t>9.1.1 Subject to any delay contemplated by Clauses 2, 7, 8, 10, 11.2, 18 or 21.2.1 of this Agreement, the Seller will have the Aircraft Ready for Delivery at the Delivery Location within the following months (each, a “</w:t>
      </w:r>
      <w:r>
        <w:rPr>
          <w:rFonts w:ascii="Arial" w:cs="Arial" w:eastAsia="Arial" w:hAnsi="Arial"/>
          <w:sz w:val="19"/>
          <w:szCs w:val="19"/>
          <w:u w:val="single" w:color="auto"/>
          <w:color w:val="auto"/>
        </w:rPr>
        <w:t>Scheduled Delivery Month</w:t>
      </w:r>
      <w:r>
        <w:rPr>
          <w:rFonts w:ascii="Arial" w:cs="Arial" w:eastAsia="Arial" w:hAnsi="Arial"/>
          <w:sz w:val="19"/>
          <w:szCs w:val="19"/>
          <w:color w:val="auto"/>
        </w:rPr>
        <w:t>”).</w:t>
      </w:r>
    </w:p>
    <w:p>
      <w:pPr>
        <w:spacing w:after="0" w:line="177" w:lineRule="exact"/>
        <w:rPr>
          <w:sz w:val="20"/>
          <w:szCs w:val="20"/>
          <w:color w:val="auto"/>
        </w:rPr>
      </w:pPr>
    </w:p>
    <w:tbl>
      <w:tblPr>
        <w:tblLayout w:type="fixed"/>
        <w:tblInd w:w="830" w:type="dxa"/>
        <w:tblCellMar>
          <w:top w:w="0" w:type="dxa"/>
          <w:left w:w="0" w:type="dxa"/>
          <w:bottom w:w="0" w:type="dxa"/>
          <w:right w:w="0" w:type="dxa"/>
        </w:tblCellMar>
      </w:tblPr>
      <w:tr>
        <w:trPr>
          <w:trHeight w:val="226"/>
        </w:trPr>
        <w:tc>
          <w:tcPr>
            <w:tcW w:w="1500" w:type="dxa"/>
            <w:vAlign w:val="bottom"/>
            <w:tcBorders>
              <w:top w:val="single" w:sz="8" w:color="auto"/>
              <w:left w:val="single" w:sz="8" w:color="auto"/>
              <w:right w:val="single" w:sz="8" w:color="auto"/>
            </w:tcBorders>
          </w:tcPr>
          <w:p>
            <w:pPr>
              <w:ind w:left="160"/>
              <w:spacing w:after="0" w:line="227" w:lineRule="exact"/>
              <w:rPr>
                <w:sz w:val="20"/>
                <w:szCs w:val="20"/>
                <w:color w:val="auto"/>
              </w:rPr>
            </w:pPr>
            <w:r>
              <w:rPr>
                <w:rFonts w:ascii="Arial" w:cs="Arial" w:eastAsia="Arial" w:hAnsi="Arial"/>
                <w:sz w:val="20"/>
                <w:szCs w:val="20"/>
                <w:color w:val="auto"/>
              </w:rPr>
              <w:t>Year</w:t>
            </w:r>
          </w:p>
        </w:tc>
        <w:tc>
          <w:tcPr>
            <w:tcW w:w="1900" w:type="dxa"/>
            <w:vAlign w:val="bottom"/>
            <w:tcBorders>
              <w:top w:val="single" w:sz="8" w:color="auto"/>
              <w:right w:val="single" w:sz="8" w:color="auto"/>
            </w:tcBorders>
          </w:tcPr>
          <w:p>
            <w:pPr>
              <w:ind w:left="100"/>
              <w:spacing w:after="0" w:line="227" w:lineRule="exact"/>
              <w:rPr>
                <w:sz w:val="20"/>
                <w:szCs w:val="20"/>
                <w:color w:val="auto"/>
              </w:rPr>
            </w:pPr>
            <w:r>
              <w:rPr>
                <w:rFonts w:ascii="Arial" w:cs="Arial" w:eastAsia="Arial" w:hAnsi="Arial"/>
                <w:sz w:val="20"/>
                <w:szCs w:val="20"/>
                <w:color w:val="auto"/>
              </w:rPr>
              <w:t>Original CAC</w:t>
            </w:r>
          </w:p>
        </w:tc>
        <w:tc>
          <w:tcPr>
            <w:tcW w:w="1820" w:type="dxa"/>
            <w:vAlign w:val="bottom"/>
            <w:tcBorders>
              <w:top w:val="single" w:sz="8" w:color="auto"/>
              <w:right w:val="single" w:sz="8" w:color="auto"/>
            </w:tcBorders>
          </w:tcPr>
          <w:p>
            <w:pPr>
              <w:ind w:left="100"/>
              <w:spacing w:after="0" w:line="227" w:lineRule="exact"/>
              <w:rPr>
                <w:sz w:val="20"/>
                <w:szCs w:val="20"/>
                <w:color w:val="auto"/>
              </w:rPr>
            </w:pPr>
            <w:r>
              <w:rPr>
                <w:rFonts w:ascii="Arial" w:cs="Arial" w:eastAsia="Arial" w:hAnsi="Arial"/>
                <w:sz w:val="20"/>
                <w:szCs w:val="20"/>
                <w:color w:val="auto"/>
              </w:rPr>
              <w:t>New CAC ID</w:t>
            </w:r>
          </w:p>
        </w:tc>
        <w:tc>
          <w:tcPr>
            <w:tcW w:w="3720" w:type="dxa"/>
            <w:vAlign w:val="bottom"/>
            <w:tcBorders>
              <w:top w:val="single" w:sz="8" w:color="auto"/>
              <w:right w:val="single" w:sz="8" w:color="auto"/>
            </w:tcBorders>
          </w:tcPr>
          <w:p>
            <w:pPr>
              <w:ind w:left="100"/>
              <w:spacing w:after="0" w:line="227" w:lineRule="exact"/>
              <w:rPr>
                <w:sz w:val="20"/>
                <w:szCs w:val="20"/>
                <w:color w:val="auto"/>
              </w:rPr>
            </w:pPr>
            <w:r>
              <w:rPr>
                <w:rFonts w:ascii="Arial" w:cs="Arial" w:eastAsia="Arial" w:hAnsi="Arial"/>
                <w:sz w:val="20"/>
                <w:szCs w:val="20"/>
                <w:color w:val="auto"/>
              </w:rPr>
              <w:t>Aircraft</w:t>
            </w:r>
          </w:p>
        </w:tc>
        <w:tc>
          <w:tcPr>
            <w:tcW w:w="1680" w:type="dxa"/>
            <w:vAlign w:val="bottom"/>
            <w:tcBorders>
              <w:top w:val="single" w:sz="8" w:color="auto"/>
              <w:right w:val="single" w:sz="8" w:color="auto"/>
            </w:tcBorders>
          </w:tcPr>
          <w:p>
            <w:pPr>
              <w:ind w:left="100"/>
              <w:spacing w:after="0" w:line="227" w:lineRule="exact"/>
              <w:rPr>
                <w:sz w:val="20"/>
                <w:szCs w:val="20"/>
                <w:color w:val="auto"/>
              </w:rPr>
            </w:pPr>
            <w:r>
              <w:rPr>
                <w:rFonts w:ascii="Arial" w:cs="Arial" w:eastAsia="Arial" w:hAnsi="Arial"/>
                <w:sz w:val="20"/>
                <w:szCs w:val="20"/>
                <w:color w:val="auto"/>
              </w:rPr>
              <w:t>Scheduled</w:t>
            </w:r>
          </w:p>
        </w:tc>
      </w:tr>
      <w:tr>
        <w:trPr>
          <w:trHeight w:val="246"/>
        </w:trPr>
        <w:tc>
          <w:tcPr>
            <w:tcW w:w="1500" w:type="dxa"/>
            <w:vAlign w:val="bottom"/>
            <w:tcBorders>
              <w:left w:val="single" w:sz="8" w:color="auto"/>
              <w:bottom w:val="single" w:sz="8" w:color="auto"/>
              <w:right w:val="single" w:sz="8" w:color="auto"/>
            </w:tcBorders>
          </w:tcPr>
          <w:p>
            <w:pPr>
              <w:spacing w:after="0"/>
              <w:rPr>
                <w:sz w:val="21"/>
                <w:szCs w:val="21"/>
                <w:color w:val="auto"/>
              </w:rPr>
            </w:pPr>
          </w:p>
        </w:tc>
        <w:tc>
          <w:tcPr>
            <w:tcW w:w="19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ID Number</w:t>
            </w:r>
          </w:p>
        </w:tc>
        <w:tc>
          <w:tcPr>
            <w:tcW w:w="18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Number</w:t>
            </w:r>
          </w:p>
        </w:tc>
        <w:tc>
          <w:tcPr>
            <w:tcW w:w="3720" w:type="dxa"/>
            <w:vAlign w:val="bottom"/>
            <w:tcBorders>
              <w:bottom w:val="single" w:sz="8" w:color="auto"/>
              <w:right w:val="single" w:sz="8" w:color="auto"/>
            </w:tcBorders>
          </w:tcPr>
          <w:p>
            <w:pPr>
              <w:spacing w:after="0"/>
              <w:rPr>
                <w:sz w:val="21"/>
                <w:szCs w:val="21"/>
                <w:color w:val="auto"/>
              </w:rPr>
            </w:pPr>
          </w:p>
        </w:tc>
        <w:tc>
          <w:tcPr>
            <w:tcW w:w="16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Delivery Month</w:t>
            </w:r>
          </w:p>
        </w:tc>
      </w:tr>
      <w:tr>
        <w:trPr>
          <w:trHeight w:val="206"/>
        </w:trPr>
        <w:tc>
          <w:tcPr>
            <w:tcW w:w="1500" w:type="dxa"/>
            <w:vAlign w:val="bottom"/>
            <w:tcBorders>
              <w:left w:val="single" w:sz="8" w:color="auto"/>
              <w:right w:val="single" w:sz="8" w:color="auto"/>
            </w:tcBorders>
          </w:tcPr>
          <w:p>
            <w:pPr>
              <w:ind w:left="160"/>
              <w:spacing w:after="0" w:line="207" w:lineRule="exact"/>
              <w:rPr>
                <w:sz w:val="20"/>
                <w:szCs w:val="20"/>
                <w:color w:val="auto"/>
              </w:rPr>
            </w:pPr>
            <w:r>
              <w:rPr>
                <w:rFonts w:ascii="Arial" w:cs="Arial" w:eastAsia="Arial" w:hAnsi="Arial"/>
                <w:sz w:val="20"/>
                <w:szCs w:val="20"/>
                <w:color w:val="auto"/>
              </w:rPr>
              <w:t>2020</w:t>
            </w:r>
          </w:p>
        </w:tc>
        <w:tc>
          <w:tcPr>
            <w:tcW w:w="1900" w:type="dxa"/>
            <w:vAlign w:val="bottom"/>
            <w:tcBorders>
              <w:right w:val="single" w:sz="8" w:color="auto"/>
            </w:tcBorders>
          </w:tcPr>
          <w:p>
            <w:pPr>
              <w:ind w:left="100"/>
              <w:spacing w:after="0" w:line="207" w:lineRule="exact"/>
              <w:rPr>
                <w:sz w:val="20"/>
                <w:szCs w:val="20"/>
                <w:color w:val="auto"/>
              </w:rPr>
            </w:pPr>
            <w:r>
              <w:rPr>
                <w:rFonts w:ascii="Arial" w:cs="Arial" w:eastAsia="Arial" w:hAnsi="Arial"/>
                <w:sz w:val="20"/>
                <w:szCs w:val="20"/>
                <w:color w:val="auto"/>
              </w:rPr>
              <w:t>[*CTR]</w:t>
            </w:r>
          </w:p>
        </w:tc>
        <w:tc>
          <w:tcPr>
            <w:tcW w:w="1820" w:type="dxa"/>
            <w:vAlign w:val="bottom"/>
            <w:tcBorders>
              <w:right w:val="single" w:sz="8" w:color="auto"/>
            </w:tcBorders>
          </w:tcPr>
          <w:p>
            <w:pPr>
              <w:ind w:left="100"/>
              <w:spacing w:after="0" w:line="207" w:lineRule="exact"/>
              <w:rPr>
                <w:sz w:val="20"/>
                <w:szCs w:val="20"/>
                <w:color w:val="auto"/>
              </w:rPr>
            </w:pPr>
            <w:r>
              <w:rPr>
                <w:rFonts w:ascii="Arial" w:cs="Arial" w:eastAsia="Arial" w:hAnsi="Arial"/>
                <w:sz w:val="20"/>
                <w:szCs w:val="20"/>
                <w:color w:val="auto"/>
              </w:rPr>
              <w:t>[*CTR]</w:t>
            </w:r>
          </w:p>
        </w:tc>
        <w:tc>
          <w:tcPr>
            <w:tcW w:w="3720" w:type="dxa"/>
            <w:vAlign w:val="bottom"/>
            <w:tcBorders>
              <w:right w:val="single" w:sz="8" w:color="auto"/>
            </w:tcBorders>
          </w:tcPr>
          <w:p>
            <w:pPr>
              <w:ind w:left="100"/>
              <w:spacing w:after="0" w:line="207" w:lineRule="exact"/>
              <w:rPr>
                <w:sz w:val="20"/>
                <w:szCs w:val="20"/>
                <w:color w:val="auto"/>
              </w:rPr>
            </w:pPr>
            <w:r>
              <w:rPr>
                <w:rFonts w:ascii="Arial" w:cs="Arial" w:eastAsia="Arial" w:hAnsi="Arial"/>
                <w:sz w:val="20"/>
                <w:szCs w:val="20"/>
                <w:color w:val="auto"/>
              </w:rPr>
              <w:t>A350-900 XWB Aircraft</w:t>
            </w:r>
          </w:p>
        </w:tc>
        <w:tc>
          <w:tcPr>
            <w:tcW w:w="1680" w:type="dxa"/>
            <w:vAlign w:val="bottom"/>
            <w:tcBorders>
              <w:right w:val="single" w:sz="8" w:color="auto"/>
            </w:tcBorders>
          </w:tcPr>
          <w:p>
            <w:pPr>
              <w:ind w:left="100"/>
              <w:spacing w:after="0" w:line="207" w:lineRule="exact"/>
              <w:rPr>
                <w:sz w:val="20"/>
                <w:szCs w:val="20"/>
                <w:color w:val="auto"/>
              </w:rPr>
            </w:pPr>
            <w:r>
              <w:rPr>
                <w:rFonts w:ascii="Arial" w:cs="Arial" w:eastAsia="Arial" w:hAnsi="Arial"/>
                <w:sz w:val="20"/>
                <w:szCs w:val="20"/>
                <w:color w:val="auto"/>
              </w:rPr>
              <w:t>[*CTR]</w:t>
            </w:r>
          </w:p>
        </w:tc>
      </w:tr>
      <w:tr>
        <w:trPr>
          <w:trHeight w:val="255"/>
        </w:trPr>
        <w:tc>
          <w:tcPr>
            <w:tcW w:w="1500" w:type="dxa"/>
            <w:vAlign w:val="bottom"/>
            <w:tcBorders>
              <w:left w:val="single" w:sz="8" w:color="auto"/>
              <w:bottom w:val="single" w:sz="8" w:color="auto"/>
              <w:right w:val="single" w:sz="8" w:color="auto"/>
            </w:tcBorders>
          </w:tcPr>
          <w:p>
            <w:pPr>
              <w:spacing w:after="0"/>
              <w:rPr>
                <w:sz w:val="22"/>
                <w:szCs w:val="22"/>
                <w:color w:val="auto"/>
              </w:rPr>
            </w:pPr>
          </w:p>
        </w:tc>
        <w:tc>
          <w:tcPr>
            <w:tcW w:w="19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[*CTR]</w:t>
            </w:r>
          </w:p>
        </w:tc>
        <w:tc>
          <w:tcPr>
            <w:tcW w:w="18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[*CTR]</w:t>
            </w:r>
          </w:p>
        </w:tc>
        <w:tc>
          <w:tcPr>
            <w:tcW w:w="37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A350-900 XWB Aircraft</w:t>
            </w:r>
          </w:p>
        </w:tc>
        <w:tc>
          <w:tcPr>
            <w:tcW w:w="16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[*CTR]</w:t>
            </w:r>
          </w:p>
        </w:tc>
      </w:tr>
      <w:tr>
        <w:trPr>
          <w:trHeight w:val="211"/>
        </w:trPr>
        <w:tc>
          <w:tcPr>
            <w:tcW w:w="1500" w:type="dxa"/>
            <w:vAlign w:val="bottom"/>
            <w:tcBorders>
              <w:left w:val="single" w:sz="8" w:color="auto"/>
              <w:right w:val="single" w:sz="8" w:color="auto"/>
            </w:tcBorders>
          </w:tcPr>
          <w:p>
            <w:pPr>
              <w:ind w:left="160"/>
              <w:spacing w:after="0" w:line="211" w:lineRule="exact"/>
              <w:rPr>
                <w:sz w:val="20"/>
                <w:szCs w:val="20"/>
                <w:color w:val="auto"/>
              </w:rPr>
            </w:pPr>
            <w:r>
              <w:rPr>
                <w:rFonts w:ascii="Arial" w:cs="Arial" w:eastAsia="Arial" w:hAnsi="Arial"/>
                <w:sz w:val="20"/>
                <w:szCs w:val="20"/>
                <w:color w:val="auto"/>
              </w:rPr>
              <w:t>2021</w:t>
            </w:r>
          </w:p>
        </w:tc>
        <w:tc>
          <w:tcPr>
            <w:tcW w:w="1900" w:type="dxa"/>
            <w:vAlign w:val="bottom"/>
            <w:tcBorders>
              <w:right w:val="single" w:sz="8" w:color="auto"/>
            </w:tcBorders>
          </w:tcPr>
          <w:p>
            <w:pPr>
              <w:ind w:left="100"/>
              <w:spacing w:after="0" w:line="211" w:lineRule="exact"/>
              <w:rPr>
                <w:sz w:val="20"/>
                <w:szCs w:val="20"/>
                <w:color w:val="auto"/>
              </w:rPr>
            </w:pPr>
            <w:r>
              <w:rPr>
                <w:rFonts w:ascii="Arial" w:cs="Arial" w:eastAsia="Arial" w:hAnsi="Arial"/>
                <w:sz w:val="20"/>
                <w:szCs w:val="20"/>
                <w:color w:val="auto"/>
              </w:rPr>
              <w:t>[*CTR]</w:t>
            </w:r>
          </w:p>
        </w:tc>
        <w:tc>
          <w:tcPr>
            <w:tcW w:w="1820" w:type="dxa"/>
            <w:vAlign w:val="bottom"/>
            <w:tcBorders>
              <w:right w:val="single" w:sz="8" w:color="auto"/>
            </w:tcBorders>
          </w:tcPr>
          <w:p>
            <w:pPr>
              <w:ind w:left="100"/>
              <w:spacing w:after="0" w:line="211" w:lineRule="exact"/>
              <w:rPr>
                <w:sz w:val="20"/>
                <w:szCs w:val="20"/>
                <w:color w:val="auto"/>
              </w:rPr>
            </w:pPr>
            <w:r>
              <w:rPr>
                <w:rFonts w:ascii="Arial" w:cs="Arial" w:eastAsia="Arial" w:hAnsi="Arial"/>
                <w:sz w:val="20"/>
                <w:szCs w:val="20"/>
                <w:color w:val="auto"/>
              </w:rPr>
              <w:t>[*CTR]</w:t>
            </w:r>
          </w:p>
        </w:tc>
        <w:tc>
          <w:tcPr>
            <w:tcW w:w="3720" w:type="dxa"/>
            <w:vAlign w:val="bottom"/>
            <w:tcBorders>
              <w:right w:val="single" w:sz="8" w:color="auto"/>
            </w:tcBorders>
          </w:tcPr>
          <w:p>
            <w:pPr>
              <w:ind w:left="100"/>
              <w:spacing w:after="0" w:line="211" w:lineRule="exact"/>
              <w:rPr>
                <w:sz w:val="20"/>
                <w:szCs w:val="20"/>
                <w:color w:val="auto"/>
              </w:rPr>
            </w:pPr>
            <w:r>
              <w:rPr>
                <w:rFonts w:ascii="Arial" w:cs="Arial" w:eastAsia="Arial" w:hAnsi="Arial"/>
                <w:sz w:val="20"/>
                <w:szCs w:val="20"/>
                <w:color w:val="auto"/>
              </w:rPr>
              <w:t>A350-900 XWB Aircraft</w:t>
            </w:r>
          </w:p>
        </w:tc>
        <w:tc>
          <w:tcPr>
            <w:tcW w:w="1680" w:type="dxa"/>
            <w:vAlign w:val="bottom"/>
            <w:tcBorders>
              <w:right w:val="single" w:sz="8" w:color="auto"/>
            </w:tcBorders>
          </w:tcPr>
          <w:p>
            <w:pPr>
              <w:ind w:left="100"/>
              <w:spacing w:after="0" w:line="211" w:lineRule="exact"/>
              <w:rPr>
                <w:sz w:val="20"/>
                <w:szCs w:val="20"/>
                <w:color w:val="auto"/>
              </w:rPr>
            </w:pPr>
            <w:r>
              <w:rPr>
                <w:rFonts w:ascii="Arial" w:cs="Arial" w:eastAsia="Arial" w:hAnsi="Arial"/>
                <w:sz w:val="20"/>
                <w:szCs w:val="20"/>
                <w:color w:val="auto"/>
              </w:rPr>
              <w:t>[*CTR]</w:t>
            </w:r>
          </w:p>
        </w:tc>
      </w:tr>
      <w:tr>
        <w:trPr>
          <w:trHeight w:val="230"/>
        </w:trPr>
        <w:tc>
          <w:tcPr>
            <w:tcW w:w="1500" w:type="dxa"/>
            <w:vAlign w:val="bottom"/>
            <w:tcBorders>
              <w:left w:val="single" w:sz="8" w:color="auto"/>
              <w:right w:val="single" w:sz="8" w:color="auto"/>
            </w:tcBorders>
          </w:tcPr>
          <w:p>
            <w:pPr>
              <w:spacing w:after="0"/>
              <w:rPr>
                <w:sz w:val="19"/>
                <w:szCs w:val="19"/>
                <w:color w:val="auto"/>
              </w:rPr>
            </w:pPr>
          </w:p>
        </w:tc>
        <w:tc>
          <w:tcPr>
            <w:tcW w:w="190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[*CTR]</w:t>
            </w:r>
          </w:p>
        </w:tc>
        <w:tc>
          <w:tcPr>
            <w:tcW w:w="182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[*CTR]</w:t>
            </w:r>
          </w:p>
        </w:tc>
        <w:tc>
          <w:tcPr>
            <w:tcW w:w="372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A350-900 XWB Aircraft</w:t>
            </w:r>
          </w:p>
        </w:tc>
        <w:tc>
          <w:tcPr>
            <w:tcW w:w="168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[*CTR]</w:t>
            </w:r>
          </w:p>
        </w:tc>
      </w:tr>
      <w:tr>
        <w:trPr>
          <w:trHeight w:val="230"/>
        </w:trPr>
        <w:tc>
          <w:tcPr>
            <w:tcW w:w="1500" w:type="dxa"/>
            <w:vAlign w:val="bottom"/>
            <w:tcBorders>
              <w:left w:val="single" w:sz="8" w:color="auto"/>
              <w:right w:val="single" w:sz="8" w:color="auto"/>
            </w:tcBorders>
          </w:tcPr>
          <w:p>
            <w:pPr>
              <w:spacing w:after="0"/>
              <w:rPr>
                <w:sz w:val="19"/>
                <w:szCs w:val="19"/>
                <w:color w:val="auto"/>
              </w:rPr>
            </w:pPr>
          </w:p>
        </w:tc>
        <w:tc>
          <w:tcPr>
            <w:tcW w:w="190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[*CTR]</w:t>
            </w:r>
          </w:p>
        </w:tc>
        <w:tc>
          <w:tcPr>
            <w:tcW w:w="182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[*CTR]</w:t>
            </w:r>
          </w:p>
        </w:tc>
        <w:tc>
          <w:tcPr>
            <w:tcW w:w="372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A350-900 XWB Aircraft</w:t>
            </w:r>
          </w:p>
        </w:tc>
        <w:tc>
          <w:tcPr>
            <w:tcW w:w="168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[*CTR]</w:t>
            </w:r>
          </w:p>
        </w:tc>
      </w:tr>
      <w:tr>
        <w:trPr>
          <w:trHeight w:val="230"/>
        </w:trPr>
        <w:tc>
          <w:tcPr>
            <w:tcW w:w="1500" w:type="dxa"/>
            <w:vAlign w:val="bottom"/>
            <w:tcBorders>
              <w:left w:val="single" w:sz="8" w:color="auto"/>
              <w:right w:val="single" w:sz="8" w:color="auto"/>
            </w:tcBorders>
          </w:tcPr>
          <w:p>
            <w:pPr>
              <w:spacing w:after="0"/>
              <w:rPr>
                <w:sz w:val="19"/>
                <w:szCs w:val="19"/>
                <w:color w:val="auto"/>
              </w:rPr>
            </w:pPr>
          </w:p>
        </w:tc>
        <w:tc>
          <w:tcPr>
            <w:tcW w:w="190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[*CTR]</w:t>
            </w:r>
          </w:p>
        </w:tc>
        <w:tc>
          <w:tcPr>
            <w:tcW w:w="182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[*CTR]</w:t>
            </w:r>
          </w:p>
        </w:tc>
        <w:tc>
          <w:tcPr>
            <w:tcW w:w="372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A350-900 XWB Aircraft</w:t>
            </w:r>
          </w:p>
        </w:tc>
        <w:tc>
          <w:tcPr>
            <w:tcW w:w="168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[*CTR]</w:t>
            </w:r>
          </w:p>
        </w:tc>
      </w:tr>
      <w:tr>
        <w:trPr>
          <w:trHeight w:val="255"/>
        </w:trPr>
        <w:tc>
          <w:tcPr>
            <w:tcW w:w="1500" w:type="dxa"/>
            <w:vAlign w:val="bottom"/>
            <w:tcBorders>
              <w:left w:val="single" w:sz="8" w:color="auto"/>
              <w:bottom w:val="single" w:sz="8" w:color="auto"/>
              <w:right w:val="single" w:sz="8" w:color="auto"/>
            </w:tcBorders>
          </w:tcPr>
          <w:p>
            <w:pPr>
              <w:spacing w:after="0"/>
              <w:rPr>
                <w:sz w:val="22"/>
                <w:szCs w:val="22"/>
                <w:color w:val="auto"/>
              </w:rPr>
            </w:pPr>
          </w:p>
        </w:tc>
        <w:tc>
          <w:tcPr>
            <w:tcW w:w="19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[*CTR]</w:t>
            </w:r>
          </w:p>
        </w:tc>
        <w:tc>
          <w:tcPr>
            <w:tcW w:w="18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[*CTR]</w:t>
            </w:r>
          </w:p>
        </w:tc>
        <w:tc>
          <w:tcPr>
            <w:tcW w:w="37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A350-900 XWB Aircraft</w:t>
            </w:r>
          </w:p>
        </w:tc>
        <w:tc>
          <w:tcPr>
            <w:tcW w:w="16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[*CTR]</w:t>
            </w:r>
          </w:p>
        </w:tc>
      </w:tr>
      <w:tr>
        <w:trPr>
          <w:trHeight w:val="211"/>
        </w:trPr>
        <w:tc>
          <w:tcPr>
            <w:tcW w:w="1500" w:type="dxa"/>
            <w:vAlign w:val="bottom"/>
            <w:tcBorders>
              <w:left w:val="single" w:sz="8" w:color="auto"/>
              <w:right w:val="single" w:sz="8" w:color="auto"/>
            </w:tcBorders>
          </w:tcPr>
          <w:p>
            <w:pPr>
              <w:ind w:left="160"/>
              <w:spacing w:after="0" w:line="211" w:lineRule="exact"/>
              <w:rPr>
                <w:sz w:val="20"/>
                <w:szCs w:val="20"/>
                <w:color w:val="auto"/>
              </w:rPr>
            </w:pPr>
            <w:r>
              <w:rPr>
                <w:rFonts w:ascii="Arial" w:cs="Arial" w:eastAsia="Arial" w:hAnsi="Arial"/>
                <w:sz w:val="20"/>
                <w:szCs w:val="20"/>
                <w:color w:val="auto"/>
              </w:rPr>
              <w:t>2022</w:t>
            </w:r>
          </w:p>
        </w:tc>
        <w:tc>
          <w:tcPr>
            <w:tcW w:w="1900" w:type="dxa"/>
            <w:vAlign w:val="bottom"/>
            <w:tcBorders>
              <w:right w:val="single" w:sz="8" w:color="auto"/>
            </w:tcBorders>
          </w:tcPr>
          <w:p>
            <w:pPr>
              <w:ind w:left="100"/>
              <w:spacing w:after="0" w:line="211" w:lineRule="exact"/>
              <w:rPr>
                <w:sz w:val="20"/>
                <w:szCs w:val="20"/>
                <w:color w:val="auto"/>
              </w:rPr>
            </w:pPr>
            <w:r>
              <w:rPr>
                <w:rFonts w:ascii="Arial" w:cs="Arial" w:eastAsia="Arial" w:hAnsi="Arial"/>
                <w:sz w:val="20"/>
                <w:szCs w:val="20"/>
                <w:color w:val="auto"/>
              </w:rPr>
              <w:t>[*CTR]</w:t>
            </w:r>
          </w:p>
        </w:tc>
        <w:tc>
          <w:tcPr>
            <w:tcW w:w="1820" w:type="dxa"/>
            <w:vAlign w:val="bottom"/>
            <w:tcBorders>
              <w:right w:val="single" w:sz="8" w:color="auto"/>
            </w:tcBorders>
          </w:tcPr>
          <w:p>
            <w:pPr>
              <w:ind w:left="100"/>
              <w:spacing w:after="0" w:line="211" w:lineRule="exact"/>
              <w:rPr>
                <w:sz w:val="20"/>
                <w:szCs w:val="20"/>
                <w:color w:val="auto"/>
              </w:rPr>
            </w:pPr>
            <w:r>
              <w:rPr>
                <w:rFonts w:ascii="Arial" w:cs="Arial" w:eastAsia="Arial" w:hAnsi="Arial"/>
                <w:sz w:val="20"/>
                <w:szCs w:val="20"/>
                <w:color w:val="auto"/>
              </w:rPr>
              <w:t>[*CTR]</w:t>
            </w:r>
          </w:p>
        </w:tc>
        <w:tc>
          <w:tcPr>
            <w:tcW w:w="3720" w:type="dxa"/>
            <w:vAlign w:val="bottom"/>
            <w:tcBorders>
              <w:right w:val="single" w:sz="8" w:color="auto"/>
            </w:tcBorders>
          </w:tcPr>
          <w:p>
            <w:pPr>
              <w:ind w:left="100"/>
              <w:spacing w:after="0" w:line="211" w:lineRule="exact"/>
              <w:rPr>
                <w:sz w:val="20"/>
                <w:szCs w:val="20"/>
                <w:color w:val="auto"/>
              </w:rPr>
            </w:pPr>
            <w:r>
              <w:rPr>
                <w:rFonts w:ascii="Arial" w:cs="Arial" w:eastAsia="Arial" w:hAnsi="Arial"/>
                <w:sz w:val="20"/>
                <w:szCs w:val="20"/>
                <w:color w:val="auto"/>
              </w:rPr>
              <w:t>A350-900 XWB Aircraft</w:t>
            </w:r>
          </w:p>
        </w:tc>
        <w:tc>
          <w:tcPr>
            <w:tcW w:w="1680" w:type="dxa"/>
            <w:vAlign w:val="bottom"/>
            <w:tcBorders>
              <w:right w:val="single" w:sz="8" w:color="auto"/>
            </w:tcBorders>
          </w:tcPr>
          <w:p>
            <w:pPr>
              <w:ind w:left="100"/>
              <w:spacing w:after="0" w:line="211" w:lineRule="exact"/>
              <w:rPr>
                <w:sz w:val="20"/>
                <w:szCs w:val="20"/>
                <w:color w:val="auto"/>
              </w:rPr>
            </w:pPr>
            <w:r>
              <w:rPr>
                <w:rFonts w:ascii="Arial" w:cs="Arial" w:eastAsia="Arial" w:hAnsi="Arial"/>
                <w:sz w:val="20"/>
                <w:szCs w:val="20"/>
                <w:color w:val="auto"/>
              </w:rPr>
              <w:t>[*CTR]</w:t>
            </w:r>
          </w:p>
        </w:tc>
      </w:tr>
      <w:tr>
        <w:trPr>
          <w:trHeight w:val="230"/>
        </w:trPr>
        <w:tc>
          <w:tcPr>
            <w:tcW w:w="1500" w:type="dxa"/>
            <w:vAlign w:val="bottom"/>
            <w:tcBorders>
              <w:left w:val="single" w:sz="8" w:color="auto"/>
              <w:right w:val="single" w:sz="8" w:color="auto"/>
            </w:tcBorders>
          </w:tcPr>
          <w:p>
            <w:pPr>
              <w:spacing w:after="0"/>
              <w:rPr>
                <w:sz w:val="19"/>
                <w:szCs w:val="19"/>
                <w:color w:val="auto"/>
              </w:rPr>
            </w:pPr>
          </w:p>
        </w:tc>
        <w:tc>
          <w:tcPr>
            <w:tcW w:w="190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[*CTR]</w:t>
            </w:r>
          </w:p>
        </w:tc>
        <w:tc>
          <w:tcPr>
            <w:tcW w:w="182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[*CTR]</w:t>
            </w:r>
          </w:p>
        </w:tc>
        <w:tc>
          <w:tcPr>
            <w:tcW w:w="372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A350-900 XWB Aircraft</w:t>
            </w:r>
          </w:p>
        </w:tc>
        <w:tc>
          <w:tcPr>
            <w:tcW w:w="168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[*CTR]</w:t>
            </w:r>
          </w:p>
        </w:tc>
      </w:tr>
      <w:tr>
        <w:trPr>
          <w:trHeight w:val="230"/>
        </w:trPr>
        <w:tc>
          <w:tcPr>
            <w:tcW w:w="1500" w:type="dxa"/>
            <w:vAlign w:val="bottom"/>
            <w:tcBorders>
              <w:left w:val="single" w:sz="8" w:color="auto"/>
              <w:right w:val="single" w:sz="8" w:color="auto"/>
            </w:tcBorders>
          </w:tcPr>
          <w:p>
            <w:pPr>
              <w:spacing w:after="0"/>
              <w:rPr>
                <w:sz w:val="19"/>
                <w:szCs w:val="19"/>
                <w:color w:val="auto"/>
              </w:rPr>
            </w:pPr>
          </w:p>
        </w:tc>
        <w:tc>
          <w:tcPr>
            <w:tcW w:w="190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[*CTR]</w:t>
            </w:r>
          </w:p>
        </w:tc>
        <w:tc>
          <w:tcPr>
            <w:tcW w:w="182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[*CTR]</w:t>
            </w:r>
          </w:p>
        </w:tc>
        <w:tc>
          <w:tcPr>
            <w:tcW w:w="372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A350-900 XWB Aircraft</w:t>
            </w:r>
          </w:p>
        </w:tc>
        <w:tc>
          <w:tcPr>
            <w:tcW w:w="168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[*CTR]</w:t>
            </w:r>
          </w:p>
        </w:tc>
      </w:tr>
      <w:tr>
        <w:trPr>
          <w:trHeight w:val="230"/>
        </w:trPr>
        <w:tc>
          <w:tcPr>
            <w:tcW w:w="1500" w:type="dxa"/>
            <w:vAlign w:val="bottom"/>
            <w:tcBorders>
              <w:left w:val="single" w:sz="8" w:color="auto"/>
              <w:right w:val="single" w:sz="8" w:color="auto"/>
            </w:tcBorders>
          </w:tcPr>
          <w:p>
            <w:pPr>
              <w:spacing w:after="0"/>
              <w:rPr>
                <w:sz w:val="19"/>
                <w:szCs w:val="19"/>
                <w:color w:val="auto"/>
              </w:rPr>
            </w:pPr>
          </w:p>
        </w:tc>
        <w:tc>
          <w:tcPr>
            <w:tcW w:w="190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[*CTR]</w:t>
            </w:r>
          </w:p>
        </w:tc>
        <w:tc>
          <w:tcPr>
            <w:tcW w:w="182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[*CTR]</w:t>
            </w:r>
          </w:p>
        </w:tc>
        <w:tc>
          <w:tcPr>
            <w:tcW w:w="372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A350-900 XWB Aircraft</w:t>
            </w:r>
          </w:p>
        </w:tc>
        <w:tc>
          <w:tcPr>
            <w:tcW w:w="168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[*CTR]</w:t>
            </w:r>
          </w:p>
        </w:tc>
      </w:tr>
      <w:tr>
        <w:trPr>
          <w:trHeight w:val="255"/>
        </w:trPr>
        <w:tc>
          <w:tcPr>
            <w:tcW w:w="1500" w:type="dxa"/>
            <w:vAlign w:val="bottom"/>
            <w:tcBorders>
              <w:left w:val="single" w:sz="8" w:color="auto"/>
              <w:bottom w:val="single" w:sz="8" w:color="auto"/>
              <w:right w:val="single" w:sz="8" w:color="auto"/>
            </w:tcBorders>
          </w:tcPr>
          <w:p>
            <w:pPr>
              <w:spacing w:after="0"/>
              <w:rPr>
                <w:sz w:val="22"/>
                <w:szCs w:val="22"/>
                <w:color w:val="auto"/>
              </w:rPr>
            </w:pPr>
          </w:p>
        </w:tc>
        <w:tc>
          <w:tcPr>
            <w:tcW w:w="19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[*CTR]</w:t>
            </w:r>
          </w:p>
        </w:tc>
        <w:tc>
          <w:tcPr>
            <w:tcW w:w="18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[*CTR]</w:t>
            </w:r>
          </w:p>
        </w:tc>
        <w:tc>
          <w:tcPr>
            <w:tcW w:w="37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A350-900 XWB Aircraft</w:t>
            </w:r>
          </w:p>
        </w:tc>
        <w:tc>
          <w:tcPr>
            <w:tcW w:w="16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[*CTR]</w:t>
            </w:r>
          </w:p>
        </w:tc>
      </w:tr>
      <w:tr>
        <w:trPr>
          <w:trHeight w:val="211"/>
        </w:trPr>
        <w:tc>
          <w:tcPr>
            <w:tcW w:w="1500" w:type="dxa"/>
            <w:vAlign w:val="bottom"/>
            <w:tcBorders>
              <w:left w:val="single" w:sz="8" w:color="auto"/>
              <w:right w:val="single" w:sz="8" w:color="auto"/>
            </w:tcBorders>
          </w:tcPr>
          <w:p>
            <w:pPr>
              <w:ind w:left="160"/>
              <w:spacing w:after="0" w:line="211" w:lineRule="exact"/>
              <w:rPr>
                <w:sz w:val="20"/>
                <w:szCs w:val="20"/>
                <w:color w:val="auto"/>
              </w:rPr>
            </w:pPr>
            <w:r>
              <w:rPr>
                <w:rFonts w:ascii="Arial" w:cs="Arial" w:eastAsia="Arial" w:hAnsi="Arial"/>
                <w:sz w:val="20"/>
                <w:szCs w:val="20"/>
                <w:color w:val="auto"/>
              </w:rPr>
              <w:t>2023</w:t>
            </w:r>
          </w:p>
        </w:tc>
        <w:tc>
          <w:tcPr>
            <w:tcW w:w="1900" w:type="dxa"/>
            <w:vAlign w:val="bottom"/>
            <w:tcBorders>
              <w:right w:val="single" w:sz="8" w:color="auto"/>
            </w:tcBorders>
          </w:tcPr>
          <w:p>
            <w:pPr>
              <w:ind w:left="100"/>
              <w:spacing w:after="0" w:line="211" w:lineRule="exact"/>
              <w:rPr>
                <w:sz w:val="20"/>
                <w:szCs w:val="20"/>
                <w:color w:val="auto"/>
              </w:rPr>
            </w:pPr>
            <w:r>
              <w:rPr>
                <w:rFonts w:ascii="Arial" w:cs="Arial" w:eastAsia="Arial" w:hAnsi="Arial"/>
                <w:sz w:val="20"/>
                <w:szCs w:val="20"/>
                <w:color w:val="auto"/>
              </w:rPr>
              <w:t>[*CTR]</w:t>
            </w:r>
          </w:p>
        </w:tc>
        <w:tc>
          <w:tcPr>
            <w:tcW w:w="1820" w:type="dxa"/>
            <w:vAlign w:val="bottom"/>
            <w:tcBorders>
              <w:right w:val="single" w:sz="8" w:color="auto"/>
            </w:tcBorders>
          </w:tcPr>
          <w:p>
            <w:pPr>
              <w:ind w:left="100"/>
              <w:spacing w:after="0" w:line="211" w:lineRule="exact"/>
              <w:rPr>
                <w:sz w:val="20"/>
                <w:szCs w:val="20"/>
                <w:color w:val="auto"/>
              </w:rPr>
            </w:pPr>
            <w:r>
              <w:rPr>
                <w:rFonts w:ascii="Arial" w:cs="Arial" w:eastAsia="Arial" w:hAnsi="Arial"/>
                <w:sz w:val="20"/>
                <w:szCs w:val="20"/>
                <w:color w:val="auto"/>
              </w:rPr>
              <w:t>[*CTR]</w:t>
            </w:r>
          </w:p>
        </w:tc>
        <w:tc>
          <w:tcPr>
            <w:tcW w:w="3720" w:type="dxa"/>
            <w:vAlign w:val="bottom"/>
            <w:tcBorders>
              <w:right w:val="single" w:sz="8" w:color="auto"/>
            </w:tcBorders>
          </w:tcPr>
          <w:p>
            <w:pPr>
              <w:ind w:left="100"/>
              <w:spacing w:after="0" w:line="211" w:lineRule="exact"/>
              <w:rPr>
                <w:sz w:val="20"/>
                <w:szCs w:val="20"/>
                <w:color w:val="auto"/>
              </w:rPr>
            </w:pPr>
            <w:r>
              <w:rPr>
                <w:rFonts w:ascii="Arial" w:cs="Arial" w:eastAsia="Arial" w:hAnsi="Arial"/>
                <w:sz w:val="20"/>
                <w:szCs w:val="20"/>
                <w:color w:val="auto"/>
              </w:rPr>
              <w:t>A350-900 XWB Aircraft</w:t>
            </w:r>
          </w:p>
        </w:tc>
        <w:tc>
          <w:tcPr>
            <w:tcW w:w="1680" w:type="dxa"/>
            <w:vAlign w:val="bottom"/>
            <w:tcBorders>
              <w:right w:val="single" w:sz="8" w:color="auto"/>
            </w:tcBorders>
          </w:tcPr>
          <w:p>
            <w:pPr>
              <w:ind w:left="100"/>
              <w:spacing w:after="0" w:line="211" w:lineRule="exact"/>
              <w:rPr>
                <w:sz w:val="20"/>
                <w:szCs w:val="20"/>
                <w:color w:val="auto"/>
              </w:rPr>
            </w:pPr>
            <w:r>
              <w:rPr>
                <w:rFonts w:ascii="Arial" w:cs="Arial" w:eastAsia="Arial" w:hAnsi="Arial"/>
                <w:sz w:val="20"/>
                <w:szCs w:val="20"/>
                <w:color w:val="auto"/>
              </w:rPr>
              <w:t>[*CTR]</w:t>
            </w:r>
          </w:p>
        </w:tc>
      </w:tr>
      <w:tr>
        <w:trPr>
          <w:trHeight w:val="230"/>
        </w:trPr>
        <w:tc>
          <w:tcPr>
            <w:tcW w:w="1500" w:type="dxa"/>
            <w:vAlign w:val="bottom"/>
            <w:tcBorders>
              <w:left w:val="single" w:sz="8" w:color="auto"/>
              <w:right w:val="single" w:sz="8" w:color="auto"/>
            </w:tcBorders>
          </w:tcPr>
          <w:p>
            <w:pPr>
              <w:spacing w:after="0"/>
              <w:rPr>
                <w:sz w:val="19"/>
                <w:szCs w:val="19"/>
                <w:color w:val="auto"/>
              </w:rPr>
            </w:pPr>
          </w:p>
        </w:tc>
        <w:tc>
          <w:tcPr>
            <w:tcW w:w="190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[*CTR]</w:t>
            </w:r>
          </w:p>
        </w:tc>
        <w:tc>
          <w:tcPr>
            <w:tcW w:w="182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[*CTR]</w:t>
            </w:r>
          </w:p>
        </w:tc>
        <w:tc>
          <w:tcPr>
            <w:tcW w:w="372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A350-900 XWB Aircraft</w:t>
            </w:r>
          </w:p>
        </w:tc>
        <w:tc>
          <w:tcPr>
            <w:tcW w:w="168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[*CTR]</w:t>
            </w:r>
          </w:p>
        </w:tc>
      </w:tr>
      <w:tr>
        <w:trPr>
          <w:trHeight w:val="230"/>
        </w:trPr>
        <w:tc>
          <w:tcPr>
            <w:tcW w:w="1500" w:type="dxa"/>
            <w:vAlign w:val="bottom"/>
            <w:tcBorders>
              <w:left w:val="single" w:sz="8" w:color="auto"/>
              <w:right w:val="single" w:sz="8" w:color="auto"/>
            </w:tcBorders>
          </w:tcPr>
          <w:p>
            <w:pPr>
              <w:spacing w:after="0"/>
              <w:rPr>
                <w:sz w:val="19"/>
                <w:szCs w:val="19"/>
                <w:color w:val="auto"/>
              </w:rPr>
            </w:pPr>
          </w:p>
        </w:tc>
        <w:tc>
          <w:tcPr>
            <w:tcW w:w="190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[*CTR]</w:t>
            </w:r>
          </w:p>
        </w:tc>
        <w:tc>
          <w:tcPr>
            <w:tcW w:w="182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[*CTR]</w:t>
            </w:r>
          </w:p>
        </w:tc>
        <w:tc>
          <w:tcPr>
            <w:tcW w:w="372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A350-900 XWB Aircraft</w:t>
            </w:r>
          </w:p>
        </w:tc>
        <w:tc>
          <w:tcPr>
            <w:tcW w:w="168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[*CTR]</w:t>
            </w:r>
          </w:p>
        </w:tc>
      </w:tr>
      <w:tr>
        <w:trPr>
          <w:trHeight w:val="230"/>
        </w:trPr>
        <w:tc>
          <w:tcPr>
            <w:tcW w:w="1500" w:type="dxa"/>
            <w:vAlign w:val="bottom"/>
            <w:tcBorders>
              <w:left w:val="single" w:sz="8" w:color="auto"/>
              <w:right w:val="single" w:sz="8" w:color="auto"/>
            </w:tcBorders>
          </w:tcPr>
          <w:p>
            <w:pPr>
              <w:spacing w:after="0"/>
              <w:rPr>
                <w:sz w:val="19"/>
                <w:szCs w:val="19"/>
                <w:color w:val="auto"/>
              </w:rPr>
            </w:pPr>
          </w:p>
        </w:tc>
        <w:tc>
          <w:tcPr>
            <w:tcW w:w="190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[*CTR]</w:t>
            </w:r>
          </w:p>
        </w:tc>
        <w:tc>
          <w:tcPr>
            <w:tcW w:w="182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[*CTR]</w:t>
            </w:r>
          </w:p>
        </w:tc>
        <w:tc>
          <w:tcPr>
            <w:tcW w:w="372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A350-900 XWB Aircraft</w:t>
            </w:r>
          </w:p>
        </w:tc>
        <w:tc>
          <w:tcPr>
            <w:tcW w:w="168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[*CTR]</w:t>
            </w:r>
          </w:p>
        </w:tc>
      </w:tr>
      <w:tr>
        <w:trPr>
          <w:trHeight w:val="255"/>
        </w:trPr>
        <w:tc>
          <w:tcPr>
            <w:tcW w:w="1500" w:type="dxa"/>
            <w:vAlign w:val="bottom"/>
            <w:tcBorders>
              <w:left w:val="single" w:sz="8" w:color="auto"/>
              <w:bottom w:val="single" w:sz="8" w:color="auto"/>
              <w:right w:val="single" w:sz="8" w:color="auto"/>
            </w:tcBorders>
          </w:tcPr>
          <w:p>
            <w:pPr>
              <w:spacing w:after="0"/>
              <w:rPr>
                <w:sz w:val="22"/>
                <w:szCs w:val="22"/>
                <w:color w:val="auto"/>
              </w:rPr>
            </w:pPr>
          </w:p>
        </w:tc>
        <w:tc>
          <w:tcPr>
            <w:tcW w:w="19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[*CTR]</w:t>
            </w:r>
          </w:p>
        </w:tc>
        <w:tc>
          <w:tcPr>
            <w:tcW w:w="18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[*CTR]</w:t>
            </w:r>
          </w:p>
        </w:tc>
        <w:tc>
          <w:tcPr>
            <w:tcW w:w="37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A350-900 XWB Aircraft]</w:t>
            </w:r>
          </w:p>
        </w:tc>
        <w:tc>
          <w:tcPr>
            <w:tcW w:w="16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[*CTR]</w:t>
            </w:r>
          </w:p>
        </w:tc>
      </w:tr>
      <w:tr>
        <w:trPr>
          <w:trHeight w:val="211"/>
        </w:trPr>
        <w:tc>
          <w:tcPr>
            <w:tcW w:w="1500" w:type="dxa"/>
            <w:vAlign w:val="bottom"/>
            <w:tcBorders>
              <w:left w:val="single" w:sz="8" w:color="auto"/>
              <w:right w:val="single" w:sz="8" w:color="auto"/>
            </w:tcBorders>
          </w:tcPr>
          <w:p>
            <w:pPr>
              <w:ind w:left="160"/>
              <w:spacing w:after="0" w:line="211" w:lineRule="exact"/>
              <w:rPr>
                <w:sz w:val="20"/>
                <w:szCs w:val="20"/>
                <w:color w:val="auto"/>
              </w:rPr>
            </w:pPr>
            <w:r>
              <w:rPr>
                <w:rFonts w:ascii="Arial" w:cs="Arial" w:eastAsia="Arial" w:hAnsi="Arial"/>
                <w:sz w:val="20"/>
                <w:szCs w:val="20"/>
                <w:color w:val="auto"/>
              </w:rPr>
              <w:t>2024</w:t>
            </w:r>
          </w:p>
        </w:tc>
        <w:tc>
          <w:tcPr>
            <w:tcW w:w="1900" w:type="dxa"/>
            <w:vAlign w:val="bottom"/>
            <w:tcBorders>
              <w:right w:val="single" w:sz="8" w:color="auto"/>
            </w:tcBorders>
          </w:tcPr>
          <w:p>
            <w:pPr>
              <w:ind w:left="100"/>
              <w:spacing w:after="0" w:line="211" w:lineRule="exact"/>
              <w:rPr>
                <w:sz w:val="20"/>
                <w:szCs w:val="20"/>
                <w:color w:val="auto"/>
              </w:rPr>
            </w:pPr>
            <w:r>
              <w:rPr>
                <w:rFonts w:ascii="Arial" w:cs="Arial" w:eastAsia="Arial" w:hAnsi="Arial"/>
                <w:sz w:val="20"/>
                <w:szCs w:val="20"/>
                <w:color w:val="auto"/>
              </w:rPr>
              <w:t>[*CTR]</w:t>
            </w:r>
          </w:p>
        </w:tc>
        <w:tc>
          <w:tcPr>
            <w:tcW w:w="1820" w:type="dxa"/>
            <w:vAlign w:val="bottom"/>
            <w:tcBorders>
              <w:right w:val="single" w:sz="8" w:color="auto"/>
            </w:tcBorders>
          </w:tcPr>
          <w:p>
            <w:pPr>
              <w:ind w:left="100"/>
              <w:spacing w:after="0" w:line="211" w:lineRule="exact"/>
              <w:rPr>
                <w:sz w:val="20"/>
                <w:szCs w:val="20"/>
                <w:color w:val="auto"/>
              </w:rPr>
            </w:pPr>
            <w:r>
              <w:rPr>
                <w:rFonts w:ascii="Arial" w:cs="Arial" w:eastAsia="Arial" w:hAnsi="Arial"/>
                <w:sz w:val="20"/>
                <w:szCs w:val="20"/>
                <w:color w:val="auto"/>
              </w:rPr>
              <w:t>[*CTR]</w:t>
            </w:r>
          </w:p>
        </w:tc>
        <w:tc>
          <w:tcPr>
            <w:tcW w:w="3720" w:type="dxa"/>
            <w:vAlign w:val="bottom"/>
            <w:tcBorders>
              <w:right w:val="single" w:sz="8" w:color="auto"/>
            </w:tcBorders>
          </w:tcPr>
          <w:p>
            <w:pPr>
              <w:ind w:left="100"/>
              <w:spacing w:after="0" w:line="211" w:lineRule="exact"/>
              <w:rPr>
                <w:sz w:val="20"/>
                <w:szCs w:val="20"/>
                <w:color w:val="auto"/>
              </w:rPr>
            </w:pPr>
            <w:r>
              <w:rPr>
                <w:rFonts w:ascii="Arial" w:cs="Arial" w:eastAsia="Arial" w:hAnsi="Arial"/>
                <w:sz w:val="20"/>
                <w:szCs w:val="20"/>
                <w:color w:val="auto"/>
              </w:rPr>
              <w:t>A350-900 XWB Aircraft</w:t>
            </w:r>
          </w:p>
        </w:tc>
        <w:tc>
          <w:tcPr>
            <w:tcW w:w="1680" w:type="dxa"/>
            <w:vAlign w:val="bottom"/>
            <w:tcBorders>
              <w:right w:val="single" w:sz="8" w:color="auto"/>
            </w:tcBorders>
          </w:tcPr>
          <w:p>
            <w:pPr>
              <w:ind w:left="100"/>
              <w:spacing w:after="0" w:line="211" w:lineRule="exact"/>
              <w:rPr>
                <w:sz w:val="20"/>
                <w:szCs w:val="20"/>
                <w:color w:val="auto"/>
              </w:rPr>
            </w:pPr>
            <w:r>
              <w:rPr>
                <w:rFonts w:ascii="Arial" w:cs="Arial" w:eastAsia="Arial" w:hAnsi="Arial"/>
                <w:sz w:val="20"/>
                <w:szCs w:val="20"/>
                <w:color w:val="auto"/>
              </w:rPr>
              <w:t>[*CTR]</w:t>
            </w:r>
          </w:p>
        </w:tc>
      </w:tr>
      <w:tr>
        <w:trPr>
          <w:trHeight w:val="230"/>
        </w:trPr>
        <w:tc>
          <w:tcPr>
            <w:tcW w:w="1500" w:type="dxa"/>
            <w:vAlign w:val="bottom"/>
            <w:tcBorders>
              <w:left w:val="single" w:sz="8" w:color="auto"/>
              <w:right w:val="single" w:sz="8" w:color="auto"/>
            </w:tcBorders>
          </w:tcPr>
          <w:p>
            <w:pPr>
              <w:spacing w:after="0"/>
              <w:rPr>
                <w:sz w:val="19"/>
                <w:szCs w:val="19"/>
                <w:color w:val="auto"/>
              </w:rPr>
            </w:pPr>
          </w:p>
        </w:tc>
        <w:tc>
          <w:tcPr>
            <w:tcW w:w="190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[*CTR]</w:t>
            </w:r>
          </w:p>
        </w:tc>
        <w:tc>
          <w:tcPr>
            <w:tcW w:w="182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[*CTR]</w:t>
            </w:r>
          </w:p>
        </w:tc>
        <w:tc>
          <w:tcPr>
            <w:tcW w:w="372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A350-900 XWB Aircraft</w:t>
            </w:r>
          </w:p>
        </w:tc>
        <w:tc>
          <w:tcPr>
            <w:tcW w:w="168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[*CTR]</w:t>
            </w:r>
          </w:p>
        </w:tc>
      </w:tr>
      <w:tr>
        <w:trPr>
          <w:trHeight w:val="230"/>
        </w:trPr>
        <w:tc>
          <w:tcPr>
            <w:tcW w:w="1500" w:type="dxa"/>
            <w:vAlign w:val="bottom"/>
            <w:tcBorders>
              <w:left w:val="single" w:sz="8" w:color="auto"/>
              <w:right w:val="single" w:sz="8" w:color="auto"/>
            </w:tcBorders>
          </w:tcPr>
          <w:p>
            <w:pPr>
              <w:spacing w:after="0"/>
              <w:rPr>
                <w:sz w:val="19"/>
                <w:szCs w:val="19"/>
                <w:color w:val="auto"/>
              </w:rPr>
            </w:pPr>
          </w:p>
        </w:tc>
        <w:tc>
          <w:tcPr>
            <w:tcW w:w="190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[*CTR]</w:t>
            </w:r>
          </w:p>
        </w:tc>
        <w:tc>
          <w:tcPr>
            <w:tcW w:w="182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[*CTR]</w:t>
            </w:r>
          </w:p>
        </w:tc>
        <w:tc>
          <w:tcPr>
            <w:tcW w:w="372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A350-900 XWB Aircraft</w:t>
            </w:r>
          </w:p>
        </w:tc>
        <w:tc>
          <w:tcPr>
            <w:tcW w:w="168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[*CTR]</w:t>
            </w:r>
          </w:p>
        </w:tc>
      </w:tr>
      <w:tr>
        <w:trPr>
          <w:trHeight w:val="230"/>
        </w:trPr>
        <w:tc>
          <w:tcPr>
            <w:tcW w:w="1500" w:type="dxa"/>
            <w:vAlign w:val="bottom"/>
            <w:tcBorders>
              <w:left w:val="single" w:sz="8" w:color="auto"/>
              <w:right w:val="single" w:sz="8" w:color="auto"/>
            </w:tcBorders>
          </w:tcPr>
          <w:p>
            <w:pPr>
              <w:spacing w:after="0"/>
              <w:rPr>
                <w:sz w:val="19"/>
                <w:szCs w:val="19"/>
                <w:color w:val="auto"/>
              </w:rPr>
            </w:pPr>
          </w:p>
        </w:tc>
        <w:tc>
          <w:tcPr>
            <w:tcW w:w="190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[*CTR]</w:t>
            </w:r>
          </w:p>
        </w:tc>
        <w:tc>
          <w:tcPr>
            <w:tcW w:w="182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[*CTR]</w:t>
            </w:r>
          </w:p>
        </w:tc>
        <w:tc>
          <w:tcPr>
            <w:tcW w:w="372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A350-900 XWB Aircraft</w:t>
            </w:r>
          </w:p>
        </w:tc>
        <w:tc>
          <w:tcPr>
            <w:tcW w:w="168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[*CTR]</w:t>
            </w:r>
          </w:p>
        </w:tc>
      </w:tr>
      <w:tr>
        <w:trPr>
          <w:trHeight w:val="255"/>
        </w:trPr>
        <w:tc>
          <w:tcPr>
            <w:tcW w:w="1500" w:type="dxa"/>
            <w:vAlign w:val="bottom"/>
            <w:tcBorders>
              <w:left w:val="single" w:sz="8" w:color="auto"/>
              <w:bottom w:val="single" w:sz="8" w:color="auto"/>
              <w:right w:val="single" w:sz="8" w:color="auto"/>
            </w:tcBorders>
          </w:tcPr>
          <w:p>
            <w:pPr>
              <w:spacing w:after="0"/>
              <w:rPr>
                <w:sz w:val="22"/>
                <w:szCs w:val="22"/>
                <w:color w:val="auto"/>
              </w:rPr>
            </w:pPr>
          </w:p>
        </w:tc>
        <w:tc>
          <w:tcPr>
            <w:tcW w:w="19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[*CTR]</w:t>
            </w:r>
          </w:p>
        </w:tc>
        <w:tc>
          <w:tcPr>
            <w:tcW w:w="18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[*CTR]</w:t>
            </w:r>
          </w:p>
        </w:tc>
        <w:tc>
          <w:tcPr>
            <w:tcW w:w="37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A350-900 XWB Aircraft</w:t>
            </w:r>
          </w:p>
        </w:tc>
        <w:tc>
          <w:tcPr>
            <w:tcW w:w="16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[*CTR]</w:t>
            </w:r>
          </w:p>
        </w:tc>
      </w:tr>
      <w:tr>
        <w:trPr>
          <w:trHeight w:val="228"/>
        </w:trPr>
        <w:tc>
          <w:tcPr>
            <w:tcW w:w="1500" w:type="dxa"/>
            <w:vAlign w:val="bottom"/>
            <w:tcBorders>
              <w:left w:val="single" w:sz="8" w:color="auto"/>
              <w:bottom w:val="single" w:sz="8" w:color="auto"/>
              <w:right w:val="single" w:sz="8" w:color="auto"/>
            </w:tcBorders>
          </w:tcPr>
          <w:p>
            <w:pPr>
              <w:ind w:left="160"/>
              <w:spacing w:after="0" w:line="228" w:lineRule="exact"/>
              <w:rPr>
                <w:sz w:val="20"/>
                <w:szCs w:val="20"/>
                <w:color w:val="auto"/>
              </w:rPr>
            </w:pPr>
            <w:r>
              <w:rPr>
                <w:rFonts w:ascii="Arial" w:cs="Arial" w:eastAsia="Arial" w:hAnsi="Arial"/>
                <w:sz w:val="20"/>
                <w:szCs w:val="20"/>
                <w:color w:val="auto"/>
              </w:rPr>
              <w:t>TOTAL</w:t>
            </w:r>
          </w:p>
        </w:tc>
        <w:tc>
          <w:tcPr>
            <w:tcW w:w="1900" w:type="dxa"/>
            <w:vAlign w:val="bottom"/>
            <w:tcBorders>
              <w:bottom w:val="single" w:sz="8" w:color="auto"/>
              <w:right w:val="single" w:sz="8" w:color="auto"/>
            </w:tcBorders>
          </w:tcPr>
          <w:p>
            <w:pPr>
              <w:ind w:left="100"/>
              <w:spacing w:after="0" w:line="228" w:lineRule="exact"/>
              <w:rPr>
                <w:sz w:val="20"/>
                <w:szCs w:val="20"/>
                <w:color w:val="auto"/>
              </w:rPr>
            </w:pPr>
            <w:r>
              <w:rPr>
                <w:rFonts w:ascii="Arial" w:cs="Arial" w:eastAsia="Arial" w:hAnsi="Arial"/>
                <w:sz w:val="20"/>
                <w:szCs w:val="20"/>
                <w:color w:val="auto"/>
              </w:rPr>
              <w:t>22</w:t>
            </w:r>
          </w:p>
        </w:tc>
        <w:tc>
          <w:tcPr>
            <w:tcW w:w="1820" w:type="dxa"/>
            <w:vAlign w:val="bottom"/>
            <w:tcBorders>
              <w:bottom w:val="single" w:sz="8" w:color="auto"/>
              <w:right w:val="single" w:sz="8" w:color="auto"/>
            </w:tcBorders>
          </w:tcPr>
          <w:p>
            <w:pPr>
              <w:spacing w:after="0"/>
              <w:rPr>
                <w:sz w:val="19"/>
                <w:szCs w:val="19"/>
                <w:color w:val="auto"/>
              </w:rPr>
            </w:pPr>
          </w:p>
        </w:tc>
        <w:tc>
          <w:tcPr>
            <w:tcW w:w="3720" w:type="dxa"/>
            <w:vAlign w:val="bottom"/>
            <w:tcBorders>
              <w:bottom w:val="single" w:sz="8" w:color="auto"/>
              <w:right w:val="single" w:sz="8" w:color="auto"/>
            </w:tcBorders>
          </w:tcPr>
          <w:p>
            <w:pPr>
              <w:spacing w:after="0"/>
              <w:rPr>
                <w:sz w:val="19"/>
                <w:szCs w:val="19"/>
                <w:color w:val="auto"/>
              </w:rPr>
            </w:pPr>
          </w:p>
        </w:tc>
        <w:tc>
          <w:tcPr>
            <w:tcW w:w="1680" w:type="dxa"/>
            <w:vAlign w:val="bottom"/>
            <w:tcBorders>
              <w:bottom w:val="single" w:sz="8" w:color="auto"/>
              <w:right w:val="single" w:sz="8" w:color="auto"/>
            </w:tcBorders>
          </w:tcPr>
          <w:p>
            <w:pPr>
              <w:spacing w:after="0"/>
              <w:rPr>
                <w:sz w:val="19"/>
                <w:szCs w:val="19"/>
                <w:color w:val="auto"/>
              </w:rPr>
            </w:pPr>
          </w:p>
        </w:tc>
      </w:tr>
    </w:tbl>
    <w:p>
      <w:pPr>
        <w:spacing w:after="0" w:line="199" w:lineRule="exact"/>
        <w:rPr>
          <w:sz w:val="20"/>
          <w:szCs w:val="20"/>
          <w:color w:val="auto"/>
        </w:rPr>
      </w:pPr>
    </w:p>
    <w:p>
      <w:pPr>
        <w:ind w:left="800"/>
        <w:spacing w:after="0"/>
        <w:rPr>
          <w:sz w:val="20"/>
          <w:szCs w:val="20"/>
          <w:color w:val="auto"/>
        </w:rPr>
      </w:pPr>
      <w:r>
        <w:rPr>
          <w:rFonts w:ascii="Arial" w:cs="Arial" w:eastAsia="Arial" w:hAnsi="Arial"/>
          <w:sz w:val="20"/>
          <w:szCs w:val="20"/>
          <w:color w:val="auto"/>
        </w:rPr>
        <w:t>UNQUOTE</w:t>
      </w:r>
    </w:p>
    <w:p>
      <w:pPr>
        <w:spacing w:after="0" w:line="243" w:lineRule="exact"/>
        <w:rPr>
          <w:sz w:val="20"/>
          <w:szCs w:val="20"/>
          <w:color w:val="auto"/>
        </w:rPr>
      </w:pPr>
    </w:p>
    <w:p>
      <w:pPr>
        <w:jc w:val="both"/>
        <w:ind w:left="800" w:right="20" w:hanging="796"/>
        <w:spacing w:after="0" w:line="260" w:lineRule="auto"/>
        <w:tabs>
          <w:tab w:leader="none" w:pos="780" w:val="left"/>
        </w:tabs>
        <w:rPr>
          <w:sz w:val="20"/>
          <w:szCs w:val="20"/>
          <w:color w:val="auto"/>
        </w:rPr>
      </w:pPr>
      <w:r>
        <w:rPr>
          <w:rFonts w:ascii="Arial" w:cs="Arial" w:eastAsia="Arial" w:hAnsi="Arial"/>
          <w:sz w:val="20"/>
          <w:szCs w:val="20"/>
          <w:color w:val="auto"/>
        </w:rPr>
        <w:t>1.3</w:t>
      </w:r>
      <w:r>
        <w:rPr>
          <w:sz w:val="20"/>
          <w:szCs w:val="20"/>
          <w:color w:val="auto"/>
        </w:rPr>
        <w:tab/>
      </w:r>
      <w:r>
        <w:rPr>
          <w:rFonts w:ascii="Arial" w:cs="Arial" w:eastAsia="Arial" w:hAnsi="Arial"/>
          <w:sz w:val="20"/>
          <w:szCs w:val="20"/>
          <w:color w:val="auto"/>
        </w:rPr>
        <w:t>Appendix B to the Amended and Restated Letter Agreement No. 12 to the Agreement dated as of December 20, 2013 is hereby deleted in its entirety and replaced with the Appendix B attached hereto as Exhibit A.</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AA – Amendment No. 9 to</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Amended and Restated Airbus A350 XWB Purchase Agreement</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EXECUTION</w:t>
      </w:r>
    </w:p>
    <w:p>
      <w:pPr>
        <w:spacing w:after="0" w:line="19" w:lineRule="exact"/>
        <w:rPr>
          <w:sz w:val="20"/>
          <w:szCs w:val="20"/>
          <w:color w:val="auto"/>
        </w:rPr>
      </w:pPr>
    </w:p>
    <w:p>
      <w:pPr>
        <w:ind w:left="9620"/>
        <w:spacing w:after="0"/>
        <w:rPr>
          <w:sz w:val="20"/>
          <w:szCs w:val="20"/>
          <w:color w:val="auto"/>
        </w:rPr>
      </w:pPr>
      <w:r>
        <w:rPr>
          <w:rFonts w:ascii="Arial" w:cs="Arial" w:eastAsia="Arial" w:hAnsi="Arial"/>
          <w:sz w:val="16"/>
          <w:szCs w:val="16"/>
          <w:i w:val="1"/>
          <w:iCs w:val="1"/>
          <w:color w:val="auto"/>
        </w:rPr>
        <w:t>CONFIDENTIAL</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2/7</w:t>
      </w:r>
    </w:p>
    <w:p>
      <w:pPr>
        <w:spacing w:after="0" w:line="15" w:lineRule="exact"/>
        <w:rPr>
          <w:sz w:val="20"/>
          <w:szCs w:val="20"/>
          <w:color w:val="auto"/>
        </w:rPr>
      </w:pPr>
    </w:p>
    <w:p>
      <w:pPr>
        <w:jc w:val="both"/>
        <w:ind w:right="20"/>
        <w:spacing w:after="0" w:line="280" w:lineRule="auto"/>
        <w:rPr>
          <w:sz w:val="20"/>
          <w:szCs w:val="20"/>
          <w:color w:val="auto"/>
        </w:rPr>
      </w:pPr>
      <w:r>
        <w:rPr>
          <w:rFonts w:ascii="Arial" w:cs="Arial" w:eastAsia="Arial" w:hAnsi="Arial"/>
          <w:sz w:val="16"/>
          <w:szCs w:val="16"/>
          <w:color w:val="auto"/>
        </w:rPr>
        <w:t>[*CTR]=[CONFIDENTIAL PORTION OMITTED AND FILED SEPARATELY WITH THE COMMISSION PURSUANT TO A REQUEST FOR CONFIDENTIAL TREATMENT]</w:t>
      </w:r>
    </w:p>
    <w:p>
      <w:pPr>
        <w:sectPr>
          <w:pgSz w:w="11900" w:h="16838" w:orient="portrait"/>
          <w:cols w:equalWidth="0" w:num="1">
            <w:col w:w="11440"/>
          </w:cols>
          <w:pgMar w:left="240" w:top="265" w:right="219" w:bottom="1440" w:gutter="0" w:footer="0" w:header="0"/>
        </w:sectPr>
      </w:pPr>
    </w:p>
    <w:bookmarkStart w:id="94" w:name="page95"/>
    <w:bookmarkEnd w:id="94"/>
    <w:p>
      <w:pPr>
        <w:ind w:left="800" w:hanging="792"/>
        <w:spacing w:after="0"/>
        <w:tabs>
          <w:tab w:leader="none" w:pos="800" w:val="left"/>
        </w:tabs>
        <w:numPr>
          <w:ilvl w:val="0"/>
          <w:numId w:val="6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PREDELIVERY PAYMENTS</w:t>
      </w:r>
    </w:p>
    <w:p>
      <w:pPr>
        <w:spacing w:after="0" w:line="249" w:lineRule="exact"/>
        <w:rPr>
          <w:sz w:val="20"/>
          <w:szCs w:val="20"/>
          <w:color w:val="auto"/>
        </w:rPr>
      </w:pPr>
    </w:p>
    <w:p>
      <w:pPr>
        <w:spacing w:after="0"/>
        <w:tabs>
          <w:tab w:leader="none" w:pos="780" w:val="left"/>
        </w:tabs>
        <w:rPr>
          <w:sz w:val="20"/>
          <w:szCs w:val="20"/>
          <w:color w:val="auto"/>
        </w:rPr>
      </w:pPr>
      <w:r>
        <w:rPr>
          <w:rFonts w:ascii="Arial" w:cs="Arial" w:eastAsia="Arial" w:hAnsi="Arial"/>
          <w:sz w:val="20"/>
          <w:szCs w:val="20"/>
          <w:color w:val="auto"/>
        </w:rPr>
        <w:t>2.1</w:t>
      </w:r>
      <w:r>
        <w:rPr>
          <w:sz w:val="20"/>
          <w:szCs w:val="20"/>
          <w:color w:val="auto"/>
        </w:rPr>
        <w:tab/>
      </w:r>
      <w:r>
        <w:rPr>
          <w:rFonts w:ascii="Arial" w:cs="Arial" w:eastAsia="Arial" w:hAnsi="Arial"/>
          <w:sz w:val="16"/>
          <w:szCs w:val="16"/>
          <w:color w:val="auto"/>
        </w:rPr>
        <w:t>The parties agree that effective as of the date of this Amendment, the [*CTR] in accordance with Clause 2.2, below.</w:t>
      </w:r>
    </w:p>
    <w:p>
      <w:pPr>
        <w:spacing w:after="0" w:line="364" w:lineRule="exact"/>
        <w:rPr>
          <w:sz w:val="20"/>
          <w:szCs w:val="20"/>
          <w:color w:val="auto"/>
        </w:rPr>
      </w:pPr>
    </w:p>
    <w:p>
      <w:pPr>
        <w:spacing w:after="0"/>
        <w:tabs>
          <w:tab w:leader="none" w:pos="780" w:val="left"/>
        </w:tabs>
        <w:rPr>
          <w:sz w:val="20"/>
          <w:szCs w:val="20"/>
          <w:color w:val="auto"/>
        </w:rPr>
      </w:pPr>
      <w:r>
        <w:rPr>
          <w:rFonts w:ascii="Arial" w:cs="Arial" w:eastAsia="Arial" w:hAnsi="Arial"/>
          <w:sz w:val="20"/>
          <w:szCs w:val="20"/>
          <w:color w:val="auto"/>
        </w:rPr>
        <w:t>2.2</w:t>
      </w:r>
      <w:r>
        <w:rPr>
          <w:sz w:val="20"/>
          <w:szCs w:val="20"/>
          <w:color w:val="auto"/>
        </w:rPr>
        <w:tab/>
      </w:r>
      <w:r>
        <w:rPr>
          <w:rFonts w:ascii="Arial" w:cs="Arial" w:eastAsia="Arial" w:hAnsi="Arial"/>
          <w:sz w:val="18"/>
          <w:szCs w:val="18"/>
          <w:color w:val="auto"/>
        </w:rPr>
        <w:t>The Seller has [*CTR], in respect of the Aircraft. Of such [*CTR],</w:t>
      </w:r>
    </w:p>
    <w:p>
      <w:pPr>
        <w:spacing w:after="0" w:line="243" w:lineRule="exact"/>
        <w:rPr>
          <w:sz w:val="20"/>
          <w:szCs w:val="20"/>
          <w:color w:val="auto"/>
        </w:rPr>
      </w:pPr>
    </w:p>
    <w:p>
      <w:pPr>
        <w:ind w:left="1600" w:hanging="795"/>
        <w:spacing w:after="0"/>
        <w:tabs>
          <w:tab w:leader="none" w:pos="1600" w:val="left"/>
        </w:tabs>
        <w:numPr>
          <w:ilvl w:val="1"/>
          <w:numId w:val="70"/>
        </w:numPr>
        <w:rPr>
          <w:rFonts w:ascii="Arial" w:cs="Arial" w:eastAsia="Arial" w:hAnsi="Arial"/>
          <w:sz w:val="20"/>
          <w:szCs w:val="20"/>
          <w:color w:val="auto"/>
        </w:rPr>
      </w:pPr>
      <w:r>
        <w:rPr>
          <w:rFonts w:ascii="Arial" w:cs="Arial" w:eastAsia="Arial" w:hAnsi="Arial"/>
          <w:sz w:val="20"/>
          <w:szCs w:val="20"/>
          <w:color w:val="auto"/>
        </w:rPr>
        <w:t>[*CTR] in accordance with clause 5.2.3 of the Agreement,</w:t>
      </w:r>
    </w:p>
    <w:p>
      <w:pPr>
        <w:spacing w:after="0" w:line="242" w:lineRule="exact"/>
        <w:rPr>
          <w:rFonts w:ascii="Arial" w:cs="Arial" w:eastAsia="Arial" w:hAnsi="Arial"/>
          <w:sz w:val="20"/>
          <w:szCs w:val="20"/>
          <w:color w:val="auto"/>
        </w:rPr>
      </w:pPr>
    </w:p>
    <w:p>
      <w:pPr>
        <w:ind w:left="1600" w:hanging="795"/>
        <w:spacing w:after="0"/>
        <w:tabs>
          <w:tab w:leader="none" w:pos="1600" w:val="left"/>
        </w:tabs>
        <w:numPr>
          <w:ilvl w:val="1"/>
          <w:numId w:val="70"/>
        </w:numPr>
        <w:rPr>
          <w:rFonts w:ascii="Arial" w:cs="Arial" w:eastAsia="Arial" w:hAnsi="Arial"/>
          <w:sz w:val="20"/>
          <w:szCs w:val="20"/>
          <w:color w:val="auto"/>
        </w:rPr>
      </w:pPr>
      <w:r>
        <w:rPr>
          <w:rFonts w:ascii="Arial" w:cs="Arial" w:eastAsia="Arial" w:hAnsi="Arial"/>
          <w:sz w:val="20"/>
          <w:szCs w:val="20"/>
          <w:color w:val="auto"/>
        </w:rPr>
        <w:t>[*CTR] (as such term is defined in the Airbus A320 Agreement):</w:t>
      </w:r>
    </w:p>
    <w:p>
      <w:pPr>
        <w:spacing w:after="0" w:line="215" w:lineRule="exact"/>
        <w:rPr>
          <w:rFonts w:ascii="Arial" w:cs="Arial" w:eastAsia="Arial" w:hAnsi="Arial"/>
          <w:sz w:val="20"/>
          <w:szCs w:val="20"/>
          <w:color w:val="auto"/>
        </w:rPr>
      </w:pPr>
    </w:p>
    <w:p>
      <w:pPr>
        <w:ind w:left="1600"/>
        <w:spacing w:after="0"/>
        <w:rPr>
          <w:rFonts w:ascii="Arial" w:cs="Arial" w:eastAsia="Arial" w:hAnsi="Arial"/>
          <w:sz w:val="20"/>
          <w:szCs w:val="20"/>
          <w:color w:val="auto"/>
        </w:rPr>
      </w:pPr>
      <w:r>
        <w:rPr>
          <w:rFonts w:ascii="Arial" w:cs="Arial" w:eastAsia="Arial" w:hAnsi="Arial"/>
          <w:sz w:val="20"/>
          <w:szCs w:val="20"/>
          <w:color w:val="auto"/>
        </w:rPr>
        <w:t>a.</w:t>
      </w:r>
    </w:p>
    <w:p>
      <w:pPr>
        <w:spacing w:after="0" w:line="15" w:lineRule="exact"/>
        <w:rPr>
          <w:rFonts w:ascii="Arial" w:cs="Arial" w:eastAsia="Arial" w:hAnsi="Arial"/>
          <w:sz w:val="20"/>
          <w:szCs w:val="20"/>
          <w:color w:val="auto"/>
        </w:rPr>
      </w:pPr>
    </w:p>
    <w:p>
      <w:pPr>
        <w:ind w:left="2180"/>
        <w:spacing w:after="0"/>
        <w:rPr>
          <w:rFonts w:ascii="Arial" w:cs="Arial" w:eastAsia="Arial" w:hAnsi="Arial"/>
          <w:sz w:val="20"/>
          <w:szCs w:val="20"/>
          <w:color w:val="auto"/>
        </w:rPr>
      </w:pPr>
      <w:r>
        <w:rPr>
          <w:rFonts w:ascii="Arial" w:cs="Arial" w:eastAsia="Arial" w:hAnsi="Arial"/>
          <w:sz w:val="20"/>
          <w:szCs w:val="20"/>
          <w:color w:val="auto"/>
        </w:rPr>
        <w:t>[*CTR]</w:t>
      </w:r>
    </w:p>
    <w:p>
      <w:pPr>
        <w:ind w:left="1600"/>
        <w:spacing w:after="0"/>
        <w:rPr>
          <w:rFonts w:ascii="Arial" w:cs="Arial" w:eastAsia="Arial" w:hAnsi="Arial"/>
          <w:sz w:val="20"/>
          <w:szCs w:val="20"/>
          <w:color w:val="auto"/>
        </w:rPr>
      </w:pPr>
      <w:r>
        <w:rPr>
          <w:rFonts w:ascii="Arial" w:cs="Arial" w:eastAsia="Arial" w:hAnsi="Arial"/>
          <w:sz w:val="20"/>
          <w:szCs w:val="20"/>
          <w:color w:val="auto"/>
        </w:rPr>
        <w:t>b.</w:t>
      </w:r>
    </w:p>
    <w:p>
      <w:pPr>
        <w:ind w:left="2180"/>
        <w:spacing w:after="0"/>
        <w:rPr>
          <w:rFonts w:ascii="Arial" w:cs="Arial" w:eastAsia="Arial" w:hAnsi="Arial"/>
          <w:sz w:val="20"/>
          <w:szCs w:val="20"/>
          <w:color w:val="auto"/>
        </w:rPr>
      </w:pPr>
      <w:r>
        <w:rPr>
          <w:rFonts w:ascii="Arial" w:cs="Arial" w:eastAsia="Arial" w:hAnsi="Arial"/>
          <w:sz w:val="20"/>
          <w:szCs w:val="20"/>
          <w:color w:val="auto"/>
        </w:rPr>
        <w:t>[*CTR]</w:t>
      </w:r>
    </w:p>
    <w:p>
      <w:pPr>
        <w:ind w:left="1600"/>
        <w:spacing w:after="0"/>
        <w:rPr>
          <w:rFonts w:ascii="Arial" w:cs="Arial" w:eastAsia="Arial" w:hAnsi="Arial"/>
          <w:sz w:val="20"/>
          <w:szCs w:val="20"/>
          <w:color w:val="auto"/>
        </w:rPr>
      </w:pPr>
      <w:r>
        <w:rPr>
          <w:rFonts w:ascii="Arial" w:cs="Arial" w:eastAsia="Arial" w:hAnsi="Arial"/>
          <w:sz w:val="20"/>
          <w:szCs w:val="20"/>
          <w:color w:val="auto"/>
        </w:rPr>
        <w:t>c.</w:t>
      </w:r>
    </w:p>
    <w:p>
      <w:pPr>
        <w:ind w:left="2180"/>
        <w:spacing w:after="0"/>
        <w:rPr>
          <w:rFonts w:ascii="Arial" w:cs="Arial" w:eastAsia="Arial" w:hAnsi="Arial"/>
          <w:sz w:val="20"/>
          <w:szCs w:val="20"/>
          <w:color w:val="auto"/>
        </w:rPr>
      </w:pPr>
      <w:r>
        <w:rPr>
          <w:rFonts w:ascii="Arial" w:cs="Arial" w:eastAsia="Arial" w:hAnsi="Arial"/>
          <w:sz w:val="20"/>
          <w:szCs w:val="20"/>
          <w:color w:val="auto"/>
        </w:rPr>
        <w:t>[*CTR]; and</w:t>
      </w:r>
    </w:p>
    <w:p>
      <w:pPr>
        <w:spacing w:after="0" w:line="226" w:lineRule="exact"/>
        <w:rPr>
          <w:rFonts w:ascii="Arial" w:cs="Arial" w:eastAsia="Arial" w:hAnsi="Arial"/>
          <w:sz w:val="20"/>
          <w:szCs w:val="20"/>
          <w:color w:val="auto"/>
        </w:rPr>
      </w:pPr>
    </w:p>
    <w:p>
      <w:pPr>
        <w:ind w:left="1600" w:hanging="795"/>
        <w:spacing w:after="0"/>
        <w:tabs>
          <w:tab w:leader="none" w:pos="1600" w:val="left"/>
        </w:tabs>
        <w:numPr>
          <w:ilvl w:val="1"/>
          <w:numId w:val="70"/>
        </w:numPr>
        <w:rPr>
          <w:rFonts w:ascii="Arial" w:cs="Arial" w:eastAsia="Arial" w:hAnsi="Arial"/>
          <w:sz w:val="20"/>
          <w:szCs w:val="20"/>
          <w:color w:val="auto"/>
        </w:rPr>
      </w:pPr>
      <w:r>
        <w:rPr>
          <w:rFonts w:ascii="Arial" w:cs="Arial" w:eastAsia="Arial" w:hAnsi="Arial"/>
          <w:sz w:val="20"/>
          <w:szCs w:val="20"/>
          <w:color w:val="auto"/>
        </w:rPr>
        <w:t>[*CTR]:</w:t>
      </w:r>
    </w:p>
    <w:p>
      <w:pPr>
        <w:spacing w:after="0" w:line="215" w:lineRule="exact"/>
        <w:rPr>
          <w:rFonts w:ascii="Arial" w:cs="Arial" w:eastAsia="Arial" w:hAnsi="Arial"/>
          <w:sz w:val="20"/>
          <w:szCs w:val="20"/>
          <w:color w:val="auto"/>
        </w:rPr>
      </w:pPr>
    </w:p>
    <w:p>
      <w:pPr>
        <w:ind w:left="1600"/>
        <w:spacing w:after="0"/>
        <w:rPr>
          <w:rFonts w:ascii="Arial" w:cs="Arial" w:eastAsia="Arial" w:hAnsi="Arial"/>
          <w:sz w:val="20"/>
          <w:szCs w:val="20"/>
          <w:color w:val="auto"/>
        </w:rPr>
      </w:pPr>
      <w:r>
        <w:rPr>
          <w:rFonts w:ascii="Arial" w:cs="Arial" w:eastAsia="Arial" w:hAnsi="Arial"/>
          <w:sz w:val="20"/>
          <w:szCs w:val="20"/>
          <w:color w:val="auto"/>
        </w:rPr>
        <w:t>a.</w:t>
      </w:r>
    </w:p>
    <w:p>
      <w:pPr>
        <w:spacing w:after="0" w:line="15" w:lineRule="exact"/>
        <w:rPr>
          <w:rFonts w:ascii="Arial" w:cs="Arial" w:eastAsia="Arial" w:hAnsi="Arial"/>
          <w:sz w:val="20"/>
          <w:szCs w:val="20"/>
          <w:color w:val="auto"/>
        </w:rPr>
      </w:pPr>
    </w:p>
    <w:p>
      <w:pPr>
        <w:ind w:left="2180"/>
        <w:spacing w:after="0"/>
        <w:rPr>
          <w:rFonts w:ascii="Arial" w:cs="Arial" w:eastAsia="Arial" w:hAnsi="Arial"/>
          <w:sz w:val="20"/>
          <w:szCs w:val="20"/>
          <w:color w:val="auto"/>
        </w:rPr>
      </w:pPr>
      <w:r>
        <w:rPr>
          <w:rFonts w:ascii="Arial" w:cs="Arial" w:eastAsia="Arial" w:hAnsi="Arial"/>
          <w:sz w:val="20"/>
          <w:szCs w:val="20"/>
          <w:color w:val="auto"/>
        </w:rPr>
        <w:t>[*CTR]</w:t>
      </w:r>
    </w:p>
    <w:p>
      <w:pPr>
        <w:ind w:left="1600"/>
        <w:spacing w:after="0"/>
        <w:rPr>
          <w:rFonts w:ascii="Arial" w:cs="Arial" w:eastAsia="Arial" w:hAnsi="Arial"/>
          <w:sz w:val="20"/>
          <w:szCs w:val="20"/>
          <w:color w:val="auto"/>
        </w:rPr>
      </w:pPr>
      <w:r>
        <w:rPr>
          <w:rFonts w:ascii="Arial" w:cs="Arial" w:eastAsia="Arial" w:hAnsi="Arial"/>
          <w:sz w:val="20"/>
          <w:szCs w:val="20"/>
          <w:color w:val="auto"/>
        </w:rPr>
        <w:t>b.</w:t>
      </w:r>
    </w:p>
    <w:p>
      <w:pPr>
        <w:ind w:left="2180"/>
        <w:spacing w:after="0"/>
        <w:rPr>
          <w:rFonts w:ascii="Arial" w:cs="Arial" w:eastAsia="Arial" w:hAnsi="Arial"/>
          <w:sz w:val="20"/>
          <w:szCs w:val="20"/>
          <w:color w:val="auto"/>
        </w:rPr>
      </w:pPr>
      <w:r>
        <w:rPr>
          <w:rFonts w:ascii="Arial" w:cs="Arial" w:eastAsia="Arial" w:hAnsi="Arial"/>
          <w:sz w:val="20"/>
          <w:szCs w:val="20"/>
          <w:color w:val="auto"/>
        </w:rPr>
        <w:t>[*CTR]</w:t>
      </w:r>
    </w:p>
    <w:p>
      <w:pPr>
        <w:ind w:left="1600"/>
        <w:spacing w:after="0"/>
        <w:rPr>
          <w:rFonts w:ascii="Arial" w:cs="Arial" w:eastAsia="Arial" w:hAnsi="Arial"/>
          <w:sz w:val="20"/>
          <w:szCs w:val="20"/>
          <w:color w:val="auto"/>
        </w:rPr>
      </w:pPr>
      <w:r>
        <w:rPr>
          <w:rFonts w:ascii="Arial" w:cs="Arial" w:eastAsia="Arial" w:hAnsi="Arial"/>
          <w:sz w:val="20"/>
          <w:szCs w:val="20"/>
          <w:color w:val="auto"/>
        </w:rPr>
        <w:t>c.</w:t>
      </w:r>
    </w:p>
    <w:p>
      <w:pPr>
        <w:ind w:left="2180"/>
        <w:spacing w:after="0"/>
        <w:rPr>
          <w:rFonts w:ascii="Arial" w:cs="Arial" w:eastAsia="Arial" w:hAnsi="Arial"/>
          <w:sz w:val="20"/>
          <w:szCs w:val="20"/>
          <w:color w:val="auto"/>
        </w:rPr>
      </w:pPr>
      <w:r>
        <w:rPr>
          <w:rFonts w:ascii="Arial" w:cs="Arial" w:eastAsia="Arial" w:hAnsi="Arial"/>
          <w:sz w:val="20"/>
          <w:szCs w:val="20"/>
          <w:color w:val="auto"/>
        </w:rPr>
        <w:t>[*CTR]</w:t>
      </w:r>
    </w:p>
    <w:p>
      <w:pPr>
        <w:ind w:left="1600"/>
        <w:spacing w:after="0"/>
        <w:rPr>
          <w:rFonts w:ascii="Arial" w:cs="Arial" w:eastAsia="Arial" w:hAnsi="Arial"/>
          <w:sz w:val="20"/>
          <w:szCs w:val="20"/>
          <w:color w:val="auto"/>
        </w:rPr>
      </w:pPr>
      <w:r>
        <w:rPr>
          <w:rFonts w:ascii="Arial" w:cs="Arial" w:eastAsia="Arial" w:hAnsi="Arial"/>
          <w:sz w:val="20"/>
          <w:szCs w:val="20"/>
          <w:color w:val="auto"/>
        </w:rPr>
        <w:t>d.</w:t>
      </w:r>
    </w:p>
    <w:p>
      <w:pPr>
        <w:ind w:left="2180"/>
        <w:spacing w:after="0"/>
        <w:rPr>
          <w:rFonts w:ascii="Arial" w:cs="Arial" w:eastAsia="Arial" w:hAnsi="Arial"/>
          <w:sz w:val="20"/>
          <w:szCs w:val="20"/>
          <w:color w:val="auto"/>
        </w:rPr>
      </w:pPr>
      <w:r>
        <w:rPr>
          <w:rFonts w:ascii="Arial" w:cs="Arial" w:eastAsia="Arial" w:hAnsi="Arial"/>
          <w:sz w:val="20"/>
          <w:szCs w:val="20"/>
          <w:color w:val="auto"/>
        </w:rPr>
        <w:t>[*CTR]</w:t>
      </w:r>
    </w:p>
    <w:p>
      <w:pPr>
        <w:ind w:left="1600"/>
        <w:spacing w:after="0"/>
        <w:rPr>
          <w:rFonts w:ascii="Arial" w:cs="Arial" w:eastAsia="Arial" w:hAnsi="Arial"/>
          <w:sz w:val="20"/>
          <w:szCs w:val="20"/>
          <w:color w:val="auto"/>
        </w:rPr>
      </w:pPr>
      <w:r>
        <w:rPr>
          <w:rFonts w:ascii="Arial" w:cs="Arial" w:eastAsia="Arial" w:hAnsi="Arial"/>
          <w:sz w:val="20"/>
          <w:szCs w:val="20"/>
          <w:color w:val="auto"/>
        </w:rPr>
        <w:t>e.</w:t>
      </w:r>
    </w:p>
    <w:p>
      <w:pPr>
        <w:ind w:left="2180"/>
        <w:spacing w:after="0"/>
        <w:rPr>
          <w:rFonts w:ascii="Arial" w:cs="Arial" w:eastAsia="Arial" w:hAnsi="Arial"/>
          <w:sz w:val="20"/>
          <w:szCs w:val="20"/>
          <w:color w:val="auto"/>
        </w:rPr>
      </w:pPr>
      <w:r>
        <w:rPr>
          <w:rFonts w:ascii="Arial" w:cs="Arial" w:eastAsia="Arial" w:hAnsi="Arial"/>
          <w:sz w:val="20"/>
          <w:szCs w:val="20"/>
          <w:color w:val="auto"/>
        </w:rPr>
        <w:t>[*CTR]</w:t>
      </w:r>
    </w:p>
    <w:p>
      <w:pPr>
        <w:ind w:left="1600"/>
        <w:spacing w:after="0"/>
        <w:rPr>
          <w:rFonts w:ascii="Arial" w:cs="Arial" w:eastAsia="Arial" w:hAnsi="Arial"/>
          <w:sz w:val="20"/>
          <w:szCs w:val="20"/>
          <w:color w:val="auto"/>
        </w:rPr>
      </w:pPr>
      <w:r>
        <w:rPr>
          <w:rFonts w:ascii="Arial" w:cs="Arial" w:eastAsia="Arial" w:hAnsi="Arial"/>
          <w:sz w:val="20"/>
          <w:szCs w:val="20"/>
          <w:color w:val="auto"/>
        </w:rPr>
        <w:t>f.</w:t>
      </w:r>
    </w:p>
    <w:p>
      <w:pPr>
        <w:ind w:left="2180"/>
        <w:spacing w:after="0"/>
        <w:rPr>
          <w:rFonts w:ascii="Arial" w:cs="Arial" w:eastAsia="Arial" w:hAnsi="Arial"/>
          <w:sz w:val="20"/>
          <w:szCs w:val="20"/>
          <w:color w:val="auto"/>
        </w:rPr>
      </w:pPr>
      <w:r>
        <w:rPr>
          <w:rFonts w:ascii="Arial" w:cs="Arial" w:eastAsia="Arial" w:hAnsi="Arial"/>
          <w:sz w:val="20"/>
          <w:szCs w:val="20"/>
          <w:color w:val="auto"/>
        </w:rPr>
        <w:t>[*CTR]</w:t>
      </w:r>
    </w:p>
    <w:p>
      <w:pPr>
        <w:ind w:left="1600"/>
        <w:spacing w:after="0"/>
        <w:rPr>
          <w:rFonts w:ascii="Arial" w:cs="Arial" w:eastAsia="Arial" w:hAnsi="Arial"/>
          <w:sz w:val="20"/>
          <w:szCs w:val="20"/>
          <w:color w:val="auto"/>
        </w:rPr>
      </w:pPr>
      <w:r>
        <w:rPr>
          <w:rFonts w:ascii="Arial" w:cs="Arial" w:eastAsia="Arial" w:hAnsi="Arial"/>
          <w:sz w:val="20"/>
          <w:szCs w:val="20"/>
          <w:color w:val="auto"/>
        </w:rPr>
        <w:t>g.</w:t>
      </w:r>
    </w:p>
    <w:p>
      <w:pPr>
        <w:ind w:left="2180"/>
        <w:spacing w:after="0"/>
        <w:rPr>
          <w:rFonts w:ascii="Arial" w:cs="Arial" w:eastAsia="Arial" w:hAnsi="Arial"/>
          <w:sz w:val="20"/>
          <w:szCs w:val="20"/>
          <w:color w:val="auto"/>
        </w:rPr>
      </w:pPr>
      <w:r>
        <w:rPr>
          <w:rFonts w:ascii="Arial" w:cs="Arial" w:eastAsia="Arial" w:hAnsi="Arial"/>
          <w:sz w:val="20"/>
          <w:szCs w:val="20"/>
          <w:color w:val="auto"/>
        </w:rPr>
        <w:t>[*CTR].</w:t>
      </w:r>
    </w:p>
    <w:p>
      <w:pPr>
        <w:spacing w:after="0" w:line="220" w:lineRule="exact"/>
        <w:rPr>
          <w:rFonts w:ascii="Arial" w:cs="Arial" w:eastAsia="Arial" w:hAnsi="Arial"/>
          <w:sz w:val="20"/>
          <w:szCs w:val="20"/>
          <w:color w:val="auto"/>
        </w:rPr>
      </w:pPr>
    </w:p>
    <w:p>
      <w:pPr>
        <w:ind w:left="800" w:hanging="792"/>
        <w:spacing w:after="0"/>
        <w:tabs>
          <w:tab w:leader="none" w:pos="800" w:val="left"/>
        </w:tabs>
        <w:numPr>
          <w:ilvl w:val="0"/>
          <w:numId w:val="7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ESCALATION CAP</w:t>
      </w:r>
    </w:p>
    <w:p>
      <w:pPr>
        <w:spacing w:after="0" w:line="221" w:lineRule="exact"/>
        <w:rPr>
          <w:rFonts w:ascii="Arial" w:cs="Arial" w:eastAsia="Arial" w:hAnsi="Arial"/>
          <w:sz w:val="20"/>
          <w:szCs w:val="20"/>
          <w:b w:val="1"/>
          <w:bCs w:val="1"/>
          <w:color w:val="auto"/>
        </w:rPr>
      </w:pPr>
    </w:p>
    <w:p>
      <w:pPr>
        <w:ind w:left="800"/>
        <w:spacing w:after="0" w:line="260" w:lineRule="auto"/>
        <w:rPr>
          <w:rFonts w:ascii="Arial" w:cs="Arial" w:eastAsia="Arial" w:hAnsi="Arial"/>
          <w:sz w:val="20"/>
          <w:szCs w:val="20"/>
          <w:b w:val="1"/>
          <w:bCs w:val="1"/>
          <w:color w:val="auto"/>
        </w:rPr>
      </w:pPr>
      <w:r>
        <w:rPr>
          <w:rFonts w:ascii="Arial" w:cs="Arial" w:eastAsia="Arial" w:hAnsi="Arial"/>
          <w:sz w:val="20"/>
          <w:szCs w:val="20"/>
          <w:color w:val="auto"/>
        </w:rPr>
        <w:t>Paragraph 2.1 of Third Amended and Restated Letter Agreement No. 5 is hereby deleted in its entirety and restated to read as follows:</w:t>
      </w:r>
    </w:p>
    <w:p>
      <w:pPr>
        <w:spacing w:after="0" w:line="176" w:lineRule="exact"/>
        <w:rPr>
          <w:rFonts w:ascii="Arial" w:cs="Arial" w:eastAsia="Arial" w:hAnsi="Arial"/>
          <w:sz w:val="20"/>
          <w:szCs w:val="20"/>
          <w:b w:val="1"/>
          <w:bCs w:val="1"/>
          <w:color w:val="auto"/>
        </w:rPr>
      </w:pPr>
    </w:p>
    <w:p>
      <w:pPr>
        <w:jc w:val="both"/>
        <w:ind w:left="800" w:right="9940"/>
        <w:spacing w:after="0" w:line="489" w:lineRule="auto"/>
        <w:rPr>
          <w:rFonts w:ascii="Arial" w:cs="Arial" w:eastAsia="Arial" w:hAnsi="Arial"/>
          <w:sz w:val="20"/>
          <w:szCs w:val="20"/>
          <w:b w:val="1"/>
          <w:bCs w:val="1"/>
          <w:color w:val="auto"/>
        </w:rPr>
      </w:pPr>
      <w:r>
        <w:rPr>
          <w:rFonts w:ascii="Arial" w:cs="Arial" w:eastAsia="Arial" w:hAnsi="Arial"/>
          <w:sz w:val="19"/>
          <w:szCs w:val="19"/>
          <w:color w:val="auto"/>
        </w:rPr>
        <w:t>QUOTE [*CTR]</w:t>
      </w:r>
    </w:p>
    <w:p>
      <w:pPr>
        <w:spacing w:after="0" w:line="1" w:lineRule="exact"/>
        <w:rPr>
          <w:sz w:val="20"/>
          <w:szCs w:val="20"/>
          <w:color w:val="auto"/>
        </w:rPr>
      </w:pPr>
    </w:p>
    <w:p>
      <w:pPr>
        <w:ind w:left="800"/>
        <w:spacing w:after="0"/>
        <w:rPr>
          <w:sz w:val="20"/>
          <w:szCs w:val="20"/>
          <w:color w:val="auto"/>
        </w:rPr>
      </w:pPr>
      <w:r>
        <w:rPr>
          <w:rFonts w:ascii="Arial" w:cs="Arial" w:eastAsia="Arial" w:hAnsi="Arial"/>
          <w:sz w:val="20"/>
          <w:szCs w:val="20"/>
          <w:color w:val="auto"/>
        </w:rPr>
        <w:t>UNQUOTE</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AA – Amendment No. 9 to</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Amended and Restated Airbus A350 XWB Purchase Agreement</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EXECUTION</w:t>
      </w:r>
    </w:p>
    <w:p>
      <w:pPr>
        <w:spacing w:after="0" w:line="19" w:lineRule="exact"/>
        <w:rPr>
          <w:sz w:val="20"/>
          <w:szCs w:val="20"/>
          <w:color w:val="auto"/>
        </w:rPr>
      </w:pPr>
    </w:p>
    <w:p>
      <w:pPr>
        <w:ind w:left="9620"/>
        <w:spacing w:after="0"/>
        <w:rPr>
          <w:sz w:val="20"/>
          <w:szCs w:val="20"/>
          <w:color w:val="auto"/>
        </w:rPr>
      </w:pPr>
      <w:r>
        <w:rPr>
          <w:rFonts w:ascii="Arial" w:cs="Arial" w:eastAsia="Arial" w:hAnsi="Arial"/>
          <w:sz w:val="16"/>
          <w:szCs w:val="16"/>
          <w:i w:val="1"/>
          <w:iCs w:val="1"/>
          <w:color w:val="auto"/>
        </w:rPr>
        <w:t>CONFIDENTIAL</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15"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[*CTR]=[CONFIDENTIAL PORTION OMITTED AND FILED SEPARATELY WITH THE COMMISSION PURSUANT TO A REQUEST FOR CONFIDENTIAL TREATMENT]</w:t>
      </w:r>
    </w:p>
    <w:p>
      <w:pPr>
        <w:sectPr>
          <w:pgSz w:w="11900" w:h="16838" w:orient="portrait"/>
          <w:cols w:equalWidth="0" w:num="1">
            <w:col w:w="11420"/>
          </w:cols>
          <w:pgMar w:left="240" w:top="265" w:right="239" w:bottom="1440" w:gutter="0" w:footer="0" w:header="0"/>
        </w:sectPr>
      </w:pPr>
    </w:p>
    <w:bookmarkStart w:id="95" w:name="page96"/>
    <w:bookmarkEnd w:id="95"/>
    <w:p>
      <w:pPr>
        <w:ind w:left="800" w:hanging="792"/>
        <w:spacing w:after="0"/>
        <w:tabs>
          <w:tab w:leader="none" w:pos="800" w:val="left"/>
        </w:tabs>
        <w:numPr>
          <w:ilvl w:val="0"/>
          <w:numId w:val="72"/>
        </w:numPr>
        <w:rPr>
          <w:rFonts w:ascii="Arial" w:cs="Arial" w:eastAsia="Arial" w:hAnsi="Arial"/>
          <w:sz w:val="20"/>
          <w:szCs w:val="20"/>
          <w:b w:val="1"/>
          <w:bCs w:val="1"/>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[*CTR]</w:t>
      </w:r>
    </w:p>
    <w:p>
      <w:pPr>
        <w:spacing w:after="0" w:line="243" w:lineRule="exact"/>
        <w:rPr>
          <w:sz w:val="20"/>
          <w:szCs w:val="20"/>
          <w:color w:val="auto"/>
        </w:rPr>
      </w:pPr>
    </w:p>
    <w:p>
      <w:pPr>
        <w:spacing w:after="0"/>
        <w:tabs>
          <w:tab w:leader="none" w:pos="780" w:val="left"/>
        </w:tabs>
        <w:rPr>
          <w:sz w:val="20"/>
          <w:szCs w:val="20"/>
          <w:color w:val="auto"/>
        </w:rPr>
      </w:pPr>
      <w:r>
        <w:rPr>
          <w:rFonts w:ascii="Arial" w:cs="Arial" w:eastAsia="Arial" w:hAnsi="Arial"/>
          <w:sz w:val="20"/>
          <w:szCs w:val="20"/>
          <w:color w:val="auto"/>
        </w:rPr>
        <w:t>4.1</w:t>
      </w:r>
      <w:r>
        <w:rPr>
          <w:sz w:val="20"/>
          <w:szCs w:val="20"/>
          <w:color w:val="auto"/>
        </w:rPr>
        <w:tab/>
      </w:r>
      <w:r>
        <w:rPr>
          <w:rFonts w:ascii="Arial" w:cs="Arial" w:eastAsia="Arial" w:hAnsi="Arial"/>
          <w:sz w:val="18"/>
          <w:szCs w:val="18"/>
          <w:color w:val="auto"/>
        </w:rPr>
        <w:t>Notwithstanding Paragraph 17 of Amended and Restated Letter Agreement No. 7, the [*CTR].</w:t>
      </w:r>
    </w:p>
    <w:p>
      <w:pPr>
        <w:spacing w:after="0" w:line="243" w:lineRule="exact"/>
        <w:rPr>
          <w:sz w:val="20"/>
          <w:szCs w:val="20"/>
          <w:color w:val="auto"/>
        </w:rPr>
      </w:pPr>
    </w:p>
    <w:p>
      <w:pPr>
        <w:spacing w:after="0"/>
        <w:tabs>
          <w:tab w:leader="none" w:pos="780" w:val="left"/>
        </w:tabs>
        <w:rPr>
          <w:sz w:val="20"/>
          <w:szCs w:val="20"/>
          <w:color w:val="auto"/>
        </w:rPr>
      </w:pPr>
      <w:r>
        <w:rPr>
          <w:rFonts w:ascii="Arial" w:cs="Arial" w:eastAsia="Arial" w:hAnsi="Arial"/>
          <w:sz w:val="20"/>
          <w:szCs w:val="20"/>
          <w:color w:val="auto"/>
        </w:rPr>
        <w:t>4.2</w:t>
      </w:r>
      <w:r>
        <w:rPr>
          <w:sz w:val="20"/>
          <w:szCs w:val="20"/>
          <w:color w:val="auto"/>
        </w:rPr>
        <w:tab/>
      </w:r>
      <w:r>
        <w:rPr>
          <w:rFonts w:ascii="Arial" w:cs="Arial" w:eastAsia="Arial" w:hAnsi="Arial"/>
          <w:sz w:val="18"/>
          <w:szCs w:val="18"/>
          <w:color w:val="auto"/>
        </w:rPr>
        <w:t>Notwithstanding Paragraph 18 of Amended and Restated Letter Agreement No. 7, the [*CTR].</w:t>
      </w:r>
    </w:p>
    <w:p>
      <w:pPr>
        <w:spacing w:after="0" w:line="237" w:lineRule="exact"/>
        <w:rPr>
          <w:sz w:val="20"/>
          <w:szCs w:val="20"/>
          <w:color w:val="auto"/>
        </w:rPr>
      </w:pPr>
    </w:p>
    <w:p>
      <w:pPr>
        <w:ind w:left="800" w:hanging="792"/>
        <w:spacing w:after="0"/>
        <w:tabs>
          <w:tab w:leader="none" w:pos="800" w:val="left"/>
        </w:tabs>
        <w:numPr>
          <w:ilvl w:val="0"/>
          <w:numId w:val="7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CUSTOMIZATION</w:t>
      </w:r>
    </w:p>
    <w:p>
      <w:pPr>
        <w:spacing w:after="0" w:line="221" w:lineRule="exact"/>
        <w:rPr>
          <w:rFonts w:ascii="Arial" w:cs="Arial" w:eastAsia="Arial" w:hAnsi="Arial"/>
          <w:sz w:val="20"/>
          <w:szCs w:val="20"/>
          <w:b w:val="1"/>
          <w:bCs w:val="1"/>
          <w:color w:val="auto"/>
        </w:rPr>
      </w:pPr>
    </w:p>
    <w:p>
      <w:pPr>
        <w:ind w:left="800"/>
        <w:spacing w:after="0"/>
        <w:rPr>
          <w:rFonts w:ascii="Arial" w:cs="Arial" w:eastAsia="Arial" w:hAnsi="Arial"/>
          <w:sz w:val="20"/>
          <w:szCs w:val="20"/>
          <w:b w:val="1"/>
          <w:bCs w:val="1"/>
          <w:color w:val="auto"/>
        </w:rPr>
      </w:pPr>
      <w:r>
        <w:rPr>
          <w:rFonts w:ascii="Arial" w:cs="Arial" w:eastAsia="Arial" w:hAnsi="Arial"/>
          <w:sz w:val="20"/>
          <w:szCs w:val="20"/>
          <w:color w:val="auto"/>
        </w:rPr>
        <w:t>A new Clause 2.5 that reads as follows is hereby added to the Agreement:</w:t>
      </w:r>
    </w:p>
    <w:p>
      <w:pPr>
        <w:spacing w:after="0" w:line="215" w:lineRule="exact"/>
        <w:rPr>
          <w:rFonts w:ascii="Arial" w:cs="Arial" w:eastAsia="Arial" w:hAnsi="Arial"/>
          <w:sz w:val="20"/>
          <w:szCs w:val="20"/>
          <w:b w:val="1"/>
          <w:bCs w:val="1"/>
          <w:color w:val="auto"/>
        </w:rPr>
      </w:pPr>
    </w:p>
    <w:p>
      <w:pPr>
        <w:ind w:left="800"/>
        <w:spacing w:after="0"/>
        <w:rPr>
          <w:rFonts w:ascii="Arial" w:cs="Arial" w:eastAsia="Arial" w:hAnsi="Arial"/>
          <w:sz w:val="20"/>
          <w:szCs w:val="20"/>
          <w:b w:val="1"/>
          <w:bCs w:val="1"/>
          <w:color w:val="auto"/>
        </w:rPr>
      </w:pPr>
      <w:r>
        <w:rPr>
          <w:rFonts w:ascii="Arial" w:cs="Arial" w:eastAsia="Arial" w:hAnsi="Arial"/>
          <w:sz w:val="20"/>
          <w:szCs w:val="20"/>
          <w:color w:val="auto"/>
        </w:rPr>
        <w:t>QUOTE</w:t>
      </w:r>
    </w:p>
    <w:p>
      <w:pPr>
        <w:spacing w:after="0" w:line="243" w:lineRule="exact"/>
        <w:rPr>
          <w:sz w:val="20"/>
          <w:szCs w:val="20"/>
          <w:color w:val="auto"/>
        </w:rPr>
      </w:pPr>
    </w:p>
    <w:p>
      <w:pPr>
        <w:ind w:left="800"/>
        <w:spacing w:after="0"/>
        <w:tabs>
          <w:tab w:leader="none" w:pos="1580" w:val="left"/>
        </w:tabs>
        <w:rPr>
          <w:sz w:val="20"/>
          <w:szCs w:val="20"/>
          <w:color w:val="auto"/>
        </w:rPr>
      </w:pPr>
      <w:r>
        <w:rPr>
          <w:rFonts w:ascii="Arial" w:cs="Arial" w:eastAsia="Arial" w:hAnsi="Arial"/>
          <w:sz w:val="20"/>
          <w:szCs w:val="20"/>
          <w:color w:val="auto"/>
        </w:rPr>
        <w:t>2.5</w:t>
      </w:r>
      <w:r>
        <w:rPr>
          <w:sz w:val="20"/>
          <w:szCs w:val="20"/>
          <w:color w:val="auto"/>
        </w:rPr>
        <w:tab/>
      </w:r>
      <w:r>
        <w:rPr>
          <w:rFonts w:ascii="Arial" w:cs="Arial" w:eastAsia="Arial" w:hAnsi="Arial"/>
          <w:sz w:val="18"/>
          <w:szCs w:val="18"/>
          <w:color w:val="auto"/>
        </w:rPr>
        <w:t>Continued Customization</w:t>
      </w:r>
    </w:p>
    <w:p>
      <w:pPr>
        <w:spacing w:after="0" w:line="216" w:lineRule="exact"/>
        <w:rPr>
          <w:sz w:val="20"/>
          <w:szCs w:val="20"/>
          <w:color w:val="auto"/>
        </w:rPr>
      </w:pPr>
    </w:p>
    <w:p>
      <w:pPr>
        <w:ind w:left="1600" w:right="280"/>
        <w:spacing w:after="0" w:line="287" w:lineRule="auto"/>
        <w:rPr>
          <w:sz w:val="20"/>
          <w:szCs w:val="20"/>
          <w:color w:val="auto"/>
        </w:rPr>
      </w:pPr>
      <w:r>
        <w:rPr>
          <w:rFonts w:ascii="Arial" w:cs="Arial" w:eastAsia="Arial" w:hAnsi="Arial"/>
          <w:sz w:val="19"/>
          <w:szCs w:val="19"/>
          <w:color w:val="auto"/>
        </w:rPr>
        <w:t>Notwithstanding the fact that the parties have already achieved Contractual Definition Freeze in accordance with Clause 2.2 of the Agreement, the Buyer shall [*CTR] prior to the Scheduled Delivery Month of the first Aircraft.</w:t>
      </w:r>
    </w:p>
    <w:p>
      <w:pPr>
        <w:spacing w:after="0" w:line="153" w:lineRule="exact"/>
        <w:rPr>
          <w:sz w:val="20"/>
          <w:szCs w:val="20"/>
          <w:color w:val="auto"/>
        </w:rPr>
      </w:pPr>
    </w:p>
    <w:p>
      <w:pPr>
        <w:ind w:left="800"/>
        <w:spacing w:after="0"/>
        <w:rPr>
          <w:sz w:val="20"/>
          <w:szCs w:val="20"/>
          <w:color w:val="auto"/>
        </w:rPr>
      </w:pPr>
      <w:r>
        <w:rPr>
          <w:rFonts w:ascii="Arial" w:cs="Arial" w:eastAsia="Arial" w:hAnsi="Arial"/>
          <w:sz w:val="20"/>
          <w:szCs w:val="20"/>
          <w:color w:val="auto"/>
        </w:rPr>
        <w:t>UNQUOTE</w:t>
      </w:r>
    </w:p>
    <w:p>
      <w:pPr>
        <w:spacing w:after="0" w:line="358" w:lineRule="exact"/>
        <w:rPr>
          <w:sz w:val="20"/>
          <w:szCs w:val="20"/>
          <w:color w:val="auto"/>
        </w:rPr>
      </w:pPr>
    </w:p>
    <w:p>
      <w:pPr>
        <w:ind w:left="800" w:hanging="792"/>
        <w:spacing w:after="0"/>
        <w:tabs>
          <w:tab w:leader="none" w:pos="800" w:val="left"/>
        </w:tabs>
        <w:numPr>
          <w:ilvl w:val="0"/>
          <w:numId w:val="7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EFFECT OF AMENDMENT</w:t>
      </w:r>
    </w:p>
    <w:p>
      <w:pPr>
        <w:spacing w:after="0" w:line="249" w:lineRule="exact"/>
        <w:rPr>
          <w:sz w:val="20"/>
          <w:szCs w:val="20"/>
          <w:color w:val="auto"/>
        </w:rPr>
      </w:pPr>
    </w:p>
    <w:p>
      <w:pPr>
        <w:jc w:val="both"/>
        <w:ind w:left="800" w:hanging="796"/>
        <w:spacing w:after="0" w:line="246" w:lineRule="auto"/>
        <w:tabs>
          <w:tab w:leader="none" w:pos="780" w:val="left"/>
        </w:tabs>
        <w:rPr>
          <w:sz w:val="20"/>
          <w:szCs w:val="20"/>
          <w:color w:val="auto"/>
        </w:rPr>
      </w:pPr>
      <w:r>
        <w:rPr>
          <w:rFonts w:ascii="Arial" w:cs="Arial" w:eastAsia="Arial" w:hAnsi="Arial"/>
          <w:sz w:val="20"/>
          <w:szCs w:val="20"/>
          <w:color w:val="auto"/>
        </w:rPr>
        <w:t>6.1</w:t>
      </w:r>
      <w:r>
        <w:rPr>
          <w:sz w:val="20"/>
          <w:szCs w:val="20"/>
          <w:color w:val="auto"/>
        </w:rPr>
        <w:tab/>
      </w:r>
      <w:r>
        <w:rPr>
          <w:rFonts w:ascii="Arial" w:cs="Arial" w:eastAsia="Arial" w:hAnsi="Arial"/>
          <w:sz w:val="20"/>
          <w:szCs w:val="20"/>
          <w:color w:val="auto"/>
        </w:rPr>
        <w:t>Upon execution, this Amendment will constitute a valid amendment to the Agreement and the Agreement will be deemed to be amended to the extent herein provided and, except as specifically amended hereby, will continue in full force and effect in accordance with its original terms. This Amendment supersedes any previous understandings, commitments or representations whatsoever, whether oral or written, related to the subject matter of this Amendment.</w:t>
      </w:r>
    </w:p>
    <w:p>
      <w:pPr>
        <w:spacing w:after="0" w:line="219" w:lineRule="exact"/>
        <w:rPr>
          <w:sz w:val="20"/>
          <w:szCs w:val="20"/>
          <w:color w:val="auto"/>
        </w:rPr>
      </w:pPr>
    </w:p>
    <w:p>
      <w:pPr>
        <w:jc w:val="both"/>
        <w:ind w:left="800" w:hanging="796"/>
        <w:spacing w:after="0" w:line="246" w:lineRule="auto"/>
        <w:tabs>
          <w:tab w:leader="none" w:pos="780" w:val="left"/>
        </w:tabs>
        <w:rPr>
          <w:sz w:val="20"/>
          <w:szCs w:val="20"/>
          <w:color w:val="auto"/>
        </w:rPr>
      </w:pPr>
      <w:r>
        <w:rPr>
          <w:rFonts w:ascii="Arial" w:cs="Arial" w:eastAsia="Arial" w:hAnsi="Arial"/>
          <w:sz w:val="20"/>
          <w:szCs w:val="20"/>
          <w:color w:val="auto"/>
        </w:rPr>
        <w:t>6.2</w:t>
      </w:r>
      <w:r>
        <w:rPr>
          <w:sz w:val="20"/>
          <w:szCs w:val="20"/>
          <w:color w:val="auto"/>
        </w:rPr>
        <w:tab/>
      </w:r>
      <w:r>
        <w:rPr>
          <w:rFonts w:ascii="Arial" w:cs="Arial" w:eastAsia="Arial" w:hAnsi="Arial"/>
          <w:sz w:val="20"/>
          <w:szCs w:val="20"/>
          <w:color w:val="auto"/>
        </w:rPr>
        <w:t>Both parties agree that this Amendment will constitute an integral, nonseverable part of the Agreement, that the provisions of the Agreement are hereby incorporated herein by reference, and that this Amendment will be governed by the provisions of the Agreement, except that if the Agreement and this Amendment have specific provisions that are inconsistent, the specific provisions contained in this Amendment will govern.</w:t>
      </w:r>
    </w:p>
    <w:p>
      <w:pPr>
        <w:spacing w:after="0" w:line="213" w:lineRule="exact"/>
        <w:rPr>
          <w:sz w:val="20"/>
          <w:szCs w:val="20"/>
          <w:color w:val="auto"/>
        </w:rPr>
      </w:pPr>
    </w:p>
    <w:p>
      <w:pPr>
        <w:ind w:left="800" w:hanging="792"/>
        <w:spacing w:after="0"/>
        <w:tabs>
          <w:tab w:leader="none" w:pos="800" w:val="left"/>
        </w:tabs>
        <w:numPr>
          <w:ilvl w:val="0"/>
          <w:numId w:val="7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CONFIDENTIALITY</w:t>
      </w:r>
    </w:p>
    <w:p>
      <w:pPr>
        <w:spacing w:after="0" w:line="221" w:lineRule="exact"/>
        <w:rPr>
          <w:rFonts w:ascii="Arial" w:cs="Arial" w:eastAsia="Arial" w:hAnsi="Arial"/>
          <w:sz w:val="20"/>
          <w:szCs w:val="20"/>
          <w:b w:val="1"/>
          <w:bCs w:val="1"/>
          <w:color w:val="auto"/>
        </w:rPr>
      </w:pPr>
    </w:p>
    <w:p>
      <w:pPr>
        <w:ind w:left="800"/>
        <w:spacing w:after="0"/>
        <w:rPr>
          <w:rFonts w:ascii="Arial" w:cs="Arial" w:eastAsia="Arial" w:hAnsi="Arial"/>
          <w:sz w:val="20"/>
          <w:szCs w:val="20"/>
          <w:b w:val="1"/>
          <w:bCs w:val="1"/>
          <w:color w:val="auto"/>
        </w:rPr>
      </w:pPr>
      <w:r>
        <w:rPr>
          <w:rFonts w:ascii="Arial" w:cs="Arial" w:eastAsia="Arial" w:hAnsi="Arial"/>
          <w:sz w:val="20"/>
          <w:szCs w:val="20"/>
          <w:color w:val="auto"/>
        </w:rPr>
        <w:t>This Amendment is subject to the confidentiality provisions set forth in Clause 22.7 of the Agreement.</w:t>
      </w:r>
    </w:p>
    <w:p>
      <w:pPr>
        <w:spacing w:after="0" w:line="358" w:lineRule="exact"/>
        <w:rPr>
          <w:rFonts w:ascii="Arial" w:cs="Arial" w:eastAsia="Arial" w:hAnsi="Arial"/>
          <w:sz w:val="20"/>
          <w:szCs w:val="20"/>
          <w:b w:val="1"/>
          <w:bCs w:val="1"/>
          <w:color w:val="auto"/>
        </w:rPr>
      </w:pPr>
    </w:p>
    <w:p>
      <w:pPr>
        <w:ind w:left="800" w:hanging="792"/>
        <w:spacing w:after="0"/>
        <w:tabs>
          <w:tab w:leader="none" w:pos="800" w:val="left"/>
        </w:tabs>
        <w:numPr>
          <w:ilvl w:val="0"/>
          <w:numId w:val="7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GOVERNING LAW</w:t>
      </w:r>
    </w:p>
    <w:p>
      <w:pPr>
        <w:spacing w:after="0" w:line="222" w:lineRule="exact"/>
        <w:rPr>
          <w:sz w:val="20"/>
          <w:szCs w:val="20"/>
          <w:color w:val="auto"/>
        </w:rPr>
      </w:pPr>
    </w:p>
    <w:p>
      <w:pPr>
        <w:ind w:left="800"/>
        <w:spacing w:after="0"/>
        <w:rPr>
          <w:sz w:val="20"/>
          <w:szCs w:val="20"/>
          <w:color w:val="auto"/>
        </w:rPr>
      </w:pPr>
      <w:r>
        <w:rPr>
          <w:rFonts w:ascii="Arial" w:cs="Arial" w:eastAsia="Arial" w:hAnsi="Arial"/>
          <w:sz w:val="20"/>
          <w:szCs w:val="20"/>
          <w:color w:val="auto"/>
        </w:rPr>
        <w:t>The governing law shall be as set forth in Clause 22.4 of the Agreement.</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AA – Amendment No. 9 to</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Amended and Restated Airbus A350 XWB Purchase Agreement</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EXECUTION</w:t>
      </w:r>
    </w:p>
    <w:p>
      <w:pPr>
        <w:spacing w:after="0" w:line="19" w:lineRule="exact"/>
        <w:rPr>
          <w:sz w:val="20"/>
          <w:szCs w:val="20"/>
          <w:color w:val="auto"/>
        </w:rPr>
      </w:pPr>
    </w:p>
    <w:p>
      <w:pPr>
        <w:ind w:left="9620"/>
        <w:spacing w:after="0"/>
        <w:rPr>
          <w:sz w:val="20"/>
          <w:szCs w:val="20"/>
          <w:color w:val="auto"/>
        </w:rPr>
      </w:pPr>
      <w:r>
        <w:rPr>
          <w:rFonts w:ascii="Arial" w:cs="Arial" w:eastAsia="Arial" w:hAnsi="Arial"/>
          <w:sz w:val="16"/>
          <w:szCs w:val="16"/>
          <w:i w:val="1"/>
          <w:iCs w:val="1"/>
          <w:color w:val="auto"/>
        </w:rPr>
        <w:t>CONFIDENTIAL</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15"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[*CTR]=[CONFIDENTIAL PORTION OMITTED AND FILED SEPARATELY WITH THE COMMISSION PURSUANT TO A REQUEST FOR CONFIDENTIAL TREATMENT]</w:t>
      </w:r>
    </w:p>
    <w:p>
      <w:pPr>
        <w:sectPr>
          <w:pgSz w:w="11900" w:h="16838" w:orient="portrait"/>
          <w:cols w:equalWidth="0" w:num="1">
            <w:col w:w="11420"/>
          </w:cols>
          <w:pgMar w:left="240" w:top="271" w:right="239" w:bottom="1440" w:gutter="0" w:footer="0" w:header="0"/>
        </w:sectPr>
      </w:pPr>
    </w:p>
    <w:bookmarkStart w:id="96" w:name="page97"/>
    <w:bookmarkEnd w:id="96"/>
    <w:p>
      <w:pPr>
        <w:ind w:left="800" w:hanging="792"/>
        <w:spacing w:after="0"/>
        <w:tabs>
          <w:tab w:leader="none" w:pos="800" w:val="left"/>
        </w:tabs>
        <w:numPr>
          <w:ilvl w:val="0"/>
          <w:numId w:val="7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COUNTERPARTS</w:t>
      </w:r>
    </w:p>
    <w:p>
      <w:pPr>
        <w:spacing w:after="0" w:line="222" w:lineRule="exact"/>
        <w:rPr>
          <w:sz w:val="20"/>
          <w:szCs w:val="20"/>
          <w:color w:val="auto"/>
        </w:rPr>
      </w:pPr>
    </w:p>
    <w:p>
      <w:pPr>
        <w:jc w:val="both"/>
        <w:ind w:left="800"/>
        <w:spacing w:after="0" w:line="250" w:lineRule="auto"/>
        <w:rPr>
          <w:sz w:val="20"/>
          <w:szCs w:val="20"/>
          <w:color w:val="auto"/>
        </w:rPr>
      </w:pPr>
      <w:r>
        <w:rPr>
          <w:rFonts w:ascii="Arial" w:cs="Arial" w:eastAsia="Arial" w:hAnsi="Arial"/>
          <w:sz w:val="20"/>
          <w:szCs w:val="20"/>
          <w:color w:val="auto"/>
        </w:rPr>
        <w:t>This Amendment may be signed in any number of separate counterparts. Each counterpart, when signed and delivered (including counterparts delivered by facsimile transmission), will be an original, and the counterparts will together constitute one and the same instrument.</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auto"/>
        </w:rPr>
        <w:t>AA – Amendment No. 9 to</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Amended and Restated Airbus A350 XWB Purchase Agreement</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EXECUTION</w:t>
      </w:r>
    </w:p>
    <w:p>
      <w:pPr>
        <w:spacing w:after="0" w:line="19" w:lineRule="exact"/>
        <w:rPr>
          <w:sz w:val="20"/>
          <w:szCs w:val="20"/>
          <w:color w:val="auto"/>
        </w:rPr>
      </w:pPr>
    </w:p>
    <w:p>
      <w:pPr>
        <w:ind w:left="9620"/>
        <w:spacing w:after="0"/>
        <w:rPr>
          <w:sz w:val="20"/>
          <w:szCs w:val="20"/>
          <w:color w:val="auto"/>
        </w:rPr>
      </w:pPr>
      <w:r>
        <w:rPr>
          <w:rFonts w:ascii="Arial" w:cs="Arial" w:eastAsia="Arial" w:hAnsi="Arial"/>
          <w:sz w:val="16"/>
          <w:szCs w:val="16"/>
          <w:i w:val="1"/>
          <w:iCs w:val="1"/>
          <w:color w:val="auto"/>
        </w:rPr>
        <w:t>CONFIDENTIAL</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265" w:right="239" w:bottom="1440" w:gutter="0" w:footer="0" w:header="0"/>
        </w:sectPr>
      </w:pPr>
    </w:p>
    <w:bookmarkStart w:id="97" w:name="page98"/>
    <w:bookmarkEnd w:id="97"/>
    <w:p>
      <w:pPr>
        <w:spacing w:after="0" w:line="260"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foregoing correctly sets forth your understanding, please execute the original and one (1) copy hereof in the space provided below and return a copy to the Seller.</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120" w:type="dxa"/>
            <w:vAlign w:val="bottom"/>
            <w:gridSpan w:val="4"/>
          </w:tcPr>
          <w:p>
            <w:pPr>
              <w:spacing w:after="0"/>
              <w:rPr>
                <w:sz w:val="20"/>
                <w:szCs w:val="20"/>
                <w:color w:val="auto"/>
              </w:rPr>
            </w:pPr>
            <w:r>
              <w:rPr>
                <w:rFonts w:ascii="Arial" w:cs="Arial" w:eastAsia="Arial" w:hAnsi="Arial"/>
                <w:sz w:val="20"/>
                <w:szCs w:val="20"/>
                <w:color w:val="auto"/>
              </w:rPr>
              <w:t>AMERICAN AIRLINES, INC.</w:t>
            </w:r>
          </w:p>
        </w:tc>
        <w:tc>
          <w:tcPr>
            <w:tcW w:w="3760" w:type="dxa"/>
            <w:vAlign w:val="bottom"/>
            <w:gridSpan w:val="3"/>
          </w:tcPr>
          <w:p>
            <w:pPr>
              <w:ind w:left="940"/>
              <w:spacing w:after="0"/>
              <w:rPr>
                <w:sz w:val="20"/>
                <w:szCs w:val="20"/>
                <w:color w:val="auto"/>
              </w:rPr>
            </w:pPr>
            <w:r>
              <w:rPr>
                <w:rFonts w:ascii="Arial" w:cs="Arial" w:eastAsia="Arial" w:hAnsi="Arial"/>
                <w:sz w:val="20"/>
                <w:szCs w:val="20"/>
                <w:color w:val="auto"/>
              </w:rPr>
              <w:t>AIRBUS S.A.S.</w:t>
            </w:r>
          </w:p>
        </w:tc>
      </w:tr>
      <w:tr>
        <w:trPr>
          <w:trHeight w:val="617"/>
        </w:trPr>
        <w:tc>
          <w:tcPr>
            <w:tcW w:w="5120" w:type="dxa"/>
            <w:vAlign w:val="bottom"/>
            <w:gridSpan w:val="4"/>
          </w:tcPr>
          <w:p>
            <w:pPr>
              <w:spacing w:after="0"/>
              <w:rPr>
                <w:sz w:val="20"/>
                <w:szCs w:val="20"/>
                <w:color w:val="auto"/>
              </w:rPr>
            </w:pPr>
            <w:r>
              <w:rPr>
                <w:rFonts w:ascii="Arial" w:cs="Arial" w:eastAsia="Arial" w:hAnsi="Arial"/>
                <w:sz w:val="20"/>
                <w:szCs w:val="20"/>
                <w:color w:val="auto"/>
              </w:rPr>
              <w:t>By: /s/ Thomas T. Weir</w:t>
            </w:r>
          </w:p>
        </w:tc>
        <w:tc>
          <w:tcPr>
            <w:tcW w:w="3760" w:type="dxa"/>
            <w:vAlign w:val="bottom"/>
            <w:gridSpan w:val="3"/>
          </w:tcPr>
          <w:p>
            <w:pPr>
              <w:ind w:left="940"/>
              <w:spacing w:after="0"/>
              <w:rPr>
                <w:sz w:val="20"/>
                <w:szCs w:val="20"/>
                <w:color w:val="auto"/>
              </w:rPr>
            </w:pPr>
            <w:r>
              <w:rPr>
                <w:rFonts w:ascii="Arial" w:cs="Arial" w:eastAsia="Arial" w:hAnsi="Arial"/>
                <w:sz w:val="20"/>
                <w:szCs w:val="20"/>
                <w:color w:val="auto"/>
              </w:rPr>
              <w:t>By: /s/ Christophe Mourey</w:t>
            </w:r>
          </w:p>
        </w:tc>
      </w:tr>
      <w:tr>
        <w:trPr>
          <w:trHeight w:val="20"/>
        </w:trPr>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280" w:type="dxa"/>
            <w:vAlign w:val="bottom"/>
            <w:tcBorders>
              <w:left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642"/>
        </w:trPr>
        <w:tc>
          <w:tcPr>
            <w:tcW w:w="340" w:type="dxa"/>
            <w:vAlign w:val="bottom"/>
          </w:tcPr>
          <w:p>
            <w:pPr>
              <w:spacing w:after="0"/>
              <w:rPr>
                <w:sz w:val="20"/>
                <w:szCs w:val="20"/>
                <w:color w:val="auto"/>
              </w:rPr>
            </w:pPr>
            <w:r>
              <w:rPr>
                <w:rFonts w:ascii="Arial" w:cs="Arial" w:eastAsia="Arial" w:hAnsi="Arial"/>
                <w:sz w:val="20"/>
                <w:szCs w:val="20"/>
                <w:color w:val="auto"/>
              </w:rPr>
              <w:t>Its:</w:t>
            </w:r>
          </w:p>
        </w:tc>
        <w:tc>
          <w:tcPr>
            <w:tcW w:w="1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760" w:type="dxa"/>
            <w:vAlign w:val="bottom"/>
            <w:gridSpan w:val="3"/>
          </w:tcPr>
          <w:p>
            <w:pPr>
              <w:ind w:left="940"/>
              <w:spacing w:after="0"/>
              <w:rPr>
                <w:sz w:val="20"/>
                <w:szCs w:val="20"/>
                <w:color w:val="auto"/>
              </w:rPr>
            </w:pPr>
            <w:r>
              <w:rPr>
                <w:rFonts w:ascii="Arial" w:cs="Arial" w:eastAsia="Arial" w:hAnsi="Arial"/>
                <w:sz w:val="20"/>
                <w:szCs w:val="20"/>
                <w:color w:val="auto"/>
                <w:w w:val="88"/>
              </w:rPr>
              <w:t>Its: Senior Vice President Contracts</w:t>
            </w:r>
          </w:p>
        </w:tc>
      </w:tr>
      <w:tr>
        <w:trPr>
          <w:trHeight w:val="20"/>
        </w:trPr>
        <w:tc>
          <w:tcPr>
            <w:tcW w:w="500" w:type="dxa"/>
            <w:vAlign w:val="bottom"/>
            <w:gridSpan w:val="2"/>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80" w:type="dxa"/>
            <w:vAlign w:val="bottom"/>
            <w:tcBorders>
              <w:right w:val="single" w:sz="8" w:color="auto"/>
            </w:tcBorders>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r>
      <w:tr>
        <w:trPr>
          <w:trHeight w:val="726"/>
        </w:trPr>
        <w:tc>
          <w:tcPr>
            <w:tcW w:w="5120" w:type="dxa"/>
            <w:vAlign w:val="bottom"/>
            <w:gridSpan w:val="4"/>
          </w:tcPr>
          <w:p>
            <w:pPr>
              <w:spacing w:after="0"/>
              <w:rPr>
                <w:sz w:val="20"/>
                <w:szCs w:val="20"/>
                <w:color w:val="auto"/>
              </w:rPr>
            </w:pPr>
            <w:r>
              <w:rPr>
                <w:rFonts w:ascii="Arial" w:cs="Arial" w:eastAsia="Arial" w:hAnsi="Arial"/>
                <w:sz w:val="16"/>
                <w:szCs w:val="16"/>
                <w:color w:val="auto"/>
              </w:rPr>
              <w:t>AA – Amendment No. 9 to</w:t>
            </w:r>
          </w:p>
        </w:tc>
        <w:tc>
          <w:tcPr>
            <w:tcW w:w="12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6"/>
        </w:trPr>
        <w:tc>
          <w:tcPr>
            <w:tcW w:w="5120" w:type="dxa"/>
            <w:vAlign w:val="bottom"/>
            <w:gridSpan w:val="4"/>
          </w:tcPr>
          <w:p>
            <w:pPr>
              <w:spacing w:after="0"/>
              <w:rPr>
                <w:sz w:val="20"/>
                <w:szCs w:val="20"/>
                <w:color w:val="auto"/>
              </w:rPr>
            </w:pPr>
            <w:r>
              <w:rPr>
                <w:rFonts w:ascii="Arial" w:cs="Arial" w:eastAsia="Arial" w:hAnsi="Arial"/>
                <w:sz w:val="16"/>
                <w:szCs w:val="16"/>
                <w:color w:val="auto"/>
              </w:rPr>
              <w:t>Amended and Restated Airbus A350 XWB Purchase Agreement</w:t>
            </w:r>
          </w:p>
        </w:tc>
        <w:tc>
          <w:tcPr>
            <w:tcW w:w="12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20" w:type="dxa"/>
            <w:vAlign w:val="bottom"/>
          </w:tcPr>
          <w:p>
            <w:pPr>
              <w:spacing w:after="0"/>
              <w:rPr>
                <w:sz w:val="17"/>
                <w:szCs w:val="17"/>
                <w:color w:val="auto"/>
              </w:rPr>
            </w:pPr>
          </w:p>
        </w:tc>
      </w:tr>
    </w:tbl>
    <w:p>
      <w:pPr>
        <w:ind w:left="9620"/>
        <w:spacing w:after="0"/>
        <w:rPr>
          <w:sz w:val="20"/>
          <w:szCs w:val="20"/>
          <w:color w:val="auto"/>
        </w:rPr>
      </w:pPr>
      <w:r>
        <w:rPr>
          <w:rFonts w:ascii="Arial" w:cs="Arial" w:eastAsia="Arial" w:hAnsi="Arial"/>
          <w:sz w:val="16"/>
          <w:szCs w:val="16"/>
          <w:i w:val="1"/>
          <w:iCs w:val="1"/>
          <w:color w:val="auto"/>
        </w:rPr>
        <w:t>CONFIDENTIAL</w:t>
      </w:r>
    </w:p>
    <w:p>
      <w:pPr>
        <w:sectPr>
          <w:pgSz w:w="11900" w:h="16838" w:orient="portrait"/>
          <w:cols w:equalWidth="0" w:num="1">
            <w:col w:w="11420"/>
          </w:cols>
          <w:pgMar w:left="240" w:top="271" w:right="239" w:bottom="1440" w:gutter="0" w:footer="0" w:header="0"/>
        </w:sectPr>
      </w:pPr>
    </w:p>
    <w:bookmarkStart w:id="98" w:name="page99"/>
    <w:bookmarkEnd w:id="9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 to AMENDMENT No. 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APPENDIX B TO</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THE AMENDED AND RESTATED LETTER AGREEMENT NO. 12</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Planning for the delivery of the A350-900/Trent XWB 84,000 lb aircraft:</w:t>
      </w:r>
    </w:p>
    <w:p>
      <w:pPr>
        <w:spacing w:after="0" w:line="204" w:lineRule="exact"/>
        <w:rPr>
          <w:sz w:val="20"/>
          <w:szCs w:val="20"/>
          <w:color w:val="auto"/>
        </w:rPr>
      </w:pPr>
    </w:p>
    <w:tbl>
      <w:tblPr>
        <w:tblLayout w:type="fixed"/>
        <w:tblInd w:w="1380" w:type="dxa"/>
        <w:tblCellMar>
          <w:top w:w="0" w:type="dxa"/>
          <w:left w:w="0" w:type="dxa"/>
          <w:bottom w:w="0" w:type="dxa"/>
          <w:right w:w="0" w:type="dxa"/>
        </w:tblCellMar>
      </w:tblPr>
      <w:tr>
        <w:trPr>
          <w:trHeight w:val="253"/>
        </w:trPr>
        <w:tc>
          <w:tcPr>
            <w:tcW w:w="3520" w:type="dxa"/>
            <w:vAlign w:val="bottom"/>
            <w:gridSpan w:val="3"/>
          </w:tcPr>
          <w:p>
            <w:pPr>
              <w:jc w:val="center"/>
              <w:ind w:right="460"/>
              <w:spacing w:after="0"/>
              <w:rPr>
                <w:sz w:val="20"/>
                <w:szCs w:val="20"/>
                <w:color w:val="auto"/>
              </w:rPr>
            </w:pPr>
            <w:r>
              <w:rPr>
                <w:rFonts w:ascii="Arial" w:cs="Arial" w:eastAsia="Arial" w:hAnsi="Arial"/>
                <w:sz w:val="22"/>
                <w:szCs w:val="22"/>
                <w:color w:val="auto"/>
                <w:w w:val="89"/>
              </w:rPr>
              <w:t>Scheduled Delivery Quarter</w:t>
            </w:r>
          </w:p>
        </w:tc>
        <w:tc>
          <w:tcPr>
            <w:tcW w:w="3500" w:type="dxa"/>
            <w:vAlign w:val="bottom"/>
            <w:gridSpan w:val="3"/>
          </w:tcPr>
          <w:p>
            <w:pPr>
              <w:jc w:val="center"/>
              <w:ind w:right="1300"/>
              <w:spacing w:after="0"/>
              <w:rPr>
                <w:sz w:val="20"/>
                <w:szCs w:val="20"/>
                <w:color w:val="auto"/>
              </w:rPr>
            </w:pPr>
            <w:r>
              <w:rPr>
                <w:rFonts w:ascii="Arial" w:cs="Arial" w:eastAsia="Arial" w:hAnsi="Arial"/>
                <w:sz w:val="22"/>
                <w:szCs w:val="22"/>
                <w:color w:val="auto"/>
                <w:w w:val="85"/>
              </w:rPr>
              <w:t>Year</w:t>
            </w:r>
          </w:p>
        </w:tc>
        <w:tc>
          <w:tcPr>
            <w:tcW w:w="1660" w:type="dxa"/>
            <w:vAlign w:val="bottom"/>
            <w:gridSpan w:val="2"/>
          </w:tcPr>
          <w:p>
            <w:pPr>
              <w:jc w:val="center"/>
              <w:ind w:right="900"/>
              <w:spacing w:after="0"/>
              <w:rPr>
                <w:sz w:val="20"/>
                <w:szCs w:val="20"/>
                <w:color w:val="auto"/>
              </w:rPr>
            </w:pPr>
            <w:r>
              <w:rPr>
                <w:rFonts w:ascii="Arial" w:cs="Arial" w:eastAsia="Arial" w:hAnsi="Arial"/>
                <w:sz w:val="22"/>
                <w:szCs w:val="22"/>
                <w:color w:val="auto"/>
                <w:w w:val="92"/>
              </w:rPr>
              <w:t>Quantity</w:t>
            </w:r>
          </w:p>
        </w:tc>
      </w:tr>
      <w:tr>
        <w:trPr>
          <w:trHeight w:val="20"/>
        </w:trPr>
        <w:tc>
          <w:tcPr>
            <w:tcW w:w="320" w:type="dxa"/>
            <w:vAlign w:val="bottom"/>
          </w:tcPr>
          <w:p>
            <w:pPr>
              <w:spacing w:after="0" w:line="20" w:lineRule="exact"/>
              <w:rPr>
                <w:sz w:val="1"/>
                <w:szCs w:val="1"/>
                <w:color w:val="auto"/>
              </w:rPr>
            </w:pPr>
          </w:p>
        </w:tc>
        <w:tc>
          <w:tcPr>
            <w:tcW w:w="24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50"/>
        </w:trPr>
        <w:tc>
          <w:tcPr>
            <w:tcW w:w="320" w:type="dxa"/>
            <w:vAlign w:val="bottom"/>
            <w:tcBorders>
              <w:bottom w:val="single" w:sz="8" w:color="auto"/>
            </w:tcBorders>
          </w:tcPr>
          <w:p>
            <w:pPr>
              <w:spacing w:after="0"/>
              <w:rPr>
                <w:sz w:val="21"/>
                <w:szCs w:val="21"/>
                <w:color w:val="auto"/>
              </w:rPr>
            </w:pPr>
          </w:p>
        </w:tc>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rPr>
              <w:t>[*CTR]</w:t>
            </w:r>
          </w:p>
        </w:tc>
        <w:tc>
          <w:tcPr>
            <w:tcW w:w="780" w:type="dxa"/>
            <w:vAlign w:val="bottom"/>
            <w:tcBorders>
              <w:bottom w:val="single" w:sz="8" w:color="auto"/>
            </w:tcBorders>
          </w:tcPr>
          <w:p>
            <w:pPr>
              <w:spacing w:after="0"/>
              <w:rPr>
                <w:sz w:val="21"/>
                <w:szCs w:val="21"/>
                <w:color w:val="auto"/>
              </w:rPr>
            </w:pPr>
          </w:p>
        </w:tc>
        <w:tc>
          <w:tcPr>
            <w:tcW w:w="3500" w:type="dxa"/>
            <w:vAlign w:val="bottom"/>
            <w:tcBorders>
              <w:bottom w:val="single" w:sz="8" w:color="auto"/>
            </w:tcBorders>
            <w:gridSpan w:val="3"/>
          </w:tcPr>
          <w:p>
            <w:pPr>
              <w:jc w:val="center"/>
              <w:ind w:right="1320"/>
              <w:spacing w:after="0"/>
              <w:rPr>
                <w:sz w:val="20"/>
                <w:szCs w:val="20"/>
                <w:color w:val="auto"/>
              </w:rPr>
            </w:pPr>
            <w:r>
              <w:rPr>
                <w:rFonts w:ascii="Arial" w:cs="Arial" w:eastAsia="Arial" w:hAnsi="Arial"/>
                <w:sz w:val="20"/>
                <w:szCs w:val="20"/>
                <w:color w:val="auto"/>
              </w:rPr>
              <w:t>[*CTR]</w:t>
            </w:r>
          </w:p>
        </w:tc>
        <w:tc>
          <w:tcPr>
            <w:tcW w:w="1660" w:type="dxa"/>
            <w:vAlign w:val="bottom"/>
            <w:tcBorders>
              <w:bottom w:val="single" w:sz="8" w:color="auto"/>
            </w:tcBorders>
            <w:gridSpan w:val="2"/>
          </w:tcPr>
          <w:p>
            <w:pPr>
              <w:jc w:val="center"/>
              <w:ind w:right="920"/>
              <w:spacing w:after="0"/>
              <w:rPr>
                <w:sz w:val="20"/>
                <w:szCs w:val="20"/>
                <w:color w:val="auto"/>
              </w:rPr>
            </w:pPr>
            <w:r>
              <w:rPr>
                <w:rFonts w:ascii="Arial" w:cs="Arial" w:eastAsia="Arial" w:hAnsi="Arial"/>
                <w:sz w:val="20"/>
                <w:szCs w:val="20"/>
                <w:color w:val="auto"/>
              </w:rPr>
              <w:t>[*CTR]</w:t>
            </w:r>
          </w:p>
        </w:tc>
      </w:tr>
      <w:tr>
        <w:trPr>
          <w:trHeight w:val="223"/>
        </w:trPr>
        <w:tc>
          <w:tcPr>
            <w:tcW w:w="32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gridSpan w:val="2"/>
          </w:tcPr>
          <w:p>
            <w:pPr>
              <w:jc w:val="center"/>
              <w:ind w:right="780"/>
              <w:spacing w:after="0" w:line="223" w:lineRule="exact"/>
              <w:rPr>
                <w:sz w:val="20"/>
                <w:szCs w:val="20"/>
                <w:color w:val="auto"/>
              </w:rPr>
            </w:pPr>
            <w:r>
              <w:rPr>
                <w:rFonts w:ascii="Arial" w:cs="Arial" w:eastAsia="Arial" w:hAnsi="Arial"/>
                <w:sz w:val="20"/>
                <w:szCs w:val="20"/>
                <w:color w:val="auto"/>
              </w:rPr>
              <w:t>[*CTR]</w:t>
            </w:r>
          </w:p>
        </w:tc>
        <w:tc>
          <w:tcPr>
            <w:tcW w:w="3500" w:type="dxa"/>
            <w:vAlign w:val="bottom"/>
            <w:tcBorders>
              <w:bottom w:val="single" w:sz="8" w:color="auto"/>
            </w:tcBorders>
            <w:gridSpan w:val="3"/>
          </w:tcPr>
          <w:p>
            <w:pPr>
              <w:jc w:val="center"/>
              <w:ind w:right="1320"/>
              <w:spacing w:after="0" w:line="223" w:lineRule="exact"/>
              <w:rPr>
                <w:sz w:val="20"/>
                <w:szCs w:val="20"/>
                <w:color w:val="auto"/>
              </w:rPr>
            </w:pPr>
            <w:r>
              <w:rPr>
                <w:rFonts w:ascii="Arial" w:cs="Arial" w:eastAsia="Arial" w:hAnsi="Arial"/>
                <w:sz w:val="20"/>
                <w:szCs w:val="20"/>
                <w:color w:val="auto"/>
              </w:rPr>
              <w:t>[*CTR]</w:t>
            </w:r>
          </w:p>
        </w:tc>
        <w:tc>
          <w:tcPr>
            <w:tcW w:w="1660" w:type="dxa"/>
            <w:vAlign w:val="bottom"/>
            <w:tcBorders>
              <w:bottom w:val="single" w:sz="8" w:color="auto"/>
            </w:tcBorders>
            <w:gridSpan w:val="2"/>
          </w:tcPr>
          <w:p>
            <w:pPr>
              <w:jc w:val="center"/>
              <w:ind w:right="920"/>
              <w:spacing w:after="0" w:line="223" w:lineRule="exact"/>
              <w:rPr>
                <w:sz w:val="20"/>
                <w:szCs w:val="20"/>
                <w:color w:val="auto"/>
              </w:rPr>
            </w:pPr>
            <w:r>
              <w:rPr>
                <w:rFonts w:ascii="Arial" w:cs="Arial" w:eastAsia="Arial" w:hAnsi="Arial"/>
                <w:sz w:val="20"/>
                <w:szCs w:val="20"/>
                <w:color w:val="auto"/>
              </w:rPr>
              <w:t>[*CTR]</w:t>
            </w:r>
          </w:p>
        </w:tc>
      </w:tr>
      <w:tr>
        <w:trPr>
          <w:trHeight w:val="223"/>
        </w:trPr>
        <w:tc>
          <w:tcPr>
            <w:tcW w:w="32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gridSpan w:val="2"/>
          </w:tcPr>
          <w:p>
            <w:pPr>
              <w:jc w:val="center"/>
              <w:ind w:right="780"/>
              <w:spacing w:after="0" w:line="223" w:lineRule="exact"/>
              <w:rPr>
                <w:sz w:val="20"/>
                <w:szCs w:val="20"/>
                <w:color w:val="auto"/>
              </w:rPr>
            </w:pPr>
            <w:r>
              <w:rPr>
                <w:rFonts w:ascii="Arial" w:cs="Arial" w:eastAsia="Arial" w:hAnsi="Arial"/>
                <w:sz w:val="20"/>
                <w:szCs w:val="20"/>
                <w:color w:val="auto"/>
              </w:rPr>
              <w:t>[*CTR]</w:t>
            </w:r>
          </w:p>
        </w:tc>
        <w:tc>
          <w:tcPr>
            <w:tcW w:w="3500" w:type="dxa"/>
            <w:vAlign w:val="bottom"/>
            <w:tcBorders>
              <w:bottom w:val="single" w:sz="8" w:color="auto"/>
            </w:tcBorders>
            <w:gridSpan w:val="3"/>
          </w:tcPr>
          <w:p>
            <w:pPr>
              <w:jc w:val="center"/>
              <w:ind w:right="1320"/>
              <w:spacing w:after="0" w:line="223" w:lineRule="exact"/>
              <w:rPr>
                <w:sz w:val="20"/>
                <w:szCs w:val="20"/>
                <w:color w:val="auto"/>
              </w:rPr>
            </w:pPr>
            <w:r>
              <w:rPr>
                <w:rFonts w:ascii="Arial" w:cs="Arial" w:eastAsia="Arial" w:hAnsi="Arial"/>
                <w:sz w:val="20"/>
                <w:szCs w:val="20"/>
                <w:color w:val="auto"/>
              </w:rPr>
              <w:t>[*CTR]</w:t>
            </w:r>
          </w:p>
        </w:tc>
        <w:tc>
          <w:tcPr>
            <w:tcW w:w="1660" w:type="dxa"/>
            <w:vAlign w:val="bottom"/>
            <w:tcBorders>
              <w:bottom w:val="single" w:sz="8" w:color="auto"/>
            </w:tcBorders>
            <w:gridSpan w:val="2"/>
          </w:tcPr>
          <w:p>
            <w:pPr>
              <w:jc w:val="center"/>
              <w:ind w:right="920"/>
              <w:spacing w:after="0" w:line="223" w:lineRule="exact"/>
              <w:rPr>
                <w:sz w:val="20"/>
                <w:szCs w:val="20"/>
                <w:color w:val="auto"/>
              </w:rPr>
            </w:pPr>
            <w:r>
              <w:rPr>
                <w:rFonts w:ascii="Arial" w:cs="Arial" w:eastAsia="Arial" w:hAnsi="Arial"/>
                <w:sz w:val="20"/>
                <w:szCs w:val="20"/>
                <w:color w:val="auto"/>
              </w:rPr>
              <w:t>[*CTR]</w:t>
            </w:r>
          </w:p>
        </w:tc>
      </w:tr>
      <w:tr>
        <w:trPr>
          <w:trHeight w:val="223"/>
        </w:trPr>
        <w:tc>
          <w:tcPr>
            <w:tcW w:w="32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gridSpan w:val="2"/>
          </w:tcPr>
          <w:p>
            <w:pPr>
              <w:jc w:val="center"/>
              <w:ind w:right="780"/>
              <w:spacing w:after="0" w:line="223" w:lineRule="exact"/>
              <w:rPr>
                <w:sz w:val="20"/>
                <w:szCs w:val="20"/>
                <w:color w:val="auto"/>
              </w:rPr>
            </w:pPr>
            <w:r>
              <w:rPr>
                <w:rFonts w:ascii="Arial" w:cs="Arial" w:eastAsia="Arial" w:hAnsi="Arial"/>
                <w:sz w:val="20"/>
                <w:szCs w:val="20"/>
                <w:color w:val="auto"/>
              </w:rPr>
              <w:t>[*CTR]</w:t>
            </w:r>
          </w:p>
        </w:tc>
        <w:tc>
          <w:tcPr>
            <w:tcW w:w="3500" w:type="dxa"/>
            <w:vAlign w:val="bottom"/>
            <w:tcBorders>
              <w:bottom w:val="single" w:sz="8" w:color="auto"/>
            </w:tcBorders>
            <w:gridSpan w:val="3"/>
          </w:tcPr>
          <w:p>
            <w:pPr>
              <w:jc w:val="center"/>
              <w:ind w:right="1320"/>
              <w:spacing w:after="0" w:line="223" w:lineRule="exact"/>
              <w:rPr>
                <w:sz w:val="20"/>
                <w:szCs w:val="20"/>
                <w:color w:val="auto"/>
              </w:rPr>
            </w:pPr>
            <w:r>
              <w:rPr>
                <w:rFonts w:ascii="Arial" w:cs="Arial" w:eastAsia="Arial" w:hAnsi="Arial"/>
                <w:sz w:val="20"/>
                <w:szCs w:val="20"/>
                <w:color w:val="auto"/>
              </w:rPr>
              <w:t>[*CTR]</w:t>
            </w:r>
          </w:p>
        </w:tc>
        <w:tc>
          <w:tcPr>
            <w:tcW w:w="1660" w:type="dxa"/>
            <w:vAlign w:val="bottom"/>
            <w:tcBorders>
              <w:bottom w:val="single" w:sz="8" w:color="auto"/>
            </w:tcBorders>
            <w:gridSpan w:val="2"/>
          </w:tcPr>
          <w:p>
            <w:pPr>
              <w:jc w:val="center"/>
              <w:ind w:right="920"/>
              <w:spacing w:after="0" w:line="223" w:lineRule="exact"/>
              <w:rPr>
                <w:sz w:val="20"/>
                <w:szCs w:val="20"/>
                <w:color w:val="auto"/>
              </w:rPr>
            </w:pPr>
            <w:r>
              <w:rPr>
                <w:rFonts w:ascii="Arial" w:cs="Arial" w:eastAsia="Arial" w:hAnsi="Arial"/>
                <w:sz w:val="20"/>
                <w:szCs w:val="20"/>
                <w:color w:val="auto"/>
              </w:rPr>
              <w:t>[*CTR]</w:t>
            </w:r>
          </w:p>
        </w:tc>
      </w:tr>
      <w:tr>
        <w:trPr>
          <w:trHeight w:val="223"/>
        </w:trPr>
        <w:tc>
          <w:tcPr>
            <w:tcW w:w="32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gridSpan w:val="2"/>
          </w:tcPr>
          <w:p>
            <w:pPr>
              <w:jc w:val="center"/>
              <w:ind w:right="780"/>
              <w:spacing w:after="0" w:line="223" w:lineRule="exact"/>
              <w:rPr>
                <w:sz w:val="20"/>
                <w:szCs w:val="20"/>
                <w:color w:val="auto"/>
              </w:rPr>
            </w:pPr>
            <w:r>
              <w:rPr>
                <w:rFonts w:ascii="Arial" w:cs="Arial" w:eastAsia="Arial" w:hAnsi="Arial"/>
                <w:sz w:val="20"/>
                <w:szCs w:val="20"/>
                <w:color w:val="auto"/>
              </w:rPr>
              <w:t>[*CTR]</w:t>
            </w:r>
          </w:p>
        </w:tc>
        <w:tc>
          <w:tcPr>
            <w:tcW w:w="3500" w:type="dxa"/>
            <w:vAlign w:val="bottom"/>
            <w:tcBorders>
              <w:bottom w:val="single" w:sz="8" w:color="auto"/>
            </w:tcBorders>
            <w:gridSpan w:val="3"/>
          </w:tcPr>
          <w:p>
            <w:pPr>
              <w:jc w:val="center"/>
              <w:ind w:right="1320"/>
              <w:spacing w:after="0" w:line="223" w:lineRule="exact"/>
              <w:rPr>
                <w:sz w:val="20"/>
                <w:szCs w:val="20"/>
                <w:color w:val="auto"/>
              </w:rPr>
            </w:pPr>
            <w:r>
              <w:rPr>
                <w:rFonts w:ascii="Arial" w:cs="Arial" w:eastAsia="Arial" w:hAnsi="Arial"/>
                <w:sz w:val="20"/>
                <w:szCs w:val="20"/>
                <w:color w:val="auto"/>
              </w:rPr>
              <w:t>[*CTR]</w:t>
            </w:r>
          </w:p>
        </w:tc>
        <w:tc>
          <w:tcPr>
            <w:tcW w:w="1660" w:type="dxa"/>
            <w:vAlign w:val="bottom"/>
            <w:tcBorders>
              <w:bottom w:val="single" w:sz="8" w:color="auto"/>
            </w:tcBorders>
            <w:gridSpan w:val="2"/>
          </w:tcPr>
          <w:p>
            <w:pPr>
              <w:jc w:val="center"/>
              <w:ind w:right="920"/>
              <w:spacing w:after="0" w:line="223" w:lineRule="exact"/>
              <w:rPr>
                <w:sz w:val="20"/>
                <w:szCs w:val="20"/>
                <w:color w:val="auto"/>
              </w:rPr>
            </w:pPr>
            <w:r>
              <w:rPr>
                <w:rFonts w:ascii="Arial" w:cs="Arial" w:eastAsia="Arial" w:hAnsi="Arial"/>
                <w:sz w:val="20"/>
                <w:szCs w:val="20"/>
                <w:color w:val="auto"/>
              </w:rPr>
              <w:t>[*CTR]</w:t>
            </w:r>
          </w:p>
        </w:tc>
      </w:tr>
      <w:tr>
        <w:trPr>
          <w:trHeight w:val="223"/>
        </w:trPr>
        <w:tc>
          <w:tcPr>
            <w:tcW w:w="32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gridSpan w:val="2"/>
          </w:tcPr>
          <w:p>
            <w:pPr>
              <w:jc w:val="center"/>
              <w:ind w:right="780"/>
              <w:spacing w:after="0" w:line="223" w:lineRule="exact"/>
              <w:rPr>
                <w:sz w:val="20"/>
                <w:szCs w:val="20"/>
                <w:color w:val="auto"/>
              </w:rPr>
            </w:pPr>
            <w:r>
              <w:rPr>
                <w:rFonts w:ascii="Arial" w:cs="Arial" w:eastAsia="Arial" w:hAnsi="Arial"/>
                <w:sz w:val="20"/>
                <w:szCs w:val="20"/>
                <w:color w:val="auto"/>
              </w:rPr>
              <w:t>[*CTR]</w:t>
            </w:r>
          </w:p>
        </w:tc>
        <w:tc>
          <w:tcPr>
            <w:tcW w:w="3500" w:type="dxa"/>
            <w:vAlign w:val="bottom"/>
            <w:tcBorders>
              <w:bottom w:val="single" w:sz="8" w:color="auto"/>
            </w:tcBorders>
            <w:gridSpan w:val="3"/>
          </w:tcPr>
          <w:p>
            <w:pPr>
              <w:jc w:val="center"/>
              <w:ind w:right="1320"/>
              <w:spacing w:after="0" w:line="223" w:lineRule="exact"/>
              <w:rPr>
                <w:sz w:val="20"/>
                <w:szCs w:val="20"/>
                <w:color w:val="auto"/>
              </w:rPr>
            </w:pPr>
            <w:r>
              <w:rPr>
                <w:rFonts w:ascii="Arial" w:cs="Arial" w:eastAsia="Arial" w:hAnsi="Arial"/>
                <w:sz w:val="20"/>
                <w:szCs w:val="20"/>
                <w:color w:val="auto"/>
              </w:rPr>
              <w:t>[*CTR]</w:t>
            </w:r>
          </w:p>
        </w:tc>
        <w:tc>
          <w:tcPr>
            <w:tcW w:w="1660" w:type="dxa"/>
            <w:vAlign w:val="bottom"/>
            <w:tcBorders>
              <w:bottom w:val="single" w:sz="8" w:color="auto"/>
            </w:tcBorders>
            <w:gridSpan w:val="2"/>
          </w:tcPr>
          <w:p>
            <w:pPr>
              <w:jc w:val="center"/>
              <w:ind w:right="920"/>
              <w:spacing w:after="0" w:line="223" w:lineRule="exact"/>
              <w:rPr>
                <w:sz w:val="20"/>
                <w:szCs w:val="20"/>
                <w:color w:val="auto"/>
              </w:rPr>
            </w:pPr>
            <w:r>
              <w:rPr>
                <w:rFonts w:ascii="Arial" w:cs="Arial" w:eastAsia="Arial" w:hAnsi="Arial"/>
                <w:sz w:val="20"/>
                <w:szCs w:val="20"/>
                <w:color w:val="auto"/>
              </w:rPr>
              <w:t>[*CTR]</w:t>
            </w:r>
          </w:p>
        </w:tc>
      </w:tr>
      <w:tr>
        <w:trPr>
          <w:trHeight w:val="223"/>
        </w:trPr>
        <w:tc>
          <w:tcPr>
            <w:tcW w:w="32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gridSpan w:val="2"/>
          </w:tcPr>
          <w:p>
            <w:pPr>
              <w:jc w:val="center"/>
              <w:ind w:right="780"/>
              <w:spacing w:after="0" w:line="223" w:lineRule="exact"/>
              <w:rPr>
                <w:sz w:val="20"/>
                <w:szCs w:val="20"/>
                <w:color w:val="auto"/>
              </w:rPr>
            </w:pPr>
            <w:r>
              <w:rPr>
                <w:rFonts w:ascii="Arial" w:cs="Arial" w:eastAsia="Arial" w:hAnsi="Arial"/>
                <w:sz w:val="20"/>
                <w:szCs w:val="20"/>
                <w:color w:val="auto"/>
              </w:rPr>
              <w:t>[*CTR]</w:t>
            </w:r>
          </w:p>
        </w:tc>
        <w:tc>
          <w:tcPr>
            <w:tcW w:w="3500" w:type="dxa"/>
            <w:vAlign w:val="bottom"/>
            <w:tcBorders>
              <w:bottom w:val="single" w:sz="8" w:color="auto"/>
            </w:tcBorders>
            <w:gridSpan w:val="3"/>
          </w:tcPr>
          <w:p>
            <w:pPr>
              <w:jc w:val="center"/>
              <w:ind w:right="1320"/>
              <w:spacing w:after="0" w:line="223" w:lineRule="exact"/>
              <w:rPr>
                <w:sz w:val="20"/>
                <w:szCs w:val="20"/>
                <w:color w:val="auto"/>
              </w:rPr>
            </w:pPr>
            <w:r>
              <w:rPr>
                <w:rFonts w:ascii="Arial" w:cs="Arial" w:eastAsia="Arial" w:hAnsi="Arial"/>
                <w:sz w:val="20"/>
                <w:szCs w:val="20"/>
                <w:color w:val="auto"/>
              </w:rPr>
              <w:t>[*CTR]</w:t>
            </w:r>
          </w:p>
        </w:tc>
        <w:tc>
          <w:tcPr>
            <w:tcW w:w="1660" w:type="dxa"/>
            <w:vAlign w:val="bottom"/>
            <w:tcBorders>
              <w:bottom w:val="single" w:sz="8" w:color="auto"/>
            </w:tcBorders>
            <w:gridSpan w:val="2"/>
          </w:tcPr>
          <w:p>
            <w:pPr>
              <w:jc w:val="center"/>
              <w:ind w:right="920"/>
              <w:spacing w:after="0" w:line="223" w:lineRule="exact"/>
              <w:rPr>
                <w:sz w:val="20"/>
                <w:szCs w:val="20"/>
                <w:color w:val="auto"/>
              </w:rPr>
            </w:pPr>
            <w:r>
              <w:rPr>
                <w:rFonts w:ascii="Arial" w:cs="Arial" w:eastAsia="Arial" w:hAnsi="Arial"/>
                <w:sz w:val="20"/>
                <w:szCs w:val="20"/>
                <w:color w:val="auto"/>
              </w:rPr>
              <w:t>[*CTR]</w:t>
            </w:r>
          </w:p>
        </w:tc>
      </w:tr>
      <w:tr>
        <w:trPr>
          <w:trHeight w:val="223"/>
        </w:trPr>
        <w:tc>
          <w:tcPr>
            <w:tcW w:w="32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gridSpan w:val="2"/>
          </w:tcPr>
          <w:p>
            <w:pPr>
              <w:jc w:val="center"/>
              <w:ind w:right="780"/>
              <w:spacing w:after="0" w:line="223" w:lineRule="exact"/>
              <w:rPr>
                <w:sz w:val="20"/>
                <w:szCs w:val="20"/>
                <w:color w:val="auto"/>
              </w:rPr>
            </w:pPr>
            <w:r>
              <w:rPr>
                <w:rFonts w:ascii="Arial" w:cs="Arial" w:eastAsia="Arial" w:hAnsi="Arial"/>
                <w:sz w:val="20"/>
                <w:szCs w:val="20"/>
                <w:color w:val="auto"/>
              </w:rPr>
              <w:t>[*CTR]</w:t>
            </w:r>
          </w:p>
        </w:tc>
        <w:tc>
          <w:tcPr>
            <w:tcW w:w="3500" w:type="dxa"/>
            <w:vAlign w:val="bottom"/>
            <w:tcBorders>
              <w:bottom w:val="single" w:sz="8" w:color="auto"/>
            </w:tcBorders>
            <w:gridSpan w:val="3"/>
          </w:tcPr>
          <w:p>
            <w:pPr>
              <w:jc w:val="center"/>
              <w:ind w:right="1320"/>
              <w:spacing w:after="0" w:line="223" w:lineRule="exact"/>
              <w:rPr>
                <w:sz w:val="20"/>
                <w:szCs w:val="20"/>
                <w:color w:val="auto"/>
              </w:rPr>
            </w:pPr>
            <w:r>
              <w:rPr>
                <w:rFonts w:ascii="Arial" w:cs="Arial" w:eastAsia="Arial" w:hAnsi="Arial"/>
                <w:sz w:val="20"/>
                <w:szCs w:val="20"/>
                <w:color w:val="auto"/>
              </w:rPr>
              <w:t>[*CTR]</w:t>
            </w:r>
          </w:p>
        </w:tc>
        <w:tc>
          <w:tcPr>
            <w:tcW w:w="1660" w:type="dxa"/>
            <w:vAlign w:val="bottom"/>
            <w:tcBorders>
              <w:bottom w:val="single" w:sz="8" w:color="auto"/>
            </w:tcBorders>
            <w:gridSpan w:val="2"/>
          </w:tcPr>
          <w:p>
            <w:pPr>
              <w:jc w:val="center"/>
              <w:ind w:right="920"/>
              <w:spacing w:after="0" w:line="223" w:lineRule="exact"/>
              <w:rPr>
                <w:sz w:val="20"/>
                <w:szCs w:val="20"/>
                <w:color w:val="auto"/>
              </w:rPr>
            </w:pPr>
            <w:r>
              <w:rPr>
                <w:rFonts w:ascii="Arial" w:cs="Arial" w:eastAsia="Arial" w:hAnsi="Arial"/>
                <w:sz w:val="20"/>
                <w:szCs w:val="20"/>
                <w:color w:val="auto"/>
              </w:rPr>
              <w:t>[*CTR]</w:t>
            </w:r>
          </w:p>
        </w:tc>
      </w:tr>
      <w:tr>
        <w:trPr>
          <w:trHeight w:val="223"/>
        </w:trPr>
        <w:tc>
          <w:tcPr>
            <w:tcW w:w="32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gridSpan w:val="2"/>
          </w:tcPr>
          <w:p>
            <w:pPr>
              <w:jc w:val="center"/>
              <w:ind w:right="780"/>
              <w:spacing w:after="0" w:line="223" w:lineRule="exact"/>
              <w:rPr>
                <w:sz w:val="20"/>
                <w:szCs w:val="20"/>
                <w:color w:val="auto"/>
              </w:rPr>
            </w:pPr>
            <w:r>
              <w:rPr>
                <w:rFonts w:ascii="Arial" w:cs="Arial" w:eastAsia="Arial" w:hAnsi="Arial"/>
                <w:sz w:val="20"/>
                <w:szCs w:val="20"/>
                <w:color w:val="auto"/>
              </w:rPr>
              <w:t>[*CTR]</w:t>
            </w:r>
          </w:p>
        </w:tc>
        <w:tc>
          <w:tcPr>
            <w:tcW w:w="3500" w:type="dxa"/>
            <w:vAlign w:val="bottom"/>
            <w:tcBorders>
              <w:bottom w:val="single" w:sz="8" w:color="auto"/>
            </w:tcBorders>
            <w:gridSpan w:val="3"/>
          </w:tcPr>
          <w:p>
            <w:pPr>
              <w:jc w:val="center"/>
              <w:ind w:right="1320"/>
              <w:spacing w:after="0" w:line="223" w:lineRule="exact"/>
              <w:rPr>
                <w:sz w:val="20"/>
                <w:szCs w:val="20"/>
                <w:color w:val="auto"/>
              </w:rPr>
            </w:pPr>
            <w:r>
              <w:rPr>
                <w:rFonts w:ascii="Arial" w:cs="Arial" w:eastAsia="Arial" w:hAnsi="Arial"/>
                <w:sz w:val="20"/>
                <w:szCs w:val="20"/>
                <w:color w:val="auto"/>
              </w:rPr>
              <w:t>[*CTR]</w:t>
            </w:r>
          </w:p>
        </w:tc>
        <w:tc>
          <w:tcPr>
            <w:tcW w:w="1660" w:type="dxa"/>
            <w:vAlign w:val="bottom"/>
            <w:tcBorders>
              <w:bottom w:val="single" w:sz="8" w:color="auto"/>
            </w:tcBorders>
            <w:gridSpan w:val="2"/>
          </w:tcPr>
          <w:p>
            <w:pPr>
              <w:jc w:val="center"/>
              <w:ind w:right="920"/>
              <w:spacing w:after="0" w:line="223" w:lineRule="exact"/>
              <w:rPr>
                <w:sz w:val="20"/>
                <w:szCs w:val="20"/>
                <w:color w:val="auto"/>
              </w:rPr>
            </w:pPr>
            <w:r>
              <w:rPr>
                <w:rFonts w:ascii="Arial" w:cs="Arial" w:eastAsia="Arial" w:hAnsi="Arial"/>
                <w:sz w:val="20"/>
                <w:szCs w:val="20"/>
                <w:color w:val="auto"/>
              </w:rPr>
              <w:t>[*CTR]</w:t>
            </w:r>
          </w:p>
        </w:tc>
      </w:tr>
      <w:tr>
        <w:trPr>
          <w:trHeight w:val="223"/>
        </w:trPr>
        <w:tc>
          <w:tcPr>
            <w:tcW w:w="32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gridSpan w:val="2"/>
          </w:tcPr>
          <w:p>
            <w:pPr>
              <w:jc w:val="center"/>
              <w:ind w:right="780"/>
              <w:spacing w:after="0" w:line="223" w:lineRule="exact"/>
              <w:rPr>
                <w:sz w:val="20"/>
                <w:szCs w:val="20"/>
                <w:color w:val="auto"/>
              </w:rPr>
            </w:pPr>
            <w:r>
              <w:rPr>
                <w:rFonts w:ascii="Arial" w:cs="Arial" w:eastAsia="Arial" w:hAnsi="Arial"/>
                <w:sz w:val="20"/>
                <w:szCs w:val="20"/>
                <w:color w:val="auto"/>
              </w:rPr>
              <w:t>[*CTR]</w:t>
            </w:r>
          </w:p>
        </w:tc>
        <w:tc>
          <w:tcPr>
            <w:tcW w:w="3500" w:type="dxa"/>
            <w:vAlign w:val="bottom"/>
            <w:tcBorders>
              <w:bottom w:val="single" w:sz="8" w:color="auto"/>
            </w:tcBorders>
            <w:gridSpan w:val="3"/>
          </w:tcPr>
          <w:p>
            <w:pPr>
              <w:jc w:val="center"/>
              <w:ind w:right="1320"/>
              <w:spacing w:after="0" w:line="223" w:lineRule="exact"/>
              <w:rPr>
                <w:sz w:val="20"/>
                <w:szCs w:val="20"/>
                <w:color w:val="auto"/>
              </w:rPr>
            </w:pPr>
            <w:r>
              <w:rPr>
                <w:rFonts w:ascii="Arial" w:cs="Arial" w:eastAsia="Arial" w:hAnsi="Arial"/>
                <w:sz w:val="20"/>
                <w:szCs w:val="20"/>
                <w:color w:val="auto"/>
              </w:rPr>
              <w:t>[*CTR]</w:t>
            </w:r>
          </w:p>
        </w:tc>
        <w:tc>
          <w:tcPr>
            <w:tcW w:w="1660" w:type="dxa"/>
            <w:vAlign w:val="bottom"/>
            <w:tcBorders>
              <w:bottom w:val="single" w:sz="8" w:color="auto"/>
            </w:tcBorders>
            <w:gridSpan w:val="2"/>
          </w:tcPr>
          <w:p>
            <w:pPr>
              <w:jc w:val="center"/>
              <w:ind w:right="920"/>
              <w:spacing w:after="0" w:line="223" w:lineRule="exact"/>
              <w:rPr>
                <w:sz w:val="20"/>
                <w:szCs w:val="20"/>
                <w:color w:val="auto"/>
              </w:rPr>
            </w:pPr>
            <w:r>
              <w:rPr>
                <w:rFonts w:ascii="Arial" w:cs="Arial" w:eastAsia="Arial" w:hAnsi="Arial"/>
                <w:sz w:val="20"/>
                <w:szCs w:val="20"/>
                <w:color w:val="auto"/>
              </w:rPr>
              <w:t>[*CTR]</w:t>
            </w:r>
          </w:p>
        </w:tc>
      </w:tr>
      <w:tr>
        <w:trPr>
          <w:trHeight w:val="223"/>
        </w:trPr>
        <w:tc>
          <w:tcPr>
            <w:tcW w:w="32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gridSpan w:val="2"/>
          </w:tcPr>
          <w:p>
            <w:pPr>
              <w:jc w:val="center"/>
              <w:ind w:right="780"/>
              <w:spacing w:after="0" w:line="223" w:lineRule="exact"/>
              <w:rPr>
                <w:sz w:val="20"/>
                <w:szCs w:val="20"/>
                <w:color w:val="auto"/>
              </w:rPr>
            </w:pPr>
            <w:r>
              <w:rPr>
                <w:rFonts w:ascii="Arial" w:cs="Arial" w:eastAsia="Arial" w:hAnsi="Arial"/>
                <w:sz w:val="20"/>
                <w:szCs w:val="20"/>
                <w:color w:val="auto"/>
              </w:rPr>
              <w:t>[*CTR]</w:t>
            </w:r>
          </w:p>
        </w:tc>
        <w:tc>
          <w:tcPr>
            <w:tcW w:w="3500" w:type="dxa"/>
            <w:vAlign w:val="bottom"/>
            <w:tcBorders>
              <w:bottom w:val="single" w:sz="8" w:color="auto"/>
            </w:tcBorders>
            <w:gridSpan w:val="3"/>
          </w:tcPr>
          <w:p>
            <w:pPr>
              <w:jc w:val="center"/>
              <w:ind w:right="1320"/>
              <w:spacing w:after="0" w:line="223" w:lineRule="exact"/>
              <w:rPr>
                <w:sz w:val="20"/>
                <w:szCs w:val="20"/>
                <w:color w:val="auto"/>
              </w:rPr>
            </w:pPr>
            <w:r>
              <w:rPr>
                <w:rFonts w:ascii="Arial" w:cs="Arial" w:eastAsia="Arial" w:hAnsi="Arial"/>
                <w:sz w:val="20"/>
                <w:szCs w:val="20"/>
                <w:color w:val="auto"/>
              </w:rPr>
              <w:t>[*CTR]</w:t>
            </w:r>
          </w:p>
        </w:tc>
        <w:tc>
          <w:tcPr>
            <w:tcW w:w="1660" w:type="dxa"/>
            <w:vAlign w:val="bottom"/>
            <w:tcBorders>
              <w:bottom w:val="single" w:sz="8" w:color="auto"/>
            </w:tcBorders>
            <w:gridSpan w:val="2"/>
          </w:tcPr>
          <w:p>
            <w:pPr>
              <w:jc w:val="center"/>
              <w:ind w:right="920"/>
              <w:spacing w:after="0" w:line="223" w:lineRule="exact"/>
              <w:rPr>
                <w:sz w:val="20"/>
                <w:szCs w:val="20"/>
                <w:color w:val="auto"/>
              </w:rPr>
            </w:pPr>
            <w:r>
              <w:rPr>
                <w:rFonts w:ascii="Arial" w:cs="Arial" w:eastAsia="Arial" w:hAnsi="Arial"/>
                <w:sz w:val="20"/>
                <w:szCs w:val="20"/>
                <w:color w:val="auto"/>
              </w:rPr>
              <w:t>[*CTR]</w:t>
            </w:r>
          </w:p>
        </w:tc>
      </w:tr>
      <w:tr>
        <w:trPr>
          <w:trHeight w:val="223"/>
        </w:trPr>
        <w:tc>
          <w:tcPr>
            <w:tcW w:w="32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gridSpan w:val="2"/>
          </w:tcPr>
          <w:p>
            <w:pPr>
              <w:jc w:val="center"/>
              <w:ind w:right="780"/>
              <w:spacing w:after="0" w:line="223" w:lineRule="exact"/>
              <w:rPr>
                <w:sz w:val="20"/>
                <w:szCs w:val="20"/>
                <w:color w:val="auto"/>
              </w:rPr>
            </w:pPr>
            <w:r>
              <w:rPr>
                <w:rFonts w:ascii="Arial" w:cs="Arial" w:eastAsia="Arial" w:hAnsi="Arial"/>
                <w:sz w:val="20"/>
                <w:szCs w:val="20"/>
                <w:color w:val="auto"/>
              </w:rPr>
              <w:t>[*CTR]</w:t>
            </w:r>
          </w:p>
        </w:tc>
        <w:tc>
          <w:tcPr>
            <w:tcW w:w="3500" w:type="dxa"/>
            <w:vAlign w:val="bottom"/>
            <w:tcBorders>
              <w:bottom w:val="single" w:sz="8" w:color="auto"/>
            </w:tcBorders>
            <w:gridSpan w:val="3"/>
          </w:tcPr>
          <w:p>
            <w:pPr>
              <w:jc w:val="center"/>
              <w:ind w:right="1320"/>
              <w:spacing w:after="0" w:line="223" w:lineRule="exact"/>
              <w:rPr>
                <w:sz w:val="20"/>
                <w:szCs w:val="20"/>
                <w:color w:val="auto"/>
              </w:rPr>
            </w:pPr>
            <w:r>
              <w:rPr>
                <w:rFonts w:ascii="Arial" w:cs="Arial" w:eastAsia="Arial" w:hAnsi="Arial"/>
                <w:sz w:val="20"/>
                <w:szCs w:val="20"/>
                <w:color w:val="auto"/>
              </w:rPr>
              <w:t>[*CTR]</w:t>
            </w:r>
          </w:p>
        </w:tc>
        <w:tc>
          <w:tcPr>
            <w:tcW w:w="1660" w:type="dxa"/>
            <w:vAlign w:val="bottom"/>
            <w:tcBorders>
              <w:bottom w:val="single" w:sz="8" w:color="auto"/>
            </w:tcBorders>
            <w:gridSpan w:val="2"/>
          </w:tcPr>
          <w:p>
            <w:pPr>
              <w:jc w:val="center"/>
              <w:ind w:right="920"/>
              <w:spacing w:after="0" w:line="223" w:lineRule="exact"/>
              <w:rPr>
                <w:sz w:val="20"/>
                <w:szCs w:val="20"/>
                <w:color w:val="auto"/>
              </w:rPr>
            </w:pPr>
            <w:r>
              <w:rPr>
                <w:rFonts w:ascii="Arial" w:cs="Arial" w:eastAsia="Arial" w:hAnsi="Arial"/>
                <w:sz w:val="20"/>
                <w:szCs w:val="20"/>
                <w:color w:val="auto"/>
              </w:rPr>
              <w:t>[*CTR]</w:t>
            </w:r>
          </w:p>
        </w:tc>
      </w:tr>
      <w:tr>
        <w:trPr>
          <w:trHeight w:val="223"/>
        </w:trPr>
        <w:tc>
          <w:tcPr>
            <w:tcW w:w="32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gridSpan w:val="2"/>
          </w:tcPr>
          <w:p>
            <w:pPr>
              <w:jc w:val="center"/>
              <w:ind w:right="780"/>
              <w:spacing w:after="0" w:line="223" w:lineRule="exact"/>
              <w:rPr>
                <w:sz w:val="20"/>
                <w:szCs w:val="20"/>
                <w:color w:val="auto"/>
              </w:rPr>
            </w:pPr>
            <w:r>
              <w:rPr>
                <w:rFonts w:ascii="Arial" w:cs="Arial" w:eastAsia="Arial" w:hAnsi="Arial"/>
                <w:sz w:val="20"/>
                <w:szCs w:val="20"/>
                <w:color w:val="auto"/>
              </w:rPr>
              <w:t>[*CTR]</w:t>
            </w:r>
          </w:p>
        </w:tc>
        <w:tc>
          <w:tcPr>
            <w:tcW w:w="3500" w:type="dxa"/>
            <w:vAlign w:val="bottom"/>
            <w:tcBorders>
              <w:bottom w:val="single" w:sz="8" w:color="auto"/>
            </w:tcBorders>
            <w:gridSpan w:val="3"/>
          </w:tcPr>
          <w:p>
            <w:pPr>
              <w:jc w:val="center"/>
              <w:ind w:right="1320"/>
              <w:spacing w:after="0" w:line="223" w:lineRule="exact"/>
              <w:rPr>
                <w:sz w:val="20"/>
                <w:szCs w:val="20"/>
                <w:color w:val="auto"/>
              </w:rPr>
            </w:pPr>
            <w:r>
              <w:rPr>
                <w:rFonts w:ascii="Arial" w:cs="Arial" w:eastAsia="Arial" w:hAnsi="Arial"/>
                <w:sz w:val="20"/>
                <w:szCs w:val="20"/>
                <w:color w:val="auto"/>
              </w:rPr>
              <w:t>[*CTR]</w:t>
            </w:r>
          </w:p>
        </w:tc>
        <w:tc>
          <w:tcPr>
            <w:tcW w:w="1660" w:type="dxa"/>
            <w:vAlign w:val="bottom"/>
            <w:tcBorders>
              <w:bottom w:val="single" w:sz="8" w:color="auto"/>
            </w:tcBorders>
            <w:gridSpan w:val="2"/>
          </w:tcPr>
          <w:p>
            <w:pPr>
              <w:jc w:val="center"/>
              <w:ind w:right="920"/>
              <w:spacing w:after="0" w:line="223" w:lineRule="exact"/>
              <w:rPr>
                <w:sz w:val="20"/>
                <w:szCs w:val="20"/>
                <w:color w:val="auto"/>
              </w:rPr>
            </w:pPr>
            <w:r>
              <w:rPr>
                <w:rFonts w:ascii="Arial" w:cs="Arial" w:eastAsia="Arial" w:hAnsi="Arial"/>
                <w:sz w:val="20"/>
                <w:szCs w:val="20"/>
                <w:color w:val="auto"/>
              </w:rPr>
              <w:t>[*CTR]</w:t>
            </w:r>
          </w:p>
        </w:tc>
      </w:tr>
      <w:tr>
        <w:trPr>
          <w:trHeight w:val="223"/>
        </w:trPr>
        <w:tc>
          <w:tcPr>
            <w:tcW w:w="32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gridSpan w:val="2"/>
          </w:tcPr>
          <w:p>
            <w:pPr>
              <w:jc w:val="center"/>
              <w:ind w:right="780"/>
              <w:spacing w:after="0" w:line="223" w:lineRule="exact"/>
              <w:rPr>
                <w:sz w:val="20"/>
                <w:szCs w:val="20"/>
                <w:color w:val="auto"/>
              </w:rPr>
            </w:pPr>
            <w:r>
              <w:rPr>
                <w:rFonts w:ascii="Arial" w:cs="Arial" w:eastAsia="Arial" w:hAnsi="Arial"/>
                <w:sz w:val="20"/>
                <w:szCs w:val="20"/>
                <w:color w:val="auto"/>
              </w:rPr>
              <w:t>[*CTR]</w:t>
            </w:r>
          </w:p>
        </w:tc>
        <w:tc>
          <w:tcPr>
            <w:tcW w:w="3500" w:type="dxa"/>
            <w:vAlign w:val="bottom"/>
            <w:tcBorders>
              <w:bottom w:val="single" w:sz="8" w:color="auto"/>
            </w:tcBorders>
            <w:gridSpan w:val="3"/>
          </w:tcPr>
          <w:p>
            <w:pPr>
              <w:jc w:val="center"/>
              <w:ind w:right="1320"/>
              <w:spacing w:after="0" w:line="223" w:lineRule="exact"/>
              <w:rPr>
                <w:sz w:val="20"/>
                <w:szCs w:val="20"/>
                <w:color w:val="auto"/>
              </w:rPr>
            </w:pPr>
            <w:r>
              <w:rPr>
                <w:rFonts w:ascii="Arial" w:cs="Arial" w:eastAsia="Arial" w:hAnsi="Arial"/>
                <w:sz w:val="20"/>
                <w:szCs w:val="20"/>
                <w:color w:val="auto"/>
              </w:rPr>
              <w:t>[*CTR]</w:t>
            </w:r>
          </w:p>
        </w:tc>
        <w:tc>
          <w:tcPr>
            <w:tcW w:w="1660" w:type="dxa"/>
            <w:vAlign w:val="bottom"/>
            <w:tcBorders>
              <w:bottom w:val="single" w:sz="8" w:color="auto"/>
            </w:tcBorders>
            <w:gridSpan w:val="2"/>
          </w:tcPr>
          <w:p>
            <w:pPr>
              <w:jc w:val="center"/>
              <w:ind w:right="920"/>
              <w:spacing w:after="0" w:line="223" w:lineRule="exact"/>
              <w:rPr>
                <w:sz w:val="20"/>
                <w:szCs w:val="20"/>
                <w:color w:val="auto"/>
              </w:rPr>
            </w:pPr>
            <w:r>
              <w:rPr>
                <w:rFonts w:ascii="Arial" w:cs="Arial" w:eastAsia="Arial" w:hAnsi="Arial"/>
                <w:sz w:val="20"/>
                <w:szCs w:val="20"/>
                <w:color w:val="auto"/>
              </w:rPr>
              <w:t>[*CTR]</w:t>
            </w:r>
          </w:p>
        </w:tc>
      </w:tr>
      <w:tr>
        <w:trPr>
          <w:trHeight w:val="223"/>
        </w:trPr>
        <w:tc>
          <w:tcPr>
            <w:tcW w:w="32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gridSpan w:val="2"/>
          </w:tcPr>
          <w:p>
            <w:pPr>
              <w:jc w:val="center"/>
              <w:ind w:right="780"/>
              <w:spacing w:after="0" w:line="223" w:lineRule="exact"/>
              <w:rPr>
                <w:sz w:val="20"/>
                <w:szCs w:val="20"/>
                <w:color w:val="auto"/>
              </w:rPr>
            </w:pPr>
            <w:r>
              <w:rPr>
                <w:rFonts w:ascii="Arial" w:cs="Arial" w:eastAsia="Arial" w:hAnsi="Arial"/>
                <w:sz w:val="20"/>
                <w:szCs w:val="20"/>
                <w:color w:val="auto"/>
              </w:rPr>
              <w:t>[*CTR]</w:t>
            </w:r>
          </w:p>
        </w:tc>
        <w:tc>
          <w:tcPr>
            <w:tcW w:w="3500" w:type="dxa"/>
            <w:vAlign w:val="bottom"/>
            <w:tcBorders>
              <w:bottom w:val="single" w:sz="8" w:color="auto"/>
            </w:tcBorders>
            <w:gridSpan w:val="3"/>
          </w:tcPr>
          <w:p>
            <w:pPr>
              <w:jc w:val="center"/>
              <w:ind w:right="1320"/>
              <w:spacing w:after="0" w:line="223" w:lineRule="exact"/>
              <w:rPr>
                <w:sz w:val="20"/>
                <w:szCs w:val="20"/>
                <w:color w:val="auto"/>
              </w:rPr>
            </w:pPr>
            <w:r>
              <w:rPr>
                <w:rFonts w:ascii="Arial" w:cs="Arial" w:eastAsia="Arial" w:hAnsi="Arial"/>
                <w:sz w:val="20"/>
                <w:szCs w:val="20"/>
                <w:color w:val="auto"/>
              </w:rPr>
              <w:t>[*CTR]</w:t>
            </w:r>
          </w:p>
        </w:tc>
        <w:tc>
          <w:tcPr>
            <w:tcW w:w="1660" w:type="dxa"/>
            <w:vAlign w:val="bottom"/>
            <w:tcBorders>
              <w:bottom w:val="single" w:sz="8" w:color="auto"/>
            </w:tcBorders>
            <w:gridSpan w:val="2"/>
          </w:tcPr>
          <w:p>
            <w:pPr>
              <w:jc w:val="center"/>
              <w:ind w:right="920"/>
              <w:spacing w:after="0" w:line="223" w:lineRule="exact"/>
              <w:rPr>
                <w:sz w:val="20"/>
                <w:szCs w:val="20"/>
                <w:color w:val="auto"/>
              </w:rPr>
            </w:pPr>
            <w:r>
              <w:rPr>
                <w:rFonts w:ascii="Arial" w:cs="Arial" w:eastAsia="Arial" w:hAnsi="Arial"/>
                <w:sz w:val="20"/>
                <w:szCs w:val="20"/>
                <w:color w:val="auto"/>
              </w:rPr>
              <w:t>[*CTR]</w:t>
            </w:r>
          </w:p>
        </w:tc>
      </w:tr>
      <w:tr>
        <w:trPr>
          <w:trHeight w:val="223"/>
        </w:trPr>
        <w:tc>
          <w:tcPr>
            <w:tcW w:w="32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gridSpan w:val="2"/>
          </w:tcPr>
          <w:p>
            <w:pPr>
              <w:jc w:val="center"/>
              <w:ind w:right="780"/>
              <w:spacing w:after="0" w:line="223" w:lineRule="exact"/>
              <w:rPr>
                <w:sz w:val="20"/>
                <w:szCs w:val="20"/>
                <w:color w:val="auto"/>
              </w:rPr>
            </w:pPr>
            <w:r>
              <w:rPr>
                <w:rFonts w:ascii="Arial" w:cs="Arial" w:eastAsia="Arial" w:hAnsi="Arial"/>
                <w:sz w:val="20"/>
                <w:szCs w:val="20"/>
                <w:color w:val="auto"/>
              </w:rPr>
              <w:t>[*CTR]</w:t>
            </w:r>
          </w:p>
        </w:tc>
        <w:tc>
          <w:tcPr>
            <w:tcW w:w="3500" w:type="dxa"/>
            <w:vAlign w:val="bottom"/>
            <w:tcBorders>
              <w:bottom w:val="single" w:sz="8" w:color="auto"/>
            </w:tcBorders>
            <w:gridSpan w:val="3"/>
          </w:tcPr>
          <w:p>
            <w:pPr>
              <w:jc w:val="center"/>
              <w:ind w:right="1320"/>
              <w:spacing w:after="0" w:line="223" w:lineRule="exact"/>
              <w:rPr>
                <w:sz w:val="20"/>
                <w:szCs w:val="20"/>
                <w:color w:val="auto"/>
              </w:rPr>
            </w:pPr>
            <w:r>
              <w:rPr>
                <w:rFonts w:ascii="Arial" w:cs="Arial" w:eastAsia="Arial" w:hAnsi="Arial"/>
                <w:sz w:val="20"/>
                <w:szCs w:val="20"/>
                <w:color w:val="auto"/>
              </w:rPr>
              <w:t>[*CTR]</w:t>
            </w:r>
          </w:p>
        </w:tc>
        <w:tc>
          <w:tcPr>
            <w:tcW w:w="1660" w:type="dxa"/>
            <w:vAlign w:val="bottom"/>
            <w:tcBorders>
              <w:bottom w:val="single" w:sz="8" w:color="auto"/>
            </w:tcBorders>
            <w:gridSpan w:val="2"/>
          </w:tcPr>
          <w:p>
            <w:pPr>
              <w:jc w:val="center"/>
              <w:ind w:right="920"/>
              <w:spacing w:after="0" w:line="223" w:lineRule="exact"/>
              <w:rPr>
                <w:sz w:val="20"/>
                <w:szCs w:val="20"/>
                <w:color w:val="auto"/>
              </w:rPr>
            </w:pPr>
            <w:r>
              <w:rPr>
                <w:rFonts w:ascii="Arial" w:cs="Arial" w:eastAsia="Arial" w:hAnsi="Arial"/>
                <w:sz w:val="20"/>
                <w:szCs w:val="20"/>
                <w:color w:val="auto"/>
              </w:rPr>
              <w:t>[*CTR]</w:t>
            </w:r>
          </w:p>
        </w:tc>
      </w:tr>
      <w:tr>
        <w:trPr>
          <w:trHeight w:val="223"/>
        </w:trPr>
        <w:tc>
          <w:tcPr>
            <w:tcW w:w="32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gridSpan w:val="2"/>
          </w:tcPr>
          <w:p>
            <w:pPr>
              <w:jc w:val="center"/>
              <w:ind w:right="780"/>
              <w:spacing w:after="0" w:line="223" w:lineRule="exact"/>
              <w:rPr>
                <w:sz w:val="20"/>
                <w:szCs w:val="20"/>
                <w:color w:val="auto"/>
              </w:rPr>
            </w:pPr>
            <w:r>
              <w:rPr>
                <w:rFonts w:ascii="Arial" w:cs="Arial" w:eastAsia="Arial" w:hAnsi="Arial"/>
                <w:sz w:val="20"/>
                <w:szCs w:val="20"/>
                <w:color w:val="auto"/>
              </w:rPr>
              <w:t>[*CTR]</w:t>
            </w:r>
          </w:p>
        </w:tc>
        <w:tc>
          <w:tcPr>
            <w:tcW w:w="3500" w:type="dxa"/>
            <w:vAlign w:val="bottom"/>
            <w:tcBorders>
              <w:bottom w:val="single" w:sz="8" w:color="auto"/>
            </w:tcBorders>
            <w:gridSpan w:val="3"/>
          </w:tcPr>
          <w:p>
            <w:pPr>
              <w:jc w:val="center"/>
              <w:ind w:right="1320"/>
              <w:spacing w:after="0" w:line="223" w:lineRule="exact"/>
              <w:rPr>
                <w:sz w:val="20"/>
                <w:szCs w:val="20"/>
                <w:color w:val="auto"/>
              </w:rPr>
            </w:pPr>
            <w:r>
              <w:rPr>
                <w:rFonts w:ascii="Arial" w:cs="Arial" w:eastAsia="Arial" w:hAnsi="Arial"/>
                <w:sz w:val="20"/>
                <w:szCs w:val="20"/>
                <w:color w:val="auto"/>
              </w:rPr>
              <w:t>[*CTR]</w:t>
            </w:r>
          </w:p>
        </w:tc>
        <w:tc>
          <w:tcPr>
            <w:tcW w:w="1660" w:type="dxa"/>
            <w:vAlign w:val="bottom"/>
            <w:tcBorders>
              <w:bottom w:val="single" w:sz="8" w:color="auto"/>
            </w:tcBorders>
            <w:gridSpan w:val="2"/>
          </w:tcPr>
          <w:p>
            <w:pPr>
              <w:jc w:val="center"/>
              <w:ind w:right="920"/>
              <w:spacing w:after="0" w:line="223" w:lineRule="exact"/>
              <w:rPr>
                <w:sz w:val="20"/>
                <w:szCs w:val="20"/>
                <w:color w:val="auto"/>
              </w:rPr>
            </w:pPr>
            <w:r>
              <w:rPr>
                <w:rFonts w:ascii="Arial" w:cs="Arial" w:eastAsia="Arial" w:hAnsi="Arial"/>
                <w:sz w:val="20"/>
                <w:szCs w:val="20"/>
                <w:color w:val="auto"/>
              </w:rPr>
              <w:t>[*CTR]</w:t>
            </w:r>
          </w:p>
        </w:tc>
      </w:tr>
      <w:tr>
        <w:trPr>
          <w:trHeight w:val="223"/>
        </w:trPr>
        <w:tc>
          <w:tcPr>
            <w:tcW w:w="32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gridSpan w:val="2"/>
          </w:tcPr>
          <w:p>
            <w:pPr>
              <w:jc w:val="center"/>
              <w:ind w:right="780"/>
              <w:spacing w:after="0" w:line="223" w:lineRule="exact"/>
              <w:rPr>
                <w:sz w:val="20"/>
                <w:szCs w:val="20"/>
                <w:color w:val="auto"/>
              </w:rPr>
            </w:pPr>
            <w:r>
              <w:rPr>
                <w:rFonts w:ascii="Arial" w:cs="Arial" w:eastAsia="Arial" w:hAnsi="Arial"/>
                <w:sz w:val="20"/>
                <w:szCs w:val="20"/>
                <w:color w:val="auto"/>
              </w:rPr>
              <w:t>[*CTR]</w:t>
            </w:r>
          </w:p>
        </w:tc>
        <w:tc>
          <w:tcPr>
            <w:tcW w:w="3500" w:type="dxa"/>
            <w:vAlign w:val="bottom"/>
            <w:tcBorders>
              <w:bottom w:val="single" w:sz="8" w:color="auto"/>
            </w:tcBorders>
            <w:gridSpan w:val="3"/>
          </w:tcPr>
          <w:p>
            <w:pPr>
              <w:jc w:val="center"/>
              <w:ind w:right="1320"/>
              <w:spacing w:after="0" w:line="223" w:lineRule="exact"/>
              <w:rPr>
                <w:sz w:val="20"/>
                <w:szCs w:val="20"/>
                <w:color w:val="auto"/>
              </w:rPr>
            </w:pPr>
            <w:r>
              <w:rPr>
                <w:rFonts w:ascii="Arial" w:cs="Arial" w:eastAsia="Arial" w:hAnsi="Arial"/>
                <w:sz w:val="20"/>
                <w:szCs w:val="20"/>
                <w:color w:val="auto"/>
              </w:rPr>
              <w:t>[*CTR]</w:t>
            </w:r>
          </w:p>
        </w:tc>
        <w:tc>
          <w:tcPr>
            <w:tcW w:w="1660" w:type="dxa"/>
            <w:vAlign w:val="bottom"/>
            <w:tcBorders>
              <w:bottom w:val="single" w:sz="8" w:color="auto"/>
            </w:tcBorders>
            <w:gridSpan w:val="2"/>
          </w:tcPr>
          <w:p>
            <w:pPr>
              <w:jc w:val="center"/>
              <w:ind w:right="920"/>
              <w:spacing w:after="0" w:line="223" w:lineRule="exact"/>
              <w:rPr>
                <w:sz w:val="20"/>
                <w:szCs w:val="20"/>
                <w:color w:val="auto"/>
              </w:rPr>
            </w:pPr>
            <w:r>
              <w:rPr>
                <w:rFonts w:ascii="Arial" w:cs="Arial" w:eastAsia="Arial" w:hAnsi="Arial"/>
                <w:sz w:val="20"/>
                <w:szCs w:val="20"/>
                <w:color w:val="auto"/>
              </w:rPr>
              <w:t>[*CTR]</w:t>
            </w:r>
          </w:p>
        </w:tc>
      </w:tr>
      <w:tr>
        <w:trPr>
          <w:trHeight w:val="244"/>
        </w:trPr>
        <w:tc>
          <w:tcPr>
            <w:tcW w:w="320" w:type="dxa"/>
            <w:vAlign w:val="bottom"/>
          </w:tcPr>
          <w:p>
            <w:pPr>
              <w:spacing w:after="0"/>
              <w:rPr>
                <w:sz w:val="21"/>
                <w:szCs w:val="21"/>
                <w:color w:val="auto"/>
              </w:rPr>
            </w:pPr>
          </w:p>
        </w:tc>
        <w:tc>
          <w:tcPr>
            <w:tcW w:w="3200" w:type="dxa"/>
            <w:vAlign w:val="bottom"/>
            <w:gridSpan w:val="2"/>
          </w:tcPr>
          <w:p>
            <w:pPr>
              <w:jc w:val="center"/>
              <w:ind w:right="780"/>
              <w:spacing w:after="0"/>
              <w:rPr>
                <w:sz w:val="20"/>
                <w:szCs w:val="20"/>
                <w:color w:val="auto"/>
              </w:rPr>
            </w:pPr>
            <w:r>
              <w:rPr>
                <w:rFonts w:ascii="Arial" w:cs="Arial" w:eastAsia="Arial" w:hAnsi="Arial"/>
                <w:sz w:val="20"/>
                <w:szCs w:val="20"/>
                <w:color w:val="auto"/>
              </w:rPr>
              <w:t>[*CTR]</w:t>
            </w:r>
          </w:p>
        </w:tc>
        <w:tc>
          <w:tcPr>
            <w:tcW w:w="9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1660" w:type="dxa"/>
            <w:vAlign w:val="bottom"/>
            <w:gridSpan w:val="2"/>
          </w:tcPr>
          <w:p>
            <w:pPr>
              <w:jc w:val="center"/>
              <w:ind w:right="920"/>
              <w:spacing w:after="0"/>
              <w:rPr>
                <w:sz w:val="20"/>
                <w:szCs w:val="20"/>
                <w:color w:val="auto"/>
              </w:rPr>
            </w:pPr>
            <w:r>
              <w:rPr>
                <w:rFonts w:ascii="Arial" w:cs="Arial" w:eastAsia="Arial" w:hAnsi="Arial"/>
                <w:sz w:val="20"/>
                <w:szCs w:val="20"/>
                <w:color w:val="auto"/>
              </w:rPr>
              <w:t>[*CTR]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149860</wp:posOffset>
            </wp:positionV>
            <wp:extent cx="550545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505450" cy="8890"/>
                    </a:xfrm>
                    <a:prstGeom prst="rect">
                      <a:avLst/>
                    </a:prstGeom>
                    <a:noFill/>
                  </pic:spPr>
                </pic:pic>
              </a:graphicData>
            </a:graphic>
          </wp:anchor>
        </w:drawing>
      </w:r>
    </w:p>
    <w:p>
      <w:pPr>
        <w:spacing w:after="0" w:line="368" w:lineRule="exact"/>
        <w:rPr>
          <w:sz w:val="20"/>
          <w:szCs w:val="20"/>
          <w:color w:val="auto"/>
        </w:rPr>
      </w:pPr>
    </w:p>
    <w:p>
      <w:pPr>
        <w:spacing w:after="0"/>
        <w:rPr>
          <w:sz w:val="20"/>
          <w:szCs w:val="20"/>
          <w:color w:val="auto"/>
        </w:rPr>
      </w:pPr>
      <w:r>
        <w:rPr>
          <w:rFonts w:ascii="Arial" w:cs="Arial" w:eastAsia="Arial" w:hAnsi="Arial"/>
          <w:sz w:val="16"/>
          <w:szCs w:val="16"/>
          <w:color w:val="auto"/>
        </w:rPr>
        <w:t>AA – Amendment No. 9 to</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Amended and Restated Airbus A350 XWB Purchase Agreement</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EXECUTION</w:t>
      </w:r>
    </w:p>
    <w:p>
      <w:pPr>
        <w:spacing w:after="0" w:line="19" w:lineRule="exact"/>
        <w:rPr>
          <w:sz w:val="20"/>
          <w:szCs w:val="20"/>
          <w:color w:val="auto"/>
        </w:rPr>
      </w:pPr>
    </w:p>
    <w:p>
      <w:pPr>
        <w:ind w:left="9620"/>
        <w:spacing w:after="0"/>
        <w:rPr>
          <w:sz w:val="20"/>
          <w:szCs w:val="20"/>
          <w:color w:val="auto"/>
        </w:rPr>
      </w:pPr>
      <w:r>
        <w:rPr>
          <w:rFonts w:ascii="Arial" w:cs="Arial" w:eastAsia="Arial" w:hAnsi="Arial"/>
          <w:sz w:val="16"/>
          <w:szCs w:val="16"/>
          <w:i w:val="1"/>
          <w:iCs w:val="1"/>
          <w:color w:val="auto"/>
        </w:rPr>
        <w:t>CONFIDENTIAL</w:t>
      </w:r>
    </w:p>
    <w:p>
      <w:pPr>
        <w:spacing w:after="0" w:line="1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[*CTR]=[CONFIDENTIAL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sectPr>
      </w:pPr>
    </w:p>
    <w:bookmarkStart w:id="99" w:name="page100"/>
    <w:bookmarkEnd w:id="99"/>
    <w:p>
      <w:pPr>
        <w:jc w:val="right"/>
        <w:spacing w:after="0"/>
        <w:rPr>
          <w:sz w:val="20"/>
          <w:szCs w:val="20"/>
          <w:color w:val="auto"/>
        </w:rPr>
      </w:pPr>
      <w:r>
        <w:rPr>
          <w:rFonts w:ascii="Arial" w:cs="Arial" w:eastAsia="Arial" w:hAnsi="Arial"/>
          <w:sz w:val="22"/>
          <w:szCs w:val="22"/>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THIRD AMENDED AND RESTATED</w:t>
      </w:r>
    </w:p>
    <w:p>
      <w:pPr>
        <w:jc w:val="center"/>
        <w:spacing w:after="0" w:line="238" w:lineRule="auto"/>
        <w:rPr>
          <w:sz w:val="20"/>
          <w:szCs w:val="20"/>
          <w:color w:val="auto"/>
        </w:rPr>
      </w:pPr>
      <w:r>
        <w:rPr>
          <w:rFonts w:ascii="Arial" w:cs="Arial" w:eastAsia="Arial" w:hAnsi="Arial"/>
          <w:sz w:val="22"/>
          <w:szCs w:val="22"/>
          <w:color w:val="auto"/>
        </w:rPr>
        <w:t>LETTER AGREEMENT NO. 9</w:t>
      </w:r>
    </w:p>
    <w:p>
      <w:pPr>
        <w:jc w:val="center"/>
        <w:spacing w:after="0" w:line="230" w:lineRule="auto"/>
        <w:rPr>
          <w:sz w:val="20"/>
          <w:szCs w:val="20"/>
          <w:color w:val="auto"/>
        </w:rPr>
      </w:pPr>
      <w:r>
        <w:rPr>
          <w:rFonts w:ascii="Arial" w:cs="Arial" w:eastAsia="Arial" w:hAnsi="Arial"/>
          <w:sz w:val="22"/>
          <w:szCs w:val="22"/>
          <w:color w:val="auto"/>
        </w:rPr>
        <w:t>TO THE AMENDED AND RESTATED AIRBUS A350 XWB PURCHASE AGREEMENT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Dated as of October 2, 2007</w:t>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As of April 24, 2017</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American Airlines, Inc.</w:t>
      </w:r>
    </w:p>
    <w:p>
      <w:pPr>
        <w:spacing w:after="0" w:line="238" w:lineRule="auto"/>
        <w:rPr>
          <w:sz w:val="20"/>
          <w:szCs w:val="20"/>
          <w:color w:val="auto"/>
        </w:rPr>
      </w:pPr>
      <w:r>
        <w:rPr>
          <w:rFonts w:ascii="Arial" w:cs="Arial" w:eastAsia="Arial" w:hAnsi="Arial"/>
          <w:sz w:val="22"/>
          <w:szCs w:val="22"/>
          <w:color w:val="auto"/>
        </w:rPr>
        <w:t>4333 Amon Carter Boulevard</w:t>
      </w:r>
    </w:p>
    <w:p>
      <w:pPr>
        <w:spacing w:after="0"/>
        <w:rPr>
          <w:sz w:val="20"/>
          <w:szCs w:val="20"/>
          <w:color w:val="auto"/>
        </w:rPr>
      </w:pPr>
      <w:r>
        <w:rPr>
          <w:rFonts w:ascii="Arial" w:cs="Arial" w:eastAsia="Arial" w:hAnsi="Arial"/>
          <w:sz w:val="22"/>
          <w:szCs w:val="22"/>
          <w:color w:val="auto"/>
        </w:rPr>
        <w:t>Fort Worth, Texas 76155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Re: [*CTR]</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06"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American Airlines, Inc. (the “</w:t>
      </w:r>
      <w:r>
        <w:rPr>
          <w:rFonts w:ascii="Arial" w:cs="Arial" w:eastAsia="Arial" w:hAnsi="Arial"/>
          <w:sz w:val="19"/>
          <w:szCs w:val="19"/>
          <w:u w:val="single" w:color="auto"/>
          <w:color w:val="auto"/>
        </w:rPr>
        <w:t>Buyer”</w:t>
      </w:r>
      <w:r>
        <w:rPr>
          <w:rFonts w:ascii="Arial" w:cs="Arial" w:eastAsia="Arial" w:hAnsi="Arial"/>
          <w:sz w:val="19"/>
          <w:szCs w:val="19"/>
          <w:color w:val="auto"/>
        </w:rPr>
        <w:t>) and Airbus S.A.S. (the “</w:t>
      </w:r>
      <w:r>
        <w:rPr>
          <w:rFonts w:ascii="Arial" w:cs="Arial" w:eastAsia="Arial" w:hAnsi="Arial"/>
          <w:sz w:val="19"/>
          <w:szCs w:val="19"/>
          <w:u w:val="single" w:color="auto"/>
          <w:color w:val="auto"/>
        </w:rPr>
        <w:t>Seller”</w:t>
      </w:r>
      <w:r>
        <w:rPr>
          <w:rFonts w:ascii="Arial" w:cs="Arial" w:eastAsia="Arial" w:hAnsi="Arial"/>
          <w:sz w:val="19"/>
          <w:szCs w:val="19"/>
          <w:color w:val="auto"/>
        </w:rPr>
        <w:t>) have entered into an Amended and Restated Airbus A350 XWB Purchase Agreement dated as of October 2, 2007, as amended, supplemented or otherwise modified to and including the date hereof (the “</w:t>
      </w:r>
      <w:r>
        <w:rPr>
          <w:rFonts w:ascii="Arial" w:cs="Arial" w:eastAsia="Arial" w:hAnsi="Arial"/>
          <w:sz w:val="19"/>
          <w:szCs w:val="19"/>
          <w:u w:val="single" w:color="auto"/>
          <w:color w:val="auto"/>
        </w:rPr>
        <w:t>Agreement”</w:t>
      </w:r>
      <w:r>
        <w:rPr>
          <w:rFonts w:ascii="Arial" w:cs="Arial" w:eastAsia="Arial" w:hAnsi="Arial"/>
          <w:sz w:val="19"/>
          <w:szCs w:val="19"/>
          <w:color w:val="auto"/>
        </w:rPr>
        <w:t>), which covers, among other things, the sale by the Seller and the purchase by the Buyer of certain Aircraft, under the terms and conditions set forth in said Agreement. The Second Amended and Restated Letter Agreement No. 9 dated as of December 20, 2013 to the Agreement is hereby amended and restated to read in its entirety as set forth herein.</w:t>
      </w:r>
    </w:p>
    <w:p>
      <w:pPr>
        <w:spacing w:after="0" w:line="148" w:lineRule="exact"/>
        <w:rPr>
          <w:sz w:val="20"/>
          <w:szCs w:val="20"/>
          <w:color w:val="auto"/>
        </w:rPr>
      </w:pPr>
    </w:p>
    <w:p>
      <w:pPr>
        <w:jc w:val="both"/>
        <w:spacing w:after="0"/>
        <w:rPr>
          <w:sz w:val="20"/>
          <w:szCs w:val="20"/>
          <w:color w:val="auto"/>
        </w:rPr>
      </w:pPr>
      <w:r>
        <w:rPr>
          <w:rFonts w:ascii="Arial" w:cs="Arial" w:eastAsia="Arial" w:hAnsi="Arial"/>
          <w:sz w:val="22"/>
          <w:szCs w:val="22"/>
          <w:color w:val="auto"/>
        </w:rPr>
        <w:t>Capitalized terms used herein and not otherwise defined in this Third Amended and Restated Letter Agreement No. 9 (this “</w:t>
      </w:r>
      <w:r>
        <w:rPr>
          <w:rFonts w:ascii="Arial" w:cs="Arial" w:eastAsia="Arial" w:hAnsi="Arial"/>
          <w:sz w:val="22"/>
          <w:szCs w:val="22"/>
          <w:u w:val="single" w:color="auto"/>
          <w:color w:val="auto"/>
        </w:rPr>
        <w:t>Letter</w:t>
      </w:r>
      <w:r>
        <w:rPr>
          <w:rFonts w:ascii="Arial" w:cs="Arial" w:eastAsia="Arial" w:hAnsi="Arial"/>
          <w:sz w:val="22"/>
          <w:szCs w:val="22"/>
          <w:color w:val="auto"/>
        </w:rPr>
        <w:t xml:space="preserve"> </w:t>
      </w:r>
      <w:r>
        <w:rPr>
          <w:rFonts w:ascii="Arial" w:cs="Arial" w:eastAsia="Arial" w:hAnsi="Arial"/>
          <w:sz w:val="22"/>
          <w:szCs w:val="22"/>
          <w:u w:val="single" w:color="auto"/>
          <w:color w:val="auto"/>
        </w:rPr>
        <w:t>Agreement</w:t>
      </w:r>
      <w:r>
        <w:rPr>
          <w:rFonts w:ascii="Arial" w:cs="Arial" w:eastAsia="Arial" w:hAnsi="Arial"/>
          <w:sz w:val="22"/>
          <w:szCs w:val="22"/>
          <w:color w:val="auto"/>
        </w:rPr>
        <w:t>”) have the meanings assigned thereto in the Agreement. The terms “herein,” “hereof” and “hereunder” and words of similar import refer to this Letter Agreement.</w:t>
      </w:r>
    </w:p>
    <w:p>
      <w:pPr>
        <w:spacing w:after="0" w:line="18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parties agree that this Letter Agreement constitutes an integral, non-severable part of said Agreement, that the provisions of said Agreement are hereby incorporated herein by reference, and that this Letter Agreement is governed by the provisions of said Agreement, except that if the Agreement and this Letter Agreement have specific provisions that are inconsistent, the specific provisions contained in this Letter Agreement will govern.</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6620" w:type="dxa"/>
            <w:vAlign w:val="bottom"/>
            <w:vMerge w:val="restart"/>
          </w:tcPr>
          <w:p>
            <w:pPr>
              <w:spacing w:after="0"/>
              <w:rPr>
                <w:sz w:val="20"/>
                <w:szCs w:val="20"/>
                <w:color w:val="auto"/>
              </w:rPr>
            </w:pPr>
            <w:r>
              <w:rPr>
                <w:rFonts w:ascii="Arial" w:cs="Arial" w:eastAsia="Arial" w:hAnsi="Arial"/>
                <w:sz w:val="18"/>
                <w:szCs w:val="18"/>
                <w:color w:val="auto"/>
              </w:rPr>
              <w:t>USA – Third Amended and Restated Letter Agreement No. 9 to</w:t>
            </w:r>
          </w:p>
        </w:tc>
        <w:tc>
          <w:tcPr>
            <w:tcW w:w="4800" w:type="dxa"/>
            <w:vAlign w:val="bottom"/>
          </w:tcPr>
          <w:p>
            <w:pPr>
              <w:jc w:val="right"/>
              <w:spacing w:after="0"/>
              <w:rPr>
                <w:sz w:val="20"/>
                <w:szCs w:val="20"/>
                <w:color w:val="auto"/>
              </w:rPr>
            </w:pPr>
            <w:r>
              <w:rPr>
                <w:rFonts w:ascii="Arial" w:cs="Arial" w:eastAsia="Arial" w:hAnsi="Arial"/>
                <w:sz w:val="22"/>
                <w:szCs w:val="22"/>
                <w:color w:val="auto"/>
              </w:rPr>
              <w:t>LA 9 - 1 of 7</w:t>
            </w:r>
          </w:p>
        </w:tc>
        <w:tc>
          <w:tcPr>
            <w:tcW w:w="0" w:type="dxa"/>
            <w:vAlign w:val="bottom"/>
          </w:tcPr>
          <w:p>
            <w:pPr>
              <w:spacing w:after="0"/>
              <w:rPr>
                <w:sz w:val="1"/>
                <w:szCs w:val="1"/>
                <w:color w:val="auto"/>
              </w:rPr>
            </w:pPr>
          </w:p>
        </w:tc>
      </w:tr>
      <w:tr>
        <w:trPr>
          <w:trHeight w:val="192"/>
        </w:trPr>
        <w:tc>
          <w:tcPr>
            <w:tcW w:w="6620" w:type="dxa"/>
            <w:vAlign w:val="bottom"/>
            <w:vMerge w:val="continue"/>
          </w:tcPr>
          <w:p>
            <w:pPr>
              <w:spacing w:after="0"/>
              <w:rPr>
                <w:sz w:val="16"/>
                <w:szCs w:val="16"/>
                <w:color w:val="auto"/>
              </w:rPr>
            </w:pPr>
          </w:p>
        </w:tc>
        <w:tc>
          <w:tcPr>
            <w:tcW w:w="4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620" w:type="dxa"/>
            <w:vAlign w:val="bottom"/>
          </w:tcPr>
          <w:p>
            <w:pPr>
              <w:spacing w:after="0"/>
              <w:rPr>
                <w:sz w:val="20"/>
                <w:szCs w:val="20"/>
                <w:color w:val="auto"/>
              </w:rPr>
            </w:pPr>
            <w:r>
              <w:rPr>
                <w:rFonts w:ascii="Arial" w:cs="Arial" w:eastAsia="Arial" w:hAnsi="Arial"/>
                <w:sz w:val="18"/>
                <w:szCs w:val="18"/>
                <w:color w:val="auto"/>
              </w:rPr>
              <w:t>Amended and Restated Airbus A350 XWB Purchase Agreement</w:t>
            </w:r>
          </w:p>
        </w:tc>
        <w:tc>
          <w:tcPr>
            <w:tcW w:w="4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20" w:type="dxa"/>
            <w:vAlign w:val="bottom"/>
          </w:tcPr>
          <w:p>
            <w:pPr>
              <w:spacing w:after="0"/>
              <w:rPr>
                <w:sz w:val="20"/>
                <w:szCs w:val="20"/>
                <w:color w:val="auto"/>
              </w:rPr>
            </w:pPr>
            <w:r>
              <w:rPr>
                <w:rFonts w:ascii="Arial" w:cs="Arial" w:eastAsia="Arial" w:hAnsi="Arial"/>
                <w:sz w:val="18"/>
                <w:szCs w:val="18"/>
                <w:color w:val="auto"/>
              </w:rPr>
              <w:t>EXECUTION</w:t>
            </w:r>
          </w:p>
        </w:tc>
        <w:tc>
          <w:tcPr>
            <w:tcW w:w="4800" w:type="dxa"/>
            <w:vAlign w:val="bottom"/>
          </w:tcPr>
          <w:p>
            <w:pPr>
              <w:jc w:val="right"/>
              <w:spacing w:after="0"/>
              <w:rPr>
                <w:sz w:val="20"/>
                <w:szCs w:val="20"/>
                <w:color w:val="auto"/>
              </w:rPr>
            </w:pPr>
            <w:r>
              <w:rPr>
                <w:rFonts w:ascii="Arial" w:cs="Arial" w:eastAsia="Arial" w:hAnsi="Arial"/>
                <w:sz w:val="18"/>
                <w:szCs w:val="18"/>
                <w:color w:val="auto"/>
              </w:rPr>
              <w:t>PRIVILEGED AND CONFIDENTIAL</w:t>
            </w:r>
          </w:p>
        </w:tc>
        <w:tc>
          <w:tcPr>
            <w:tcW w:w="0" w:type="dxa"/>
            <w:vAlign w:val="bottom"/>
          </w:tcPr>
          <w:p>
            <w:pPr>
              <w:spacing w:after="0"/>
              <w:rPr>
                <w:sz w:val="1"/>
                <w:szCs w:val="1"/>
                <w:color w:val="auto"/>
              </w:rPr>
            </w:pPr>
          </w:p>
        </w:tc>
      </w:tr>
    </w:tbl>
    <w:p>
      <w:pPr>
        <w:jc w:val="both"/>
        <w:spacing w:after="0" w:line="280" w:lineRule="auto"/>
        <w:rPr>
          <w:sz w:val="20"/>
          <w:szCs w:val="20"/>
          <w:color w:val="auto"/>
        </w:rPr>
      </w:pPr>
      <w:r>
        <w:rPr>
          <w:rFonts w:ascii="Arial" w:cs="Arial" w:eastAsia="Arial" w:hAnsi="Arial"/>
          <w:sz w:val="16"/>
          <w:szCs w:val="16"/>
          <w:color w:val="auto"/>
        </w:rPr>
        <w:t>[*CTR]=[CONFIDENTIAL PORTION OMITTED AND FILED SEPARATELY WITH THE COMMISSION PURSUANT TO A REQUEST FOR CONFIDENTIAL TREATMENT]</w:t>
      </w:r>
    </w:p>
    <w:p>
      <w:pPr>
        <w:sectPr>
          <w:pgSz w:w="11900" w:h="16838" w:orient="portrait"/>
          <w:cols w:equalWidth="0" w:num="1">
            <w:col w:w="11420"/>
          </w:cols>
          <w:pgMar w:left="240" w:top="112" w:right="239" w:bottom="1440" w:gutter="0" w:footer="0" w:header="0"/>
        </w:sectPr>
      </w:pPr>
    </w:p>
    <w:bookmarkStart w:id="100" w:name="page101"/>
    <w:bookmarkEnd w:id="100"/>
    <w:p>
      <w:pPr>
        <w:jc w:val="both"/>
        <w:ind w:left="800" w:right="9940" w:hanging="792"/>
        <w:spacing w:after="0" w:line="448" w:lineRule="auto"/>
        <w:tabs>
          <w:tab w:leader="none" w:pos="798" w:val="left"/>
        </w:tabs>
        <w:numPr>
          <w:ilvl w:val="0"/>
          <w:numId w:val="77"/>
        </w:numPr>
        <w:rPr>
          <w:rFonts w:ascii="Arial" w:cs="Arial" w:eastAsia="Arial" w:hAnsi="Arial"/>
          <w:sz w:val="22"/>
          <w:szCs w:val="22"/>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[*CTR</w:t>
      </w:r>
      <w:r>
        <w:rPr>
          <w:rFonts w:ascii="Arial" w:cs="Arial" w:eastAsia="Arial" w:hAnsi="Arial"/>
          <w:sz w:val="22"/>
          <w:szCs w:val="22"/>
          <w:u w:val="single" w:color="auto"/>
          <w:color w:val="auto"/>
        </w:rPr>
        <w:t>]</w:t>
      </w:r>
      <w:r>
        <w:rPr>
          <w:rFonts w:ascii="Arial" w:cs="Arial" w:eastAsia="Arial" w:hAnsi="Arial"/>
          <w:sz w:val="22"/>
          <w:szCs w:val="22"/>
          <w:color w:val="auto"/>
        </w:rPr>
        <w:t xml:space="preserve"> [*CTR]</w:t>
      </w:r>
    </w:p>
    <w:p>
      <w:pPr>
        <w:ind w:left="800" w:hanging="792"/>
        <w:spacing w:after="0"/>
        <w:tabs>
          <w:tab w:leader="none" w:pos="800" w:val="left"/>
        </w:tabs>
        <w:numPr>
          <w:ilvl w:val="0"/>
          <w:numId w:val="77"/>
        </w:numPr>
        <w:rPr>
          <w:rFonts w:ascii="Arial" w:cs="Arial" w:eastAsia="Arial" w:hAnsi="Arial"/>
          <w:sz w:val="22"/>
          <w:szCs w:val="22"/>
          <w:color w:val="auto"/>
        </w:rPr>
      </w:pPr>
      <w:r>
        <w:rPr>
          <w:rFonts w:ascii="Arial" w:cs="Arial" w:eastAsia="Arial" w:hAnsi="Arial"/>
          <w:sz w:val="22"/>
          <w:szCs w:val="22"/>
          <w:u w:val="single" w:color="auto"/>
          <w:color w:val="auto"/>
        </w:rPr>
        <w:t>EXCUSABLE DELAY AND TOTAL LOSS</w:t>
      </w:r>
    </w:p>
    <w:p>
      <w:pPr>
        <w:spacing w:after="0" w:line="206" w:lineRule="exact"/>
        <w:rPr>
          <w:rFonts w:ascii="Arial" w:cs="Arial" w:eastAsia="Arial" w:hAnsi="Arial"/>
          <w:sz w:val="22"/>
          <w:szCs w:val="22"/>
          <w:color w:val="auto"/>
        </w:rPr>
      </w:pPr>
    </w:p>
    <w:p>
      <w:pPr>
        <w:ind w:left="800"/>
        <w:spacing w:after="0"/>
        <w:rPr>
          <w:rFonts w:ascii="Arial" w:cs="Arial" w:eastAsia="Arial" w:hAnsi="Arial"/>
          <w:sz w:val="22"/>
          <w:szCs w:val="22"/>
          <w:color w:val="auto"/>
        </w:rPr>
      </w:pPr>
      <w:r>
        <w:rPr>
          <w:rFonts w:ascii="Arial" w:cs="Arial" w:eastAsia="Arial" w:hAnsi="Arial"/>
          <w:sz w:val="22"/>
          <w:szCs w:val="22"/>
          <w:color w:val="auto"/>
        </w:rPr>
        <w:t>Clause 10.1 to the Agreement is deleted in its entirety and replaced with the following quoted text:</w:t>
      </w:r>
    </w:p>
    <w:p>
      <w:pPr>
        <w:spacing w:after="0" w:line="206" w:lineRule="exact"/>
        <w:rPr>
          <w:rFonts w:ascii="Arial" w:cs="Arial" w:eastAsia="Arial" w:hAnsi="Arial"/>
          <w:sz w:val="22"/>
          <w:szCs w:val="22"/>
          <w:color w:val="auto"/>
        </w:rPr>
      </w:pPr>
    </w:p>
    <w:p>
      <w:pPr>
        <w:ind w:left="800"/>
        <w:spacing w:after="0"/>
        <w:rPr>
          <w:rFonts w:ascii="Arial" w:cs="Arial" w:eastAsia="Arial" w:hAnsi="Arial"/>
          <w:sz w:val="22"/>
          <w:szCs w:val="22"/>
          <w:color w:val="auto"/>
        </w:rPr>
      </w:pPr>
      <w:r>
        <w:rPr>
          <w:rFonts w:ascii="Arial" w:cs="Arial" w:eastAsia="Arial" w:hAnsi="Arial"/>
          <w:sz w:val="22"/>
          <w:szCs w:val="22"/>
          <w:color w:val="auto"/>
        </w:rPr>
        <w:t>QUOTE</w:t>
      </w:r>
    </w:p>
    <w:p>
      <w:pPr>
        <w:spacing w:after="0" w:line="206" w:lineRule="exact"/>
        <w:rPr>
          <w:rFonts w:ascii="Arial" w:cs="Arial" w:eastAsia="Arial" w:hAnsi="Arial"/>
          <w:sz w:val="22"/>
          <w:szCs w:val="22"/>
          <w:color w:val="auto"/>
        </w:rPr>
      </w:pPr>
    </w:p>
    <w:p>
      <w:pPr>
        <w:ind w:left="800"/>
        <w:spacing w:after="0"/>
        <w:rPr>
          <w:rFonts w:ascii="Arial" w:cs="Arial" w:eastAsia="Arial" w:hAnsi="Arial"/>
          <w:sz w:val="22"/>
          <w:szCs w:val="22"/>
          <w:color w:val="auto"/>
        </w:rPr>
      </w:pPr>
      <w:r>
        <w:rPr>
          <w:rFonts w:ascii="Arial" w:cs="Arial" w:eastAsia="Arial" w:hAnsi="Arial"/>
          <w:sz w:val="22"/>
          <w:szCs w:val="22"/>
          <w:color w:val="auto"/>
        </w:rPr>
        <w:t xml:space="preserve">10.1   </w:t>
      </w:r>
      <w:r>
        <w:rPr>
          <w:rFonts w:ascii="Arial" w:cs="Arial" w:eastAsia="Arial" w:hAnsi="Arial"/>
          <w:sz w:val="22"/>
          <w:szCs w:val="22"/>
          <w:u w:val="single" w:color="auto"/>
          <w:color w:val="auto"/>
        </w:rPr>
        <w:t>Scope of Excusable Delay</w:t>
      </w:r>
    </w:p>
    <w:p>
      <w:pPr>
        <w:spacing w:after="0" w:line="206" w:lineRule="exact"/>
        <w:rPr>
          <w:rFonts w:ascii="Arial" w:cs="Arial" w:eastAsia="Arial" w:hAnsi="Arial"/>
          <w:sz w:val="22"/>
          <w:szCs w:val="22"/>
          <w:color w:val="auto"/>
        </w:rPr>
      </w:pPr>
    </w:p>
    <w:p>
      <w:pPr>
        <w:jc w:val="both"/>
        <w:ind w:left="800"/>
        <w:spacing w:after="0" w:line="252" w:lineRule="auto"/>
        <w:rPr>
          <w:rFonts w:ascii="Arial" w:cs="Arial" w:eastAsia="Arial" w:hAnsi="Arial"/>
          <w:sz w:val="22"/>
          <w:szCs w:val="22"/>
          <w:color w:val="auto"/>
        </w:rPr>
      </w:pPr>
      <w:r>
        <w:rPr>
          <w:rFonts w:ascii="Arial" w:cs="Arial" w:eastAsia="Arial" w:hAnsi="Arial"/>
          <w:sz w:val="21"/>
          <w:szCs w:val="21"/>
          <w:color w:val="auto"/>
        </w:rPr>
        <w:t>Neither the Seller nor any Affiliate of the Seller will be responsible for or be deemed to be in default on account of delays in delivery or failure to deliver or otherwise in the performance of this Agreement or any part hereof due to causes reasonably beyond the Seller’s control or not occasioned by the Seller’s fault or negligence (“</w:t>
      </w:r>
      <w:r>
        <w:rPr>
          <w:rFonts w:ascii="Arial" w:cs="Arial" w:eastAsia="Arial" w:hAnsi="Arial"/>
          <w:sz w:val="21"/>
          <w:szCs w:val="21"/>
          <w:u w:val="single" w:color="auto"/>
          <w:color w:val="auto"/>
        </w:rPr>
        <w:t>Excusable Delay”</w:t>
      </w:r>
      <w:r>
        <w:rPr>
          <w:rFonts w:ascii="Arial" w:cs="Arial" w:eastAsia="Arial" w:hAnsi="Arial"/>
          <w:sz w:val="21"/>
          <w:szCs w:val="21"/>
          <w:color w:val="auto"/>
        </w:rPr>
        <w:t>), including, but not limited to: (i) [*CTR]; (ii) [*CTR]; (iii) [*CTR]; and (iv) [*CTR].</w:t>
      </w:r>
    </w:p>
    <w:p>
      <w:pPr>
        <w:spacing w:after="0" w:line="174" w:lineRule="exact"/>
        <w:rPr>
          <w:rFonts w:ascii="Arial" w:cs="Arial" w:eastAsia="Arial" w:hAnsi="Arial"/>
          <w:sz w:val="22"/>
          <w:szCs w:val="22"/>
          <w:color w:val="auto"/>
        </w:rPr>
      </w:pPr>
    </w:p>
    <w:p>
      <w:pPr>
        <w:ind w:left="800"/>
        <w:spacing w:after="0"/>
        <w:rPr>
          <w:rFonts w:ascii="Arial" w:cs="Arial" w:eastAsia="Arial" w:hAnsi="Arial"/>
          <w:sz w:val="22"/>
          <w:szCs w:val="22"/>
          <w:color w:val="auto"/>
        </w:rPr>
      </w:pPr>
      <w:r>
        <w:rPr>
          <w:rFonts w:ascii="Arial" w:cs="Arial" w:eastAsia="Arial" w:hAnsi="Arial"/>
          <w:sz w:val="22"/>
          <w:szCs w:val="22"/>
          <w:color w:val="auto"/>
        </w:rPr>
        <w:t>UNQUOTE</w:t>
      </w:r>
    </w:p>
    <w:p>
      <w:pPr>
        <w:spacing w:after="0" w:line="233" w:lineRule="exact"/>
        <w:rPr>
          <w:rFonts w:ascii="Arial" w:cs="Arial" w:eastAsia="Arial" w:hAnsi="Arial"/>
          <w:sz w:val="22"/>
          <w:szCs w:val="22"/>
          <w:color w:val="auto"/>
        </w:rPr>
      </w:pPr>
    </w:p>
    <w:p>
      <w:pPr>
        <w:ind w:left="800" w:hanging="792"/>
        <w:spacing w:after="0"/>
        <w:tabs>
          <w:tab w:leader="none" w:pos="800" w:val="left"/>
        </w:tabs>
        <w:numPr>
          <w:ilvl w:val="0"/>
          <w:numId w:val="77"/>
        </w:numPr>
        <w:rPr>
          <w:rFonts w:ascii="Arial" w:cs="Arial" w:eastAsia="Arial" w:hAnsi="Arial"/>
          <w:sz w:val="22"/>
          <w:szCs w:val="22"/>
          <w:color w:val="auto"/>
        </w:rPr>
      </w:pPr>
      <w:r>
        <w:rPr>
          <w:rFonts w:ascii="Arial" w:cs="Arial" w:eastAsia="Arial" w:hAnsi="Arial"/>
          <w:sz w:val="22"/>
          <w:szCs w:val="22"/>
          <w:u w:val="single" w:color="auto"/>
          <w:color w:val="auto"/>
        </w:rPr>
        <w:t>TERMINATION</w:t>
      </w:r>
    </w:p>
    <w:p>
      <w:pPr>
        <w:spacing w:after="0" w:line="233" w:lineRule="exact"/>
        <w:rPr>
          <w:sz w:val="20"/>
          <w:szCs w:val="20"/>
          <w:color w:val="auto"/>
        </w:rPr>
      </w:pPr>
    </w:p>
    <w:p>
      <w:pPr>
        <w:spacing w:after="0"/>
        <w:tabs>
          <w:tab w:leader="none" w:pos="78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19"/>
          <w:szCs w:val="19"/>
          <w:color w:val="auto"/>
        </w:rPr>
        <w:t>Clause 21.1 of the Agreement is deleted in its entirety and replaced with the following quoted text:</w:t>
      </w:r>
    </w:p>
    <w:p>
      <w:pPr>
        <w:spacing w:after="0" w:line="206" w:lineRule="exact"/>
        <w:rPr>
          <w:sz w:val="20"/>
          <w:szCs w:val="20"/>
          <w:color w:val="auto"/>
        </w:rPr>
      </w:pPr>
    </w:p>
    <w:p>
      <w:pPr>
        <w:ind w:left="800"/>
        <w:spacing w:after="0"/>
        <w:rPr>
          <w:sz w:val="20"/>
          <w:szCs w:val="20"/>
          <w:color w:val="auto"/>
        </w:rPr>
      </w:pPr>
      <w:r>
        <w:rPr>
          <w:rFonts w:ascii="Arial" w:cs="Arial" w:eastAsia="Arial" w:hAnsi="Arial"/>
          <w:sz w:val="22"/>
          <w:szCs w:val="22"/>
          <w:color w:val="auto"/>
        </w:rPr>
        <w:t>QUOTE</w:t>
      </w:r>
    </w:p>
    <w:p>
      <w:pPr>
        <w:spacing w:after="0" w:line="233"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22"/>
          <w:szCs w:val="22"/>
          <w:color w:val="auto"/>
        </w:rPr>
        <w:t>21.1</w:t>
      </w:r>
      <w:r>
        <w:rPr>
          <w:sz w:val="20"/>
          <w:szCs w:val="20"/>
          <w:color w:val="auto"/>
        </w:rPr>
        <w:tab/>
      </w:r>
      <w:r>
        <w:rPr>
          <w:rFonts w:ascii="Arial" w:cs="Arial" w:eastAsia="Arial" w:hAnsi="Arial"/>
          <w:sz w:val="19"/>
          <w:szCs w:val="19"/>
          <w:u w:val="single" w:color="auto"/>
          <w:color w:val="auto"/>
        </w:rPr>
        <w:t>Termination Events</w:t>
      </w:r>
    </w:p>
    <w:p>
      <w:pPr>
        <w:spacing w:after="0" w:line="200" w:lineRule="exact"/>
        <w:rPr>
          <w:sz w:val="20"/>
          <w:szCs w:val="20"/>
          <w:color w:val="auto"/>
        </w:rPr>
      </w:pPr>
    </w:p>
    <w:p>
      <w:pPr>
        <w:ind w:left="1720"/>
        <w:spacing w:after="0"/>
        <w:rPr>
          <w:sz w:val="20"/>
          <w:szCs w:val="20"/>
          <w:color w:val="auto"/>
        </w:rPr>
      </w:pPr>
      <w:r>
        <w:rPr>
          <w:rFonts w:ascii="Arial" w:cs="Arial" w:eastAsia="Arial" w:hAnsi="Arial"/>
          <w:sz w:val="22"/>
          <w:szCs w:val="22"/>
          <w:color w:val="auto"/>
        </w:rPr>
        <w:t xml:space="preserve">Each of the following will constitute a </w:t>
      </w:r>
      <w:r>
        <w:rPr>
          <w:rFonts w:ascii="Arial" w:cs="Arial" w:eastAsia="Arial" w:hAnsi="Arial"/>
          <w:sz w:val="22"/>
          <w:szCs w:val="22"/>
          <w:b w:val="1"/>
          <w:bCs w:val="1"/>
          <w:color w:val="auto"/>
        </w:rPr>
        <w:t>“</w:t>
      </w:r>
      <w:r>
        <w:rPr>
          <w:rFonts w:ascii="Arial" w:cs="Arial" w:eastAsia="Arial" w:hAnsi="Arial"/>
          <w:sz w:val="22"/>
          <w:szCs w:val="22"/>
          <w:color w:val="auto"/>
        </w:rPr>
        <w:t>Termination Event”:</w:t>
      </w:r>
    </w:p>
    <w:p>
      <w:pPr>
        <w:spacing w:after="0" w:line="14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LA 9 - 2 of 7</w:t>
      </w:r>
    </w:p>
    <w:p>
      <w:pPr>
        <w:sectPr>
          <w:pgSz w:w="11900" w:h="16838" w:orient="portrait"/>
          <w:cols w:equalWidth="0" w:num="1">
            <w:col w:w="11420"/>
          </w:cols>
          <w:pgMar w:left="240" w:top="267" w:right="239" w:bottom="1440" w:gutter="0" w:footer="0" w:header="0"/>
        </w:sectPr>
      </w:pPr>
    </w:p>
    <w:p>
      <w:pPr>
        <w:spacing w:after="0" w:line="22" w:lineRule="exact"/>
        <w:rPr>
          <w:sz w:val="20"/>
          <w:szCs w:val="20"/>
          <w:color w:val="auto"/>
        </w:rPr>
      </w:pPr>
    </w:p>
    <w:p>
      <w:pPr>
        <w:ind w:right="3180"/>
        <w:spacing w:after="0" w:line="251" w:lineRule="auto"/>
        <w:rPr>
          <w:sz w:val="20"/>
          <w:szCs w:val="20"/>
          <w:color w:val="auto"/>
        </w:rPr>
      </w:pPr>
      <w:r>
        <w:rPr>
          <w:rFonts w:ascii="Arial" w:cs="Arial" w:eastAsia="Arial" w:hAnsi="Arial"/>
          <w:sz w:val="18"/>
          <w:szCs w:val="18"/>
          <w:color w:val="auto"/>
        </w:rPr>
        <w:t>USA – Third Amended and Restated Letter Agreement No. 9 to Amended and Restated Airbus A350 XWB Purchase Agreement EXECUTION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PRIVILEGED AND CONFIDENTIAL</w:t>
      </w:r>
    </w:p>
    <w:p>
      <w:pPr>
        <w:spacing w:after="0" w:line="34" w:lineRule="exact"/>
        <w:rPr>
          <w:sz w:val="20"/>
          <w:szCs w:val="20"/>
          <w:color w:val="auto"/>
        </w:rPr>
      </w:pPr>
    </w:p>
    <w:p>
      <w:pPr>
        <w:sectPr>
          <w:pgSz w:w="11900" w:h="16838" w:orient="portrait"/>
          <w:cols w:equalWidth="0" w:num="2">
            <w:col w:w="7840" w:space="720"/>
            <w:col w:w="2860"/>
          </w:cols>
          <w:pgMar w:left="240" w:top="267" w:right="239" w:bottom="1440" w:gutter="0" w:footer="0" w:header="0"/>
          <w:type w:val="continuous"/>
        </w:sectPr>
      </w:pPr>
    </w:p>
    <w:p>
      <w:pPr>
        <w:spacing w:after="0" w:line="280" w:lineRule="auto"/>
        <w:rPr>
          <w:sz w:val="20"/>
          <w:szCs w:val="20"/>
          <w:color w:val="auto"/>
        </w:rPr>
      </w:pPr>
      <w:r>
        <w:rPr>
          <w:rFonts w:ascii="Arial" w:cs="Arial" w:eastAsia="Arial" w:hAnsi="Arial"/>
          <w:sz w:val="16"/>
          <w:szCs w:val="16"/>
          <w:color w:val="auto"/>
        </w:rPr>
        <w:t>[*CTR]=[CONFIDENTIAL PORTION OMITTED AND FILED SEPARATELY WITH THE COMMISSION PURSUANT TO A REQUEST FOR CONFIDENTIAL TREATMENT]</w:t>
      </w:r>
    </w:p>
    <w:p>
      <w:pPr>
        <w:sectPr>
          <w:pgSz w:w="11900" w:h="16838" w:orient="portrait"/>
          <w:cols w:equalWidth="0" w:num="1">
            <w:col w:w="11420"/>
          </w:cols>
          <w:pgMar w:left="240" w:top="267" w:right="239" w:bottom="1440" w:gutter="0" w:footer="0" w:header="0"/>
          <w:type w:val="continuous"/>
        </w:sectPr>
      </w:pPr>
    </w:p>
    <w:bookmarkStart w:id="101" w:name="page102"/>
    <w:bookmarkEnd w:id="101"/>
    <w:p>
      <w:pPr>
        <w:jc w:val="both"/>
        <w:ind w:left="2620" w:hanging="910"/>
        <w:spacing w:after="0" w:line="297" w:lineRule="auto"/>
        <w:tabs>
          <w:tab w:leader="none" w:pos="2620" w:val="left"/>
        </w:tabs>
        <w:numPr>
          <w:ilvl w:val="0"/>
          <w:numId w:val="78"/>
        </w:numPr>
        <w:rPr>
          <w:rFonts w:ascii="Arial" w:cs="Arial" w:eastAsia="Arial" w:hAnsi="Arial"/>
          <w:sz w:val="19"/>
          <w:szCs w:val="19"/>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Buyer commences in any jurisdiction any case, proceeding or other action with respect to the Buyer or its properties relating to bankruptcy, insolvency, reorganization, winding-up, liquidation, dissolution or other relief from, or with respect to, or readjustment of, its debts or obligations.</w:t>
      </w:r>
    </w:p>
    <w:p>
      <w:pPr>
        <w:spacing w:after="0" w:line="161" w:lineRule="exact"/>
        <w:rPr>
          <w:rFonts w:ascii="Arial" w:cs="Arial" w:eastAsia="Arial" w:hAnsi="Arial"/>
          <w:sz w:val="19"/>
          <w:szCs w:val="19"/>
          <w:color w:val="auto"/>
        </w:rPr>
      </w:pPr>
    </w:p>
    <w:p>
      <w:pPr>
        <w:jc w:val="both"/>
        <w:ind w:left="2620" w:hanging="910"/>
        <w:spacing w:after="0" w:line="238" w:lineRule="auto"/>
        <w:tabs>
          <w:tab w:leader="none" w:pos="2620" w:val="left"/>
        </w:tabs>
        <w:numPr>
          <w:ilvl w:val="0"/>
          <w:numId w:val="78"/>
        </w:numPr>
        <w:rPr>
          <w:rFonts w:ascii="Arial" w:cs="Arial" w:eastAsia="Arial" w:hAnsi="Arial"/>
          <w:sz w:val="22"/>
          <w:szCs w:val="22"/>
          <w:color w:val="auto"/>
        </w:rPr>
      </w:pPr>
      <w:r>
        <w:rPr>
          <w:rFonts w:ascii="Arial" w:cs="Arial" w:eastAsia="Arial" w:hAnsi="Arial"/>
          <w:sz w:val="22"/>
          <w:szCs w:val="22"/>
          <w:color w:val="auto"/>
        </w:rPr>
        <w:t>An action is commenced in any jurisdiction seeking the appointment of a receiver, trustee, custodian or other similar official for the Buyer or for all or any substantial part of its assets, and such action remains unstayed, undismissed or undischarged for [*CTR], or the Buyer makes a general assignment for the benefit of its creditors.</w:t>
      </w:r>
    </w:p>
    <w:p>
      <w:pPr>
        <w:spacing w:after="0" w:line="212" w:lineRule="exact"/>
        <w:rPr>
          <w:rFonts w:ascii="Arial" w:cs="Arial" w:eastAsia="Arial" w:hAnsi="Arial"/>
          <w:sz w:val="22"/>
          <w:szCs w:val="22"/>
          <w:color w:val="auto"/>
        </w:rPr>
      </w:pPr>
    </w:p>
    <w:p>
      <w:pPr>
        <w:jc w:val="both"/>
        <w:ind w:left="2620" w:hanging="910"/>
        <w:spacing w:after="0" w:line="258" w:lineRule="auto"/>
        <w:tabs>
          <w:tab w:leader="none" w:pos="2620" w:val="left"/>
        </w:tabs>
        <w:numPr>
          <w:ilvl w:val="0"/>
          <w:numId w:val="78"/>
        </w:numPr>
        <w:rPr>
          <w:rFonts w:ascii="Arial" w:cs="Arial" w:eastAsia="Arial" w:hAnsi="Arial"/>
          <w:sz w:val="21"/>
          <w:szCs w:val="21"/>
          <w:color w:val="auto"/>
        </w:rPr>
      </w:pPr>
      <w:r>
        <w:rPr>
          <w:rFonts w:ascii="Arial" w:cs="Arial" w:eastAsia="Arial" w:hAnsi="Arial"/>
          <w:sz w:val="21"/>
          <w:szCs w:val="21"/>
          <w:color w:val="auto"/>
        </w:rPr>
        <w:t>An action is commenced in any jurisdiction against the Buyer seeking issuance of a warrant of attachment, execution, distraint or similar process against all or any substantial part of its assets, and such action remains unstayed, undismissed or undischarged for [*CTR].</w:t>
      </w:r>
    </w:p>
    <w:p>
      <w:pPr>
        <w:spacing w:after="0" w:line="193" w:lineRule="exact"/>
        <w:rPr>
          <w:rFonts w:ascii="Arial" w:cs="Arial" w:eastAsia="Arial" w:hAnsi="Arial"/>
          <w:sz w:val="21"/>
          <w:szCs w:val="21"/>
          <w:color w:val="auto"/>
        </w:rPr>
      </w:pPr>
    </w:p>
    <w:p>
      <w:pPr>
        <w:ind w:left="2620" w:right="20" w:hanging="910"/>
        <w:spacing w:after="0" w:line="251" w:lineRule="auto"/>
        <w:tabs>
          <w:tab w:leader="none" w:pos="2620" w:val="left"/>
        </w:tabs>
        <w:numPr>
          <w:ilvl w:val="0"/>
          <w:numId w:val="78"/>
        </w:numPr>
        <w:rPr>
          <w:rFonts w:ascii="Arial" w:cs="Arial" w:eastAsia="Arial" w:hAnsi="Arial"/>
          <w:sz w:val="22"/>
          <w:szCs w:val="22"/>
          <w:color w:val="auto"/>
        </w:rPr>
      </w:pPr>
      <w:r>
        <w:rPr>
          <w:rFonts w:ascii="Arial" w:cs="Arial" w:eastAsia="Arial" w:hAnsi="Arial"/>
          <w:sz w:val="22"/>
          <w:szCs w:val="22"/>
          <w:color w:val="auto"/>
        </w:rPr>
        <w:t>The Buyer becomes the object, in any jurisdiction, of a case, proceeding or action similar or analogous to any of the events mentioned in Clause 21.1(1), (2) or (3).</w:t>
      </w:r>
    </w:p>
    <w:p>
      <w:pPr>
        <w:spacing w:after="0" w:line="200" w:lineRule="exact"/>
        <w:rPr>
          <w:rFonts w:ascii="Arial" w:cs="Arial" w:eastAsia="Arial" w:hAnsi="Arial"/>
          <w:sz w:val="22"/>
          <w:szCs w:val="22"/>
          <w:color w:val="auto"/>
        </w:rPr>
      </w:pPr>
    </w:p>
    <w:p>
      <w:pPr>
        <w:ind w:left="2620" w:right="20" w:hanging="910"/>
        <w:spacing w:after="0" w:line="251" w:lineRule="auto"/>
        <w:tabs>
          <w:tab w:leader="none" w:pos="2620" w:val="left"/>
        </w:tabs>
        <w:numPr>
          <w:ilvl w:val="0"/>
          <w:numId w:val="78"/>
        </w:numPr>
        <w:rPr>
          <w:rFonts w:ascii="Arial" w:cs="Arial" w:eastAsia="Arial" w:hAnsi="Arial"/>
          <w:sz w:val="22"/>
          <w:szCs w:val="22"/>
          <w:color w:val="auto"/>
        </w:rPr>
      </w:pPr>
      <w:r>
        <w:rPr>
          <w:rFonts w:ascii="Arial" w:cs="Arial" w:eastAsia="Arial" w:hAnsi="Arial"/>
          <w:sz w:val="22"/>
          <w:szCs w:val="22"/>
          <w:color w:val="auto"/>
        </w:rPr>
        <w:t>The Buyer is generally not, or is unable to, or admits in writing its inability to, pay its debts as they become due.</w:t>
      </w:r>
    </w:p>
    <w:p>
      <w:pPr>
        <w:spacing w:after="0" w:line="200" w:lineRule="exact"/>
        <w:rPr>
          <w:rFonts w:ascii="Arial" w:cs="Arial" w:eastAsia="Arial" w:hAnsi="Arial"/>
          <w:sz w:val="22"/>
          <w:szCs w:val="22"/>
          <w:color w:val="auto"/>
        </w:rPr>
      </w:pPr>
    </w:p>
    <w:p>
      <w:pPr>
        <w:ind w:left="2620" w:hanging="910"/>
        <w:spacing w:after="0"/>
        <w:tabs>
          <w:tab w:leader="none" w:pos="2620" w:val="left"/>
        </w:tabs>
        <w:numPr>
          <w:ilvl w:val="0"/>
          <w:numId w:val="78"/>
        </w:numPr>
        <w:rPr>
          <w:rFonts w:ascii="Arial" w:cs="Arial" w:eastAsia="Arial" w:hAnsi="Arial"/>
          <w:sz w:val="22"/>
          <w:szCs w:val="22"/>
          <w:color w:val="auto"/>
        </w:rPr>
      </w:pPr>
      <w:r>
        <w:rPr>
          <w:rFonts w:ascii="Arial" w:cs="Arial" w:eastAsia="Arial" w:hAnsi="Arial"/>
          <w:sz w:val="22"/>
          <w:szCs w:val="22"/>
          <w:color w:val="auto"/>
        </w:rPr>
        <w:t>The Buyer or any of its respective Affiliates fails to make (i) [*CTR].</w:t>
      </w:r>
    </w:p>
    <w:p>
      <w:pPr>
        <w:spacing w:after="0" w:line="233" w:lineRule="exact"/>
        <w:rPr>
          <w:rFonts w:ascii="Arial" w:cs="Arial" w:eastAsia="Arial" w:hAnsi="Arial"/>
          <w:sz w:val="22"/>
          <w:szCs w:val="22"/>
          <w:color w:val="auto"/>
        </w:rPr>
      </w:pPr>
    </w:p>
    <w:p>
      <w:pPr>
        <w:ind w:left="2620" w:hanging="910"/>
        <w:spacing w:after="0"/>
        <w:tabs>
          <w:tab w:leader="none" w:pos="2620" w:val="left"/>
        </w:tabs>
        <w:numPr>
          <w:ilvl w:val="0"/>
          <w:numId w:val="78"/>
        </w:numPr>
        <w:rPr>
          <w:rFonts w:ascii="Arial" w:cs="Arial" w:eastAsia="Arial" w:hAnsi="Arial"/>
          <w:sz w:val="22"/>
          <w:szCs w:val="22"/>
          <w:color w:val="auto"/>
        </w:rPr>
      </w:pPr>
      <w:r>
        <w:rPr>
          <w:rFonts w:ascii="Arial" w:cs="Arial" w:eastAsia="Arial" w:hAnsi="Arial"/>
          <w:sz w:val="22"/>
          <w:szCs w:val="22"/>
          <w:color w:val="auto"/>
        </w:rPr>
        <w:t>The Buyer repudiates, cancels or terminates this Agreement in whole or in part.</w:t>
      </w:r>
    </w:p>
    <w:p>
      <w:pPr>
        <w:spacing w:after="0" w:line="233" w:lineRule="exact"/>
        <w:rPr>
          <w:rFonts w:ascii="Arial" w:cs="Arial" w:eastAsia="Arial" w:hAnsi="Arial"/>
          <w:sz w:val="22"/>
          <w:szCs w:val="22"/>
          <w:color w:val="auto"/>
        </w:rPr>
      </w:pPr>
    </w:p>
    <w:p>
      <w:pPr>
        <w:ind w:left="2620" w:hanging="910"/>
        <w:spacing w:after="0"/>
        <w:tabs>
          <w:tab w:leader="none" w:pos="2620" w:val="left"/>
        </w:tabs>
        <w:numPr>
          <w:ilvl w:val="0"/>
          <w:numId w:val="78"/>
        </w:numPr>
        <w:rPr>
          <w:rFonts w:ascii="Arial" w:cs="Arial" w:eastAsia="Arial" w:hAnsi="Arial"/>
          <w:sz w:val="22"/>
          <w:szCs w:val="22"/>
          <w:color w:val="auto"/>
        </w:rPr>
      </w:pPr>
      <w:r>
        <w:rPr>
          <w:rFonts w:ascii="Arial" w:cs="Arial" w:eastAsia="Arial" w:hAnsi="Arial"/>
          <w:sz w:val="22"/>
          <w:szCs w:val="22"/>
          <w:color w:val="auto"/>
        </w:rPr>
        <w:t>The Buyer defaults in its obligation to take delivery of an Aircraft as provided in Clause 9.</w:t>
      </w:r>
    </w:p>
    <w:p>
      <w:pPr>
        <w:spacing w:after="0" w:line="233" w:lineRule="exact"/>
        <w:rPr>
          <w:rFonts w:ascii="Arial" w:cs="Arial" w:eastAsia="Arial" w:hAnsi="Arial"/>
          <w:sz w:val="22"/>
          <w:szCs w:val="22"/>
          <w:color w:val="auto"/>
        </w:rPr>
      </w:pPr>
    </w:p>
    <w:p>
      <w:pPr>
        <w:jc w:val="both"/>
        <w:ind w:left="2620" w:hanging="910"/>
        <w:spacing w:after="0" w:line="297" w:lineRule="auto"/>
        <w:tabs>
          <w:tab w:leader="none" w:pos="2620" w:val="left"/>
        </w:tabs>
        <w:numPr>
          <w:ilvl w:val="0"/>
          <w:numId w:val="78"/>
        </w:numPr>
        <w:rPr>
          <w:rFonts w:ascii="Arial" w:cs="Arial" w:eastAsia="Arial" w:hAnsi="Arial"/>
          <w:sz w:val="19"/>
          <w:szCs w:val="19"/>
          <w:color w:val="auto"/>
        </w:rPr>
      </w:pPr>
      <w:r>
        <w:rPr>
          <w:rFonts w:ascii="Arial" w:cs="Arial" w:eastAsia="Arial" w:hAnsi="Arial"/>
          <w:sz w:val="19"/>
          <w:szCs w:val="19"/>
          <w:color w:val="auto"/>
        </w:rPr>
        <w:t>The Buyer or any of its Affiliates defaults in the observance or performance of any other covenant, undertaking or obligation contained in this Agreement or any other material agreement between the Buyer or its Affiliates, on the one hand, and the Seller or its Affiliates, on the other hand, [*CTR].</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6620" w:type="dxa"/>
            <w:vAlign w:val="bottom"/>
            <w:vMerge w:val="restart"/>
          </w:tcPr>
          <w:p>
            <w:pPr>
              <w:spacing w:after="0"/>
              <w:rPr>
                <w:sz w:val="20"/>
                <w:szCs w:val="20"/>
                <w:color w:val="auto"/>
              </w:rPr>
            </w:pPr>
            <w:r>
              <w:rPr>
                <w:rFonts w:ascii="Arial" w:cs="Arial" w:eastAsia="Arial" w:hAnsi="Arial"/>
                <w:sz w:val="18"/>
                <w:szCs w:val="18"/>
                <w:color w:val="auto"/>
              </w:rPr>
              <w:t>USA – Third Amended and Restated Letter Agreement No. 9 to</w:t>
            </w:r>
          </w:p>
        </w:tc>
        <w:tc>
          <w:tcPr>
            <w:tcW w:w="4800" w:type="dxa"/>
            <w:vAlign w:val="bottom"/>
          </w:tcPr>
          <w:p>
            <w:pPr>
              <w:jc w:val="right"/>
              <w:spacing w:after="0"/>
              <w:rPr>
                <w:sz w:val="20"/>
                <w:szCs w:val="20"/>
                <w:color w:val="auto"/>
              </w:rPr>
            </w:pPr>
            <w:r>
              <w:rPr>
                <w:rFonts w:ascii="Arial" w:cs="Arial" w:eastAsia="Arial" w:hAnsi="Arial"/>
                <w:sz w:val="22"/>
                <w:szCs w:val="22"/>
                <w:color w:val="auto"/>
              </w:rPr>
              <w:t>LA 9 - 3 of 7</w:t>
            </w:r>
          </w:p>
        </w:tc>
        <w:tc>
          <w:tcPr>
            <w:tcW w:w="0" w:type="dxa"/>
            <w:vAlign w:val="bottom"/>
          </w:tcPr>
          <w:p>
            <w:pPr>
              <w:spacing w:after="0"/>
              <w:rPr>
                <w:sz w:val="1"/>
                <w:szCs w:val="1"/>
                <w:color w:val="auto"/>
              </w:rPr>
            </w:pPr>
          </w:p>
        </w:tc>
      </w:tr>
      <w:tr>
        <w:trPr>
          <w:trHeight w:val="192"/>
        </w:trPr>
        <w:tc>
          <w:tcPr>
            <w:tcW w:w="6620" w:type="dxa"/>
            <w:vAlign w:val="bottom"/>
            <w:vMerge w:val="continue"/>
          </w:tcPr>
          <w:p>
            <w:pPr>
              <w:spacing w:after="0"/>
              <w:rPr>
                <w:sz w:val="16"/>
                <w:szCs w:val="16"/>
                <w:color w:val="auto"/>
              </w:rPr>
            </w:pPr>
          </w:p>
        </w:tc>
        <w:tc>
          <w:tcPr>
            <w:tcW w:w="4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620" w:type="dxa"/>
            <w:vAlign w:val="bottom"/>
          </w:tcPr>
          <w:p>
            <w:pPr>
              <w:spacing w:after="0"/>
              <w:rPr>
                <w:sz w:val="20"/>
                <w:szCs w:val="20"/>
                <w:color w:val="auto"/>
              </w:rPr>
            </w:pPr>
            <w:r>
              <w:rPr>
                <w:rFonts w:ascii="Arial" w:cs="Arial" w:eastAsia="Arial" w:hAnsi="Arial"/>
                <w:sz w:val="18"/>
                <w:szCs w:val="18"/>
                <w:color w:val="auto"/>
              </w:rPr>
              <w:t>Amended and Restated Airbus A350 XWB Purchase Agreement</w:t>
            </w:r>
          </w:p>
        </w:tc>
        <w:tc>
          <w:tcPr>
            <w:tcW w:w="4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20" w:type="dxa"/>
            <w:vAlign w:val="bottom"/>
          </w:tcPr>
          <w:p>
            <w:pPr>
              <w:spacing w:after="0"/>
              <w:rPr>
                <w:sz w:val="20"/>
                <w:szCs w:val="20"/>
                <w:color w:val="auto"/>
              </w:rPr>
            </w:pPr>
            <w:r>
              <w:rPr>
                <w:rFonts w:ascii="Arial" w:cs="Arial" w:eastAsia="Arial" w:hAnsi="Arial"/>
                <w:sz w:val="18"/>
                <w:szCs w:val="18"/>
                <w:color w:val="auto"/>
              </w:rPr>
              <w:t>EXECUTION</w:t>
            </w:r>
          </w:p>
        </w:tc>
        <w:tc>
          <w:tcPr>
            <w:tcW w:w="4800" w:type="dxa"/>
            <w:vAlign w:val="bottom"/>
          </w:tcPr>
          <w:p>
            <w:pPr>
              <w:jc w:val="right"/>
              <w:spacing w:after="0"/>
              <w:rPr>
                <w:sz w:val="20"/>
                <w:szCs w:val="20"/>
                <w:color w:val="auto"/>
              </w:rPr>
            </w:pPr>
            <w:r>
              <w:rPr>
                <w:rFonts w:ascii="Arial" w:cs="Arial" w:eastAsia="Arial" w:hAnsi="Arial"/>
                <w:sz w:val="18"/>
                <w:szCs w:val="18"/>
                <w:color w:val="auto"/>
              </w:rPr>
              <w:t>PRIVILEGED AND CONFIDENTIAL</w:t>
            </w:r>
          </w:p>
        </w:tc>
        <w:tc>
          <w:tcPr>
            <w:tcW w:w="0" w:type="dxa"/>
            <w:vAlign w:val="bottom"/>
          </w:tcPr>
          <w:p>
            <w:pPr>
              <w:spacing w:after="0"/>
              <w:rPr>
                <w:sz w:val="1"/>
                <w:szCs w:val="1"/>
                <w:color w:val="auto"/>
              </w:rPr>
            </w:pPr>
          </w:p>
        </w:tc>
      </w:tr>
    </w:tbl>
    <w:p>
      <w:pPr>
        <w:jc w:val="both"/>
        <w:spacing w:after="0" w:line="280" w:lineRule="auto"/>
        <w:rPr>
          <w:sz w:val="20"/>
          <w:szCs w:val="20"/>
          <w:color w:val="auto"/>
        </w:rPr>
      </w:pPr>
      <w:r>
        <w:rPr>
          <w:rFonts w:ascii="Arial" w:cs="Arial" w:eastAsia="Arial" w:hAnsi="Arial"/>
          <w:sz w:val="16"/>
          <w:szCs w:val="16"/>
          <w:color w:val="auto"/>
        </w:rPr>
        <w:t>[*CTR]=[CONFIDENTIAL PORTION OMITTED AND FILED SEPARATELY WITH THE COMMISSION PURSUANT TO A REQUEST FOR CONFIDENTIAL TREATMENT]</w:t>
      </w:r>
    </w:p>
    <w:p>
      <w:pPr>
        <w:sectPr>
          <w:pgSz w:w="11900" w:h="16838" w:orient="portrait"/>
          <w:cols w:equalWidth="0" w:num="1">
            <w:col w:w="11420"/>
          </w:cols>
          <w:pgMar w:left="240" w:top="267" w:right="239" w:bottom="1440" w:gutter="0" w:footer="0" w:header="0"/>
        </w:sectPr>
      </w:pPr>
    </w:p>
    <w:bookmarkStart w:id="102" w:name="page103"/>
    <w:bookmarkEnd w:id="102"/>
    <w:p>
      <w:pPr>
        <w:ind w:left="2620" w:hanging="910"/>
        <w:spacing w:after="0" w:line="251" w:lineRule="auto"/>
        <w:tabs>
          <w:tab w:leader="none" w:pos="2620" w:val="left"/>
        </w:tabs>
        <w:numPr>
          <w:ilvl w:val="0"/>
          <w:numId w:val="79"/>
        </w:numPr>
        <w:rPr>
          <w:rFonts w:ascii="Arial" w:cs="Arial" w:eastAsia="Arial" w:hAnsi="Arial"/>
          <w:sz w:val="22"/>
          <w:szCs w:val="22"/>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other event that the parties will have agreed in writing constitutes a Termination Event hereunder.</w:t>
      </w:r>
    </w:p>
    <w:p>
      <w:pPr>
        <w:spacing w:after="0" w:line="173" w:lineRule="exact"/>
        <w:rPr>
          <w:sz w:val="20"/>
          <w:szCs w:val="20"/>
          <w:color w:val="auto"/>
        </w:rPr>
      </w:pPr>
    </w:p>
    <w:p>
      <w:pPr>
        <w:ind w:left="800"/>
        <w:spacing w:after="0"/>
        <w:rPr>
          <w:sz w:val="20"/>
          <w:szCs w:val="20"/>
          <w:color w:val="auto"/>
        </w:rPr>
      </w:pPr>
      <w:r>
        <w:rPr>
          <w:rFonts w:ascii="Arial" w:cs="Arial" w:eastAsia="Arial" w:hAnsi="Arial"/>
          <w:sz w:val="22"/>
          <w:szCs w:val="22"/>
          <w:color w:val="auto"/>
        </w:rPr>
        <w:t>UNQUOTE</w:t>
      </w:r>
    </w:p>
    <w:p>
      <w:pPr>
        <w:spacing w:after="0" w:line="233" w:lineRule="exact"/>
        <w:rPr>
          <w:sz w:val="20"/>
          <w:szCs w:val="20"/>
          <w:color w:val="auto"/>
        </w:rPr>
      </w:pPr>
    </w:p>
    <w:p>
      <w:pPr>
        <w:spacing w:after="0"/>
        <w:tabs>
          <w:tab w:leader="none" w:pos="78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19"/>
          <w:szCs w:val="19"/>
          <w:color w:val="auto"/>
        </w:rPr>
        <w:t>Clause 21.2 of the Agreement is deleted in its entirety and replaced with the following quoted text:</w:t>
      </w:r>
    </w:p>
    <w:p>
      <w:pPr>
        <w:spacing w:after="0" w:line="206" w:lineRule="exact"/>
        <w:rPr>
          <w:sz w:val="20"/>
          <w:szCs w:val="20"/>
          <w:color w:val="auto"/>
        </w:rPr>
      </w:pPr>
    </w:p>
    <w:p>
      <w:pPr>
        <w:ind w:left="800"/>
        <w:spacing w:after="0"/>
        <w:rPr>
          <w:sz w:val="20"/>
          <w:szCs w:val="20"/>
          <w:color w:val="auto"/>
        </w:rPr>
      </w:pPr>
      <w:r>
        <w:rPr>
          <w:rFonts w:ascii="Arial" w:cs="Arial" w:eastAsia="Arial" w:hAnsi="Arial"/>
          <w:sz w:val="22"/>
          <w:szCs w:val="22"/>
          <w:color w:val="auto"/>
        </w:rPr>
        <w:t>QUOTE</w:t>
      </w:r>
    </w:p>
    <w:p>
      <w:pPr>
        <w:spacing w:after="0" w:line="233"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22"/>
          <w:szCs w:val="22"/>
          <w:color w:val="auto"/>
        </w:rPr>
        <w:t>21.2.1</w:t>
      </w:r>
      <w:r>
        <w:rPr>
          <w:sz w:val="20"/>
          <w:szCs w:val="20"/>
          <w:color w:val="auto"/>
        </w:rPr>
        <w:tab/>
      </w:r>
      <w:r>
        <w:rPr>
          <w:rFonts w:ascii="Arial" w:cs="Arial" w:eastAsia="Arial" w:hAnsi="Arial"/>
          <w:sz w:val="22"/>
          <w:szCs w:val="22"/>
          <w:color w:val="auto"/>
        </w:rPr>
        <w:t>[*CTR]</w:t>
      </w:r>
    </w:p>
    <w:p>
      <w:pPr>
        <w:spacing w:after="0" w:line="233" w:lineRule="exact"/>
        <w:rPr>
          <w:sz w:val="20"/>
          <w:szCs w:val="20"/>
          <w:color w:val="auto"/>
        </w:rPr>
      </w:pPr>
    </w:p>
    <w:p>
      <w:pPr>
        <w:ind w:left="2620" w:hanging="910"/>
        <w:spacing w:after="0"/>
        <w:tabs>
          <w:tab w:leader="none" w:pos="2620" w:val="left"/>
        </w:tabs>
        <w:numPr>
          <w:ilvl w:val="0"/>
          <w:numId w:val="80"/>
        </w:numPr>
        <w:rPr>
          <w:rFonts w:ascii="Arial" w:cs="Arial" w:eastAsia="Arial" w:hAnsi="Arial"/>
          <w:sz w:val="22"/>
          <w:szCs w:val="22"/>
          <w:color w:val="auto"/>
        </w:rPr>
      </w:pPr>
      <w:r>
        <w:rPr>
          <w:rFonts w:ascii="Arial" w:cs="Arial" w:eastAsia="Arial" w:hAnsi="Arial"/>
          <w:sz w:val="22"/>
          <w:szCs w:val="22"/>
          <w:color w:val="auto"/>
        </w:rPr>
        <w:t>[*CTR];</w:t>
      </w:r>
    </w:p>
    <w:p>
      <w:pPr>
        <w:spacing w:after="0" w:line="233" w:lineRule="exact"/>
        <w:rPr>
          <w:rFonts w:ascii="Arial" w:cs="Arial" w:eastAsia="Arial" w:hAnsi="Arial"/>
          <w:sz w:val="22"/>
          <w:szCs w:val="22"/>
          <w:color w:val="auto"/>
        </w:rPr>
      </w:pPr>
    </w:p>
    <w:p>
      <w:pPr>
        <w:ind w:left="2620" w:hanging="910"/>
        <w:spacing w:after="0"/>
        <w:tabs>
          <w:tab w:leader="none" w:pos="2620" w:val="left"/>
        </w:tabs>
        <w:numPr>
          <w:ilvl w:val="0"/>
          <w:numId w:val="80"/>
        </w:numPr>
        <w:rPr>
          <w:rFonts w:ascii="Arial" w:cs="Arial" w:eastAsia="Arial" w:hAnsi="Arial"/>
          <w:sz w:val="22"/>
          <w:szCs w:val="22"/>
          <w:color w:val="auto"/>
        </w:rPr>
      </w:pPr>
      <w:r>
        <w:rPr>
          <w:rFonts w:ascii="Arial" w:cs="Arial" w:eastAsia="Arial" w:hAnsi="Arial"/>
          <w:sz w:val="22"/>
          <w:szCs w:val="22"/>
          <w:color w:val="auto"/>
        </w:rPr>
        <w:t>[*CTR]</w:t>
      </w:r>
    </w:p>
    <w:p>
      <w:pPr>
        <w:spacing w:after="0" w:line="233" w:lineRule="exact"/>
        <w:rPr>
          <w:sz w:val="20"/>
          <w:szCs w:val="20"/>
          <w:color w:val="auto"/>
        </w:rPr>
      </w:pPr>
    </w:p>
    <w:p>
      <w:pPr>
        <w:ind w:left="4440" w:hanging="907"/>
        <w:spacing w:after="0"/>
        <w:tabs>
          <w:tab w:leader="none" w:pos="4440" w:val="left"/>
        </w:tabs>
        <w:numPr>
          <w:ilvl w:val="0"/>
          <w:numId w:val="81"/>
        </w:numPr>
        <w:rPr>
          <w:rFonts w:ascii="Arial" w:cs="Arial" w:eastAsia="Arial" w:hAnsi="Arial"/>
          <w:sz w:val="22"/>
          <w:szCs w:val="22"/>
          <w:color w:val="auto"/>
        </w:rPr>
      </w:pPr>
      <w:r>
        <w:rPr>
          <w:rFonts w:ascii="Arial" w:cs="Arial" w:eastAsia="Arial" w:hAnsi="Arial"/>
          <w:sz w:val="22"/>
          <w:szCs w:val="22"/>
          <w:color w:val="auto"/>
        </w:rPr>
        <w:t>the [*CTR] of</w:t>
      </w:r>
    </w:p>
    <w:p>
      <w:pPr>
        <w:spacing w:after="0" w:line="233" w:lineRule="exact"/>
        <w:rPr>
          <w:sz w:val="20"/>
          <w:szCs w:val="20"/>
          <w:color w:val="auto"/>
        </w:rPr>
      </w:pPr>
    </w:p>
    <w:p>
      <w:pPr>
        <w:ind w:left="4440" w:hanging="907"/>
        <w:spacing w:after="0"/>
        <w:tabs>
          <w:tab w:leader="none" w:pos="4440" w:val="left"/>
        </w:tabs>
        <w:numPr>
          <w:ilvl w:val="0"/>
          <w:numId w:val="82"/>
        </w:numPr>
        <w:rPr>
          <w:rFonts w:ascii="Arial" w:cs="Arial" w:eastAsia="Arial" w:hAnsi="Arial"/>
          <w:sz w:val="22"/>
          <w:szCs w:val="22"/>
          <w:color w:val="auto"/>
        </w:rPr>
      </w:pPr>
      <w:r>
        <w:rPr>
          <w:rFonts w:ascii="Arial" w:cs="Arial" w:eastAsia="Arial" w:hAnsi="Arial"/>
          <w:sz w:val="22"/>
          <w:szCs w:val="22"/>
          <w:color w:val="auto"/>
        </w:rPr>
        <w:t>[*CTR], and</w:t>
      </w:r>
    </w:p>
    <w:p>
      <w:pPr>
        <w:spacing w:after="0" w:line="233" w:lineRule="exact"/>
        <w:rPr>
          <w:sz w:val="20"/>
          <w:szCs w:val="20"/>
          <w:color w:val="auto"/>
        </w:rPr>
      </w:pPr>
    </w:p>
    <w:p>
      <w:pPr>
        <w:ind w:left="3540"/>
        <w:spacing w:after="0"/>
        <w:tabs>
          <w:tab w:leader="none" w:pos="4420" w:val="left"/>
        </w:tabs>
        <w:rPr>
          <w:sz w:val="20"/>
          <w:szCs w:val="20"/>
          <w:color w:val="auto"/>
        </w:rPr>
      </w:pPr>
      <w:r>
        <w:rPr>
          <w:rFonts w:ascii="Arial" w:cs="Arial" w:eastAsia="Arial" w:hAnsi="Arial"/>
          <w:sz w:val="22"/>
          <w:szCs w:val="22"/>
          <w:color w:val="auto"/>
        </w:rPr>
        <w:t>(ii) the</w:t>
      </w:r>
      <w:r>
        <w:rPr>
          <w:sz w:val="20"/>
          <w:szCs w:val="20"/>
          <w:color w:val="auto"/>
        </w:rPr>
        <w:tab/>
      </w:r>
      <w:r>
        <w:rPr>
          <w:rFonts w:ascii="Arial" w:cs="Arial" w:eastAsia="Arial" w:hAnsi="Arial"/>
          <w:sz w:val="21"/>
          <w:szCs w:val="21"/>
          <w:color w:val="auto"/>
        </w:rPr>
        <w:t>[*CTR] of</w:t>
      </w:r>
    </w:p>
    <w:p>
      <w:pPr>
        <w:spacing w:after="0" w:line="233" w:lineRule="exact"/>
        <w:rPr>
          <w:sz w:val="20"/>
          <w:szCs w:val="20"/>
          <w:color w:val="auto"/>
        </w:rPr>
      </w:pPr>
    </w:p>
    <w:p>
      <w:pPr>
        <w:ind w:left="3540" w:hanging="912"/>
        <w:spacing w:after="0" w:line="251" w:lineRule="auto"/>
        <w:tabs>
          <w:tab w:leader="none" w:pos="3540" w:val="left"/>
        </w:tabs>
        <w:numPr>
          <w:ilvl w:val="0"/>
          <w:numId w:val="83"/>
        </w:numPr>
        <w:rPr>
          <w:rFonts w:ascii="Arial" w:cs="Arial" w:eastAsia="Arial" w:hAnsi="Arial"/>
          <w:sz w:val="22"/>
          <w:szCs w:val="22"/>
          <w:color w:val="auto"/>
        </w:rPr>
      </w:pPr>
      <w:r>
        <w:rPr>
          <w:rFonts w:ascii="Arial" w:cs="Arial" w:eastAsia="Arial" w:hAnsi="Arial"/>
          <w:sz w:val="22"/>
          <w:szCs w:val="22"/>
          <w:color w:val="auto"/>
        </w:rPr>
        <w:t>all Predelivery Payments [*CTR] under this Agreement with respect to such [*CTR] Aircraft [*CTR], and</w:t>
      </w:r>
    </w:p>
    <w:p>
      <w:pPr>
        <w:spacing w:after="0" w:line="200" w:lineRule="exact"/>
        <w:rPr>
          <w:rFonts w:ascii="Arial" w:cs="Arial" w:eastAsia="Arial" w:hAnsi="Arial"/>
          <w:sz w:val="22"/>
          <w:szCs w:val="22"/>
          <w:color w:val="auto"/>
        </w:rPr>
      </w:pPr>
    </w:p>
    <w:p>
      <w:pPr>
        <w:ind w:left="3540" w:hanging="912"/>
        <w:spacing w:after="0"/>
        <w:tabs>
          <w:tab w:leader="none" w:pos="3540" w:val="left"/>
        </w:tabs>
        <w:numPr>
          <w:ilvl w:val="0"/>
          <w:numId w:val="83"/>
        </w:numPr>
        <w:rPr>
          <w:rFonts w:ascii="Arial" w:cs="Arial" w:eastAsia="Arial" w:hAnsi="Arial"/>
          <w:sz w:val="22"/>
          <w:szCs w:val="22"/>
          <w:color w:val="auto"/>
        </w:rPr>
      </w:pPr>
      <w:r>
        <w:rPr>
          <w:rFonts w:ascii="Arial" w:cs="Arial" w:eastAsia="Arial" w:hAnsi="Arial"/>
          <w:sz w:val="22"/>
          <w:szCs w:val="22"/>
          <w:color w:val="auto"/>
        </w:rPr>
        <w:t>the amount set forth as follows:</w:t>
      </w:r>
    </w:p>
    <w:p>
      <w:pPr>
        <w:spacing w:after="0" w:line="233" w:lineRule="exact"/>
        <w:rPr>
          <w:rFonts w:ascii="Arial" w:cs="Arial" w:eastAsia="Arial" w:hAnsi="Arial"/>
          <w:sz w:val="22"/>
          <w:szCs w:val="22"/>
          <w:color w:val="auto"/>
        </w:rPr>
      </w:pPr>
    </w:p>
    <w:p>
      <w:pPr>
        <w:ind w:left="4440" w:right="20" w:hanging="907"/>
        <w:spacing w:after="0" w:line="251" w:lineRule="auto"/>
        <w:tabs>
          <w:tab w:leader="none" w:pos="4440" w:val="left"/>
        </w:tabs>
        <w:numPr>
          <w:ilvl w:val="1"/>
          <w:numId w:val="83"/>
        </w:numPr>
        <w:rPr>
          <w:rFonts w:ascii="Arial" w:cs="Arial" w:eastAsia="Arial" w:hAnsi="Arial"/>
          <w:sz w:val="22"/>
          <w:szCs w:val="22"/>
          <w:color w:val="auto"/>
        </w:rPr>
      </w:pPr>
      <w:r>
        <w:rPr>
          <w:rFonts w:ascii="Arial" w:cs="Arial" w:eastAsia="Arial" w:hAnsi="Arial"/>
          <w:sz w:val="22"/>
          <w:szCs w:val="22"/>
          <w:color w:val="auto"/>
        </w:rPr>
        <w:t>if the Applicable Date (as defined below) occurs [*CTR] for each such Aircraft [*CTR], with respect to such Aircraft,</w:t>
      </w:r>
    </w:p>
    <w:p>
      <w:pPr>
        <w:spacing w:after="0" w:line="200" w:lineRule="exact"/>
        <w:rPr>
          <w:rFonts w:ascii="Arial" w:cs="Arial" w:eastAsia="Arial" w:hAnsi="Arial"/>
          <w:sz w:val="22"/>
          <w:szCs w:val="22"/>
          <w:color w:val="auto"/>
        </w:rPr>
      </w:pPr>
    </w:p>
    <w:p>
      <w:pPr>
        <w:ind w:left="4440" w:hanging="907"/>
        <w:spacing w:after="0" w:line="251" w:lineRule="auto"/>
        <w:tabs>
          <w:tab w:leader="none" w:pos="4440" w:val="left"/>
        </w:tabs>
        <w:numPr>
          <w:ilvl w:val="1"/>
          <w:numId w:val="83"/>
        </w:numPr>
        <w:rPr>
          <w:rFonts w:ascii="Arial" w:cs="Arial" w:eastAsia="Arial" w:hAnsi="Arial"/>
          <w:sz w:val="22"/>
          <w:szCs w:val="22"/>
          <w:color w:val="auto"/>
        </w:rPr>
      </w:pPr>
      <w:r>
        <w:rPr>
          <w:rFonts w:ascii="Arial" w:cs="Arial" w:eastAsia="Arial" w:hAnsi="Arial"/>
          <w:sz w:val="22"/>
          <w:szCs w:val="22"/>
          <w:color w:val="auto"/>
        </w:rPr>
        <w:t>if the Applicable Date occurs [*CTR] for each such Aircraft [*CTR], with respect to such Aircraft,</w:t>
      </w:r>
    </w:p>
    <w:p>
      <w:pPr>
        <w:spacing w:after="0" w:line="200" w:lineRule="exact"/>
        <w:rPr>
          <w:rFonts w:ascii="Arial" w:cs="Arial" w:eastAsia="Arial" w:hAnsi="Arial"/>
          <w:sz w:val="22"/>
          <w:szCs w:val="22"/>
          <w:color w:val="auto"/>
        </w:rPr>
      </w:pPr>
    </w:p>
    <w:p>
      <w:pPr>
        <w:ind w:left="4440" w:hanging="907"/>
        <w:spacing w:after="0" w:line="251" w:lineRule="auto"/>
        <w:tabs>
          <w:tab w:leader="none" w:pos="4440" w:val="left"/>
        </w:tabs>
        <w:numPr>
          <w:ilvl w:val="1"/>
          <w:numId w:val="83"/>
        </w:numPr>
        <w:rPr>
          <w:rFonts w:ascii="Arial" w:cs="Arial" w:eastAsia="Arial" w:hAnsi="Arial"/>
          <w:sz w:val="22"/>
          <w:szCs w:val="22"/>
          <w:color w:val="auto"/>
        </w:rPr>
      </w:pPr>
      <w:r>
        <w:rPr>
          <w:rFonts w:ascii="Arial" w:cs="Arial" w:eastAsia="Arial" w:hAnsi="Arial"/>
          <w:sz w:val="22"/>
          <w:szCs w:val="22"/>
          <w:color w:val="auto"/>
        </w:rPr>
        <w:t>if the Applicable Date occurs [*CTR] for each such Aircraft [*CTR], with respect to such Aircraft,</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6620" w:type="dxa"/>
            <w:vAlign w:val="bottom"/>
            <w:vMerge w:val="restart"/>
          </w:tcPr>
          <w:p>
            <w:pPr>
              <w:spacing w:after="0"/>
              <w:rPr>
                <w:sz w:val="20"/>
                <w:szCs w:val="20"/>
                <w:color w:val="auto"/>
              </w:rPr>
            </w:pPr>
            <w:r>
              <w:rPr>
                <w:rFonts w:ascii="Arial" w:cs="Arial" w:eastAsia="Arial" w:hAnsi="Arial"/>
                <w:sz w:val="18"/>
                <w:szCs w:val="18"/>
                <w:color w:val="auto"/>
              </w:rPr>
              <w:t>USA – Third Amended and Restated Letter Agreement No. 9 to</w:t>
            </w:r>
          </w:p>
        </w:tc>
        <w:tc>
          <w:tcPr>
            <w:tcW w:w="4800" w:type="dxa"/>
            <w:vAlign w:val="bottom"/>
          </w:tcPr>
          <w:p>
            <w:pPr>
              <w:jc w:val="right"/>
              <w:spacing w:after="0"/>
              <w:rPr>
                <w:sz w:val="20"/>
                <w:szCs w:val="20"/>
                <w:color w:val="auto"/>
              </w:rPr>
            </w:pPr>
            <w:r>
              <w:rPr>
                <w:rFonts w:ascii="Arial" w:cs="Arial" w:eastAsia="Arial" w:hAnsi="Arial"/>
                <w:sz w:val="22"/>
                <w:szCs w:val="22"/>
                <w:color w:val="auto"/>
              </w:rPr>
              <w:t>LA 9 - 4 of 7</w:t>
            </w:r>
          </w:p>
        </w:tc>
        <w:tc>
          <w:tcPr>
            <w:tcW w:w="0" w:type="dxa"/>
            <w:vAlign w:val="bottom"/>
          </w:tcPr>
          <w:p>
            <w:pPr>
              <w:spacing w:after="0"/>
              <w:rPr>
                <w:sz w:val="1"/>
                <w:szCs w:val="1"/>
                <w:color w:val="auto"/>
              </w:rPr>
            </w:pPr>
          </w:p>
        </w:tc>
      </w:tr>
      <w:tr>
        <w:trPr>
          <w:trHeight w:val="192"/>
        </w:trPr>
        <w:tc>
          <w:tcPr>
            <w:tcW w:w="6620" w:type="dxa"/>
            <w:vAlign w:val="bottom"/>
            <w:vMerge w:val="continue"/>
          </w:tcPr>
          <w:p>
            <w:pPr>
              <w:spacing w:after="0"/>
              <w:rPr>
                <w:sz w:val="16"/>
                <w:szCs w:val="16"/>
                <w:color w:val="auto"/>
              </w:rPr>
            </w:pPr>
          </w:p>
        </w:tc>
        <w:tc>
          <w:tcPr>
            <w:tcW w:w="4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620" w:type="dxa"/>
            <w:vAlign w:val="bottom"/>
          </w:tcPr>
          <w:p>
            <w:pPr>
              <w:spacing w:after="0"/>
              <w:rPr>
                <w:sz w:val="20"/>
                <w:szCs w:val="20"/>
                <w:color w:val="auto"/>
              </w:rPr>
            </w:pPr>
            <w:r>
              <w:rPr>
                <w:rFonts w:ascii="Arial" w:cs="Arial" w:eastAsia="Arial" w:hAnsi="Arial"/>
                <w:sz w:val="18"/>
                <w:szCs w:val="18"/>
                <w:color w:val="auto"/>
              </w:rPr>
              <w:t>Amended and Restated Airbus A350 XWB Purchase Agreement</w:t>
            </w:r>
          </w:p>
        </w:tc>
        <w:tc>
          <w:tcPr>
            <w:tcW w:w="4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20" w:type="dxa"/>
            <w:vAlign w:val="bottom"/>
          </w:tcPr>
          <w:p>
            <w:pPr>
              <w:spacing w:after="0"/>
              <w:rPr>
                <w:sz w:val="20"/>
                <w:szCs w:val="20"/>
                <w:color w:val="auto"/>
              </w:rPr>
            </w:pPr>
            <w:r>
              <w:rPr>
                <w:rFonts w:ascii="Arial" w:cs="Arial" w:eastAsia="Arial" w:hAnsi="Arial"/>
                <w:sz w:val="18"/>
                <w:szCs w:val="18"/>
                <w:color w:val="auto"/>
              </w:rPr>
              <w:t>EXECUTION</w:t>
            </w:r>
          </w:p>
        </w:tc>
        <w:tc>
          <w:tcPr>
            <w:tcW w:w="4800" w:type="dxa"/>
            <w:vAlign w:val="bottom"/>
          </w:tcPr>
          <w:p>
            <w:pPr>
              <w:jc w:val="right"/>
              <w:spacing w:after="0"/>
              <w:rPr>
                <w:sz w:val="20"/>
                <w:szCs w:val="20"/>
                <w:color w:val="auto"/>
              </w:rPr>
            </w:pPr>
            <w:r>
              <w:rPr>
                <w:rFonts w:ascii="Arial" w:cs="Arial" w:eastAsia="Arial" w:hAnsi="Arial"/>
                <w:sz w:val="18"/>
                <w:szCs w:val="18"/>
                <w:color w:val="auto"/>
              </w:rPr>
              <w:t>PRIVILEGED AND CONFIDENTIAL</w:t>
            </w:r>
          </w:p>
        </w:tc>
        <w:tc>
          <w:tcPr>
            <w:tcW w:w="0" w:type="dxa"/>
            <w:vAlign w:val="bottom"/>
          </w:tcPr>
          <w:p>
            <w:pPr>
              <w:spacing w:after="0"/>
              <w:rPr>
                <w:sz w:val="1"/>
                <w:szCs w:val="1"/>
                <w:color w:val="auto"/>
              </w:rPr>
            </w:pPr>
          </w:p>
        </w:tc>
      </w:tr>
    </w:tbl>
    <w:p>
      <w:pPr>
        <w:jc w:val="both"/>
        <w:spacing w:after="0" w:line="280" w:lineRule="auto"/>
        <w:rPr>
          <w:sz w:val="20"/>
          <w:szCs w:val="20"/>
          <w:color w:val="auto"/>
        </w:rPr>
      </w:pPr>
      <w:r>
        <w:rPr>
          <w:rFonts w:ascii="Arial" w:cs="Arial" w:eastAsia="Arial" w:hAnsi="Arial"/>
          <w:sz w:val="16"/>
          <w:szCs w:val="16"/>
          <w:color w:val="auto"/>
        </w:rPr>
        <w:t>[*CTR]=[CONFIDENTIAL PORTION OMITTED AND FILED SEPARATELY WITH THE COMMISSION PURSUANT TO A REQUEST FOR CONFIDENTIAL TREATMENT]</w:t>
      </w:r>
    </w:p>
    <w:p>
      <w:pPr>
        <w:sectPr>
          <w:pgSz w:w="11900" w:h="16838" w:orient="portrait"/>
          <w:cols w:equalWidth="0" w:num="1">
            <w:col w:w="11420"/>
          </w:cols>
          <w:pgMar w:left="240" w:top="267" w:right="239" w:bottom="1440" w:gutter="0" w:footer="0" w:header="0"/>
        </w:sectPr>
      </w:pPr>
    </w:p>
    <w:bookmarkStart w:id="103" w:name="page104"/>
    <w:bookmarkEnd w:id="103"/>
    <w:p>
      <w:pPr>
        <w:ind w:left="4440" w:hanging="907"/>
        <w:spacing w:after="0" w:line="251" w:lineRule="auto"/>
        <w:tabs>
          <w:tab w:leader="none" w:pos="4440" w:val="left"/>
        </w:tabs>
        <w:numPr>
          <w:ilvl w:val="0"/>
          <w:numId w:val="84"/>
        </w:numPr>
        <w:rPr>
          <w:rFonts w:ascii="Arial" w:cs="Arial" w:eastAsia="Arial" w:hAnsi="Arial"/>
          <w:sz w:val="22"/>
          <w:szCs w:val="22"/>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Applicable Date occurs [*CTR] for each such Aircraft [*CTR], with respect to such Aircraft,</w:t>
      </w:r>
    </w:p>
    <w:p>
      <w:pPr>
        <w:spacing w:after="0" w:line="200" w:lineRule="exact"/>
        <w:rPr>
          <w:rFonts w:ascii="Arial" w:cs="Arial" w:eastAsia="Arial" w:hAnsi="Arial"/>
          <w:sz w:val="22"/>
          <w:szCs w:val="22"/>
          <w:color w:val="auto"/>
        </w:rPr>
      </w:pPr>
    </w:p>
    <w:p>
      <w:pPr>
        <w:ind w:left="4440" w:hanging="907"/>
        <w:spacing w:after="0" w:line="251" w:lineRule="auto"/>
        <w:tabs>
          <w:tab w:leader="none" w:pos="4440" w:val="left"/>
        </w:tabs>
        <w:numPr>
          <w:ilvl w:val="0"/>
          <w:numId w:val="84"/>
        </w:numPr>
        <w:rPr>
          <w:rFonts w:ascii="Arial" w:cs="Arial" w:eastAsia="Arial" w:hAnsi="Arial"/>
          <w:sz w:val="22"/>
          <w:szCs w:val="22"/>
          <w:color w:val="auto"/>
        </w:rPr>
      </w:pPr>
      <w:r>
        <w:rPr>
          <w:rFonts w:ascii="Arial" w:cs="Arial" w:eastAsia="Arial" w:hAnsi="Arial"/>
          <w:sz w:val="22"/>
          <w:szCs w:val="22"/>
          <w:color w:val="auto"/>
        </w:rPr>
        <w:t>if the Applicable Date occurs [*CTR] for each such Aircraft [*CTR], with respect to such Aircraft, and</w:t>
      </w:r>
    </w:p>
    <w:p>
      <w:pPr>
        <w:spacing w:after="0" w:line="200" w:lineRule="exact"/>
        <w:rPr>
          <w:rFonts w:ascii="Arial" w:cs="Arial" w:eastAsia="Arial" w:hAnsi="Arial"/>
          <w:sz w:val="22"/>
          <w:szCs w:val="22"/>
          <w:color w:val="auto"/>
        </w:rPr>
      </w:pPr>
    </w:p>
    <w:p>
      <w:pPr>
        <w:ind w:left="4440" w:hanging="907"/>
        <w:spacing w:after="0"/>
        <w:tabs>
          <w:tab w:leader="none" w:pos="4440" w:val="left"/>
        </w:tabs>
        <w:numPr>
          <w:ilvl w:val="0"/>
          <w:numId w:val="84"/>
        </w:numPr>
        <w:rPr>
          <w:rFonts w:ascii="Arial" w:cs="Arial" w:eastAsia="Arial" w:hAnsi="Arial"/>
          <w:sz w:val="22"/>
          <w:szCs w:val="22"/>
          <w:color w:val="auto"/>
        </w:rPr>
      </w:pPr>
      <w:r>
        <w:rPr>
          <w:rFonts w:ascii="Arial" w:cs="Arial" w:eastAsia="Arial" w:hAnsi="Arial"/>
          <w:sz w:val="22"/>
          <w:szCs w:val="22"/>
          <w:color w:val="auto"/>
        </w:rPr>
        <w:t>if the Applicable Date occurs [*CTR] for each such Aircraft [*CTR],</w:t>
      </w:r>
    </w:p>
    <w:p>
      <w:pPr>
        <w:spacing w:after="0" w:line="206" w:lineRule="exact"/>
        <w:rPr>
          <w:sz w:val="20"/>
          <w:szCs w:val="20"/>
          <w:color w:val="auto"/>
        </w:rPr>
      </w:pPr>
    </w:p>
    <w:p>
      <w:pPr>
        <w:ind w:left="800"/>
        <w:spacing w:after="0"/>
        <w:rPr>
          <w:sz w:val="20"/>
          <w:szCs w:val="20"/>
          <w:color w:val="auto"/>
        </w:rPr>
      </w:pPr>
      <w:r>
        <w:rPr>
          <w:rFonts w:ascii="Arial" w:cs="Arial" w:eastAsia="Arial" w:hAnsi="Arial"/>
          <w:sz w:val="22"/>
          <w:szCs w:val="22"/>
          <w:color w:val="auto"/>
        </w:rPr>
        <w:t>[*CTR]</w:t>
      </w:r>
    </w:p>
    <w:p>
      <w:pPr>
        <w:spacing w:after="0" w:line="233" w:lineRule="exact"/>
        <w:rPr>
          <w:sz w:val="20"/>
          <w:szCs w:val="20"/>
          <w:color w:val="auto"/>
        </w:rPr>
      </w:pPr>
    </w:p>
    <w:p>
      <w:pPr>
        <w:ind w:left="3540" w:hanging="912"/>
        <w:spacing w:after="0"/>
        <w:tabs>
          <w:tab w:leader="none" w:pos="3540" w:val="left"/>
        </w:tabs>
        <w:numPr>
          <w:ilvl w:val="0"/>
          <w:numId w:val="85"/>
        </w:numPr>
        <w:rPr>
          <w:rFonts w:ascii="Arial" w:cs="Arial" w:eastAsia="Arial" w:hAnsi="Arial"/>
          <w:sz w:val="22"/>
          <w:szCs w:val="22"/>
          <w:color w:val="auto"/>
        </w:rPr>
      </w:pPr>
      <w:r>
        <w:rPr>
          <w:rFonts w:ascii="Arial" w:cs="Arial" w:eastAsia="Arial" w:hAnsi="Arial"/>
          <w:sz w:val="22"/>
          <w:szCs w:val="22"/>
          <w:color w:val="auto"/>
        </w:rPr>
        <w:t>[*CTR].</w:t>
      </w:r>
    </w:p>
    <w:p>
      <w:pPr>
        <w:spacing w:after="0" w:line="206" w:lineRule="exact"/>
        <w:rPr>
          <w:sz w:val="20"/>
          <w:szCs w:val="20"/>
          <w:color w:val="auto"/>
        </w:rPr>
      </w:pPr>
    </w:p>
    <w:p>
      <w:pPr>
        <w:ind w:left="800"/>
        <w:spacing w:after="0"/>
        <w:rPr>
          <w:sz w:val="20"/>
          <w:szCs w:val="20"/>
          <w:color w:val="auto"/>
        </w:rPr>
      </w:pPr>
      <w:r>
        <w:rPr>
          <w:rFonts w:ascii="Arial" w:cs="Arial" w:eastAsia="Arial" w:hAnsi="Arial"/>
          <w:sz w:val="22"/>
          <w:szCs w:val="22"/>
          <w:color w:val="auto"/>
        </w:rPr>
        <w:t>21.2.2 [*CTR]</w:t>
      </w:r>
    </w:p>
    <w:p>
      <w:pPr>
        <w:spacing w:after="0" w:line="206" w:lineRule="exact"/>
        <w:rPr>
          <w:sz w:val="20"/>
          <w:szCs w:val="20"/>
          <w:color w:val="auto"/>
        </w:rPr>
      </w:pPr>
    </w:p>
    <w:p>
      <w:pPr>
        <w:ind w:left="800"/>
        <w:spacing w:after="0"/>
        <w:rPr>
          <w:sz w:val="20"/>
          <w:szCs w:val="20"/>
          <w:color w:val="auto"/>
        </w:rPr>
      </w:pPr>
      <w:r>
        <w:rPr>
          <w:rFonts w:ascii="Arial" w:cs="Arial" w:eastAsia="Arial" w:hAnsi="Arial"/>
          <w:sz w:val="22"/>
          <w:szCs w:val="22"/>
          <w:color w:val="auto"/>
        </w:rPr>
        <w:t>21.2.3 [*CTR]</w:t>
      </w:r>
    </w:p>
    <w:p>
      <w:pPr>
        <w:spacing w:after="0" w:line="206" w:lineRule="exact"/>
        <w:rPr>
          <w:sz w:val="20"/>
          <w:szCs w:val="20"/>
          <w:color w:val="auto"/>
        </w:rPr>
      </w:pPr>
    </w:p>
    <w:p>
      <w:pPr>
        <w:ind w:left="800"/>
        <w:spacing w:after="0"/>
        <w:rPr>
          <w:sz w:val="20"/>
          <w:szCs w:val="20"/>
          <w:color w:val="auto"/>
        </w:rPr>
      </w:pPr>
      <w:r>
        <w:rPr>
          <w:rFonts w:ascii="Arial" w:cs="Arial" w:eastAsia="Arial" w:hAnsi="Arial"/>
          <w:sz w:val="22"/>
          <w:szCs w:val="22"/>
          <w:color w:val="auto"/>
        </w:rPr>
        <w:t>UNQUOTE</w:t>
      </w:r>
    </w:p>
    <w:p>
      <w:pPr>
        <w:spacing w:after="0" w:line="233" w:lineRule="exact"/>
        <w:rPr>
          <w:sz w:val="20"/>
          <w:szCs w:val="20"/>
          <w:color w:val="auto"/>
        </w:rPr>
      </w:pPr>
    </w:p>
    <w:p>
      <w:pPr>
        <w:spacing w:after="0"/>
        <w:tabs>
          <w:tab w:leader="none" w:pos="780" w:val="left"/>
        </w:tabs>
        <w:rPr>
          <w:sz w:val="20"/>
          <w:szCs w:val="20"/>
          <w:color w:val="auto"/>
        </w:rPr>
      </w:pPr>
      <w:r>
        <w:rPr>
          <w:rFonts w:ascii="Arial" w:cs="Arial" w:eastAsia="Arial" w:hAnsi="Arial"/>
          <w:sz w:val="22"/>
          <w:szCs w:val="22"/>
          <w:color w:val="auto"/>
        </w:rPr>
        <w:t>3.3</w:t>
      </w:r>
      <w:r>
        <w:rPr>
          <w:sz w:val="20"/>
          <w:szCs w:val="20"/>
          <w:color w:val="auto"/>
        </w:rPr>
        <w:tab/>
      </w:r>
      <w:r>
        <w:rPr>
          <w:rFonts w:ascii="Arial" w:cs="Arial" w:eastAsia="Arial" w:hAnsi="Arial"/>
          <w:sz w:val="19"/>
          <w:szCs w:val="19"/>
          <w:color w:val="auto"/>
        </w:rPr>
        <w:t>Clause 21.3 of the Agreement is deleted in its entirety and replaced with the following quoted text:</w:t>
      </w:r>
    </w:p>
    <w:p>
      <w:pPr>
        <w:spacing w:after="0" w:line="206" w:lineRule="exact"/>
        <w:rPr>
          <w:sz w:val="20"/>
          <w:szCs w:val="20"/>
          <w:color w:val="auto"/>
        </w:rPr>
      </w:pPr>
    </w:p>
    <w:p>
      <w:pPr>
        <w:ind w:left="800"/>
        <w:spacing w:after="0"/>
        <w:rPr>
          <w:sz w:val="20"/>
          <w:szCs w:val="20"/>
          <w:color w:val="auto"/>
        </w:rPr>
      </w:pPr>
      <w:r>
        <w:rPr>
          <w:rFonts w:ascii="Arial" w:cs="Arial" w:eastAsia="Arial" w:hAnsi="Arial"/>
          <w:sz w:val="22"/>
          <w:szCs w:val="22"/>
          <w:color w:val="auto"/>
        </w:rPr>
        <w:t>QUOTE</w:t>
      </w:r>
    </w:p>
    <w:p>
      <w:pPr>
        <w:spacing w:after="0" w:line="206" w:lineRule="exact"/>
        <w:rPr>
          <w:sz w:val="20"/>
          <w:szCs w:val="20"/>
          <w:color w:val="auto"/>
        </w:rPr>
      </w:pPr>
    </w:p>
    <w:p>
      <w:pPr>
        <w:ind w:left="800"/>
        <w:spacing w:after="0"/>
        <w:rPr>
          <w:sz w:val="20"/>
          <w:szCs w:val="20"/>
          <w:color w:val="auto"/>
        </w:rPr>
      </w:pPr>
      <w:r>
        <w:rPr>
          <w:rFonts w:ascii="Arial" w:cs="Arial" w:eastAsia="Arial" w:hAnsi="Arial"/>
          <w:sz w:val="22"/>
          <w:szCs w:val="22"/>
          <w:color w:val="auto"/>
        </w:rPr>
        <w:t>[*CTR]:</w:t>
      </w:r>
    </w:p>
    <w:p>
      <w:pPr>
        <w:spacing w:after="0" w:line="233" w:lineRule="exact"/>
        <w:rPr>
          <w:sz w:val="20"/>
          <w:szCs w:val="20"/>
          <w:color w:val="auto"/>
        </w:rPr>
      </w:pPr>
    </w:p>
    <w:p>
      <w:pPr>
        <w:ind w:left="1700" w:hanging="895"/>
        <w:spacing w:after="0"/>
        <w:tabs>
          <w:tab w:leader="none" w:pos="1700" w:val="left"/>
        </w:tabs>
        <w:numPr>
          <w:ilvl w:val="0"/>
          <w:numId w:val="86"/>
        </w:numPr>
        <w:rPr>
          <w:rFonts w:ascii="Arial" w:cs="Arial" w:eastAsia="Arial" w:hAnsi="Arial"/>
          <w:sz w:val="22"/>
          <w:szCs w:val="22"/>
          <w:color w:val="auto"/>
        </w:rPr>
      </w:pPr>
      <w:r>
        <w:rPr>
          <w:rFonts w:ascii="Arial" w:cs="Arial" w:eastAsia="Arial" w:hAnsi="Arial"/>
          <w:sz w:val="22"/>
          <w:szCs w:val="22"/>
          <w:color w:val="auto"/>
        </w:rPr>
        <w:t>[*CTR].</w:t>
      </w:r>
    </w:p>
    <w:p>
      <w:pPr>
        <w:spacing w:after="0" w:line="233" w:lineRule="exact"/>
        <w:rPr>
          <w:rFonts w:ascii="Arial" w:cs="Arial" w:eastAsia="Arial" w:hAnsi="Arial"/>
          <w:sz w:val="22"/>
          <w:szCs w:val="22"/>
          <w:color w:val="auto"/>
        </w:rPr>
      </w:pPr>
    </w:p>
    <w:p>
      <w:pPr>
        <w:ind w:left="1700" w:hanging="895"/>
        <w:spacing w:after="0"/>
        <w:tabs>
          <w:tab w:leader="none" w:pos="1700" w:val="left"/>
        </w:tabs>
        <w:numPr>
          <w:ilvl w:val="0"/>
          <w:numId w:val="86"/>
        </w:numPr>
        <w:rPr>
          <w:rFonts w:ascii="Arial" w:cs="Arial" w:eastAsia="Arial" w:hAnsi="Arial"/>
          <w:sz w:val="22"/>
          <w:szCs w:val="22"/>
          <w:color w:val="auto"/>
        </w:rPr>
      </w:pPr>
      <w:r>
        <w:rPr>
          <w:rFonts w:ascii="Arial" w:cs="Arial" w:eastAsia="Arial" w:hAnsi="Arial"/>
          <w:sz w:val="22"/>
          <w:szCs w:val="22"/>
          <w:color w:val="auto"/>
        </w:rPr>
        <w:t>[*CTR],</w:t>
      </w:r>
    </w:p>
    <w:p>
      <w:pPr>
        <w:spacing w:after="0" w:line="233"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22"/>
          <w:szCs w:val="22"/>
          <w:color w:val="auto"/>
        </w:rPr>
        <w:t>(ii)</w:t>
      </w:r>
      <w:r>
        <w:rPr>
          <w:sz w:val="20"/>
          <w:szCs w:val="20"/>
          <w:color w:val="auto"/>
        </w:rPr>
        <w:tab/>
      </w:r>
      <w:r>
        <w:rPr>
          <w:rFonts w:ascii="Arial" w:cs="Arial" w:eastAsia="Arial" w:hAnsi="Arial"/>
          <w:sz w:val="22"/>
          <w:szCs w:val="22"/>
          <w:color w:val="auto"/>
        </w:rPr>
        <w:t>[*CTR], and</w:t>
      </w:r>
    </w:p>
    <w:p>
      <w:pPr>
        <w:spacing w:after="0" w:line="233"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22"/>
          <w:szCs w:val="22"/>
          <w:color w:val="auto"/>
        </w:rPr>
        <w:t>(iii)</w:t>
      </w:r>
      <w:r>
        <w:rPr>
          <w:sz w:val="20"/>
          <w:szCs w:val="20"/>
          <w:color w:val="auto"/>
        </w:rPr>
        <w:tab/>
      </w:r>
      <w:r>
        <w:rPr>
          <w:rFonts w:ascii="Arial" w:cs="Arial" w:eastAsia="Arial" w:hAnsi="Arial"/>
          <w:sz w:val="22"/>
          <w:szCs w:val="22"/>
          <w:color w:val="auto"/>
        </w:rPr>
        <w:t>[*CTR].</w:t>
      </w:r>
    </w:p>
    <w:p>
      <w:pPr>
        <w:spacing w:after="0" w:line="206" w:lineRule="exact"/>
        <w:rPr>
          <w:sz w:val="20"/>
          <w:szCs w:val="20"/>
          <w:color w:val="auto"/>
        </w:rPr>
      </w:pPr>
    </w:p>
    <w:p>
      <w:pPr>
        <w:ind w:left="800"/>
        <w:spacing w:after="0"/>
        <w:rPr>
          <w:sz w:val="20"/>
          <w:szCs w:val="20"/>
          <w:color w:val="auto"/>
        </w:rPr>
      </w:pPr>
      <w:r>
        <w:rPr>
          <w:rFonts w:ascii="Arial" w:cs="Arial" w:eastAsia="Arial" w:hAnsi="Arial"/>
          <w:sz w:val="22"/>
          <w:szCs w:val="22"/>
          <w:color w:val="auto"/>
        </w:rPr>
        <w:t>UNQUOTE</w:t>
      </w:r>
    </w:p>
    <w:p>
      <w:pPr>
        <w:spacing w:after="0" w:line="139" w:lineRule="exact"/>
        <w:rPr>
          <w:sz w:val="20"/>
          <w:szCs w:val="20"/>
          <w:color w:val="auto"/>
        </w:rPr>
      </w:pPr>
    </w:p>
    <w:p>
      <w:pPr>
        <w:ind w:left="10280"/>
        <w:spacing w:after="0"/>
        <w:rPr>
          <w:sz w:val="20"/>
          <w:szCs w:val="20"/>
          <w:color w:val="auto"/>
        </w:rPr>
      </w:pPr>
      <w:r>
        <w:rPr>
          <w:rFonts w:ascii="Arial" w:cs="Arial" w:eastAsia="Arial" w:hAnsi="Arial"/>
          <w:sz w:val="19"/>
          <w:szCs w:val="19"/>
          <w:color w:val="auto"/>
        </w:rPr>
        <w:t>LA 9 - 5 of 7</w:t>
      </w:r>
    </w:p>
    <w:p>
      <w:pPr>
        <w:sectPr>
          <w:pgSz w:w="11900" w:h="16838" w:orient="portrait"/>
          <w:cols w:equalWidth="0" w:num="1">
            <w:col w:w="11420"/>
          </w:cols>
          <w:pgMar w:left="240" w:top="266" w:right="239" w:bottom="1440" w:gutter="0" w:footer="0" w:header="0"/>
        </w:sectPr>
      </w:pPr>
    </w:p>
    <w:p>
      <w:pPr>
        <w:spacing w:after="0" w:line="56" w:lineRule="exact"/>
        <w:rPr>
          <w:sz w:val="20"/>
          <w:szCs w:val="20"/>
          <w:color w:val="auto"/>
        </w:rPr>
      </w:pPr>
    </w:p>
    <w:p>
      <w:pPr>
        <w:ind w:right="3180"/>
        <w:spacing w:after="0" w:line="251" w:lineRule="auto"/>
        <w:rPr>
          <w:sz w:val="20"/>
          <w:szCs w:val="20"/>
          <w:color w:val="auto"/>
        </w:rPr>
      </w:pPr>
      <w:r>
        <w:rPr>
          <w:rFonts w:ascii="Arial" w:cs="Arial" w:eastAsia="Arial" w:hAnsi="Arial"/>
          <w:sz w:val="18"/>
          <w:szCs w:val="18"/>
          <w:color w:val="auto"/>
        </w:rPr>
        <w:t>USA – Third Amended and Restated Letter Agreement No. 9 to Amended and Restated Airbus A350 XWB Purchase Agreement EXECUTION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color w:val="auto"/>
        </w:rPr>
        <w:t>PRIVILEGED AND CONFIDENTIAL</w:t>
      </w:r>
    </w:p>
    <w:p>
      <w:pPr>
        <w:spacing w:after="0" w:line="34" w:lineRule="exact"/>
        <w:rPr>
          <w:sz w:val="20"/>
          <w:szCs w:val="20"/>
          <w:color w:val="auto"/>
        </w:rPr>
      </w:pPr>
    </w:p>
    <w:p>
      <w:pPr>
        <w:sectPr>
          <w:pgSz w:w="11900" w:h="16838" w:orient="portrait"/>
          <w:cols w:equalWidth="0" w:num="2">
            <w:col w:w="7840" w:space="720"/>
            <w:col w:w="2860"/>
          </w:cols>
          <w:pgMar w:left="240" w:top="266" w:right="239" w:bottom="1440" w:gutter="0" w:footer="0" w:header="0"/>
          <w:type w:val="continuous"/>
        </w:sectPr>
      </w:pPr>
    </w:p>
    <w:p>
      <w:pPr>
        <w:spacing w:after="0" w:line="280" w:lineRule="auto"/>
        <w:rPr>
          <w:sz w:val="20"/>
          <w:szCs w:val="20"/>
          <w:color w:val="auto"/>
        </w:rPr>
      </w:pPr>
      <w:r>
        <w:rPr>
          <w:rFonts w:ascii="Arial" w:cs="Arial" w:eastAsia="Arial" w:hAnsi="Arial"/>
          <w:sz w:val="16"/>
          <w:szCs w:val="16"/>
          <w:color w:val="auto"/>
        </w:rPr>
        <w:t>[*CTR]=[CONFIDENTIAL PORTION OMITTED AND FILED SEPARATELY WITH THE COMMISSION PURSUANT TO A REQUEST FOR CONFIDENTIAL TREATMENT]</w:t>
      </w:r>
    </w:p>
    <w:p>
      <w:pPr>
        <w:sectPr>
          <w:pgSz w:w="11900" w:h="16838" w:orient="portrait"/>
          <w:cols w:equalWidth="0" w:num="1">
            <w:col w:w="11420"/>
          </w:cols>
          <w:pgMar w:left="240" w:top="266" w:right="239" w:bottom="1440" w:gutter="0" w:footer="0" w:header="0"/>
          <w:type w:val="continuous"/>
        </w:sectPr>
      </w:pPr>
    </w:p>
    <w:bookmarkStart w:id="104" w:name="page105"/>
    <w:bookmarkEnd w:id="104"/>
    <w:p>
      <w:pPr>
        <w:ind w:left="800" w:hanging="792"/>
        <w:spacing w:after="0"/>
        <w:tabs>
          <w:tab w:leader="none" w:pos="800" w:val="left"/>
        </w:tabs>
        <w:numPr>
          <w:ilvl w:val="0"/>
          <w:numId w:val="87"/>
        </w:numPr>
        <w:rPr>
          <w:rFonts w:ascii="Arial" w:cs="Arial" w:eastAsia="Arial" w:hAnsi="Arial"/>
          <w:sz w:val="22"/>
          <w:szCs w:val="22"/>
          <w:color w:val="auto"/>
        </w:rPr>
      </w:pPr>
      <w:r>
        <w:rPr>
          <w:rFonts w:ascii="Arial" w:cs="Arial" w:eastAsia="Arial" w:hAnsi="Arial"/>
          <w:sz w:val="22"/>
          <w:szCs w:val="22"/>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ASSIGNMENT</w:t>
      </w:r>
    </w:p>
    <w:p>
      <w:pPr>
        <w:spacing w:after="0" w:line="206" w:lineRule="exact"/>
        <w:rPr>
          <w:rFonts w:ascii="Arial" w:cs="Arial" w:eastAsia="Arial" w:hAnsi="Arial"/>
          <w:sz w:val="22"/>
          <w:szCs w:val="22"/>
          <w:color w:val="auto"/>
        </w:rPr>
      </w:pPr>
    </w:p>
    <w:p>
      <w:pPr>
        <w:jc w:val="both"/>
        <w:ind w:left="800"/>
        <w:spacing w:after="0" w:line="238" w:lineRule="auto"/>
        <w:rPr>
          <w:rFonts w:ascii="Arial" w:cs="Arial" w:eastAsia="Arial" w:hAnsi="Arial"/>
          <w:sz w:val="22"/>
          <w:szCs w:val="22"/>
          <w:color w:val="auto"/>
        </w:rPr>
      </w:pPr>
      <w:r>
        <w:rPr>
          <w:rFonts w:ascii="Arial" w:cs="Arial" w:eastAsia="Arial" w:hAnsi="Arial"/>
          <w:sz w:val="22"/>
          <w:szCs w:val="22"/>
          <w:color w:val="auto"/>
        </w:rPr>
        <w:t>Except as set forth in Clause 20.2 of the Agreement, this Letter Agreement and the rights and obligations of the Buyer hereunder will not be assigned or transferred in any manner without the prior written consent of the Seller, and any attempted assignment or transfer in contravention of the provisions of this Paragraph 4 will be void and of no force or effect.</w:t>
      </w:r>
    </w:p>
    <w:p>
      <w:pPr>
        <w:spacing w:after="0" w:line="212" w:lineRule="exact"/>
        <w:rPr>
          <w:rFonts w:ascii="Arial" w:cs="Arial" w:eastAsia="Arial" w:hAnsi="Arial"/>
          <w:sz w:val="22"/>
          <w:szCs w:val="22"/>
          <w:color w:val="auto"/>
        </w:rPr>
      </w:pPr>
    </w:p>
    <w:p>
      <w:pPr>
        <w:ind w:left="800" w:hanging="792"/>
        <w:spacing w:after="0"/>
        <w:tabs>
          <w:tab w:leader="none" w:pos="800" w:val="left"/>
        </w:tabs>
        <w:numPr>
          <w:ilvl w:val="0"/>
          <w:numId w:val="87"/>
        </w:numPr>
        <w:rPr>
          <w:rFonts w:ascii="Arial" w:cs="Arial" w:eastAsia="Arial" w:hAnsi="Arial"/>
          <w:sz w:val="22"/>
          <w:szCs w:val="22"/>
          <w:color w:val="auto"/>
        </w:rPr>
      </w:pPr>
      <w:r>
        <w:rPr>
          <w:rFonts w:ascii="Arial" w:cs="Arial" w:eastAsia="Arial" w:hAnsi="Arial"/>
          <w:sz w:val="22"/>
          <w:szCs w:val="22"/>
          <w:u w:val="single" w:color="auto"/>
          <w:color w:val="auto"/>
        </w:rPr>
        <w:t>COUNTERPARTS</w:t>
      </w:r>
    </w:p>
    <w:p>
      <w:pPr>
        <w:spacing w:after="0" w:line="206" w:lineRule="exact"/>
        <w:rPr>
          <w:rFonts w:ascii="Arial" w:cs="Arial" w:eastAsia="Arial" w:hAnsi="Arial"/>
          <w:sz w:val="22"/>
          <w:szCs w:val="22"/>
          <w:color w:val="auto"/>
        </w:rPr>
      </w:pPr>
    </w:p>
    <w:p>
      <w:pPr>
        <w:jc w:val="both"/>
        <w:ind w:left="800"/>
        <w:spacing w:after="0"/>
        <w:rPr>
          <w:rFonts w:ascii="Arial" w:cs="Arial" w:eastAsia="Arial" w:hAnsi="Arial"/>
          <w:sz w:val="22"/>
          <w:szCs w:val="22"/>
          <w:color w:val="auto"/>
        </w:rPr>
      </w:pPr>
      <w:r>
        <w:rPr>
          <w:rFonts w:ascii="Arial" w:cs="Arial" w:eastAsia="Arial" w:hAnsi="Arial"/>
          <w:sz w:val="22"/>
          <w:szCs w:val="22"/>
          <w:color w:val="auto"/>
        </w:rPr>
        <w:t>This Letter Agreement may be signed in any number of separate counterparts. Each counterpart, when signed and delivered (including counterparts delivered by facsimile transmission), will be an original, and the counterparts will together constitute one and the same instrument.</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6620" w:type="dxa"/>
            <w:vAlign w:val="bottom"/>
            <w:vMerge w:val="restart"/>
          </w:tcPr>
          <w:p>
            <w:pPr>
              <w:spacing w:after="0"/>
              <w:rPr>
                <w:sz w:val="20"/>
                <w:szCs w:val="20"/>
                <w:color w:val="auto"/>
              </w:rPr>
            </w:pPr>
            <w:r>
              <w:rPr>
                <w:rFonts w:ascii="Arial" w:cs="Arial" w:eastAsia="Arial" w:hAnsi="Arial"/>
                <w:sz w:val="18"/>
                <w:szCs w:val="18"/>
                <w:color w:val="auto"/>
              </w:rPr>
              <w:t>USA – Third Amended and Restated Letter Agreement No. 9 to</w:t>
            </w:r>
          </w:p>
        </w:tc>
        <w:tc>
          <w:tcPr>
            <w:tcW w:w="4800" w:type="dxa"/>
            <w:vAlign w:val="bottom"/>
          </w:tcPr>
          <w:p>
            <w:pPr>
              <w:jc w:val="right"/>
              <w:spacing w:after="0"/>
              <w:rPr>
                <w:sz w:val="20"/>
                <w:szCs w:val="20"/>
                <w:color w:val="auto"/>
              </w:rPr>
            </w:pPr>
            <w:r>
              <w:rPr>
                <w:rFonts w:ascii="Arial" w:cs="Arial" w:eastAsia="Arial" w:hAnsi="Arial"/>
                <w:sz w:val="22"/>
                <w:szCs w:val="22"/>
                <w:color w:val="auto"/>
              </w:rPr>
              <w:t>LA 9 - 6 of 7</w:t>
            </w:r>
          </w:p>
        </w:tc>
        <w:tc>
          <w:tcPr>
            <w:tcW w:w="0" w:type="dxa"/>
            <w:vAlign w:val="bottom"/>
          </w:tcPr>
          <w:p>
            <w:pPr>
              <w:spacing w:after="0"/>
              <w:rPr>
                <w:sz w:val="1"/>
                <w:szCs w:val="1"/>
                <w:color w:val="auto"/>
              </w:rPr>
            </w:pPr>
          </w:p>
        </w:tc>
      </w:tr>
      <w:tr>
        <w:trPr>
          <w:trHeight w:val="192"/>
        </w:trPr>
        <w:tc>
          <w:tcPr>
            <w:tcW w:w="6620" w:type="dxa"/>
            <w:vAlign w:val="bottom"/>
            <w:vMerge w:val="continue"/>
          </w:tcPr>
          <w:p>
            <w:pPr>
              <w:spacing w:after="0"/>
              <w:rPr>
                <w:sz w:val="16"/>
                <w:szCs w:val="16"/>
                <w:color w:val="auto"/>
              </w:rPr>
            </w:pPr>
          </w:p>
        </w:tc>
        <w:tc>
          <w:tcPr>
            <w:tcW w:w="4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620" w:type="dxa"/>
            <w:vAlign w:val="bottom"/>
          </w:tcPr>
          <w:p>
            <w:pPr>
              <w:spacing w:after="0"/>
              <w:rPr>
                <w:sz w:val="20"/>
                <w:szCs w:val="20"/>
                <w:color w:val="auto"/>
              </w:rPr>
            </w:pPr>
            <w:r>
              <w:rPr>
                <w:rFonts w:ascii="Arial" w:cs="Arial" w:eastAsia="Arial" w:hAnsi="Arial"/>
                <w:sz w:val="18"/>
                <w:szCs w:val="18"/>
                <w:color w:val="auto"/>
              </w:rPr>
              <w:t>Amended and Restated Airbus A350 XWB Purchase Agreement</w:t>
            </w:r>
          </w:p>
        </w:tc>
        <w:tc>
          <w:tcPr>
            <w:tcW w:w="4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20" w:type="dxa"/>
            <w:vAlign w:val="bottom"/>
          </w:tcPr>
          <w:p>
            <w:pPr>
              <w:spacing w:after="0"/>
              <w:rPr>
                <w:sz w:val="20"/>
                <w:szCs w:val="20"/>
                <w:color w:val="auto"/>
              </w:rPr>
            </w:pPr>
            <w:r>
              <w:rPr>
                <w:rFonts w:ascii="Arial" w:cs="Arial" w:eastAsia="Arial" w:hAnsi="Arial"/>
                <w:sz w:val="18"/>
                <w:szCs w:val="18"/>
                <w:color w:val="auto"/>
              </w:rPr>
              <w:t>EXECUTION</w:t>
            </w:r>
          </w:p>
        </w:tc>
        <w:tc>
          <w:tcPr>
            <w:tcW w:w="4800" w:type="dxa"/>
            <w:vAlign w:val="bottom"/>
          </w:tcPr>
          <w:p>
            <w:pPr>
              <w:jc w:val="right"/>
              <w:spacing w:after="0"/>
              <w:rPr>
                <w:sz w:val="20"/>
                <w:szCs w:val="20"/>
                <w:color w:val="auto"/>
              </w:rPr>
            </w:pPr>
            <w:r>
              <w:rPr>
                <w:rFonts w:ascii="Arial" w:cs="Arial" w:eastAsia="Arial" w:hAnsi="Arial"/>
                <w:sz w:val="18"/>
                <w:szCs w:val="18"/>
                <w:color w:val="auto"/>
              </w:rPr>
              <w:t>PRIVILEGED AND CONFIDENTIAL</w:t>
            </w:r>
          </w:p>
        </w:tc>
        <w:tc>
          <w:tcPr>
            <w:tcW w:w="0" w:type="dxa"/>
            <w:vAlign w:val="bottom"/>
          </w:tcPr>
          <w:p>
            <w:pPr>
              <w:spacing w:after="0"/>
              <w:rPr>
                <w:sz w:val="1"/>
                <w:szCs w:val="1"/>
                <w:color w:val="auto"/>
              </w:rPr>
            </w:pPr>
          </w:p>
        </w:tc>
      </w:tr>
    </w:tbl>
    <w:p>
      <w:pPr>
        <w:sectPr>
          <w:pgSz w:w="11900" w:h="16838" w:orient="portrait"/>
          <w:cols w:equalWidth="0" w:num="1">
            <w:col w:w="11420"/>
          </w:cols>
          <w:pgMar w:left="240" w:top="267" w:right="239" w:bottom="1440" w:gutter="0" w:footer="0" w:header="0"/>
        </w:sectPr>
      </w:pPr>
    </w:p>
    <w:bookmarkStart w:id="105" w:name="page106"/>
    <w:bookmarkEnd w:id="105"/>
    <w:p>
      <w:pPr>
        <w:ind w:right="20"/>
        <w:spacing w:after="0" w:line="251"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foregoing correctly sets forth your understanding, please sign two (2) counterparts hereof in the space provided below and return one (1) such counterpart to the Seller.</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5360" w:type="dxa"/>
            <w:vAlign w:val="bottom"/>
            <w:gridSpan w:val="3"/>
          </w:tcPr>
          <w:p>
            <w:pPr>
              <w:ind w:left="240"/>
              <w:spacing w:after="0"/>
              <w:rPr>
                <w:sz w:val="20"/>
                <w:szCs w:val="20"/>
                <w:color w:val="auto"/>
              </w:rPr>
            </w:pPr>
            <w:r>
              <w:rPr>
                <w:rFonts w:ascii="Arial" w:cs="Arial" w:eastAsia="Arial" w:hAnsi="Arial"/>
                <w:sz w:val="22"/>
                <w:szCs w:val="22"/>
                <w:color w:val="auto"/>
              </w:rPr>
              <w:t>AMERICAN AIRLINES, INC.</w:t>
            </w:r>
          </w:p>
        </w:tc>
        <w:tc>
          <w:tcPr>
            <w:tcW w:w="6060" w:type="dxa"/>
            <w:vAlign w:val="bottom"/>
            <w:gridSpan w:val="3"/>
          </w:tcPr>
          <w:p>
            <w:pPr>
              <w:ind w:left="680"/>
              <w:spacing w:after="0"/>
              <w:rPr>
                <w:sz w:val="20"/>
                <w:szCs w:val="20"/>
                <w:color w:val="auto"/>
              </w:rPr>
            </w:pPr>
            <w:r>
              <w:rPr>
                <w:rFonts w:ascii="Arial" w:cs="Arial" w:eastAsia="Arial" w:hAnsi="Arial"/>
                <w:sz w:val="22"/>
                <w:szCs w:val="22"/>
                <w:color w:val="auto"/>
              </w:rPr>
              <w:t>AIRBUS S.A.S.</w:t>
            </w:r>
          </w:p>
        </w:tc>
        <w:tc>
          <w:tcPr>
            <w:tcW w:w="0" w:type="dxa"/>
            <w:vAlign w:val="bottom"/>
          </w:tcPr>
          <w:p>
            <w:pPr>
              <w:spacing w:after="0"/>
              <w:rPr>
                <w:sz w:val="1"/>
                <w:szCs w:val="1"/>
                <w:color w:val="auto"/>
              </w:rPr>
            </w:pPr>
          </w:p>
        </w:tc>
      </w:tr>
      <w:tr>
        <w:trPr>
          <w:trHeight w:val="557"/>
        </w:trPr>
        <w:tc>
          <w:tcPr>
            <w:tcW w:w="5360" w:type="dxa"/>
            <w:vAlign w:val="bottom"/>
            <w:gridSpan w:val="3"/>
          </w:tcPr>
          <w:p>
            <w:pPr>
              <w:ind w:left="240"/>
              <w:spacing w:after="0"/>
              <w:rPr>
                <w:sz w:val="20"/>
                <w:szCs w:val="20"/>
                <w:color w:val="auto"/>
              </w:rPr>
            </w:pPr>
            <w:r>
              <w:rPr>
                <w:rFonts w:ascii="Arial" w:cs="Arial" w:eastAsia="Arial" w:hAnsi="Arial"/>
                <w:sz w:val="22"/>
                <w:szCs w:val="22"/>
                <w:color w:val="auto"/>
              </w:rPr>
              <w:t>By: /s/ Thomas T. Weir</w:t>
            </w:r>
          </w:p>
        </w:tc>
        <w:tc>
          <w:tcPr>
            <w:tcW w:w="6060" w:type="dxa"/>
            <w:vAlign w:val="bottom"/>
            <w:gridSpan w:val="3"/>
          </w:tcPr>
          <w:p>
            <w:pPr>
              <w:ind w:left="680"/>
              <w:spacing w:after="0"/>
              <w:rPr>
                <w:sz w:val="20"/>
                <w:szCs w:val="20"/>
                <w:color w:val="auto"/>
              </w:rPr>
            </w:pPr>
            <w:r>
              <w:rPr>
                <w:rFonts w:ascii="Arial" w:cs="Arial" w:eastAsia="Arial" w:hAnsi="Arial"/>
                <w:sz w:val="22"/>
                <w:szCs w:val="22"/>
                <w:color w:val="auto"/>
              </w:rPr>
              <w:t>By: /s/ Christophe Mourey</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328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12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5360" w:type="dxa"/>
            <w:vAlign w:val="bottom"/>
            <w:gridSpan w:val="3"/>
          </w:tcPr>
          <w:p>
            <w:pPr>
              <w:ind w:left="340"/>
              <w:spacing w:after="0" w:line="242" w:lineRule="exact"/>
              <w:rPr>
                <w:sz w:val="20"/>
                <w:szCs w:val="20"/>
                <w:color w:val="auto"/>
              </w:rPr>
            </w:pPr>
            <w:r>
              <w:rPr>
                <w:rFonts w:ascii="Arial" w:cs="Arial" w:eastAsia="Arial" w:hAnsi="Arial"/>
                <w:sz w:val="22"/>
                <w:szCs w:val="22"/>
                <w:color w:val="auto"/>
              </w:rPr>
              <w:t>Name:</w:t>
            </w:r>
          </w:p>
        </w:tc>
        <w:tc>
          <w:tcPr>
            <w:tcW w:w="6060" w:type="dxa"/>
            <w:vAlign w:val="bottom"/>
            <w:gridSpan w:val="3"/>
          </w:tcPr>
          <w:p>
            <w:pPr>
              <w:ind w:left="800"/>
              <w:spacing w:after="0" w:line="242" w:lineRule="exact"/>
              <w:rPr>
                <w:sz w:val="20"/>
                <w:szCs w:val="20"/>
                <w:color w:val="auto"/>
              </w:rPr>
            </w:pPr>
            <w:r>
              <w:rPr>
                <w:rFonts w:ascii="Arial" w:cs="Arial" w:eastAsia="Arial" w:hAnsi="Arial"/>
                <w:sz w:val="22"/>
                <w:szCs w:val="22"/>
                <w:color w:val="auto"/>
              </w:rPr>
              <w:t>Name: Christophe Mourey</w:t>
            </w:r>
          </w:p>
        </w:tc>
        <w:tc>
          <w:tcPr>
            <w:tcW w:w="0" w:type="dxa"/>
            <w:vAlign w:val="bottom"/>
          </w:tcPr>
          <w:p>
            <w:pPr>
              <w:spacing w:after="0"/>
              <w:rPr>
                <w:sz w:val="1"/>
                <w:szCs w:val="1"/>
                <w:color w:val="auto"/>
              </w:rPr>
            </w:pPr>
          </w:p>
        </w:tc>
      </w:tr>
      <w:tr>
        <w:trPr>
          <w:trHeight w:val="275"/>
        </w:trPr>
        <w:tc>
          <w:tcPr>
            <w:tcW w:w="5360" w:type="dxa"/>
            <w:vAlign w:val="bottom"/>
            <w:gridSpan w:val="3"/>
          </w:tcPr>
          <w:p>
            <w:pPr>
              <w:ind w:left="340"/>
              <w:spacing w:after="0"/>
              <w:rPr>
                <w:sz w:val="20"/>
                <w:szCs w:val="20"/>
                <w:color w:val="auto"/>
              </w:rPr>
            </w:pPr>
            <w:r>
              <w:rPr>
                <w:rFonts w:ascii="Arial" w:cs="Arial" w:eastAsia="Arial" w:hAnsi="Arial"/>
                <w:sz w:val="22"/>
                <w:szCs w:val="22"/>
                <w:color w:val="auto"/>
              </w:rPr>
              <w:t>Title:</w:t>
            </w:r>
          </w:p>
        </w:tc>
        <w:tc>
          <w:tcPr>
            <w:tcW w:w="6060" w:type="dxa"/>
            <w:vAlign w:val="bottom"/>
            <w:gridSpan w:val="3"/>
          </w:tcPr>
          <w:p>
            <w:pPr>
              <w:ind w:left="780"/>
              <w:spacing w:after="0"/>
              <w:rPr>
                <w:sz w:val="20"/>
                <w:szCs w:val="20"/>
                <w:color w:val="auto"/>
              </w:rPr>
            </w:pPr>
            <w:r>
              <w:rPr>
                <w:rFonts w:ascii="Arial" w:cs="Arial" w:eastAsia="Arial" w:hAnsi="Arial"/>
                <w:sz w:val="22"/>
                <w:szCs w:val="22"/>
                <w:color w:val="auto"/>
              </w:rPr>
              <w:t>Title: Senior Vice President Contracts</w:t>
            </w:r>
          </w:p>
        </w:tc>
        <w:tc>
          <w:tcPr>
            <w:tcW w:w="0" w:type="dxa"/>
            <w:vAlign w:val="bottom"/>
          </w:tcPr>
          <w:p>
            <w:pPr>
              <w:spacing w:after="0"/>
              <w:rPr>
                <w:sz w:val="1"/>
                <w:szCs w:val="1"/>
                <w:color w:val="auto"/>
              </w:rPr>
            </w:pPr>
          </w:p>
        </w:tc>
      </w:tr>
      <w:tr>
        <w:trPr>
          <w:trHeight w:val="405"/>
        </w:trPr>
        <w:tc>
          <w:tcPr>
            <w:tcW w:w="5360" w:type="dxa"/>
            <w:vAlign w:val="bottom"/>
            <w:gridSpan w:val="3"/>
            <w:vMerge w:val="restart"/>
          </w:tcPr>
          <w:p>
            <w:pPr>
              <w:spacing w:after="0"/>
              <w:rPr>
                <w:sz w:val="20"/>
                <w:szCs w:val="20"/>
                <w:color w:val="auto"/>
              </w:rPr>
            </w:pPr>
            <w:r>
              <w:rPr>
                <w:rFonts w:ascii="Arial" w:cs="Arial" w:eastAsia="Arial" w:hAnsi="Arial"/>
                <w:sz w:val="18"/>
                <w:szCs w:val="18"/>
                <w:color w:val="auto"/>
              </w:rPr>
              <w:t>USA – Third Amended and Restated Letter Agreement No. 9 to</w:t>
            </w:r>
          </w:p>
        </w:tc>
        <w:tc>
          <w:tcPr>
            <w:tcW w:w="10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22"/>
                <w:szCs w:val="22"/>
                <w:color w:val="auto"/>
              </w:rPr>
              <w:t>LA 9</w:t>
            </w:r>
          </w:p>
        </w:tc>
        <w:tc>
          <w:tcPr>
            <w:tcW w:w="0" w:type="dxa"/>
            <w:vAlign w:val="bottom"/>
          </w:tcPr>
          <w:p>
            <w:pPr>
              <w:spacing w:after="0"/>
              <w:rPr>
                <w:sz w:val="1"/>
                <w:szCs w:val="1"/>
                <w:color w:val="auto"/>
              </w:rPr>
            </w:pPr>
          </w:p>
        </w:tc>
      </w:tr>
      <w:tr>
        <w:trPr>
          <w:trHeight w:val="192"/>
        </w:trPr>
        <w:tc>
          <w:tcPr>
            <w:tcW w:w="5360" w:type="dxa"/>
            <w:vAlign w:val="bottom"/>
            <w:gridSpan w:val="3"/>
            <w:vMerge w:val="continue"/>
          </w:tcPr>
          <w:p>
            <w:pPr>
              <w:spacing w:after="0"/>
              <w:rPr>
                <w:sz w:val="16"/>
                <w:szCs w:val="16"/>
                <w:color w:val="auto"/>
              </w:rPr>
            </w:pPr>
          </w:p>
        </w:tc>
        <w:tc>
          <w:tcPr>
            <w:tcW w:w="100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360" w:type="dxa"/>
            <w:vAlign w:val="bottom"/>
            <w:gridSpan w:val="3"/>
          </w:tcPr>
          <w:p>
            <w:pPr>
              <w:spacing w:after="0"/>
              <w:rPr>
                <w:sz w:val="20"/>
                <w:szCs w:val="20"/>
                <w:color w:val="auto"/>
              </w:rPr>
            </w:pPr>
            <w:r>
              <w:rPr>
                <w:rFonts w:ascii="Arial" w:cs="Arial" w:eastAsia="Arial" w:hAnsi="Arial"/>
                <w:sz w:val="18"/>
                <w:szCs w:val="18"/>
                <w:color w:val="auto"/>
              </w:rPr>
              <w:t>Amended and Restated Airbus A350 XWB Purchase Agreement</w:t>
            </w:r>
          </w:p>
        </w:tc>
        <w:tc>
          <w:tcPr>
            <w:tcW w:w="100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gridSpan w:val="3"/>
          </w:tcPr>
          <w:p>
            <w:pPr>
              <w:spacing w:after="0"/>
              <w:rPr>
                <w:sz w:val="20"/>
                <w:szCs w:val="20"/>
                <w:color w:val="auto"/>
              </w:rPr>
            </w:pPr>
            <w:r>
              <w:rPr>
                <w:rFonts w:ascii="Arial" w:cs="Arial" w:eastAsia="Arial" w:hAnsi="Arial"/>
                <w:sz w:val="18"/>
                <w:szCs w:val="18"/>
                <w:color w:val="auto"/>
              </w:rPr>
              <w:t>EXECUTION</w:t>
            </w:r>
          </w:p>
        </w:tc>
        <w:tc>
          <w:tcPr>
            <w:tcW w:w="1000" w:type="dxa"/>
            <w:vAlign w:val="bottom"/>
          </w:tcPr>
          <w:p>
            <w:pPr>
              <w:spacing w:after="0"/>
              <w:rPr>
                <w:sz w:val="20"/>
                <w:szCs w:val="20"/>
                <w:color w:val="auto"/>
              </w:rPr>
            </w:pPr>
          </w:p>
        </w:tc>
        <w:tc>
          <w:tcPr>
            <w:tcW w:w="5060" w:type="dxa"/>
            <w:vAlign w:val="bottom"/>
            <w:gridSpan w:val="2"/>
          </w:tcPr>
          <w:p>
            <w:pPr>
              <w:jc w:val="right"/>
              <w:spacing w:after="0"/>
              <w:rPr>
                <w:sz w:val="20"/>
                <w:szCs w:val="20"/>
                <w:color w:val="auto"/>
              </w:rPr>
            </w:pPr>
            <w:r>
              <w:rPr>
                <w:rFonts w:ascii="Arial" w:cs="Arial" w:eastAsia="Arial" w:hAnsi="Arial"/>
                <w:sz w:val="18"/>
                <w:szCs w:val="18"/>
                <w:color w:val="auto"/>
              </w:rPr>
              <w:t>PRIVILEGED AND CONFIDENTIAL</w:t>
            </w:r>
          </w:p>
        </w:tc>
        <w:tc>
          <w:tcPr>
            <w:tcW w:w="0" w:type="dxa"/>
            <w:vAlign w:val="bottom"/>
          </w:tcPr>
          <w:p>
            <w:pPr>
              <w:spacing w:after="0"/>
              <w:rPr>
                <w:sz w:val="1"/>
                <w:szCs w:val="1"/>
                <w:color w:val="auto"/>
              </w:rPr>
            </w:pPr>
          </w:p>
        </w:tc>
      </w:tr>
    </w:tbl>
    <w:p>
      <w:pPr>
        <w:sectPr>
          <w:pgSz w:w="11900" w:h="16838" w:orient="portrait"/>
          <w:cols w:equalWidth="0" w:num="1">
            <w:col w:w="11420"/>
          </w:cols>
          <w:pgMar w:left="240" w:top="267" w:right="239" w:bottom="1440" w:gutter="0" w:footer="0" w:header="0"/>
        </w:sectPr>
      </w:pPr>
    </w:p>
    <w:bookmarkStart w:id="106" w:name="page107"/>
    <w:bookmarkEnd w:id="106"/>
    <w:p>
      <w:pPr>
        <w:jc w:val="right"/>
        <w:spacing w:after="0"/>
        <w:rPr>
          <w:sz w:val="20"/>
          <w:szCs w:val="20"/>
          <w:color w:val="auto"/>
        </w:rPr>
      </w:pPr>
      <w:r>
        <w:rPr>
          <w:rFonts w:ascii="Arial" w:cs="Arial" w:eastAsia="Arial" w:hAnsi="Arial"/>
          <w:sz w:val="22"/>
          <w:szCs w:val="22"/>
          <w:b w:val="1"/>
          <w:bCs w:val="1"/>
          <w:color w:val="auto"/>
        </w:rPr>
        <w:t>Exhibit 10.5</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SUPPLEMENTAL AGREEMENT NO. 9</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Purchase Agreement No. 3219</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between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BOEING COMPANY</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AMERICAN AIRLINES, INC.</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Relating to Boeing Model 787 Aircraft</w:t>
      </w:r>
    </w:p>
    <w:p>
      <w:pPr>
        <w:spacing w:after="0" w:line="200" w:lineRule="exact"/>
        <w:rPr>
          <w:sz w:val="20"/>
          <w:szCs w:val="20"/>
          <w:color w:val="auto"/>
        </w:rPr>
      </w:pPr>
    </w:p>
    <w:p>
      <w:pPr>
        <w:spacing w:after="0" w:line="228" w:lineRule="exact"/>
        <w:rPr>
          <w:sz w:val="20"/>
          <w:szCs w:val="20"/>
          <w:color w:val="auto"/>
        </w:rPr>
      </w:pPr>
    </w:p>
    <w:p>
      <w:pPr>
        <w:jc w:val="both"/>
        <w:ind w:firstLine="1141"/>
        <w:spacing w:after="0"/>
        <w:rPr>
          <w:sz w:val="20"/>
          <w:szCs w:val="20"/>
          <w:color w:val="auto"/>
        </w:rPr>
      </w:pPr>
      <w:r>
        <w:rPr>
          <w:rFonts w:ascii="Arial" w:cs="Arial" w:eastAsia="Arial" w:hAnsi="Arial"/>
          <w:sz w:val="22"/>
          <w:szCs w:val="22"/>
          <w:color w:val="auto"/>
        </w:rPr>
        <w:t>THIS SUPPLEMENTAL AGREEMENT No. 9 (</w:t>
      </w:r>
      <w:r>
        <w:rPr>
          <w:rFonts w:ascii="Arial" w:cs="Arial" w:eastAsia="Arial" w:hAnsi="Arial"/>
          <w:sz w:val="22"/>
          <w:szCs w:val="22"/>
          <w:b w:val="1"/>
          <w:bCs w:val="1"/>
          <w:i w:val="1"/>
          <w:iCs w:val="1"/>
          <w:color w:val="auto"/>
        </w:rPr>
        <w:t>SA-9</w:t>
      </w:r>
      <w:r>
        <w:rPr>
          <w:rFonts w:ascii="Arial" w:cs="Arial" w:eastAsia="Arial" w:hAnsi="Arial"/>
          <w:sz w:val="22"/>
          <w:szCs w:val="22"/>
          <w:color w:val="auto"/>
        </w:rPr>
        <w:t>) is made between THE BOEING COMPANY, a Delaware corporation with offices in Seattle, Washington (</w:t>
      </w:r>
      <w:r>
        <w:rPr>
          <w:rFonts w:ascii="Arial" w:cs="Arial" w:eastAsia="Arial" w:hAnsi="Arial"/>
          <w:sz w:val="22"/>
          <w:szCs w:val="22"/>
          <w:b w:val="1"/>
          <w:bCs w:val="1"/>
          <w:i w:val="1"/>
          <w:iCs w:val="1"/>
          <w:color w:val="auto"/>
        </w:rPr>
        <w:t>Boeing</w:t>
      </w:r>
      <w:r>
        <w:rPr>
          <w:rFonts w:ascii="Arial" w:cs="Arial" w:eastAsia="Arial" w:hAnsi="Arial"/>
          <w:sz w:val="22"/>
          <w:szCs w:val="22"/>
          <w:color w:val="auto"/>
        </w:rPr>
        <w:t>), and AMERICAN AIRLINES, INC, a Delaware corporation with offices in Fort Worth, Texas, together with its successors and permitted assigns (</w:t>
      </w:r>
      <w:r>
        <w:rPr>
          <w:rFonts w:ascii="Arial" w:cs="Arial" w:eastAsia="Arial" w:hAnsi="Arial"/>
          <w:sz w:val="22"/>
          <w:szCs w:val="22"/>
          <w:b w:val="1"/>
          <w:bCs w:val="1"/>
          <w:i w:val="1"/>
          <w:iCs w:val="1"/>
          <w:color w:val="auto"/>
        </w:rPr>
        <w:t>Customer</w:t>
      </w:r>
      <w:r>
        <w:rPr>
          <w:rFonts w:ascii="Arial" w:cs="Arial" w:eastAsia="Arial" w:hAnsi="Arial"/>
          <w:sz w:val="22"/>
          <w:szCs w:val="22"/>
          <w:color w:val="auto"/>
        </w:rPr>
        <w:t>);</w:t>
      </w:r>
    </w:p>
    <w:p>
      <w:pPr>
        <w:spacing w:after="0" w:line="186" w:lineRule="exact"/>
        <w:rPr>
          <w:sz w:val="20"/>
          <w:szCs w:val="20"/>
          <w:color w:val="auto"/>
        </w:rPr>
      </w:pPr>
    </w:p>
    <w:p>
      <w:pPr>
        <w:jc w:val="both"/>
        <w:ind w:right="20" w:firstLine="1141"/>
        <w:spacing w:after="0"/>
        <w:rPr>
          <w:sz w:val="20"/>
          <w:szCs w:val="20"/>
          <w:color w:val="auto"/>
        </w:rPr>
      </w:pPr>
      <w:r>
        <w:rPr>
          <w:rFonts w:ascii="Arial" w:cs="Arial" w:eastAsia="Arial" w:hAnsi="Arial"/>
          <w:sz w:val="22"/>
          <w:szCs w:val="22"/>
          <w:color w:val="auto"/>
        </w:rPr>
        <w:t>WHEREAS, Boeing and Customer entered into Purchase Agreement No. 3219 dated October 15, 2008, relating to Boeing Model 787 aircraft, as amended and supplemented (</w:t>
      </w:r>
      <w:r>
        <w:rPr>
          <w:rFonts w:ascii="Arial" w:cs="Arial" w:eastAsia="Arial" w:hAnsi="Arial"/>
          <w:sz w:val="22"/>
          <w:szCs w:val="22"/>
          <w:b w:val="1"/>
          <w:bCs w:val="1"/>
          <w:i w:val="1"/>
          <w:iCs w:val="1"/>
          <w:color w:val="auto"/>
        </w:rPr>
        <w:t>Purchase Agreement</w:t>
      </w:r>
      <w:r>
        <w:rPr>
          <w:rFonts w:ascii="Arial" w:cs="Arial" w:eastAsia="Arial" w:hAnsi="Arial"/>
          <w:sz w:val="22"/>
          <w:szCs w:val="22"/>
          <w:color w:val="auto"/>
        </w:rPr>
        <w:t>) and capitalized terms used herein without definitions shall have the meanings specified in such Purchase Agreement;</w:t>
      </w:r>
    </w:p>
    <w:p>
      <w:pPr>
        <w:spacing w:after="0" w:line="186" w:lineRule="exact"/>
        <w:rPr>
          <w:sz w:val="20"/>
          <w:szCs w:val="20"/>
          <w:color w:val="auto"/>
        </w:rPr>
      </w:pPr>
    </w:p>
    <w:p>
      <w:pPr>
        <w:jc w:val="both"/>
        <w:ind w:firstLine="1141"/>
        <w:spacing w:after="0" w:line="251" w:lineRule="auto"/>
        <w:rPr>
          <w:sz w:val="20"/>
          <w:szCs w:val="20"/>
          <w:color w:val="auto"/>
        </w:rPr>
      </w:pPr>
      <w:r>
        <w:rPr>
          <w:rFonts w:ascii="Arial" w:cs="Arial" w:eastAsia="Arial" w:hAnsi="Arial"/>
          <w:sz w:val="22"/>
          <w:szCs w:val="22"/>
          <w:color w:val="auto"/>
        </w:rPr>
        <w:t>WHEREAS, Boeing and Customer entered into Purchase Agreement No. 03735 dated February 1, 2013, relating to Boeing Model 737 MAX aircraft, as amended and supplemented (</w:t>
      </w:r>
      <w:r>
        <w:rPr>
          <w:rFonts w:ascii="Arial" w:cs="Arial" w:eastAsia="Arial" w:hAnsi="Arial"/>
          <w:sz w:val="22"/>
          <w:szCs w:val="22"/>
          <w:b w:val="1"/>
          <w:bCs w:val="1"/>
          <w:i w:val="1"/>
          <w:iCs w:val="1"/>
          <w:color w:val="auto"/>
        </w:rPr>
        <w:t>MAX Purchase Agreement</w:t>
      </w:r>
      <w:r>
        <w:rPr>
          <w:rFonts w:ascii="Arial" w:cs="Arial" w:eastAsia="Arial" w:hAnsi="Arial"/>
          <w:sz w:val="22"/>
          <w:szCs w:val="22"/>
          <w:color w:val="auto"/>
        </w:rPr>
        <w:t>); and</w:t>
      </w:r>
    </w:p>
    <w:p>
      <w:pPr>
        <w:spacing w:after="0" w:line="173" w:lineRule="exact"/>
        <w:rPr>
          <w:sz w:val="20"/>
          <w:szCs w:val="20"/>
          <w:color w:val="auto"/>
        </w:rPr>
      </w:pPr>
    </w:p>
    <w:p>
      <w:pPr>
        <w:jc w:val="both"/>
        <w:ind w:firstLine="1141"/>
        <w:spacing w:after="0" w:line="328" w:lineRule="auto"/>
        <w:rPr>
          <w:sz w:val="20"/>
          <w:szCs w:val="20"/>
          <w:color w:val="auto"/>
        </w:rPr>
      </w:pPr>
      <w:r>
        <w:rPr>
          <w:rFonts w:ascii="Arial" w:cs="Arial" w:eastAsia="Arial" w:hAnsi="Arial"/>
          <w:sz w:val="19"/>
          <w:szCs w:val="19"/>
          <w:color w:val="auto"/>
        </w:rPr>
        <w:t xml:space="preserve">WHEREAS, Boeing and Customer desire to [*CTR] of delivery of the [*CTR] 787-9 aircraft delivering in [*CTR] currently with manufacturer serial numbers [*CTR] respectively, to [*CTR] respectively (collectively the [*CTR] </w:t>
      </w:r>
      <w:r>
        <w:rPr>
          <w:rFonts w:ascii="Arial" w:cs="Arial" w:eastAsia="Arial" w:hAnsi="Arial"/>
          <w:sz w:val="19"/>
          <w:szCs w:val="19"/>
          <w:b w:val="1"/>
          <w:bCs w:val="1"/>
          <w:i w:val="1"/>
          <w:iCs w:val="1"/>
          <w:color w:val="auto"/>
        </w:rPr>
        <w:t>787-9 Aircraft</w:t>
      </w:r>
      <w:r>
        <w:rPr>
          <w:rFonts w:ascii="Arial" w:cs="Arial" w:eastAsia="Arial" w:hAnsi="Arial"/>
          <w:sz w:val="19"/>
          <w:szCs w:val="19"/>
          <w:color w:val="auto"/>
        </w:rPr>
        <w:t>).</w:t>
      </w:r>
    </w:p>
    <w:p>
      <w:pPr>
        <w:spacing w:after="0" w:line="105" w:lineRule="exact"/>
        <w:rPr>
          <w:sz w:val="20"/>
          <w:szCs w:val="20"/>
          <w:color w:val="auto"/>
        </w:rPr>
      </w:pPr>
    </w:p>
    <w:p>
      <w:pPr>
        <w:ind w:left="800"/>
        <w:spacing w:after="0"/>
        <w:rPr>
          <w:sz w:val="20"/>
          <w:szCs w:val="20"/>
          <w:color w:val="auto"/>
        </w:rPr>
      </w:pPr>
      <w:r>
        <w:rPr>
          <w:rFonts w:ascii="Arial" w:cs="Arial" w:eastAsia="Arial" w:hAnsi="Arial"/>
          <w:sz w:val="19"/>
          <w:szCs w:val="19"/>
          <w:color w:val="auto"/>
        </w:rPr>
        <w:t>NOW, THEREFORE, the parties agree that the Purchase Agreement is amended as set forth below and otherwise agree as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follows:</w:t>
      </w:r>
    </w:p>
    <w:p>
      <w:pPr>
        <w:spacing w:after="0" w:line="209" w:lineRule="exact"/>
        <w:rPr>
          <w:sz w:val="20"/>
          <w:szCs w:val="20"/>
          <w:color w:val="auto"/>
        </w:rPr>
      </w:pPr>
    </w:p>
    <w:p>
      <w:pPr>
        <w:ind w:left="1140" w:hanging="1132"/>
        <w:spacing w:after="0"/>
        <w:tabs>
          <w:tab w:leader="none" w:pos="1140" w:val="left"/>
        </w:tabs>
        <w:numPr>
          <w:ilvl w:val="0"/>
          <w:numId w:val="8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Table of Contents</w:t>
      </w:r>
      <w:r>
        <w:rPr>
          <w:rFonts w:ascii="Arial" w:cs="Arial" w:eastAsia="Arial" w:hAnsi="Arial"/>
          <w:sz w:val="22"/>
          <w:szCs w:val="22"/>
          <w:b w:val="1"/>
          <w:bCs w:val="1"/>
          <w:color w:val="auto"/>
        </w:rPr>
        <w:t>.</w:t>
      </w:r>
    </w:p>
    <w:p>
      <w:pPr>
        <w:spacing w:after="0" w:line="212" w:lineRule="exact"/>
        <w:rPr>
          <w:sz w:val="20"/>
          <w:szCs w:val="20"/>
          <w:color w:val="auto"/>
        </w:rPr>
      </w:pPr>
    </w:p>
    <w:p>
      <w:pPr>
        <w:ind w:firstLine="799"/>
        <w:spacing w:after="0" w:line="251" w:lineRule="auto"/>
        <w:rPr>
          <w:sz w:val="20"/>
          <w:szCs w:val="20"/>
          <w:color w:val="auto"/>
        </w:rPr>
      </w:pPr>
      <w:r>
        <w:rPr>
          <w:rFonts w:ascii="Arial" w:cs="Arial" w:eastAsia="Arial" w:hAnsi="Arial"/>
          <w:sz w:val="22"/>
          <w:szCs w:val="22"/>
          <w:color w:val="auto"/>
        </w:rPr>
        <w:t>The Table of Contents referencing SA-8 in the footer is deleted in its entirety and is replaced with the new Table of Contents (attached hereto) referencing SA-9 in the footer. Such</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620" w:type="dxa"/>
            <w:vAlign w:val="bottom"/>
          </w:tcPr>
          <w:p>
            <w:pPr>
              <w:spacing w:after="0"/>
              <w:rPr>
                <w:sz w:val="20"/>
                <w:szCs w:val="20"/>
                <w:color w:val="auto"/>
              </w:rPr>
            </w:pPr>
            <w:r>
              <w:rPr>
                <w:rFonts w:ascii="Arial" w:cs="Arial" w:eastAsia="Arial" w:hAnsi="Arial"/>
                <w:sz w:val="22"/>
                <w:szCs w:val="22"/>
                <w:color w:val="auto"/>
              </w:rPr>
              <w:t>PA 3219</w:t>
            </w:r>
          </w:p>
        </w:tc>
        <w:tc>
          <w:tcPr>
            <w:tcW w:w="6060" w:type="dxa"/>
            <w:vAlign w:val="bottom"/>
          </w:tcPr>
          <w:p>
            <w:pPr>
              <w:ind w:left="3100"/>
              <w:spacing w:after="0"/>
              <w:rPr>
                <w:sz w:val="20"/>
                <w:szCs w:val="20"/>
                <w:color w:val="auto"/>
              </w:rPr>
            </w:pPr>
            <w:r>
              <w:rPr>
                <w:rFonts w:ascii="Arial" w:cs="Arial" w:eastAsia="Arial" w:hAnsi="Arial"/>
                <w:sz w:val="22"/>
                <w:szCs w:val="22"/>
                <w:color w:val="auto"/>
              </w:rPr>
              <w:t>SA-9</w:t>
            </w:r>
          </w:p>
        </w:tc>
        <w:tc>
          <w:tcPr>
            <w:tcW w:w="2300" w:type="dxa"/>
            <w:vAlign w:val="bottom"/>
          </w:tcPr>
          <w:p>
            <w:pPr>
              <w:ind w:left="1720"/>
              <w:spacing w:after="0"/>
              <w:rPr>
                <w:sz w:val="20"/>
                <w:szCs w:val="20"/>
                <w:color w:val="auto"/>
              </w:rPr>
            </w:pPr>
            <w:r>
              <w:rPr>
                <w:rFonts w:ascii="Arial" w:cs="Arial" w:eastAsia="Arial" w:hAnsi="Arial"/>
                <w:sz w:val="22"/>
                <w:szCs w:val="22"/>
                <w:color w:val="auto"/>
                <w:w w:val="80"/>
              </w:rPr>
              <w:t>Page 1</w:t>
            </w:r>
          </w:p>
        </w:tc>
      </w:tr>
      <w:tr>
        <w:trPr>
          <w:trHeight w:val="281"/>
        </w:trPr>
        <w:tc>
          <w:tcPr>
            <w:tcW w:w="2620" w:type="dxa"/>
            <w:vAlign w:val="bottom"/>
          </w:tcPr>
          <w:p>
            <w:pPr>
              <w:spacing w:after="0"/>
              <w:rPr>
                <w:sz w:val="24"/>
                <w:szCs w:val="24"/>
                <w:color w:val="auto"/>
              </w:rPr>
            </w:pPr>
          </w:p>
        </w:tc>
        <w:tc>
          <w:tcPr>
            <w:tcW w:w="6060" w:type="dxa"/>
            <w:vAlign w:val="bottom"/>
          </w:tcPr>
          <w:p>
            <w:pPr>
              <w:ind w:left="1860"/>
              <w:spacing w:after="0"/>
              <w:rPr>
                <w:sz w:val="20"/>
                <w:szCs w:val="20"/>
                <w:color w:val="auto"/>
              </w:rPr>
            </w:pPr>
            <w:r>
              <w:rPr>
                <w:rFonts w:ascii="Arial" w:cs="Arial" w:eastAsia="Arial" w:hAnsi="Arial"/>
                <w:sz w:val="22"/>
                <w:szCs w:val="22"/>
                <w:b w:val="1"/>
                <w:bCs w:val="1"/>
                <w:color w:val="auto"/>
              </w:rPr>
              <w:t>BOEING PROPRIETARY</w:t>
            </w:r>
          </w:p>
        </w:tc>
        <w:tc>
          <w:tcPr>
            <w:tcW w:w="2300" w:type="dxa"/>
            <w:vAlign w:val="bottom"/>
          </w:tcPr>
          <w:p>
            <w:pPr>
              <w:spacing w:after="0"/>
              <w:rPr>
                <w:sz w:val="24"/>
                <w:szCs w:val="24"/>
                <w:color w:val="auto"/>
              </w:rPr>
            </w:pPr>
          </w:p>
        </w:tc>
      </w:tr>
    </w:tbl>
    <w:p>
      <w:pPr>
        <w:spacing w:after="0" w:line="208"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[*CTR]=[CONFIDENTIAL PORTION OMITTED AND FILED SEPARATELY WITH THE COMMISSION PURSUANT TO A REQUEST FOR CONFIDENTIAL TREATMENT]</w:t>
      </w:r>
    </w:p>
    <w:p>
      <w:pPr>
        <w:sectPr>
          <w:pgSz w:w="11900" w:h="16838" w:orient="portrait"/>
          <w:cols w:equalWidth="0" w:num="1">
            <w:col w:w="11420"/>
          </w:cols>
          <w:pgMar w:left="240" w:top="112" w:right="239" w:bottom="1440" w:gutter="0" w:footer="0" w:header="0"/>
        </w:sectPr>
      </w:pPr>
    </w:p>
    <w:bookmarkStart w:id="107" w:name="page108"/>
    <w:bookmarkEnd w:id="107"/>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new Table of Contents is hereby incorporated into the Purchase Agreement in replacement of its predecessor.</w:t>
      </w:r>
    </w:p>
    <w:p>
      <w:pPr>
        <w:spacing w:after="0" w:line="227" w:lineRule="exact"/>
        <w:rPr>
          <w:sz w:val="20"/>
          <w:szCs w:val="20"/>
          <w:color w:val="auto"/>
        </w:rPr>
      </w:pPr>
    </w:p>
    <w:p>
      <w:pPr>
        <w:ind w:left="1140" w:hanging="1132"/>
        <w:spacing w:after="0"/>
        <w:tabs>
          <w:tab w:leader="none" w:pos="1140" w:val="left"/>
        </w:tabs>
        <w:numPr>
          <w:ilvl w:val="0"/>
          <w:numId w:val="8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Tables</w:t>
      </w:r>
      <w:r>
        <w:rPr>
          <w:rFonts w:ascii="Arial" w:cs="Arial" w:eastAsia="Arial" w:hAnsi="Arial"/>
          <w:sz w:val="22"/>
          <w:szCs w:val="22"/>
          <w:b w:val="1"/>
          <w:bCs w:val="1"/>
          <w:color w:val="auto"/>
        </w:rPr>
        <w:t>.</w:t>
      </w:r>
    </w:p>
    <w:p>
      <w:pPr>
        <w:spacing w:after="0" w:line="212" w:lineRule="exact"/>
        <w:rPr>
          <w:sz w:val="20"/>
          <w:szCs w:val="20"/>
          <w:color w:val="auto"/>
        </w:rPr>
      </w:pPr>
    </w:p>
    <w:p>
      <w:pPr>
        <w:jc w:val="both"/>
        <w:ind w:right="20" w:firstLine="799"/>
        <w:spacing w:after="0" w:line="258" w:lineRule="auto"/>
        <w:rPr>
          <w:sz w:val="20"/>
          <w:szCs w:val="20"/>
          <w:color w:val="auto"/>
        </w:rPr>
      </w:pPr>
      <w:r>
        <w:rPr>
          <w:rFonts w:ascii="Arial" w:cs="Arial" w:eastAsia="Arial" w:hAnsi="Arial"/>
          <w:sz w:val="21"/>
          <w:szCs w:val="21"/>
          <w:u w:val="single" w:color="auto"/>
          <w:color w:val="auto"/>
        </w:rPr>
        <w:t>Table 1(R6)</w:t>
      </w:r>
      <w:r>
        <w:rPr>
          <w:rFonts w:ascii="Arial" w:cs="Arial" w:eastAsia="Arial" w:hAnsi="Arial"/>
          <w:sz w:val="21"/>
          <w:szCs w:val="21"/>
          <w:color w:val="auto"/>
        </w:rPr>
        <w:t>. Table 1(R5) entitled “</w:t>
      </w:r>
      <w:r>
        <w:rPr>
          <w:rFonts w:ascii="Arial" w:cs="Arial" w:eastAsia="Arial" w:hAnsi="Arial"/>
          <w:sz w:val="21"/>
          <w:szCs w:val="21"/>
          <w:u w:val="single" w:color="auto"/>
          <w:color w:val="auto"/>
        </w:rPr>
        <w:t>787-9 Aircraft –Delivery, Description, Price and Advance Payments</w:t>
      </w:r>
      <w:r>
        <w:rPr>
          <w:rFonts w:ascii="Arial" w:cs="Arial" w:eastAsia="Arial" w:hAnsi="Arial"/>
          <w:sz w:val="21"/>
          <w:szCs w:val="21"/>
          <w:color w:val="auto"/>
        </w:rPr>
        <w:t>” referencing SA-7 in the footer is deleted in its entirety and is replaced with the similarly titled Table 1(R6) (attached hereto) referencing SA-9 in the footer. Table 1(R6) is hereby incorporated into the Purchase Agreement in replacement of Table 1(R5).</w:t>
      </w:r>
    </w:p>
    <w:p>
      <w:pPr>
        <w:spacing w:after="0" w:line="188" w:lineRule="exact"/>
        <w:rPr>
          <w:sz w:val="20"/>
          <w:szCs w:val="20"/>
          <w:color w:val="auto"/>
        </w:rPr>
      </w:pPr>
    </w:p>
    <w:p>
      <w:pPr>
        <w:ind w:left="1140" w:hanging="1132"/>
        <w:spacing w:after="0"/>
        <w:tabs>
          <w:tab w:leader="none" w:pos="1140" w:val="left"/>
        </w:tabs>
        <w:numPr>
          <w:ilvl w:val="0"/>
          <w:numId w:val="9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Letter Agreements</w:t>
      </w:r>
      <w:r>
        <w:rPr>
          <w:rFonts w:ascii="Arial" w:cs="Arial" w:eastAsia="Arial" w:hAnsi="Arial"/>
          <w:sz w:val="22"/>
          <w:szCs w:val="22"/>
          <w:b w:val="1"/>
          <w:bCs w:val="1"/>
          <w:color w:val="auto"/>
        </w:rPr>
        <w:t>.</w:t>
      </w:r>
    </w:p>
    <w:p>
      <w:pPr>
        <w:spacing w:after="0" w:line="212" w:lineRule="exact"/>
        <w:rPr>
          <w:sz w:val="20"/>
          <w:szCs w:val="20"/>
          <w:color w:val="auto"/>
        </w:rPr>
      </w:pPr>
    </w:p>
    <w:p>
      <w:pPr>
        <w:jc w:val="both"/>
        <w:ind w:right="20" w:firstLine="799"/>
        <w:spacing w:after="0" w:line="238" w:lineRule="auto"/>
        <w:rPr>
          <w:sz w:val="20"/>
          <w:szCs w:val="20"/>
          <w:color w:val="auto"/>
        </w:rPr>
      </w:pPr>
      <w:r>
        <w:rPr>
          <w:rFonts w:ascii="Arial" w:cs="Arial" w:eastAsia="Arial" w:hAnsi="Arial"/>
          <w:sz w:val="22"/>
          <w:szCs w:val="22"/>
          <w:u w:val="single" w:color="auto"/>
          <w:color w:val="auto"/>
        </w:rPr>
        <w:t>Revisions to Attachment C to LA 6-1162-TRW-0667R2.</w:t>
      </w:r>
      <w:r>
        <w:rPr>
          <w:rFonts w:ascii="Arial" w:cs="Arial" w:eastAsia="Arial" w:hAnsi="Arial"/>
          <w:sz w:val="22"/>
          <w:szCs w:val="22"/>
          <w:color w:val="auto"/>
        </w:rPr>
        <w:t xml:space="preserve"> Attachment C: Delivery Schedule for Covered Aircraft to Letter Agreement 6-1162-TRW-0667R2 is deleted in its entirety and replaced with Attachment C(R1): Delivery Schedule for Covered Aircraft (</w:t>
      </w:r>
      <w:r>
        <w:rPr>
          <w:rFonts w:ascii="Arial" w:cs="Arial" w:eastAsia="Arial" w:hAnsi="Arial"/>
          <w:sz w:val="22"/>
          <w:szCs w:val="22"/>
          <w:b w:val="1"/>
          <w:bCs w:val="1"/>
          <w:i w:val="1"/>
          <w:iCs w:val="1"/>
          <w:color w:val="auto"/>
        </w:rPr>
        <w:t>Revised Schedule C</w:t>
      </w:r>
      <w:r>
        <w:rPr>
          <w:rFonts w:ascii="Arial" w:cs="Arial" w:eastAsia="Arial" w:hAnsi="Arial"/>
          <w:sz w:val="22"/>
          <w:szCs w:val="22"/>
          <w:color w:val="auto"/>
        </w:rPr>
        <w:t>). Revised Schedule C is hereby made a part of the Purchase Agreement in replacement of its predecessor.</w:t>
      </w:r>
    </w:p>
    <w:p>
      <w:pPr>
        <w:spacing w:after="0" w:line="206" w:lineRule="exact"/>
        <w:rPr>
          <w:sz w:val="20"/>
          <w:szCs w:val="20"/>
          <w:color w:val="auto"/>
        </w:rPr>
      </w:pPr>
    </w:p>
    <w:p>
      <w:pPr>
        <w:ind w:left="1140" w:hanging="1132"/>
        <w:spacing w:after="0"/>
        <w:tabs>
          <w:tab w:leader="none" w:pos="1140" w:val="left"/>
        </w:tabs>
        <w:numPr>
          <w:ilvl w:val="0"/>
          <w:numId w:val="91"/>
        </w:numPr>
        <w:rPr>
          <w:rFonts w:ascii="Arial" w:cs="Arial" w:eastAsia="Arial" w:hAnsi="Arial"/>
          <w:sz w:val="22"/>
          <w:szCs w:val="22"/>
          <w:b w:val="1"/>
          <w:bCs w:val="1"/>
          <w:color w:val="auto"/>
        </w:rPr>
      </w:pPr>
      <w:r>
        <w:rPr>
          <w:rFonts w:ascii="Arial" w:cs="Arial" w:eastAsia="Arial" w:hAnsi="Arial"/>
          <w:sz w:val="22"/>
          <w:szCs w:val="22"/>
          <w:color w:val="auto"/>
        </w:rPr>
        <w:t>[*CTR</w:t>
      </w:r>
      <w:r>
        <w:rPr>
          <w:rFonts w:ascii="Arial" w:cs="Arial" w:eastAsia="Arial" w:hAnsi="Arial"/>
          <w:sz w:val="22"/>
          <w:szCs w:val="22"/>
          <w:b w:val="1"/>
          <w:bCs w:val="1"/>
          <w:color w:val="auto"/>
        </w:rPr>
        <w:t>].</w:t>
      </w:r>
    </w:p>
    <w:p>
      <w:pPr>
        <w:spacing w:after="0" w:line="212" w:lineRule="exact"/>
        <w:rPr>
          <w:sz w:val="20"/>
          <w:szCs w:val="20"/>
          <w:color w:val="auto"/>
        </w:rPr>
      </w:pPr>
    </w:p>
    <w:p>
      <w:pPr>
        <w:ind w:right="20" w:firstLine="799"/>
        <w:spacing w:after="0" w:line="251" w:lineRule="auto"/>
        <w:rPr>
          <w:sz w:val="20"/>
          <w:szCs w:val="20"/>
          <w:color w:val="auto"/>
        </w:rPr>
      </w:pPr>
      <w:r>
        <w:rPr>
          <w:rFonts w:ascii="Arial" w:cs="Arial" w:eastAsia="Arial" w:hAnsi="Arial"/>
          <w:sz w:val="22"/>
          <w:szCs w:val="22"/>
          <w:color w:val="auto"/>
        </w:rPr>
        <w:t>4.1 [*CTR]. Upon execution of this SA-9, Boeing shall [*CTR] Customer the [*CTR]. The parties agree that the [*CTR]. Boeing will [*CTR] pursuant to the [*CTR], as follows:</w:t>
      </w:r>
    </w:p>
    <w:p>
      <w:pPr>
        <w:spacing w:after="0" w:line="202"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4020" w:type="dxa"/>
            <w:vAlign w:val="bottom"/>
            <w:tcBorders>
              <w:top w:val="single" w:sz="8" w:color="auto"/>
              <w:left w:val="single" w:sz="8" w:color="auto"/>
              <w:bottom w:val="single" w:sz="8" w:color="auto"/>
              <w:right w:val="single" w:sz="8" w:color="auto"/>
            </w:tcBorders>
          </w:tcPr>
          <w:p>
            <w:pPr>
              <w:spacing w:after="0"/>
              <w:rPr>
                <w:sz w:val="22"/>
                <w:szCs w:val="22"/>
                <w:color w:val="auto"/>
              </w:rPr>
            </w:pPr>
          </w:p>
        </w:tc>
        <w:tc>
          <w:tcPr>
            <w:tcW w:w="3780" w:type="dxa"/>
            <w:vAlign w:val="bottom"/>
            <w:tcBorders>
              <w:top w:val="single" w:sz="8" w:color="auto"/>
              <w:bottom w:val="single" w:sz="8" w:color="auto"/>
              <w:right w:val="single" w:sz="8" w:color="auto"/>
            </w:tcBorders>
          </w:tcPr>
          <w:p>
            <w:pPr>
              <w:ind w:left="1680"/>
              <w:spacing w:after="0"/>
              <w:rPr>
                <w:sz w:val="20"/>
                <w:szCs w:val="20"/>
                <w:color w:val="auto"/>
              </w:rPr>
            </w:pPr>
            <w:r>
              <w:rPr>
                <w:rFonts w:ascii="Arial" w:cs="Arial" w:eastAsia="Arial" w:hAnsi="Arial"/>
                <w:sz w:val="22"/>
                <w:szCs w:val="22"/>
                <w:color w:val="auto"/>
              </w:rPr>
              <w:t>[*CTR]</w:t>
            </w:r>
          </w:p>
        </w:tc>
        <w:tc>
          <w:tcPr>
            <w:tcW w:w="3640" w:type="dxa"/>
            <w:vAlign w:val="bottom"/>
            <w:tcBorders>
              <w:top w:val="single" w:sz="8" w:color="auto"/>
              <w:bottom w:val="single" w:sz="8" w:color="auto"/>
              <w:right w:val="single" w:sz="8" w:color="auto"/>
            </w:tcBorders>
          </w:tcPr>
          <w:p>
            <w:pPr>
              <w:ind w:left="1660"/>
              <w:spacing w:after="0"/>
              <w:rPr>
                <w:sz w:val="20"/>
                <w:szCs w:val="20"/>
                <w:color w:val="auto"/>
              </w:rPr>
            </w:pPr>
            <w:r>
              <w:rPr>
                <w:rFonts w:ascii="Arial" w:cs="Arial" w:eastAsia="Arial" w:hAnsi="Arial"/>
                <w:sz w:val="22"/>
                <w:szCs w:val="22"/>
                <w:color w:val="auto"/>
              </w:rPr>
              <w:t>[*CTR]</w:t>
            </w:r>
          </w:p>
        </w:tc>
      </w:tr>
      <w:tr>
        <w:trPr>
          <w:trHeight w:val="237"/>
        </w:trPr>
        <w:tc>
          <w:tcPr>
            <w:tcW w:w="4020" w:type="dxa"/>
            <w:vAlign w:val="bottom"/>
            <w:tcBorders>
              <w:left w:val="single" w:sz="8" w:color="auto"/>
              <w:bottom w:val="single" w:sz="8" w:color="auto"/>
              <w:right w:val="single" w:sz="8" w:color="auto"/>
            </w:tcBorders>
          </w:tcPr>
          <w:p>
            <w:pPr>
              <w:ind w:left="480"/>
              <w:spacing w:after="0" w:line="237" w:lineRule="exact"/>
              <w:rPr>
                <w:sz w:val="20"/>
                <w:szCs w:val="20"/>
                <w:color w:val="auto"/>
              </w:rPr>
            </w:pPr>
            <w:r>
              <w:rPr>
                <w:rFonts w:ascii="Arial" w:cs="Arial" w:eastAsia="Arial" w:hAnsi="Arial"/>
                <w:sz w:val="22"/>
                <w:szCs w:val="22"/>
                <w:color w:val="auto"/>
              </w:rPr>
              <w:t>[*CTR] 2017</w:t>
            </w:r>
          </w:p>
        </w:tc>
        <w:tc>
          <w:tcPr>
            <w:tcW w:w="3780" w:type="dxa"/>
            <w:vAlign w:val="bottom"/>
            <w:tcBorders>
              <w:bottom w:val="single" w:sz="8" w:color="auto"/>
              <w:right w:val="single" w:sz="8" w:color="auto"/>
            </w:tcBorders>
          </w:tcPr>
          <w:p>
            <w:pPr>
              <w:ind w:left="540"/>
              <w:spacing w:after="0" w:line="237" w:lineRule="exact"/>
              <w:rPr>
                <w:sz w:val="20"/>
                <w:szCs w:val="20"/>
                <w:color w:val="auto"/>
              </w:rPr>
            </w:pPr>
            <w:r>
              <w:rPr>
                <w:rFonts w:ascii="Arial" w:cs="Arial" w:eastAsia="Arial" w:hAnsi="Arial"/>
                <w:sz w:val="22"/>
                <w:szCs w:val="22"/>
                <w:color w:val="auto"/>
              </w:rPr>
              <w:t>[*CTR]</w:t>
            </w:r>
          </w:p>
        </w:tc>
        <w:tc>
          <w:tcPr>
            <w:tcW w:w="3640" w:type="dxa"/>
            <w:vAlign w:val="bottom"/>
            <w:tcBorders>
              <w:bottom w:val="single" w:sz="8" w:color="auto"/>
              <w:right w:val="single" w:sz="8" w:color="auto"/>
            </w:tcBorders>
          </w:tcPr>
          <w:p>
            <w:pPr>
              <w:ind w:left="520"/>
              <w:spacing w:after="0" w:line="237" w:lineRule="exact"/>
              <w:rPr>
                <w:sz w:val="20"/>
                <w:szCs w:val="20"/>
                <w:color w:val="auto"/>
              </w:rPr>
            </w:pPr>
            <w:r>
              <w:rPr>
                <w:rFonts w:ascii="Arial" w:cs="Arial" w:eastAsia="Arial" w:hAnsi="Arial"/>
                <w:sz w:val="22"/>
                <w:szCs w:val="22"/>
                <w:color w:val="auto"/>
              </w:rPr>
              <w:t>[*CTR]</w:t>
            </w:r>
          </w:p>
        </w:tc>
      </w:tr>
      <w:tr>
        <w:trPr>
          <w:trHeight w:val="237"/>
        </w:trPr>
        <w:tc>
          <w:tcPr>
            <w:tcW w:w="4020" w:type="dxa"/>
            <w:vAlign w:val="bottom"/>
            <w:tcBorders>
              <w:left w:val="single" w:sz="8" w:color="auto"/>
              <w:bottom w:val="single" w:sz="8" w:color="auto"/>
              <w:right w:val="single" w:sz="8" w:color="auto"/>
            </w:tcBorders>
          </w:tcPr>
          <w:p>
            <w:pPr>
              <w:ind w:left="480"/>
              <w:spacing w:after="0" w:line="237" w:lineRule="exact"/>
              <w:rPr>
                <w:sz w:val="20"/>
                <w:szCs w:val="20"/>
                <w:color w:val="auto"/>
              </w:rPr>
            </w:pPr>
            <w:r>
              <w:rPr>
                <w:rFonts w:ascii="Arial" w:cs="Arial" w:eastAsia="Arial" w:hAnsi="Arial"/>
                <w:sz w:val="22"/>
                <w:szCs w:val="22"/>
                <w:color w:val="auto"/>
              </w:rPr>
              <w:t>[*CTR] 2017</w:t>
            </w:r>
          </w:p>
        </w:tc>
        <w:tc>
          <w:tcPr>
            <w:tcW w:w="3780" w:type="dxa"/>
            <w:vAlign w:val="bottom"/>
            <w:tcBorders>
              <w:bottom w:val="single" w:sz="8" w:color="auto"/>
              <w:right w:val="single" w:sz="8" w:color="auto"/>
            </w:tcBorders>
          </w:tcPr>
          <w:p>
            <w:pPr>
              <w:ind w:left="540"/>
              <w:spacing w:after="0" w:line="237" w:lineRule="exact"/>
              <w:rPr>
                <w:sz w:val="20"/>
                <w:szCs w:val="20"/>
                <w:color w:val="auto"/>
              </w:rPr>
            </w:pPr>
            <w:r>
              <w:rPr>
                <w:rFonts w:ascii="Arial" w:cs="Arial" w:eastAsia="Arial" w:hAnsi="Arial"/>
                <w:sz w:val="22"/>
                <w:szCs w:val="22"/>
                <w:color w:val="auto"/>
              </w:rPr>
              <w:t>[*CTR]</w:t>
            </w:r>
          </w:p>
        </w:tc>
        <w:tc>
          <w:tcPr>
            <w:tcW w:w="3640" w:type="dxa"/>
            <w:vAlign w:val="bottom"/>
            <w:tcBorders>
              <w:bottom w:val="single" w:sz="8" w:color="auto"/>
              <w:right w:val="single" w:sz="8" w:color="auto"/>
            </w:tcBorders>
          </w:tcPr>
          <w:p>
            <w:pPr>
              <w:ind w:left="520"/>
              <w:spacing w:after="0" w:line="237" w:lineRule="exact"/>
              <w:rPr>
                <w:sz w:val="20"/>
                <w:szCs w:val="20"/>
                <w:color w:val="auto"/>
              </w:rPr>
            </w:pPr>
            <w:r>
              <w:rPr>
                <w:rFonts w:ascii="Arial" w:cs="Arial" w:eastAsia="Arial" w:hAnsi="Arial"/>
                <w:sz w:val="22"/>
                <w:szCs w:val="22"/>
                <w:color w:val="auto"/>
              </w:rPr>
              <w:t>[*CTR]</w:t>
            </w:r>
          </w:p>
        </w:tc>
      </w:tr>
    </w:tbl>
    <w:p>
      <w:pPr>
        <w:spacing w:after="0" w:line="195" w:lineRule="exact"/>
        <w:rPr>
          <w:sz w:val="20"/>
          <w:szCs w:val="20"/>
          <w:color w:val="auto"/>
        </w:rPr>
      </w:pPr>
    </w:p>
    <w:p>
      <w:pPr>
        <w:jc w:val="both"/>
        <w:ind w:right="20" w:firstLine="799"/>
        <w:spacing w:after="0" w:line="251" w:lineRule="auto"/>
        <w:rPr>
          <w:sz w:val="20"/>
          <w:szCs w:val="20"/>
          <w:color w:val="auto"/>
        </w:rPr>
      </w:pPr>
      <w:r>
        <w:rPr>
          <w:rFonts w:ascii="Arial" w:cs="Arial" w:eastAsia="Arial" w:hAnsi="Arial"/>
          <w:sz w:val="22"/>
          <w:szCs w:val="22"/>
          <w:color w:val="auto"/>
        </w:rPr>
        <w:t xml:space="preserve">4.2 </w:t>
      </w:r>
      <w:r>
        <w:rPr>
          <w:rFonts w:ascii="Arial" w:cs="Arial" w:eastAsia="Arial" w:hAnsi="Arial"/>
          <w:sz w:val="22"/>
          <w:szCs w:val="22"/>
          <w:u w:val="single" w:color="auto"/>
          <w:color w:val="auto"/>
        </w:rPr>
        <w:t>Future [*CTR]</w:t>
      </w:r>
      <w:r>
        <w:rPr>
          <w:rFonts w:ascii="Arial" w:cs="Arial" w:eastAsia="Arial" w:hAnsi="Arial"/>
          <w:sz w:val="22"/>
          <w:szCs w:val="22"/>
          <w:color w:val="auto"/>
        </w:rPr>
        <w:t>. The [*CTR] in accordance with Section 1.4 of Letter Agreement 6-1662-CLO-1047R3 entitled “[*CTR]”. For the avoidance of doubt, [*CTR] as follows:</w:t>
      </w:r>
    </w:p>
    <w:p>
      <w:pPr>
        <w:spacing w:after="0" w:line="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color w:val="auto"/>
        </w:rPr>
        <w:t>*CTR]</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color w:val="auto"/>
        </w:rPr>
        <w:t>*CTR]</w:t>
      </w:r>
    </w:p>
    <w:p>
      <w:pPr>
        <w:sectPr>
          <w:pgSz w:w="11900" w:h="16838" w:orient="portrait"/>
          <w:cols w:equalWidth="0" w:num="1">
            <w:col w:w="11440"/>
          </w:cols>
          <w:pgMar w:left="240" w:top="267" w:right="219" w:bottom="1440" w:gutter="0" w:footer="0" w:header="0"/>
        </w:sectPr>
      </w:pPr>
    </w:p>
    <w:p>
      <w:pPr>
        <w:spacing w:after="0" w:line="145" w:lineRule="exact"/>
        <w:rPr>
          <w:sz w:val="20"/>
          <w:szCs w:val="20"/>
          <w:color w:val="auto"/>
        </w:rPr>
      </w:pPr>
    </w:p>
    <w:p>
      <w:pPr>
        <w:spacing w:after="0"/>
        <w:rPr>
          <w:sz w:val="20"/>
          <w:szCs w:val="20"/>
          <w:color w:val="auto"/>
        </w:rPr>
      </w:pPr>
      <w:r>
        <w:rPr>
          <w:rFonts w:ascii="Arial" w:cs="Arial" w:eastAsia="Arial" w:hAnsi="Arial"/>
          <w:sz w:val="19"/>
          <w:szCs w:val="19"/>
          <w:color w:val="auto"/>
        </w:rPr>
        <w:t>PA 3219</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ind w:left="1240"/>
        <w:spacing w:after="0"/>
        <w:rPr>
          <w:sz w:val="20"/>
          <w:szCs w:val="20"/>
          <w:color w:val="auto"/>
        </w:rPr>
      </w:pPr>
      <w:r>
        <w:rPr>
          <w:rFonts w:ascii="Arial" w:cs="Arial" w:eastAsia="Arial" w:hAnsi="Arial"/>
          <w:sz w:val="22"/>
          <w:szCs w:val="22"/>
          <w:color w:val="auto"/>
        </w:rPr>
        <w:t>SA-9</w:t>
      </w:r>
    </w:p>
    <w:p>
      <w:pPr>
        <w:spacing w:after="0" w:line="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BOEING PROPRIETARY</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495" w:lineRule="exact"/>
        <w:rPr>
          <w:sz w:val="20"/>
          <w:szCs w:val="20"/>
          <w:color w:val="auto"/>
        </w:rPr>
      </w:pPr>
    </w:p>
    <w:p>
      <w:pPr>
        <w:sectPr>
          <w:pgSz w:w="11900" w:h="16838" w:orient="portrait"/>
          <w:cols w:equalWidth="0" w:num="3">
            <w:col w:w="3760" w:space="720"/>
            <w:col w:w="5200" w:space="720"/>
            <w:col w:w="1040"/>
          </w:cols>
          <w:pgMar w:left="240" w:top="267" w:right="219" w:bottom="1440" w:gutter="0" w:footer="0" w:header="0"/>
          <w:type w:val="continuous"/>
        </w:sectPr>
      </w:pPr>
    </w:p>
    <w:p>
      <w:pPr>
        <w:spacing w:after="0" w:line="23"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[*CTR]=[CONFIDENTIAL PORTION OMITTED AND FILED SEPARATELY WITH THE COMMISSION PURSUANT TO A REQUEST FOR CONFIDENTIAL TREATMENT]</w:t>
      </w:r>
    </w:p>
    <w:p>
      <w:pPr>
        <w:sectPr>
          <w:pgSz w:w="11900" w:h="16838" w:orient="portrait"/>
          <w:cols w:equalWidth="0" w:num="1">
            <w:col w:w="11440"/>
          </w:cols>
          <w:pgMar w:left="240" w:top="267" w:right="219" w:bottom="1440" w:gutter="0" w:footer="0" w:header="0"/>
          <w:type w:val="continuous"/>
        </w:sectPr>
      </w:pPr>
    </w:p>
    <w:bookmarkStart w:id="108" w:name="page109"/>
    <w:bookmarkEnd w:id="108"/>
    <w:p>
      <w:pPr>
        <w:ind w:left="1140" w:hanging="1132"/>
        <w:spacing w:after="0"/>
        <w:tabs>
          <w:tab w:leader="none" w:pos="1140" w:val="left"/>
        </w:tabs>
        <w:numPr>
          <w:ilvl w:val="0"/>
          <w:numId w:val="9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Effect on Purchase Agreement</w:t>
      </w:r>
      <w:r>
        <w:rPr>
          <w:rFonts w:ascii="Arial" w:cs="Arial" w:eastAsia="Arial" w:hAnsi="Arial"/>
          <w:sz w:val="22"/>
          <w:szCs w:val="22"/>
          <w:color w:val="auto"/>
        </w:rPr>
        <w:t>.</w:t>
      </w:r>
    </w:p>
    <w:p>
      <w:pPr>
        <w:spacing w:after="0" w:line="104" w:lineRule="exact"/>
        <w:rPr>
          <w:sz w:val="20"/>
          <w:szCs w:val="20"/>
          <w:color w:val="auto"/>
        </w:rPr>
      </w:pPr>
    </w:p>
    <w:p>
      <w:pPr>
        <w:jc w:val="both"/>
        <w:spacing w:after="0"/>
        <w:rPr>
          <w:sz w:val="20"/>
          <w:szCs w:val="20"/>
          <w:color w:val="auto"/>
        </w:rPr>
      </w:pPr>
      <w:r>
        <w:rPr>
          <w:rFonts w:ascii="Arial" w:cs="Arial" w:eastAsia="Arial" w:hAnsi="Arial"/>
          <w:sz w:val="22"/>
          <w:szCs w:val="22"/>
          <w:color w:val="auto"/>
        </w:rPr>
        <w:t xml:space="preserve">5.1 </w:t>
      </w:r>
      <w:r>
        <w:rPr>
          <w:rFonts w:ascii="Arial" w:cs="Arial" w:eastAsia="Arial" w:hAnsi="Arial"/>
          <w:sz w:val="22"/>
          <w:szCs w:val="22"/>
          <w:u w:val="single" w:color="auto"/>
          <w:color w:val="auto"/>
        </w:rPr>
        <w:t>Table 1 Reference Clarifications</w:t>
      </w:r>
      <w:r>
        <w:rPr>
          <w:rFonts w:ascii="Arial" w:cs="Arial" w:eastAsia="Arial" w:hAnsi="Arial"/>
          <w:sz w:val="22"/>
          <w:szCs w:val="22"/>
          <w:color w:val="auto"/>
        </w:rPr>
        <w:t>. The following references in the Purchase Agreement and the associated exhibits, supplemental exhibits, and letter agreements to the Purchase Agreement to “Table 1(R5)” is now deemed to refer to “Table 1(R6)”. Specifically: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149225</wp:posOffset>
            </wp:positionV>
            <wp:extent cx="4356735" cy="24701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356735" cy="2470150"/>
                    </a:xfrm>
                    <a:prstGeom prst="rect">
                      <a:avLst/>
                    </a:prstGeom>
                    <a:noFill/>
                  </pic:spPr>
                </pic:pic>
              </a:graphicData>
            </a:graphic>
          </wp:anchor>
        </w:drawing>
      </w:r>
    </w:p>
    <w:p>
      <w:pPr>
        <w:spacing w:after="0" w:line="296" w:lineRule="exact"/>
        <w:rPr>
          <w:sz w:val="20"/>
          <w:szCs w:val="20"/>
          <w:color w:val="auto"/>
        </w:rPr>
      </w:pPr>
    </w:p>
    <w:p>
      <w:pPr>
        <w:ind w:left="4720"/>
        <w:spacing w:after="0"/>
        <w:rPr>
          <w:sz w:val="20"/>
          <w:szCs w:val="20"/>
          <w:color w:val="auto"/>
        </w:rPr>
      </w:pPr>
      <w:r>
        <w:rPr>
          <w:rFonts w:ascii="Arial" w:cs="Arial" w:eastAsia="Arial" w:hAnsi="Arial"/>
          <w:sz w:val="22"/>
          <w:szCs w:val="22"/>
          <w:b w:val="1"/>
          <w:bCs w:val="1"/>
          <w:u w:val="single" w:color="auto"/>
          <w:color w:val="auto"/>
        </w:rPr>
        <w:t>Location of References</w:t>
      </w:r>
    </w:p>
    <w:p>
      <w:pPr>
        <w:spacing w:after="0" w:line="145" w:lineRule="exact"/>
        <w:rPr>
          <w:sz w:val="20"/>
          <w:szCs w:val="20"/>
          <w:color w:val="auto"/>
        </w:rPr>
      </w:pPr>
    </w:p>
    <w:p>
      <w:pPr>
        <w:ind w:left="2440"/>
        <w:spacing w:after="0"/>
        <w:rPr>
          <w:sz w:val="20"/>
          <w:szCs w:val="20"/>
          <w:color w:val="auto"/>
        </w:rPr>
      </w:pPr>
      <w:r>
        <w:rPr>
          <w:rFonts w:ascii="Arial" w:cs="Arial" w:eastAsia="Arial" w:hAnsi="Arial"/>
          <w:sz w:val="19"/>
          <w:szCs w:val="19"/>
          <w:color w:val="auto"/>
        </w:rPr>
        <w:t>Articles 1, 2, 3 (all sections), 4 (all sections), and Section 5.1 of the Basic</w:t>
      </w:r>
    </w:p>
    <w:p>
      <w:pPr>
        <w:spacing w:after="0" w:line="43" w:lineRule="exact"/>
        <w:rPr>
          <w:sz w:val="20"/>
          <w:szCs w:val="20"/>
          <w:color w:val="auto"/>
        </w:rPr>
      </w:pPr>
    </w:p>
    <w:p>
      <w:pPr>
        <w:ind w:left="3520"/>
        <w:spacing w:after="0"/>
        <w:rPr>
          <w:sz w:val="20"/>
          <w:szCs w:val="20"/>
          <w:color w:val="auto"/>
        </w:rPr>
      </w:pPr>
      <w:r>
        <w:rPr>
          <w:rFonts w:ascii="Arial" w:cs="Arial" w:eastAsia="Arial" w:hAnsi="Arial"/>
          <w:sz w:val="22"/>
          <w:szCs w:val="22"/>
          <w:color w:val="auto"/>
        </w:rPr>
        <w:t>Articles</w:t>
      </w:r>
    </w:p>
    <w:p>
      <w:pPr>
        <w:spacing w:after="0" w:line="80" w:lineRule="exact"/>
        <w:rPr>
          <w:sz w:val="20"/>
          <w:szCs w:val="20"/>
          <w:color w:val="auto"/>
        </w:rPr>
      </w:pPr>
    </w:p>
    <w:p>
      <w:pPr>
        <w:ind w:left="2440"/>
        <w:spacing w:after="0"/>
        <w:rPr>
          <w:sz w:val="20"/>
          <w:szCs w:val="20"/>
          <w:color w:val="auto"/>
        </w:rPr>
      </w:pPr>
      <w:r>
        <w:rPr>
          <w:rFonts w:ascii="Arial" w:cs="Arial" w:eastAsia="Arial" w:hAnsi="Arial"/>
          <w:sz w:val="22"/>
          <w:szCs w:val="22"/>
          <w:color w:val="auto"/>
        </w:rPr>
        <w:t>Exhibit C(R1), Definitions of “Aircraft” and “Engine”</w:t>
      </w:r>
    </w:p>
    <w:p>
      <w:pPr>
        <w:spacing w:after="0" w:line="98" w:lineRule="exact"/>
        <w:rPr>
          <w:sz w:val="20"/>
          <w:szCs w:val="20"/>
          <w:color w:val="auto"/>
        </w:rPr>
      </w:pPr>
    </w:p>
    <w:p>
      <w:pPr>
        <w:ind w:left="2440"/>
        <w:spacing w:after="0"/>
        <w:rPr>
          <w:sz w:val="20"/>
          <w:szCs w:val="20"/>
          <w:color w:val="auto"/>
        </w:rPr>
      </w:pPr>
      <w:r>
        <w:rPr>
          <w:rFonts w:ascii="Arial" w:cs="Arial" w:eastAsia="Arial" w:hAnsi="Arial"/>
          <w:sz w:val="22"/>
          <w:szCs w:val="22"/>
          <w:color w:val="auto"/>
        </w:rPr>
        <w:t>Section 1 of Supplemental Exhibit AE1</w:t>
      </w:r>
    </w:p>
    <w:p>
      <w:pPr>
        <w:spacing w:after="0" w:line="98" w:lineRule="exact"/>
        <w:rPr>
          <w:sz w:val="20"/>
          <w:szCs w:val="20"/>
          <w:color w:val="auto"/>
        </w:rPr>
      </w:pPr>
    </w:p>
    <w:p>
      <w:pPr>
        <w:ind w:left="2440"/>
        <w:spacing w:after="0"/>
        <w:rPr>
          <w:sz w:val="20"/>
          <w:szCs w:val="20"/>
          <w:color w:val="auto"/>
        </w:rPr>
      </w:pPr>
      <w:r>
        <w:rPr>
          <w:rFonts w:ascii="Arial" w:cs="Arial" w:eastAsia="Arial" w:hAnsi="Arial"/>
          <w:sz w:val="22"/>
          <w:szCs w:val="22"/>
          <w:color w:val="auto"/>
        </w:rPr>
        <w:t>Section 1 of Supplemental Exhibit EE1</w:t>
      </w:r>
    </w:p>
    <w:p>
      <w:pPr>
        <w:spacing w:after="0" w:line="98" w:lineRule="exact"/>
        <w:rPr>
          <w:sz w:val="20"/>
          <w:szCs w:val="20"/>
          <w:color w:val="auto"/>
        </w:rPr>
      </w:pPr>
    </w:p>
    <w:p>
      <w:pPr>
        <w:ind w:left="3520" w:right="2400" w:hanging="1079"/>
        <w:spacing w:after="0"/>
        <w:rPr>
          <w:sz w:val="20"/>
          <w:szCs w:val="20"/>
          <w:color w:val="auto"/>
        </w:rPr>
      </w:pPr>
      <w:r>
        <w:rPr>
          <w:rFonts w:ascii="Arial" w:cs="Arial" w:eastAsia="Arial" w:hAnsi="Arial"/>
          <w:sz w:val="22"/>
          <w:szCs w:val="22"/>
          <w:color w:val="auto"/>
        </w:rPr>
        <w:t>Section 1 (definition of “Firm Aircraft”) of Letter Agreement 6-1162-TRW-0664R1 entitled “</w:t>
      </w:r>
      <w:r>
        <w:rPr>
          <w:rFonts w:ascii="Arial" w:cs="Arial" w:eastAsia="Arial" w:hAnsi="Arial"/>
          <w:sz w:val="22"/>
          <w:szCs w:val="22"/>
          <w:u w:val="single" w:color="auto"/>
          <w:color w:val="auto"/>
        </w:rPr>
        <w:t>Aircraft Purchase Rights and Substitution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Rights</w:t>
      </w:r>
      <w:r>
        <w:rPr>
          <w:rFonts w:ascii="Arial" w:cs="Arial" w:eastAsia="Arial" w:hAnsi="Arial"/>
          <w:sz w:val="22"/>
          <w:szCs w:val="22"/>
          <w:color w:val="auto"/>
        </w:rPr>
        <w:t>”</w:t>
      </w:r>
    </w:p>
    <w:p>
      <w:pPr>
        <w:spacing w:after="0" w:line="78" w:lineRule="exact"/>
        <w:rPr>
          <w:sz w:val="20"/>
          <w:szCs w:val="20"/>
          <w:color w:val="auto"/>
        </w:rPr>
      </w:pPr>
    </w:p>
    <w:p>
      <w:pPr>
        <w:ind w:left="2440"/>
        <w:spacing w:after="0"/>
        <w:rPr>
          <w:sz w:val="20"/>
          <w:szCs w:val="20"/>
          <w:color w:val="auto"/>
        </w:rPr>
      </w:pPr>
      <w:r>
        <w:rPr>
          <w:rFonts w:ascii="Arial" w:cs="Arial" w:eastAsia="Arial" w:hAnsi="Arial"/>
          <w:sz w:val="22"/>
          <w:szCs w:val="22"/>
          <w:color w:val="auto"/>
        </w:rPr>
        <w:t>Section 1.1 of LA 6-1162-TRW-0672R1 entitled “[*CTR</w:t>
      </w:r>
      <w:r>
        <w:rPr>
          <w:rFonts w:ascii="Arial" w:cs="Arial" w:eastAsia="Arial" w:hAnsi="Arial"/>
          <w:sz w:val="22"/>
          <w:szCs w:val="22"/>
          <w:u w:val="single" w:color="auto"/>
          <w:color w:val="auto"/>
        </w:rPr>
        <w:t>]</w:t>
      </w:r>
      <w:r>
        <w:rPr>
          <w:rFonts w:ascii="Arial" w:cs="Arial" w:eastAsia="Arial" w:hAnsi="Arial"/>
          <w:sz w:val="22"/>
          <w:szCs w:val="22"/>
          <w:color w:val="auto"/>
        </w:rPr>
        <w:t>”</w:t>
      </w:r>
    </w:p>
    <w:p>
      <w:pPr>
        <w:spacing w:after="0" w:line="98" w:lineRule="exact"/>
        <w:rPr>
          <w:sz w:val="20"/>
          <w:szCs w:val="20"/>
          <w:color w:val="auto"/>
        </w:rPr>
      </w:pPr>
    </w:p>
    <w:p>
      <w:pPr>
        <w:ind w:left="2440"/>
        <w:spacing w:after="0"/>
        <w:rPr>
          <w:sz w:val="20"/>
          <w:szCs w:val="20"/>
          <w:color w:val="auto"/>
        </w:rPr>
      </w:pPr>
      <w:r>
        <w:rPr>
          <w:rFonts w:ascii="Arial" w:cs="Arial" w:eastAsia="Arial" w:hAnsi="Arial"/>
          <w:sz w:val="21"/>
          <w:szCs w:val="21"/>
          <w:color w:val="auto"/>
        </w:rPr>
        <w:t>Section 3 of Letter Agreement 6-1162-TRW-0674R3 entitled “</w:t>
      </w:r>
      <w:r>
        <w:rPr>
          <w:rFonts w:ascii="Arial" w:cs="Arial" w:eastAsia="Arial" w:hAnsi="Arial"/>
          <w:sz w:val="21"/>
          <w:szCs w:val="21"/>
          <w:u w:val="single" w:color="auto"/>
          <w:color w:val="auto"/>
        </w:rPr>
        <w:t>Business</w:t>
      </w:r>
    </w:p>
    <w:p>
      <w:pPr>
        <w:spacing w:after="0" w:line="20" w:lineRule="exact"/>
        <w:rPr>
          <w:sz w:val="20"/>
          <w:szCs w:val="20"/>
          <w:color w:val="auto"/>
        </w:rPr>
      </w:pPr>
    </w:p>
    <w:p>
      <w:pPr>
        <w:ind w:left="3520"/>
        <w:spacing w:after="0"/>
        <w:rPr>
          <w:sz w:val="20"/>
          <w:szCs w:val="20"/>
          <w:color w:val="auto"/>
        </w:rPr>
      </w:pPr>
      <w:r>
        <w:rPr>
          <w:rFonts w:ascii="Arial" w:cs="Arial" w:eastAsia="Arial" w:hAnsi="Arial"/>
          <w:sz w:val="22"/>
          <w:szCs w:val="22"/>
          <w:u w:val="single" w:color="auto"/>
          <w:color w:val="auto"/>
        </w:rPr>
        <w:t>Considerations</w:t>
      </w:r>
      <w:r>
        <w:rPr>
          <w:rFonts w:ascii="Arial" w:cs="Arial" w:eastAsia="Arial" w:hAnsi="Arial"/>
          <w:sz w:val="22"/>
          <w:szCs w:val="22"/>
          <w:color w:val="auto"/>
        </w:rPr>
        <w:t>”</w:t>
      </w:r>
    </w:p>
    <w:p>
      <w:pPr>
        <w:spacing w:after="0" w:line="364" w:lineRule="exact"/>
        <w:rPr>
          <w:sz w:val="20"/>
          <w:szCs w:val="20"/>
          <w:color w:val="auto"/>
        </w:rPr>
      </w:pPr>
    </w:p>
    <w:p>
      <w:pPr>
        <w:jc w:val="both"/>
        <w:ind w:firstLine="799"/>
        <w:spacing w:after="0" w:line="236" w:lineRule="auto"/>
        <w:rPr>
          <w:sz w:val="20"/>
          <w:szCs w:val="20"/>
          <w:color w:val="auto"/>
        </w:rPr>
      </w:pPr>
      <w:r>
        <w:rPr>
          <w:rFonts w:ascii="Arial" w:cs="Arial" w:eastAsia="Arial" w:hAnsi="Arial"/>
          <w:sz w:val="22"/>
          <w:szCs w:val="22"/>
          <w:color w:val="auto"/>
        </w:rPr>
        <w:t>5.2 Except as expressly set forth herein, all terms and provisions contained in the Purchase Agreement shall remain in full force and effect. This Agreement contains the entire agreement between the parties with respect to the subject matter hereof and supersedes all previous proposals, and agreements, understandings, commitments or representations whatsoever, oral or written, with respect to the subject matter hereof and may be changed only in writing signed by authorized representatives of the parties.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620" w:type="dxa"/>
            <w:vAlign w:val="bottom"/>
          </w:tcPr>
          <w:p>
            <w:pPr>
              <w:spacing w:after="0"/>
              <w:rPr>
                <w:sz w:val="20"/>
                <w:szCs w:val="20"/>
                <w:color w:val="auto"/>
              </w:rPr>
            </w:pPr>
            <w:r>
              <w:rPr>
                <w:rFonts w:ascii="Arial" w:cs="Arial" w:eastAsia="Arial" w:hAnsi="Arial"/>
                <w:sz w:val="22"/>
                <w:szCs w:val="22"/>
                <w:color w:val="auto"/>
              </w:rPr>
              <w:t>PA 3219</w:t>
            </w:r>
          </w:p>
        </w:tc>
        <w:tc>
          <w:tcPr>
            <w:tcW w:w="6060" w:type="dxa"/>
            <w:vAlign w:val="bottom"/>
          </w:tcPr>
          <w:p>
            <w:pPr>
              <w:ind w:left="3100"/>
              <w:spacing w:after="0"/>
              <w:rPr>
                <w:sz w:val="20"/>
                <w:szCs w:val="20"/>
                <w:color w:val="auto"/>
              </w:rPr>
            </w:pPr>
            <w:r>
              <w:rPr>
                <w:rFonts w:ascii="Arial" w:cs="Arial" w:eastAsia="Arial" w:hAnsi="Arial"/>
                <w:sz w:val="22"/>
                <w:szCs w:val="22"/>
                <w:color w:val="auto"/>
              </w:rPr>
              <w:t>SA-9</w:t>
            </w:r>
          </w:p>
        </w:tc>
        <w:tc>
          <w:tcPr>
            <w:tcW w:w="2300" w:type="dxa"/>
            <w:vAlign w:val="bottom"/>
          </w:tcPr>
          <w:p>
            <w:pPr>
              <w:ind w:left="1720"/>
              <w:spacing w:after="0"/>
              <w:rPr>
                <w:sz w:val="20"/>
                <w:szCs w:val="20"/>
                <w:color w:val="auto"/>
              </w:rPr>
            </w:pPr>
            <w:r>
              <w:rPr>
                <w:rFonts w:ascii="Arial" w:cs="Arial" w:eastAsia="Arial" w:hAnsi="Arial"/>
                <w:sz w:val="22"/>
                <w:szCs w:val="22"/>
                <w:color w:val="auto"/>
                <w:w w:val="80"/>
              </w:rPr>
              <w:t>Page 3</w:t>
            </w:r>
          </w:p>
        </w:tc>
      </w:tr>
      <w:tr>
        <w:trPr>
          <w:trHeight w:val="281"/>
        </w:trPr>
        <w:tc>
          <w:tcPr>
            <w:tcW w:w="2620" w:type="dxa"/>
            <w:vAlign w:val="bottom"/>
          </w:tcPr>
          <w:p>
            <w:pPr>
              <w:spacing w:after="0"/>
              <w:rPr>
                <w:sz w:val="24"/>
                <w:szCs w:val="24"/>
                <w:color w:val="auto"/>
              </w:rPr>
            </w:pPr>
          </w:p>
        </w:tc>
        <w:tc>
          <w:tcPr>
            <w:tcW w:w="6060" w:type="dxa"/>
            <w:vAlign w:val="bottom"/>
          </w:tcPr>
          <w:p>
            <w:pPr>
              <w:ind w:left="1860"/>
              <w:spacing w:after="0"/>
              <w:rPr>
                <w:sz w:val="20"/>
                <w:szCs w:val="20"/>
                <w:color w:val="auto"/>
              </w:rPr>
            </w:pPr>
            <w:r>
              <w:rPr>
                <w:rFonts w:ascii="Arial" w:cs="Arial" w:eastAsia="Arial" w:hAnsi="Arial"/>
                <w:sz w:val="22"/>
                <w:szCs w:val="22"/>
                <w:b w:val="1"/>
                <w:bCs w:val="1"/>
                <w:color w:val="auto"/>
              </w:rPr>
              <w:t>BOEING PROPRIETARY</w:t>
            </w:r>
          </w:p>
        </w:tc>
        <w:tc>
          <w:tcPr>
            <w:tcW w:w="2300" w:type="dxa"/>
            <w:vAlign w:val="bottom"/>
          </w:tcPr>
          <w:p>
            <w:pPr>
              <w:spacing w:after="0"/>
              <w:rPr>
                <w:sz w:val="24"/>
                <w:szCs w:val="24"/>
                <w:color w:val="auto"/>
              </w:rPr>
            </w:pPr>
          </w:p>
        </w:tc>
      </w:tr>
    </w:tbl>
    <w:p>
      <w:pPr>
        <w:spacing w:after="0" w:line="208"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[*CTR]=[CONFIDENTIAL PORTION OMITTED AND FILED SEPARATELY WITH THE COMMISSION PURSUANT TO A REQUEST FOR CONFIDENTIAL TREATMENT]</w:t>
      </w:r>
    </w:p>
    <w:p>
      <w:pPr>
        <w:sectPr>
          <w:pgSz w:w="11900" w:h="16838" w:orient="portrait"/>
          <w:cols w:equalWidth="0" w:num="1">
            <w:col w:w="11420"/>
          </w:cols>
          <w:pgMar w:left="240" w:top="261" w:right="239" w:bottom="1440" w:gutter="0" w:footer="0" w:header="0"/>
        </w:sectPr>
      </w:pPr>
    </w:p>
    <w:bookmarkStart w:id="109" w:name="page110"/>
    <w:bookmarkEnd w:id="109"/>
    <w:p>
      <w:pPr>
        <w:ind w:left="10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AGREED AND ACCEPTED</w:t>
      </w:r>
    </w:p>
    <w:p>
      <w:pPr>
        <w:spacing w:after="0" w:line="206" w:lineRule="exact"/>
        <w:rPr>
          <w:sz w:val="20"/>
          <w:szCs w:val="20"/>
          <w:color w:val="auto"/>
        </w:rPr>
      </w:pPr>
    </w:p>
    <w:p>
      <w:pPr>
        <w:ind w:left="100"/>
        <w:spacing w:after="0"/>
        <w:rPr>
          <w:sz w:val="20"/>
          <w:szCs w:val="20"/>
          <w:color w:val="auto"/>
        </w:rPr>
      </w:pPr>
      <w:r>
        <w:rPr>
          <w:rFonts w:ascii="Arial" w:cs="Arial" w:eastAsia="Arial" w:hAnsi="Arial"/>
          <w:sz w:val="22"/>
          <w:szCs w:val="22"/>
          <w:color w:val="auto"/>
        </w:rPr>
        <w:t>April 24,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369633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2" w:lineRule="exact"/>
        <w:rPr>
          <w:sz w:val="20"/>
          <w:szCs w:val="20"/>
          <w:color w:val="auto"/>
        </w:rPr>
      </w:pPr>
    </w:p>
    <w:p>
      <w:pPr>
        <w:ind w:left="120"/>
        <w:spacing w:after="0"/>
        <w:rPr>
          <w:sz w:val="20"/>
          <w:szCs w:val="20"/>
          <w:color w:val="auto"/>
        </w:rPr>
      </w:pPr>
      <w:r>
        <w:rPr>
          <w:rFonts w:ascii="Arial" w:cs="Arial" w:eastAsia="Arial" w:hAnsi="Arial"/>
          <w:sz w:val="22"/>
          <w:szCs w:val="22"/>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tabs>
          <w:tab w:leader="none" w:pos="6040" w:val="left"/>
        </w:tabs>
        <w:rPr>
          <w:sz w:val="20"/>
          <w:szCs w:val="20"/>
          <w:color w:val="auto"/>
        </w:rPr>
      </w:pPr>
      <w:r>
        <w:rPr>
          <w:rFonts w:ascii="Arial" w:cs="Arial" w:eastAsia="Arial" w:hAnsi="Arial"/>
          <w:sz w:val="22"/>
          <w:szCs w:val="22"/>
          <w:b w:val="1"/>
          <w:bCs w:val="1"/>
          <w:color w:val="auto"/>
        </w:rPr>
        <w:t>THE BOEING COMPANY</w:t>
      </w:r>
      <w:r>
        <w:rPr>
          <w:sz w:val="20"/>
          <w:szCs w:val="20"/>
          <w:color w:val="auto"/>
        </w:rPr>
        <w:tab/>
      </w:r>
      <w:r>
        <w:rPr>
          <w:rFonts w:ascii="Arial" w:cs="Arial" w:eastAsia="Arial" w:hAnsi="Arial"/>
          <w:sz w:val="22"/>
          <w:szCs w:val="22"/>
          <w:b w:val="1"/>
          <w:bCs w:val="1"/>
          <w:color w:val="auto"/>
        </w:rPr>
        <w:t>AMERICAN AIRLINES,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3380" w:type="dxa"/>
            <w:vAlign w:val="bottom"/>
            <w:tcBorders>
              <w:bottom w:val="single" w:sz="8" w:color="auto"/>
            </w:tcBorders>
          </w:tcPr>
          <w:p>
            <w:pPr>
              <w:ind w:left="120"/>
              <w:spacing w:after="0"/>
              <w:rPr>
                <w:sz w:val="20"/>
                <w:szCs w:val="20"/>
                <w:color w:val="auto"/>
              </w:rPr>
            </w:pPr>
            <w:r>
              <w:rPr>
                <w:rFonts w:ascii="Arial" w:cs="Arial" w:eastAsia="Arial" w:hAnsi="Arial"/>
                <w:sz w:val="22"/>
                <w:szCs w:val="22"/>
                <w:color w:val="auto"/>
              </w:rPr>
              <w:t>/s/ The Boeing Company</w:t>
            </w:r>
          </w:p>
        </w:tc>
        <w:tc>
          <w:tcPr>
            <w:tcW w:w="2440" w:type="dxa"/>
            <w:vAlign w:val="bottom"/>
            <w:tcBorders>
              <w:bottom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338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/s/ American Airlines, Inc.</w:t>
            </w:r>
          </w:p>
        </w:tc>
        <w:tc>
          <w:tcPr>
            <w:tcW w:w="1980" w:type="dxa"/>
            <w:vAlign w:val="bottom"/>
            <w:tcBorders>
              <w:bottom w:val="single" w:sz="8" w:color="auto"/>
            </w:tcBorders>
          </w:tcPr>
          <w:p>
            <w:pPr>
              <w:spacing w:after="0"/>
              <w:rPr>
                <w:sz w:val="23"/>
                <w:szCs w:val="23"/>
                <w:color w:val="auto"/>
              </w:rPr>
            </w:pPr>
          </w:p>
        </w:tc>
      </w:tr>
      <w:tr>
        <w:trPr>
          <w:trHeight w:val="268"/>
        </w:trPr>
        <w:tc>
          <w:tcPr>
            <w:tcW w:w="3380" w:type="dxa"/>
            <w:vAlign w:val="bottom"/>
          </w:tcPr>
          <w:p>
            <w:pPr>
              <w:ind w:left="120"/>
              <w:spacing w:after="0"/>
              <w:rPr>
                <w:sz w:val="20"/>
                <w:szCs w:val="20"/>
                <w:color w:val="auto"/>
              </w:rPr>
            </w:pPr>
            <w:r>
              <w:rPr>
                <w:rFonts w:ascii="Arial" w:cs="Arial" w:eastAsia="Arial" w:hAnsi="Arial"/>
                <w:sz w:val="22"/>
                <w:szCs w:val="22"/>
                <w:color w:val="auto"/>
              </w:rPr>
              <w:t>Signature</w:t>
            </w:r>
          </w:p>
        </w:tc>
        <w:tc>
          <w:tcPr>
            <w:tcW w:w="24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380" w:type="dxa"/>
            <w:vAlign w:val="bottom"/>
          </w:tcPr>
          <w:p>
            <w:pPr>
              <w:ind w:left="100"/>
              <w:spacing w:after="0"/>
              <w:rPr>
                <w:sz w:val="20"/>
                <w:szCs w:val="20"/>
                <w:color w:val="auto"/>
              </w:rPr>
            </w:pPr>
            <w:r>
              <w:rPr>
                <w:rFonts w:ascii="Arial" w:cs="Arial" w:eastAsia="Arial" w:hAnsi="Arial"/>
                <w:sz w:val="22"/>
                <w:szCs w:val="22"/>
                <w:color w:val="auto"/>
              </w:rPr>
              <w:t>Signature</w:t>
            </w:r>
          </w:p>
        </w:tc>
        <w:tc>
          <w:tcPr>
            <w:tcW w:w="1980" w:type="dxa"/>
            <w:vAlign w:val="bottom"/>
          </w:tcPr>
          <w:p>
            <w:pPr>
              <w:spacing w:after="0"/>
              <w:rPr>
                <w:sz w:val="23"/>
                <w:szCs w:val="23"/>
                <w:color w:val="auto"/>
              </w:rPr>
            </w:pPr>
          </w:p>
        </w:tc>
      </w:tr>
      <w:tr>
        <w:trPr>
          <w:trHeight w:val="441"/>
        </w:trPr>
        <w:tc>
          <w:tcPr>
            <w:tcW w:w="3380" w:type="dxa"/>
            <w:vAlign w:val="bottom"/>
            <w:tcBorders>
              <w:bottom w:val="single" w:sz="8" w:color="auto"/>
            </w:tcBorders>
          </w:tcPr>
          <w:p>
            <w:pPr>
              <w:ind w:left="120"/>
              <w:spacing w:after="0"/>
              <w:rPr>
                <w:sz w:val="20"/>
                <w:szCs w:val="20"/>
                <w:color w:val="auto"/>
              </w:rPr>
            </w:pPr>
            <w:r>
              <w:rPr>
                <w:rFonts w:ascii="Arial" w:cs="Arial" w:eastAsia="Arial" w:hAnsi="Arial"/>
                <w:sz w:val="22"/>
                <w:szCs w:val="22"/>
                <w:color w:val="auto"/>
              </w:rPr>
              <w:t>The Boeing Company</w:t>
            </w:r>
          </w:p>
        </w:tc>
        <w:tc>
          <w:tcPr>
            <w:tcW w:w="24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338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American Airlines, Inc.</w:t>
            </w:r>
          </w:p>
        </w:tc>
        <w:tc>
          <w:tcPr>
            <w:tcW w:w="1980" w:type="dxa"/>
            <w:vAlign w:val="bottom"/>
            <w:tcBorders>
              <w:bottom w:val="single" w:sz="8" w:color="auto"/>
            </w:tcBorders>
          </w:tcPr>
          <w:p>
            <w:pPr>
              <w:spacing w:after="0"/>
              <w:rPr>
                <w:sz w:val="24"/>
                <w:szCs w:val="24"/>
                <w:color w:val="auto"/>
              </w:rPr>
            </w:pPr>
          </w:p>
        </w:tc>
      </w:tr>
      <w:tr>
        <w:trPr>
          <w:trHeight w:val="268"/>
        </w:trPr>
        <w:tc>
          <w:tcPr>
            <w:tcW w:w="3380" w:type="dxa"/>
            <w:vAlign w:val="bottom"/>
          </w:tcPr>
          <w:p>
            <w:pPr>
              <w:ind w:left="120"/>
              <w:spacing w:after="0"/>
              <w:rPr>
                <w:sz w:val="20"/>
                <w:szCs w:val="20"/>
                <w:color w:val="auto"/>
              </w:rPr>
            </w:pPr>
            <w:r>
              <w:rPr>
                <w:rFonts w:ascii="Arial" w:cs="Arial" w:eastAsia="Arial" w:hAnsi="Arial"/>
                <w:sz w:val="22"/>
                <w:szCs w:val="22"/>
                <w:color w:val="auto"/>
              </w:rPr>
              <w:t>Printed name</w:t>
            </w:r>
          </w:p>
        </w:tc>
        <w:tc>
          <w:tcPr>
            <w:tcW w:w="24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380" w:type="dxa"/>
            <w:vAlign w:val="bottom"/>
          </w:tcPr>
          <w:p>
            <w:pPr>
              <w:ind w:left="100"/>
              <w:spacing w:after="0"/>
              <w:rPr>
                <w:sz w:val="20"/>
                <w:szCs w:val="20"/>
                <w:color w:val="auto"/>
              </w:rPr>
            </w:pPr>
            <w:r>
              <w:rPr>
                <w:rFonts w:ascii="Arial" w:cs="Arial" w:eastAsia="Arial" w:hAnsi="Arial"/>
                <w:sz w:val="22"/>
                <w:szCs w:val="22"/>
                <w:color w:val="auto"/>
              </w:rPr>
              <w:t>Printed name</w:t>
            </w:r>
          </w:p>
        </w:tc>
        <w:tc>
          <w:tcPr>
            <w:tcW w:w="1980" w:type="dxa"/>
            <w:vAlign w:val="bottom"/>
          </w:tcPr>
          <w:p>
            <w:pPr>
              <w:spacing w:after="0"/>
              <w:rPr>
                <w:sz w:val="23"/>
                <w:szCs w:val="23"/>
                <w:color w:val="auto"/>
              </w:rPr>
            </w:pPr>
          </w:p>
        </w:tc>
      </w:tr>
      <w:tr>
        <w:trPr>
          <w:trHeight w:val="441"/>
        </w:trPr>
        <w:tc>
          <w:tcPr>
            <w:tcW w:w="338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Attorney-in-Fact</w:t>
            </w:r>
          </w:p>
        </w:tc>
        <w:tc>
          <w:tcPr>
            <w:tcW w:w="24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338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VP and Treasurer</w:t>
            </w:r>
          </w:p>
        </w:tc>
        <w:tc>
          <w:tcPr>
            <w:tcW w:w="1980" w:type="dxa"/>
            <w:vAlign w:val="bottom"/>
            <w:tcBorders>
              <w:bottom w:val="single" w:sz="8" w:color="auto"/>
            </w:tcBorders>
          </w:tcPr>
          <w:p>
            <w:pPr>
              <w:spacing w:after="0"/>
              <w:rPr>
                <w:sz w:val="24"/>
                <w:szCs w:val="24"/>
                <w:color w:val="auto"/>
              </w:rPr>
            </w:pPr>
          </w:p>
        </w:tc>
      </w:tr>
      <w:tr>
        <w:trPr>
          <w:trHeight w:val="268"/>
        </w:trPr>
        <w:tc>
          <w:tcPr>
            <w:tcW w:w="3380" w:type="dxa"/>
            <w:vAlign w:val="bottom"/>
          </w:tcPr>
          <w:p>
            <w:pPr>
              <w:ind w:left="120"/>
              <w:spacing w:after="0"/>
              <w:rPr>
                <w:sz w:val="20"/>
                <w:szCs w:val="20"/>
                <w:color w:val="auto"/>
              </w:rPr>
            </w:pPr>
            <w:r>
              <w:rPr>
                <w:rFonts w:ascii="Arial" w:cs="Arial" w:eastAsia="Arial" w:hAnsi="Arial"/>
                <w:sz w:val="22"/>
                <w:szCs w:val="22"/>
                <w:color w:val="auto"/>
              </w:rPr>
              <w:t>Title</w:t>
            </w:r>
          </w:p>
        </w:tc>
        <w:tc>
          <w:tcPr>
            <w:tcW w:w="24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380" w:type="dxa"/>
            <w:vAlign w:val="bottom"/>
          </w:tcPr>
          <w:p>
            <w:pPr>
              <w:ind w:left="100"/>
              <w:spacing w:after="0"/>
              <w:rPr>
                <w:sz w:val="20"/>
                <w:szCs w:val="20"/>
                <w:color w:val="auto"/>
              </w:rPr>
            </w:pPr>
            <w:r>
              <w:rPr>
                <w:rFonts w:ascii="Arial" w:cs="Arial" w:eastAsia="Arial" w:hAnsi="Arial"/>
                <w:sz w:val="22"/>
                <w:szCs w:val="22"/>
                <w:color w:val="auto"/>
              </w:rPr>
              <w:t>Title</w:t>
            </w:r>
          </w:p>
        </w:tc>
        <w:tc>
          <w:tcPr>
            <w:tcW w:w="1980" w:type="dxa"/>
            <w:vAlign w:val="bottom"/>
          </w:tcPr>
          <w:p>
            <w:pPr>
              <w:spacing w:after="0"/>
              <w:rPr>
                <w:sz w:val="23"/>
                <w:szCs w:val="23"/>
                <w:color w:val="auto"/>
              </w:rPr>
            </w:pPr>
          </w:p>
        </w:tc>
      </w:tr>
      <w:tr>
        <w:trPr>
          <w:trHeight w:val="346"/>
        </w:trPr>
        <w:tc>
          <w:tcPr>
            <w:tcW w:w="3380" w:type="dxa"/>
            <w:vAlign w:val="bottom"/>
          </w:tcPr>
          <w:p>
            <w:pPr>
              <w:spacing w:after="0"/>
              <w:rPr>
                <w:sz w:val="20"/>
                <w:szCs w:val="20"/>
                <w:color w:val="auto"/>
              </w:rPr>
            </w:pPr>
            <w:r>
              <w:rPr>
                <w:rFonts w:ascii="Arial" w:cs="Arial" w:eastAsia="Arial" w:hAnsi="Arial"/>
                <w:sz w:val="22"/>
                <w:szCs w:val="22"/>
                <w:color w:val="auto"/>
              </w:rPr>
              <w:t>PA 3219</w:t>
            </w:r>
          </w:p>
        </w:tc>
        <w:tc>
          <w:tcPr>
            <w:tcW w:w="6060" w:type="dxa"/>
            <w:vAlign w:val="bottom"/>
            <w:gridSpan w:val="3"/>
          </w:tcPr>
          <w:p>
            <w:pPr>
              <w:ind w:left="2340"/>
              <w:spacing w:after="0"/>
              <w:rPr>
                <w:sz w:val="20"/>
                <w:szCs w:val="20"/>
                <w:color w:val="auto"/>
              </w:rPr>
            </w:pPr>
            <w:r>
              <w:rPr>
                <w:rFonts w:ascii="Arial" w:cs="Arial" w:eastAsia="Arial" w:hAnsi="Arial"/>
                <w:sz w:val="22"/>
                <w:szCs w:val="22"/>
                <w:color w:val="auto"/>
              </w:rPr>
              <w:t>SA-9</w:t>
            </w:r>
          </w:p>
        </w:tc>
        <w:tc>
          <w:tcPr>
            <w:tcW w:w="1980" w:type="dxa"/>
            <w:vAlign w:val="bottom"/>
          </w:tcPr>
          <w:p>
            <w:pPr>
              <w:ind w:left="960"/>
              <w:spacing w:after="0"/>
              <w:rPr>
                <w:sz w:val="20"/>
                <w:szCs w:val="20"/>
                <w:color w:val="auto"/>
              </w:rPr>
            </w:pPr>
            <w:r>
              <w:rPr>
                <w:rFonts w:ascii="Arial" w:cs="Arial" w:eastAsia="Arial" w:hAnsi="Arial"/>
                <w:sz w:val="22"/>
                <w:szCs w:val="22"/>
                <w:color w:val="auto"/>
              </w:rPr>
              <w:t>Page 4</w:t>
            </w:r>
          </w:p>
        </w:tc>
      </w:tr>
      <w:tr>
        <w:trPr>
          <w:trHeight w:val="281"/>
        </w:trPr>
        <w:tc>
          <w:tcPr>
            <w:tcW w:w="3380" w:type="dxa"/>
            <w:vAlign w:val="bottom"/>
          </w:tcPr>
          <w:p>
            <w:pPr>
              <w:spacing w:after="0"/>
              <w:rPr>
                <w:sz w:val="24"/>
                <w:szCs w:val="24"/>
                <w:color w:val="auto"/>
              </w:rPr>
            </w:pPr>
          </w:p>
        </w:tc>
        <w:tc>
          <w:tcPr>
            <w:tcW w:w="6060" w:type="dxa"/>
            <w:vAlign w:val="bottom"/>
            <w:gridSpan w:val="3"/>
          </w:tcPr>
          <w:p>
            <w:pPr>
              <w:ind w:left="1100"/>
              <w:spacing w:after="0"/>
              <w:rPr>
                <w:sz w:val="20"/>
                <w:szCs w:val="20"/>
                <w:color w:val="auto"/>
              </w:rPr>
            </w:pPr>
            <w:r>
              <w:rPr>
                <w:rFonts w:ascii="Arial" w:cs="Arial" w:eastAsia="Arial" w:hAnsi="Arial"/>
                <w:sz w:val="22"/>
                <w:szCs w:val="22"/>
                <w:b w:val="1"/>
                <w:bCs w:val="1"/>
                <w:color w:val="auto"/>
              </w:rPr>
              <w:t>BOEING PROPRIETARY</w:t>
            </w:r>
          </w:p>
        </w:tc>
        <w:tc>
          <w:tcPr>
            <w:tcW w:w="1980" w:type="dxa"/>
            <w:vAlign w:val="bottom"/>
          </w:tcPr>
          <w:p>
            <w:pPr>
              <w:spacing w:after="0"/>
              <w:rPr>
                <w:sz w:val="24"/>
                <w:szCs w:val="24"/>
                <w:color w:val="auto"/>
              </w:rPr>
            </w:pPr>
          </w:p>
        </w:tc>
      </w:tr>
    </w:tbl>
    <w:p>
      <w:pPr>
        <w:sectPr>
          <w:pgSz w:w="11900" w:h="16838" w:orient="portrait"/>
          <w:cols w:equalWidth="0" w:num="1">
            <w:col w:w="11420"/>
          </w:cols>
          <w:pgMar w:left="240" w:top="267" w:right="239" w:bottom="1440" w:gutter="0" w:footer="0" w:header="0"/>
        </w:sectPr>
      </w:pPr>
    </w:p>
    <w:bookmarkStart w:id="110" w:name="page111"/>
    <w:bookmarkEnd w:id="110"/>
    <w:p>
      <w:pPr>
        <w:ind w:left="462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TABLE OF CONTENTS</w:t>
      </w:r>
    </w:p>
    <w:p>
      <w:pPr>
        <w:spacing w:after="0" w:line="200" w:lineRule="exact"/>
        <w:rPr>
          <w:sz w:val="20"/>
          <w:szCs w:val="20"/>
          <w:color w:val="auto"/>
        </w:rPr>
      </w:pPr>
    </w:p>
    <w:p>
      <w:pPr>
        <w:spacing w:after="0" w:line="276" w:lineRule="exact"/>
        <w:rPr>
          <w:sz w:val="20"/>
          <w:szCs w:val="20"/>
          <w:color w:val="auto"/>
        </w:rPr>
      </w:pPr>
    </w:p>
    <w:p>
      <w:pPr>
        <w:ind w:left="120"/>
        <w:spacing w:after="0"/>
        <w:rPr>
          <w:sz w:val="20"/>
          <w:szCs w:val="20"/>
          <w:color w:val="auto"/>
        </w:rPr>
      </w:pPr>
      <w:r>
        <w:rPr>
          <w:rFonts w:ascii="Arial" w:cs="Arial" w:eastAsia="Arial" w:hAnsi="Arial"/>
          <w:sz w:val="22"/>
          <w:szCs w:val="22"/>
          <w:color w:val="auto"/>
        </w:rPr>
        <w:t>ARTICLES</w:t>
      </w:r>
    </w:p>
    <w:p>
      <w:pPr>
        <w:ind w:left="1480" w:hanging="925"/>
        <w:spacing w:after="0" w:line="238" w:lineRule="auto"/>
        <w:tabs>
          <w:tab w:leader="none" w:pos="1480" w:val="left"/>
        </w:tabs>
        <w:numPr>
          <w:ilvl w:val="0"/>
          <w:numId w:val="93"/>
        </w:numPr>
        <w:rPr>
          <w:rFonts w:ascii="Arial" w:cs="Arial" w:eastAsia="Arial" w:hAnsi="Arial"/>
          <w:sz w:val="22"/>
          <w:szCs w:val="22"/>
          <w:color w:val="auto"/>
        </w:rPr>
      </w:pPr>
      <w:r>
        <w:rPr>
          <w:rFonts w:ascii="Arial" w:cs="Arial" w:eastAsia="Arial" w:hAnsi="Arial"/>
          <w:sz w:val="22"/>
          <w:szCs w:val="22"/>
          <w:color w:val="auto"/>
        </w:rPr>
        <w:t>Quantity, Model and Description</w:t>
      </w:r>
    </w:p>
    <w:p>
      <w:pPr>
        <w:ind w:left="1480" w:hanging="925"/>
        <w:spacing w:after="0" w:line="230" w:lineRule="auto"/>
        <w:tabs>
          <w:tab w:leader="none" w:pos="1480" w:val="left"/>
        </w:tabs>
        <w:numPr>
          <w:ilvl w:val="0"/>
          <w:numId w:val="93"/>
        </w:numPr>
        <w:rPr>
          <w:rFonts w:ascii="Arial" w:cs="Arial" w:eastAsia="Arial" w:hAnsi="Arial"/>
          <w:sz w:val="22"/>
          <w:szCs w:val="22"/>
          <w:color w:val="auto"/>
        </w:rPr>
      </w:pPr>
      <w:r>
        <w:rPr>
          <w:rFonts w:ascii="Arial" w:cs="Arial" w:eastAsia="Arial" w:hAnsi="Arial"/>
          <w:sz w:val="22"/>
          <w:szCs w:val="22"/>
          <w:color w:val="auto"/>
        </w:rPr>
        <w:t>Delivery Schedule</w:t>
      </w:r>
    </w:p>
    <w:p>
      <w:pPr>
        <w:ind w:left="1480" w:hanging="925"/>
        <w:spacing w:after="0" w:line="230" w:lineRule="auto"/>
        <w:tabs>
          <w:tab w:leader="none" w:pos="1480" w:val="left"/>
        </w:tabs>
        <w:numPr>
          <w:ilvl w:val="0"/>
          <w:numId w:val="93"/>
        </w:numPr>
        <w:rPr>
          <w:rFonts w:ascii="Arial" w:cs="Arial" w:eastAsia="Arial" w:hAnsi="Arial"/>
          <w:sz w:val="22"/>
          <w:szCs w:val="22"/>
          <w:color w:val="auto"/>
        </w:rPr>
      </w:pPr>
      <w:r>
        <w:rPr>
          <w:rFonts w:ascii="Arial" w:cs="Arial" w:eastAsia="Arial" w:hAnsi="Arial"/>
          <w:sz w:val="22"/>
          <w:szCs w:val="22"/>
          <w:color w:val="auto"/>
        </w:rPr>
        <w:t>Price</w:t>
      </w:r>
    </w:p>
    <w:p>
      <w:pPr>
        <w:ind w:left="1480" w:hanging="925"/>
        <w:spacing w:after="0" w:line="230" w:lineRule="auto"/>
        <w:tabs>
          <w:tab w:leader="none" w:pos="1480" w:val="left"/>
        </w:tabs>
        <w:numPr>
          <w:ilvl w:val="0"/>
          <w:numId w:val="93"/>
        </w:numPr>
        <w:rPr>
          <w:rFonts w:ascii="Arial" w:cs="Arial" w:eastAsia="Arial" w:hAnsi="Arial"/>
          <w:sz w:val="22"/>
          <w:szCs w:val="22"/>
          <w:color w:val="auto"/>
        </w:rPr>
      </w:pPr>
      <w:r>
        <w:rPr>
          <w:rFonts w:ascii="Arial" w:cs="Arial" w:eastAsia="Arial" w:hAnsi="Arial"/>
          <w:sz w:val="22"/>
          <w:szCs w:val="22"/>
          <w:color w:val="auto"/>
        </w:rPr>
        <w:t>Payment</w:t>
      </w:r>
    </w:p>
    <w:p>
      <w:pPr>
        <w:ind w:left="1480" w:hanging="925"/>
        <w:spacing w:after="0" w:line="230" w:lineRule="auto"/>
        <w:tabs>
          <w:tab w:leader="none" w:pos="1480" w:val="left"/>
        </w:tabs>
        <w:numPr>
          <w:ilvl w:val="0"/>
          <w:numId w:val="93"/>
        </w:numPr>
        <w:rPr>
          <w:rFonts w:ascii="Arial" w:cs="Arial" w:eastAsia="Arial" w:hAnsi="Arial"/>
          <w:sz w:val="22"/>
          <w:szCs w:val="22"/>
          <w:color w:val="auto"/>
        </w:rPr>
      </w:pPr>
      <w:r>
        <w:rPr>
          <w:rFonts w:ascii="Arial" w:cs="Arial" w:eastAsia="Arial" w:hAnsi="Arial"/>
          <w:sz w:val="22"/>
          <w:szCs w:val="22"/>
          <w:color w:val="auto"/>
        </w:rPr>
        <w:t>Miscellaneous</w:t>
      </w:r>
    </w:p>
    <w:p>
      <w:pPr>
        <w:ind w:left="1480" w:hanging="925"/>
        <w:spacing w:after="0"/>
        <w:tabs>
          <w:tab w:leader="none" w:pos="1480" w:val="left"/>
        </w:tabs>
        <w:numPr>
          <w:ilvl w:val="0"/>
          <w:numId w:val="93"/>
        </w:numPr>
        <w:rPr>
          <w:rFonts w:ascii="Arial" w:cs="Arial" w:eastAsia="Arial" w:hAnsi="Arial"/>
          <w:sz w:val="22"/>
          <w:szCs w:val="22"/>
          <w:color w:val="auto"/>
        </w:rPr>
      </w:pPr>
      <w:r>
        <w:rPr>
          <w:rFonts w:ascii="Arial" w:cs="Arial" w:eastAsia="Arial" w:hAnsi="Arial"/>
          <w:sz w:val="22"/>
          <w:szCs w:val="22"/>
          <w:color w:val="auto"/>
        </w:rPr>
        <w:t>Confidential Treatment</w:t>
      </w:r>
    </w:p>
    <w:p>
      <w:pPr>
        <w:spacing w:after="0" w:line="188" w:lineRule="exact"/>
        <w:rPr>
          <w:sz w:val="20"/>
          <w:szCs w:val="20"/>
          <w:color w:val="auto"/>
        </w:rPr>
      </w:pPr>
    </w:p>
    <w:p>
      <w:pPr>
        <w:ind w:left="300"/>
        <w:spacing w:after="0"/>
        <w:rPr>
          <w:sz w:val="20"/>
          <w:szCs w:val="20"/>
          <w:color w:val="auto"/>
        </w:rPr>
      </w:pPr>
      <w:r>
        <w:rPr>
          <w:rFonts w:ascii="Arial" w:cs="Arial" w:eastAsia="Arial" w:hAnsi="Arial"/>
          <w:sz w:val="22"/>
          <w:szCs w:val="22"/>
          <w:u w:val="single" w:color="auto"/>
          <w:color w:val="auto"/>
        </w:rPr>
        <w:t>TABLE</w:t>
      </w:r>
    </w:p>
    <w:p>
      <w:pPr>
        <w:spacing w:after="0" w:line="8" w:lineRule="exact"/>
        <w:rPr>
          <w:sz w:val="20"/>
          <w:szCs w:val="20"/>
          <w:color w:val="auto"/>
        </w:rPr>
      </w:pPr>
    </w:p>
    <w:p>
      <w:pPr>
        <w:ind w:left="1480" w:hanging="925"/>
        <w:spacing w:after="0"/>
        <w:tabs>
          <w:tab w:leader="none" w:pos="1480" w:val="left"/>
        </w:tabs>
        <w:numPr>
          <w:ilvl w:val="0"/>
          <w:numId w:val="94"/>
        </w:numPr>
        <w:rPr>
          <w:rFonts w:ascii="Arial" w:cs="Arial" w:eastAsia="Arial" w:hAnsi="Arial"/>
          <w:sz w:val="22"/>
          <w:szCs w:val="22"/>
          <w:color w:val="auto"/>
          <w:strike w:val="1"/>
        </w:rPr>
      </w:pPr>
      <w:r>
        <w:rPr>
          <w:rFonts w:ascii="Arial" w:cs="Arial" w:eastAsia="Arial" w:hAnsi="Arial"/>
          <w:sz w:val="22"/>
          <w:szCs w:val="22"/>
          <w:color w:val="auto"/>
          <w:strike w:val="1"/>
        </w:rPr>
        <w:t>Aircraft Information Table – TRENT</w:t>
      </w:r>
    </w:p>
    <w:p>
      <w:pPr>
        <w:spacing w:after="0" w:line="74" w:lineRule="exact"/>
        <w:rPr>
          <w:sz w:val="20"/>
          <w:szCs w:val="20"/>
          <w:color w:val="auto"/>
        </w:rPr>
      </w:pPr>
    </w:p>
    <w:p>
      <w:pPr>
        <w:ind w:left="380"/>
        <w:spacing w:after="0"/>
        <w:tabs>
          <w:tab w:leader="none" w:pos="1460" w:val="left"/>
        </w:tabs>
        <w:rPr>
          <w:sz w:val="20"/>
          <w:szCs w:val="20"/>
          <w:color w:val="auto"/>
        </w:rPr>
      </w:pPr>
      <w:r>
        <w:rPr>
          <w:rFonts w:ascii="Arial" w:cs="Arial" w:eastAsia="Arial" w:hAnsi="Arial"/>
          <w:sz w:val="22"/>
          <w:szCs w:val="22"/>
          <w:b w:val="1"/>
          <w:bCs w:val="1"/>
          <w:color w:val="auto"/>
        </w:rPr>
        <w:t>1(R6)</w:t>
      </w:r>
      <w:r>
        <w:rPr>
          <w:sz w:val="20"/>
          <w:szCs w:val="20"/>
          <w:color w:val="auto"/>
        </w:rPr>
        <w:tab/>
      </w:r>
      <w:r>
        <w:rPr>
          <w:rFonts w:ascii="Arial" w:cs="Arial" w:eastAsia="Arial" w:hAnsi="Arial"/>
          <w:sz w:val="22"/>
          <w:szCs w:val="22"/>
          <w:b w:val="1"/>
          <w:bCs w:val="1"/>
          <w:color w:val="auto"/>
        </w:rPr>
        <w:t>787-9 Aircraft Information Table – GENX</w:t>
      </w:r>
    </w:p>
    <w:p>
      <w:pPr>
        <w:spacing w:after="0" w:line="104" w:lineRule="exact"/>
        <w:rPr>
          <w:sz w:val="20"/>
          <w:szCs w:val="20"/>
          <w:color w:val="auto"/>
        </w:rPr>
      </w:pPr>
    </w:p>
    <w:p>
      <w:pPr>
        <w:ind w:left="380"/>
        <w:spacing w:after="0"/>
        <w:tabs>
          <w:tab w:leader="none" w:pos="1460" w:val="left"/>
        </w:tabs>
        <w:rPr>
          <w:sz w:val="20"/>
          <w:szCs w:val="20"/>
          <w:color w:val="auto"/>
        </w:rPr>
      </w:pPr>
      <w:r>
        <w:rPr>
          <w:rFonts w:ascii="Arial" w:cs="Arial" w:eastAsia="Arial" w:hAnsi="Arial"/>
          <w:sz w:val="22"/>
          <w:szCs w:val="22"/>
          <w:color w:val="auto"/>
        </w:rPr>
        <w:t>2(R1)</w:t>
      </w:r>
      <w:r>
        <w:rPr>
          <w:sz w:val="20"/>
          <w:szCs w:val="20"/>
          <w:color w:val="auto"/>
        </w:rPr>
        <w:tab/>
      </w:r>
      <w:r>
        <w:rPr>
          <w:rFonts w:ascii="Arial" w:cs="Arial" w:eastAsia="Arial" w:hAnsi="Arial"/>
          <w:sz w:val="22"/>
          <w:szCs w:val="22"/>
          <w:color w:val="auto"/>
        </w:rPr>
        <w:t>787-8 Aircraft Information Table – GENX</w:t>
      </w:r>
    </w:p>
    <w:p>
      <w:pPr>
        <w:spacing w:after="0" w:line="8" w:lineRule="exact"/>
        <w:rPr>
          <w:sz w:val="20"/>
          <w:szCs w:val="20"/>
          <w:color w:val="auto"/>
        </w:rPr>
      </w:pPr>
    </w:p>
    <w:p>
      <w:pPr>
        <w:ind w:left="1800"/>
        <w:spacing w:after="0"/>
        <w:rPr>
          <w:sz w:val="20"/>
          <w:szCs w:val="20"/>
          <w:color w:val="auto"/>
        </w:rPr>
      </w:pPr>
      <w:r>
        <w:rPr>
          <w:rFonts w:ascii="Arial" w:cs="Arial" w:eastAsia="Arial" w:hAnsi="Arial"/>
          <w:sz w:val="22"/>
          <w:szCs w:val="22"/>
          <w:color w:val="auto"/>
        </w:rPr>
        <w:t>([*CTR] (12) 787-8 Aircraft)</w:t>
      </w:r>
    </w:p>
    <w:p>
      <w:pPr>
        <w:spacing w:after="0" w:line="80" w:lineRule="exact"/>
        <w:rPr>
          <w:sz w:val="20"/>
          <w:szCs w:val="20"/>
          <w:color w:val="auto"/>
        </w:rPr>
      </w:pPr>
    </w:p>
    <w:p>
      <w:pPr>
        <w:ind w:left="380"/>
        <w:spacing w:after="0"/>
        <w:tabs>
          <w:tab w:leader="none" w:pos="1460" w:val="left"/>
        </w:tabs>
        <w:rPr>
          <w:sz w:val="20"/>
          <w:szCs w:val="20"/>
          <w:color w:val="auto"/>
        </w:rPr>
      </w:pPr>
      <w:r>
        <w:rPr>
          <w:rFonts w:ascii="Arial" w:cs="Arial" w:eastAsia="Arial" w:hAnsi="Arial"/>
          <w:sz w:val="22"/>
          <w:szCs w:val="22"/>
          <w:color w:val="auto"/>
        </w:rPr>
        <w:t>3(R1)</w:t>
      </w:r>
      <w:r>
        <w:rPr>
          <w:sz w:val="20"/>
          <w:szCs w:val="20"/>
          <w:color w:val="auto"/>
        </w:rPr>
        <w:tab/>
      </w:r>
      <w:r>
        <w:rPr>
          <w:rFonts w:ascii="Arial" w:cs="Arial" w:eastAsia="Arial" w:hAnsi="Arial"/>
          <w:sz w:val="22"/>
          <w:szCs w:val="22"/>
          <w:color w:val="auto"/>
        </w:rPr>
        <w:t>787-8 Aircraft Information Table – GENX</w:t>
      </w:r>
    </w:p>
    <w:p>
      <w:pPr>
        <w:spacing w:after="0" w:line="8" w:lineRule="exact"/>
        <w:rPr>
          <w:sz w:val="20"/>
          <w:szCs w:val="20"/>
          <w:color w:val="auto"/>
        </w:rPr>
      </w:pPr>
    </w:p>
    <w:p>
      <w:pPr>
        <w:ind w:left="1800" w:right="2320" w:firstLine="12"/>
        <w:spacing w:after="0" w:line="237" w:lineRule="auto"/>
        <w:rPr>
          <w:sz w:val="20"/>
          <w:szCs w:val="20"/>
          <w:color w:val="auto"/>
        </w:rPr>
      </w:pPr>
      <w:r>
        <w:rPr>
          <w:rFonts w:ascii="Arial" w:cs="Arial" w:eastAsia="Arial" w:hAnsi="Arial"/>
          <w:sz w:val="22"/>
          <w:szCs w:val="22"/>
          <w:color w:val="auto"/>
        </w:rPr>
        <w:t>([*CTR] Eight (8) 787-8 Aircraft, yielding Twenty (20) 787-8 Aircraft)</w:t>
      </w:r>
    </w:p>
    <w:p>
      <w:pPr>
        <w:spacing w:after="0" w:line="77" w:lineRule="exact"/>
        <w:rPr>
          <w:sz w:val="20"/>
          <w:szCs w:val="20"/>
          <w:color w:val="auto"/>
        </w:rPr>
      </w:pPr>
    </w:p>
    <w:p>
      <w:pPr>
        <w:ind w:left="1480" w:hanging="898"/>
        <w:spacing w:after="0"/>
        <w:tabs>
          <w:tab w:leader="none" w:pos="1480" w:val="left"/>
        </w:tabs>
        <w:numPr>
          <w:ilvl w:val="0"/>
          <w:numId w:val="95"/>
        </w:numPr>
        <w:rPr>
          <w:rFonts w:ascii="Arial" w:cs="Arial" w:eastAsia="Arial" w:hAnsi="Arial"/>
          <w:sz w:val="22"/>
          <w:szCs w:val="22"/>
          <w:color w:val="auto"/>
        </w:rPr>
      </w:pPr>
      <w:r>
        <w:rPr>
          <w:rFonts w:ascii="Arial" w:cs="Arial" w:eastAsia="Arial" w:hAnsi="Arial"/>
          <w:sz w:val="22"/>
          <w:szCs w:val="22"/>
          <w:color w:val="auto"/>
        </w:rPr>
        <w:t>WITHDRAWN</w:t>
      </w:r>
    </w:p>
    <w:p>
      <w:pPr>
        <w:spacing w:after="0" w:line="206" w:lineRule="exact"/>
        <w:rPr>
          <w:sz w:val="20"/>
          <w:szCs w:val="20"/>
          <w:color w:val="auto"/>
        </w:rPr>
      </w:pPr>
    </w:p>
    <w:p>
      <w:pPr>
        <w:ind w:left="200"/>
        <w:spacing w:after="0"/>
        <w:rPr>
          <w:sz w:val="20"/>
          <w:szCs w:val="20"/>
          <w:color w:val="auto"/>
        </w:rPr>
      </w:pPr>
      <w:r>
        <w:rPr>
          <w:rFonts w:ascii="Arial" w:cs="Arial" w:eastAsia="Arial" w:hAnsi="Arial"/>
          <w:sz w:val="22"/>
          <w:szCs w:val="22"/>
          <w:u w:val="single" w:color="auto"/>
          <w:color w:val="auto"/>
        </w:rPr>
        <w:t>EXHIBIT</w:t>
      </w:r>
    </w:p>
    <w:p>
      <w:pPr>
        <w:ind w:left="340"/>
        <w:spacing w:after="0"/>
        <w:tabs>
          <w:tab w:leader="none" w:pos="1460" w:val="left"/>
        </w:tabs>
        <w:rPr>
          <w:sz w:val="20"/>
          <w:szCs w:val="20"/>
          <w:color w:val="auto"/>
        </w:rPr>
      </w:pPr>
      <w:r>
        <w:rPr>
          <w:rFonts w:ascii="Arial" w:cs="Arial" w:eastAsia="Arial" w:hAnsi="Arial"/>
          <w:sz w:val="22"/>
          <w:szCs w:val="22"/>
          <w:color w:val="auto"/>
        </w:rPr>
        <w:t>A(R2).</w:t>
      </w:r>
      <w:r>
        <w:rPr>
          <w:sz w:val="20"/>
          <w:szCs w:val="20"/>
          <w:color w:val="auto"/>
        </w:rPr>
        <w:tab/>
      </w:r>
      <w:r>
        <w:rPr>
          <w:rFonts w:ascii="Arial" w:cs="Arial" w:eastAsia="Arial" w:hAnsi="Arial"/>
          <w:sz w:val="21"/>
          <w:szCs w:val="21"/>
          <w:color w:val="auto"/>
        </w:rPr>
        <w:t>Aircraft Configuration for [*CTR] Aircraft</w:t>
      </w:r>
    </w:p>
    <w:p>
      <w:pPr>
        <w:ind w:left="300"/>
        <w:spacing w:after="0" w:line="230" w:lineRule="auto"/>
        <w:tabs>
          <w:tab w:leader="none" w:pos="1460" w:val="left"/>
        </w:tabs>
        <w:rPr>
          <w:sz w:val="20"/>
          <w:szCs w:val="20"/>
          <w:color w:val="auto"/>
        </w:rPr>
      </w:pPr>
      <w:r>
        <w:rPr>
          <w:rFonts w:ascii="Arial" w:cs="Arial" w:eastAsia="Arial" w:hAnsi="Arial"/>
          <w:sz w:val="22"/>
          <w:szCs w:val="22"/>
          <w:color w:val="auto"/>
        </w:rPr>
        <w:t>A2(R3)</w:t>
      </w:r>
      <w:r>
        <w:rPr>
          <w:sz w:val="20"/>
          <w:szCs w:val="20"/>
          <w:color w:val="auto"/>
        </w:rPr>
        <w:tab/>
      </w:r>
      <w:r>
        <w:rPr>
          <w:rFonts w:ascii="Arial" w:cs="Arial" w:eastAsia="Arial" w:hAnsi="Arial"/>
          <w:sz w:val="22"/>
          <w:szCs w:val="22"/>
          <w:color w:val="auto"/>
        </w:rPr>
        <w:t>Aircraft Configuration for [*CTR] Aircraft</w:t>
      </w:r>
    </w:p>
    <w:p>
      <w:pPr>
        <w:ind w:left="340"/>
        <w:spacing w:after="0"/>
        <w:tabs>
          <w:tab w:leader="none" w:pos="1460" w:val="left"/>
        </w:tabs>
        <w:rPr>
          <w:sz w:val="20"/>
          <w:szCs w:val="20"/>
          <w:color w:val="auto"/>
        </w:rPr>
      </w:pPr>
      <w:r>
        <w:rPr>
          <w:rFonts w:ascii="Arial" w:cs="Arial" w:eastAsia="Arial" w:hAnsi="Arial"/>
          <w:sz w:val="22"/>
          <w:szCs w:val="22"/>
          <w:color w:val="auto"/>
        </w:rPr>
        <w:t>B(R1).</w:t>
      </w:r>
      <w:r>
        <w:rPr>
          <w:sz w:val="20"/>
          <w:szCs w:val="20"/>
          <w:color w:val="auto"/>
        </w:rPr>
        <w:tab/>
      </w:r>
      <w:r>
        <w:rPr>
          <w:rFonts w:ascii="Arial" w:cs="Arial" w:eastAsia="Arial" w:hAnsi="Arial"/>
          <w:sz w:val="19"/>
          <w:szCs w:val="19"/>
          <w:color w:val="auto"/>
        </w:rPr>
        <w:t>Aircraft Delivery Requirements and Responsibilities</w:t>
      </w:r>
    </w:p>
    <w:p>
      <w:pPr>
        <w:spacing w:after="0" w:line="1" w:lineRule="exact"/>
        <w:rPr>
          <w:sz w:val="20"/>
          <w:szCs w:val="20"/>
          <w:color w:val="auto"/>
        </w:rPr>
      </w:pPr>
    </w:p>
    <w:p>
      <w:pPr>
        <w:ind w:left="340"/>
        <w:spacing w:after="0"/>
        <w:tabs>
          <w:tab w:leader="none" w:pos="1460" w:val="left"/>
        </w:tabs>
        <w:rPr>
          <w:sz w:val="20"/>
          <w:szCs w:val="20"/>
          <w:color w:val="auto"/>
        </w:rPr>
      </w:pPr>
      <w:r>
        <w:rPr>
          <w:rFonts w:ascii="Arial" w:cs="Arial" w:eastAsia="Arial" w:hAnsi="Arial"/>
          <w:sz w:val="22"/>
          <w:szCs w:val="22"/>
          <w:color w:val="auto"/>
        </w:rPr>
        <w:t>C(R1).</w:t>
      </w:r>
      <w:r>
        <w:rPr>
          <w:sz w:val="20"/>
          <w:szCs w:val="20"/>
          <w:color w:val="auto"/>
        </w:rPr>
        <w:tab/>
      </w:r>
      <w:r>
        <w:rPr>
          <w:rFonts w:ascii="Arial" w:cs="Arial" w:eastAsia="Arial" w:hAnsi="Arial"/>
          <w:sz w:val="19"/>
          <w:szCs w:val="19"/>
          <w:color w:val="auto"/>
        </w:rPr>
        <w:t>Defined Terms</w:t>
      </w:r>
    </w:p>
    <w:p>
      <w:pPr>
        <w:spacing w:after="0" w:line="186" w:lineRule="exact"/>
        <w:rPr>
          <w:sz w:val="20"/>
          <w:szCs w:val="20"/>
          <w:color w:val="auto"/>
        </w:rPr>
      </w:pPr>
    </w:p>
    <w:tbl>
      <w:tblPr>
        <w:tblLayout w:type="fixed"/>
        <w:tblInd w:w="240" w:type="dxa"/>
        <w:tblCellMar>
          <w:top w:w="0" w:type="dxa"/>
          <w:left w:w="0" w:type="dxa"/>
          <w:bottom w:w="0" w:type="dxa"/>
          <w:right w:w="0" w:type="dxa"/>
        </w:tblCellMar>
      </w:tblPr>
      <w:tr>
        <w:trPr>
          <w:trHeight w:val="253"/>
        </w:trPr>
        <w:tc>
          <w:tcPr>
            <w:tcW w:w="2980" w:type="dxa"/>
            <w:vAlign w:val="bottom"/>
            <w:gridSpan w:val="2"/>
          </w:tcPr>
          <w:p>
            <w:pPr>
              <w:spacing w:after="0"/>
              <w:rPr>
                <w:sz w:val="20"/>
                <w:szCs w:val="20"/>
                <w:color w:val="auto"/>
              </w:rPr>
            </w:pPr>
            <w:r>
              <w:rPr>
                <w:rFonts w:ascii="Arial" w:cs="Arial" w:eastAsia="Arial" w:hAnsi="Arial"/>
                <w:sz w:val="22"/>
                <w:szCs w:val="22"/>
                <w:color w:val="auto"/>
              </w:rPr>
              <w:t>SUPPLEMENTAL EXHIBITS</w:t>
            </w:r>
          </w:p>
        </w:tc>
        <w:tc>
          <w:tcPr>
            <w:tcW w:w="4140" w:type="dxa"/>
            <w:vAlign w:val="bottom"/>
            <w:vMerge w:val="restart"/>
          </w:tcPr>
          <w:p>
            <w:pPr>
              <w:ind w:left="280"/>
              <w:spacing w:after="0"/>
              <w:rPr>
                <w:sz w:val="20"/>
                <w:szCs w:val="20"/>
                <w:color w:val="auto"/>
              </w:rPr>
            </w:pPr>
            <w:r>
              <w:rPr>
                <w:rFonts w:ascii="Arial" w:cs="Arial" w:eastAsia="Arial" w:hAnsi="Arial"/>
                <w:sz w:val="22"/>
                <w:szCs w:val="22"/>
                <w:color w:val="auto"/>
              </w:rPr>
              <w:t>[*CTR]</w:t>
            </w:r>
          </w:p>
        </w:tc>
        <w:tc>
          <w:tcPr>
            <w:tcW w:w="0" w:type="dxa"/>
            <w:vAlign w:val="bottom"/>
          </w:tcPr>
          <w:p>
            <w:pPr>
              <w:spacing w:after="0"/>
              <w:rPr>
                <w:sz w:val="1"/>
                <w:szCs w:val="1"/>
                <w:color w:val="auto"/>
              </w:rPr>
            </w:pPr>
          </w:p>
        </w:tc>
      </w:tr>
      <w:tr>
        <w:trPr>
          <w:trHeight w:val="242"/>
        </w:trPr>
        <w:tc>
          <w:tcPr>
            <w:tcW w:w="2680" w:type="dxa"/>
            <w:vAlign w:val="bottom"/>
            <w:tcBorders>
              <w:top w:val="single" w:sz="8" w:color="auto"/>
            </w:tcBorders>
          </w:tcPr>
          <w:p>
            <w:pPr>
              <w:jc w:val="center"/>
              <w:spacing w:after="0" w:line="242" w:lineRule="exact"/>
              <w:rPr>
                <w:sz w:val="20"/>
                <w:szCs w:val="20"/>
                <w:color w:val="auto"/>
              </w:rPr>
            </w:pPr>
            <w:r>
              <w:rPr>
                <w:rFonts w:ascii="Arial" w:cs="Arial" w:eastAsia="Arial" w:hAnsi="Arial"/>
                <w:sz w:val="22"/>
                <w:szCs w:val="22"/>
                <w:color w:val="auto"/>
                <w:w w:val="92"/>
              </w:rPr>
              <w:t>AE1.</w:t>
            </w:r>
          </w:p>
        </w:tc>
        <w:tc>
          <w:tcPr>
            <w:tcW w:w="300" w:type="dxa"/>
            <w:vAlign w:val="bottom"/>
          </w:tcPr>
          <w:p>
            <w:pPr>
              <w:spacing w:after="0"/>
              <w:rPr>
                <w:sz w:val="21"/>
                <w:szCs w:val="21"/>
                <w:color w:val="auto"/>
              </w:rPr>
            </w:pPr>
          </w:p>
        </w:tc>
        <w:tc>
          <w:tcPr>
            <w:tcW w:w="41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80" w:type="dxa"/>
            <w:vAlign w:val="bottom"/>
            <w:gridSpan w:val="2"/>
          </w:tcPr>
          <w:p>
            <w:pPr>
              <w:jc w:val="center"/>
              <w:ind w:right="300"/>
              <w:spacing w:after="0" w:line="243" w:lineRule="exact"/>
              <w:rPr>
                <w:sz w:val="20"/>
                <w:szCs w:val="20"/>
                <w:color w:val="auto"/>
              </w:rPr>
            </w:pPr>
            <w:r>
              <w:rPr>
                <w:rFonts w:ascii="Arial" w:cs="Arial" w:eastAsia="Arial" w:hAnsi="Arial"/>
                <w:sz w:val="22"/>
                <w:szCs w:val="22"/>
                <w:color w:val="auto"/>
                <w:w w:val="92"/>
              </w:rPr>
              <w:t>BFE1(R1).</w:t>
            </w:r>
          </w:p>
        </w:tc>
        <w:tc>
          <w:tcPr>
            <w:tcW w:w="4140" w:type="dxa"/>
            <w:vAlign w:val="bottom"/>
          </w:tcPr>
          <w:p>
            <w:pPr>
              <w:ind w:left="280"/>
              <w:spacing w:after="0" w:line="243" w:lineRule="exact"/>
              <w:rPr>
                <w:sz w:val="20"/>
                <w:szCs w:val="20"/>
                <w:color w:val="auto"/>
              </w:rPr>
            </w:pPr>
            <w:r>
              <w:rPr>
                <w:rFonts w:ascii="Arial" w:cs="Arial" w:eastAsia="Arial" w:hAnsi="Arial"/>
                <w:sz w:val="22"/>
                <w:szCs w:val="22"/>
                <w:color w:val="auto"/>
                <w:w w:val="88"/>
              </w:rPr>
              <w:t>Buyer Furnished Equipment Variables 787-9</w:t>
            </w:r>
          </w:p>
        </w:tc>
        <w:tc>
          <w:tcPr>
            <w:tcW w:w="0" w:type="dxa"/>
            <w:vAlign w:val="bottom"/>
          </w:tcPr>
          <w:p>
            <w:pPr>
              <w:spacing w:after="0"/>
              <w:rPr>
                <w:sz w:val="1"/>
                <w:szCs w:val="1"/>
                <w:color w:val="auto"/>
              </w:rPr>
            </w:pPr>
          </w:p>
        </w:tc>
      </w:tr>
      <w:tr>
        <w:trPr>
          <w:trHeight w:val="243"/>
        </w:trPr>
        <w:tc>
          <w:tcPr>
            <w:tcW w:w="2980" w:type="dxa"/>
            <w:vAlign w:val="bottom"/>
            <w:gridSpan w:val="2"/>
          </w:tcPr>
          <w:p>
            <w:pPr>
              <w:jc w:val="center"/>
              <w:ind w:right="300"/>
              <w:spacing w:after="0" w:line="243" w:lineRule="exact"/>
              <w:rPr>
                <w:sz w:val="20"/>
                <w:szCs w:val="20"/>
                <w:color w:val="auto"/>
              </w:rPr>
            </w:pPr>
            <w:r>
              <w:rPr>
                <w:rFonts w:ascii="Arial" w:cs="Arial" w:eastAsia="Arial" w:hAnsi="Arial"/>
                <w:sz w:val="22"/>
                <w:szCs w:val="22"/>
                <w:color w:val="auto"/>
                <w:w w:val="91"/>
              </w:rPr>
              <w:t>BFE2.</w:t>
            </w:r>
          </w:p>
        </w:tc>
        <w:tc>
          <w:tcPr>
            <w:tcW w:w="4140" w:type="dxa"/>
            <w:vAlign w:val="bottom"/>
          </w:tcPr>
          <w:p>
            <w:pPr>
              <w:ind w:left="280"/>
              <w:spacing w:after="0" w:line="243" w:lineRule="exact"/>
              <w:rPr>
                <w:sz w:val="20"/>
                <w:szCs w:val="20"/>
                <w:color w:val="auto"/>
              </w:rPr>
            </w:pPr>
            <w:r>
              <w:rPr>
                <w:rFonts w:ascii="Arial" w:cs="Arial" w:eastAsia="Arial" w:hAnsi="Arial"/>
                <w:sz w:val="22"/>
                <w:szCs w:val="22"/>
                <w:color w:val="auto"/>
                <w:w w:val="88"/>
              </w:rPr>
              <w:t>Buyer Furnished Equipment Variables 787-8</w:t>
            </w:r>
          </w:p>
        </w:tc>
        <w:tc>
          <w:tcPr>
            <w:tcW w:w="0" w:type="dxa"/>
            <w:vAlign w:val="bottom"/>
          </w:tcPr>
          <w:p>
            <w:pPr>
              <w:spacing w:after="0"/>
              <w:rPr>
                <w:sz w:val="1"/>
                <w:szCs w:val="1"/>
                <w:color w:val="auto"/>
              </w:rPr>
            </w:pPr>
          </w:p>
        </w:tc>
      </w:tr>
      <w:tr>
        <w:trPr>
          <w:trHeight w:val="243"/>
        </w:trPr>
        <w:tc>
          <w:tcPr>
            <w:tcW w:w="2980" w:type="dxa"/>
            <w:vAlign w:val="bottom"/>
            <w:gridSpan w:val="2"/>
          </w:tcPr>
          <w:p>
            <w:pPr>
              <w:jc w:val="center"/>
              <w:ind w:right="300"/>
              <w:spacing w:after="0" w:line="243" w:lineRule="exact"/>
              <w:rPr>
                <w:sz w:val="20"/>
                <w:szCs w:val="20"/>
                <w:color w:val="auto"/>
              </w:rPr>
            </w:pPr>
            <w:r>
              <w:rPr>
                <w:rFonts w:ascii="Arial" w:cs="Arial" w:eastAsia="Arial" w:hAnsi="Arial"/>
                <w:sz w:val="22"/>
                <w:szCs w:val="22"/>
                <w:color w:val="auto"/>
                <w:w w:val="89"/>
              </w:rPr>
              <w:t>CS1.</w:t>
            </w:r>
          </w:p>
        </w:tc>
        <w:tc>
          <w:tcPr>
            <w:tcW w:w="4140" w:type="dxa"/>
            <w:vAlign w:val="bottom"/>
          </w:tcPr>
          <w:p>
            <w:pPr>
              <w:ind w:left="280"/>
              <w:spacing w:after="0" w:line="243" w:lineRule="exact"/>
              <w:rPr>
                <w:sz w:val="20"/>
                <w:szCs w:val="20"/>
                <w:color w:val="auto"/>
              </w:rPr>
            </w:pPr>
            <w:r>
              <w:rPr>
                <w:rFonts w:ascii="Arial" w:cs="Arial" w:eastAsia="Arial" w:hAnsi="Arial"/>
                <w:sz w:val="22"/>
                <w:szCs w:val="22"/>
                <w:color w:val="auto"/>
              </w:rPr>
              <w:t>787 Customer Support Document</w:t>
            </w:r>
          </w:p>
        </w:tc>
        <w:tc>
          <w:tcPr>
            <w:tcW w:w="0" w:type="dxa"/>
            <w:vAlign w:val="bottom"/>
          </w:tcPr>
          <w:p>
            <w:pPr>
              <w:spacing w:after="0"/>
              <w:rPr>
                <w:sz w:val="1"/>
                <w:szCs w:val="1"/>
                <w:color w:val="auto"/>
              </w:rPr>
            </w:pPr>
          </w:p>
        </w:tc>
      </w:tr>
      <w:tr>
        <w:trPr>
          <w:trHeight w:val="243"/>
        </w:trPr>
        <w:tc>
          <w:tcPr>
            <w:tcW w:w="2980" w:type="dxa"/>
            <w:vAlign w:val="bottom"/>
            <w:gridSpan w:val="2"/>
          </w:tcPr>
          <w:p>
            <w:pPr>
              <w:jc w:val="center"/>
              <w:ind w:right="300"/>
              <w:spacing w:after="0" w:line="243" w:lineRule="exact"/>
              <w:rPr>
                <w:sz w:val="20"/>
                <w:szCs w:val="20"/>
                <w:color w:val="auto"/>
              </w:rPr>
            </w:pPr>
            <w:r>
              <w:rPr>
                <w:rFonts w:ascii="Arial" w:cs="Arial" w:eastAsia="Arial" w:hAnsi="Arial"/>
                <w:sz w:val="22"/>
                <w:szCs w:val="22"/>
                <w:color w:val="auto"/>
                <w:w w:val="92"/>
              </w:rPr>
              <w:t>EE1.</w:t>
            </w:r>
          </w:p>
        </w:tc>
        <w:tc>
          <w:tcPr>
            <w:tcW w:w="4140" w:type="dxa"/>
            <w:vAlign w:val="bottom"/>
          </w:tcPr>
          <w:p>
            <w:pPr>
              <w:ind w:left="280"/>
              <w:spacing w:after="0" w:line="243" w:lineRule="exact"/>
              <w:rPr>
                <w:sz w:val="20"/>
                <w:szCs w:val="20"/>
                <w:color w:val="auto"/>
              </w:rPr>
            </w:pPr>
            <w:r>
              <w:rPr>
                <w:rFonts w:ascii="Arial" w:cs="Arial" w:eastAsia="Arial" w:hAnsi="Arial"/>
                <w:sz w:val="22"/>
                <w:szCs w:val="22"/>
                <w:color w:val="auto"/>
              </w:rPr>
              <w:t>[*CTR]</w:t>
            </w:r>
          </w:p>
        </w:tc>
        <w:tc>
          <w:tcPr>
            <w:tcW w:w="0" w:type="dxa"/>
            <w:vAlign w:val="bottom"/>
          </w:tcPr>
          <w:p>
            <w:pPr>
              <w:spacing w:after="0"/>
              <w:rPr>
                <w:sz w:val="1"/>
                <w:szCs w:val="1"/>
                <w:color w:val="auto"/>
              </w:rPr>
            </w:pPr>
          </w:p>
        </w:tc>
      </w:tr>
      <w:tr>
        <w:trPr>
          <w:trHeight w:val="243"/>
        </w:trPr>
        <w:tc>
          <w:tcPr>
            <w:tcW w:w="2680" w:type="dxa"/>
            <w:vAlign w:val="bottom"/>
          </w:tcPr>
          <w:p>
            <w:pPr>
              <w:jc w:val="center"/>
              <w:spacing w:after="0" w:line="243" w:lineRule="exact"/>
              <w:rPr>
                <w:sz w:val="20"/>
                <w:szCs w:val="20"/>
                <w:color w:val="auto"/>
              </w:rPr>
            </w:pPr>
            <w:r>
              <w:rPr>
                <w:rFonts w:ascii="Arial" w:cs="Arial" w:eastAsia="Arial" w:hAnsi="Arial"/>
                <w:sz w:val="22"/>
                <w:szCs w:val="22"/>
                <w:color w:val="auto"/>
                <w:strike w:val="1"/>
                <w:w w:val="92"/>
              </w:rPr>
              <w:t>EE1.</w:t>
            </w:r>
          </w:p>
        </w:tc>
        <w:tc>
          <w:tcPr>
            <w:tcW w:w="300" w:type="dxa"/>
            <w:vAlign w:val="bottom"/>
          </w:tcPr>
          <w:p>
            <w:pPr>
              <w:spacing w:after="0"/>
              <w:rPr>
                <w:sz w:val="21"/>
                <w:szCs w:val="21"/>
                <w:color w:val="auto"/>
              </w:rPr>
            </w:pPr>
          </w:p>
        </w:tc>
        <w:tc>
          <w:tcPr>
            <w:tcW w:w="4140" w:type="dxa"/>
            <w:vAlign w:val="bottom"/>
          </w:tcPr>
          <w:p>
            <w:pPr>
              <w:ind w:left="280"/>
              <w:spacing w:after="0" w:line="243" w:lineRule="exact"/>
              <w:rPr>
                <w:sz w:val="20"/>
                <w:szCs w:val="20"/>
                <w:color w:val="auto"/>
              </w:rPr>
            </w:pPr>
            <w:r>
              <w:rPr>
                <w:rFonts w:ascii="Arial" w:cs="Arial" w:eastAsia="Arial" w:hAnsi="Arial"/>
                <w:sz w:val="22"/>
                <w:szCs w:val="22"/>
                <w:color w:val="auto"/>
              </w:rPr>
              <w:t>[*CTR]</w:t>
            </w:r>
          </w:p>
        </w:tc>
        <w:tc>
          <w:tcPr>
            <w:tcW w:w="0" w:type="dxa"/>
            <w:vAlign w:val="bottom"/>
          </w:tcPr>
          <w:p>
            <w:pPr>
              <w:spacing w:after="0"/>
              <w:rPr>
                <w:sz w:val="1"/>
                <w:szCs w:val="1"/>
                <w:color w:val="auto"/>
              </w:rPr>
            </w:pPr>
          </w:p>
        </w:tc>
      </w:tr>
      <w:tr>
        <w:trPr>
          <w:trHeight w:val="243"/>
        </w:trPr>
        <w:tc>
          <w:tcPr>
            <w:tcW w:w="2980" w:type="dxa"/>
            <w:vAlign w:val="bottom"/>
            <w:gridSpan w:val="2"/>
          </w:tcPr>
          <w:p>
            <w:pPr>
              <w:jc w:val="center"/>
              <w:ind w:right="300"/>
              <w:spacing w:after="0" w:line="243" w:lineRule="exact"/>
              <w:rPr>
                <w:sz w:val="20"/>
                <w:szCs w:val="20"/>
                <w:color w:val="auto"/>
              </w:rPr>
            </w:pPr>
            <w:r>
              <w:rPr>
                <w:rFonts w:ascii="Arial" w:cs="Arial" w:eastAsia="Arial" w:hAnsi="Arial"/>
                <w:sz w:val="22"/>
                <w:szCs w:val="22"/>
                <w:color w:val="auto"/>
                <w:w w:val="92"/>
              </w:rPr>
              <w:t>EE2.</w:t>
            </w:r>
          </w:p>
        </w:tc>
        <w:tc>
          <w:tcPr>
            <w:tcW w:w="4140" w:type="dxa"/>
            <w:vAlign w:val="bottom"/>
          </w:tcPr>
          <w:p>
            <w:pPr>
              <w:ind w:left="280"/>
              <w:spacing w:after="0" w:line="243" w:lineRule="exact"/>
              <w:rPr>
                <w:sz w:val="20"/>
                <w:szCs w:val="20"/>
                <w:color w:val="auto"/>
              </w:rPr>
            </w:pPr>
            <w:r>
              <w:rPr>
                <w:rFonts w:ascii="Arial" w:cs="Arial" w:eastAsia="Arial" w:hAnsi="Arial"/>
                <w:sz w:val="22"/>
                <w:szCs w:val="22"/>
                <w:color w:val="auto"/>
              </w:rPr>
              <w:t>[*CTR]</w:t>
            </w:r>
          </w:p>
        </w:tc>
        <w:tc>
          <w:tcPr>
            <w:tcW w:w="0" w:type="dxa"/>
            <w:vAlign w:val="bottom"/>
          </w:tcPr>
          <w:p>
            <w:pPr>
              <w:spacing w:after="0"/>
              <w:rPr>
                <w:sz w:val="1"/>
                <w:szCs w:val="1"/>
                <w:color w:val="auto"/>
              </w:rPr>
            </w:pPr>
          </w:p>
        </w:tc>
      </w:tr>
      <w:tr>
        <w:trPr>
          <w:trHeight w:val="275"/>
        </w:trPr>
        <w:tc>
          <w:tcPr>
            <w:tcW w:w="2980" w:type="dxa"/>
            <w:vAlign w:val="bottom"/>
            <w:gridSpan w:val="2"/>
          </w:tcPr>
          <w:p>
            <w:pPr>
              <w:jc w:val="center"/>
              <w:ind w:right="300"/>
              <w:spacing w:after="0"/>
              <w:rPr>
                <w:sz w:val="20"/>
                <w:szCs w:val="20"/>
                <w:color w:val="auto"/>
              </w:rPr>
            </w:pPr>
            <w:r>
              <w:rPr>
                <w:rFonts w:ascii="Arial" w:cs="Arial" w:eastAsia="Arial" w:hAnsi="Arial"/>
                <w:sz w:val="22"/>
                <w:szCs w:val="22"/>
                <w:color w:val="auto"/>
                <w:w w:val="86"/>
              </w:rPr>
              <w:t>SLP1.</w:t>
            </w:r>
          </w:p>
        </w:tc>
        <w:tc>
          <w:tcPr>
            <w:tcW w:w="4140" w:type="dxa"/>
            <w:vAlign w:val="bottom"/>
          </w:tcPr>
          <w:p>
            <w:pPr>
              <w:ind w:left="280"/>
              <w:spacing w:after="0"/>
              <w:rPr>
                <w:sz w:val="20"/>
                <w:szCs w:val="20"/>
                <w:color w:val="auto"/>
              </w:rPr>
            </w:pPr>
            <w:r>
              <w:rPr>
                <w:rFonts w:ascii="Arial" w:cs="Arial" w:eastAsia="Arial" w:hAnsi="Arial"/>
                <w:sz w:val="22"/>
                <w:szCs w:val="22"/>
                <w:color w:val="auto"/>
              </w:rPr>
              <w:t>Service Life Policy Components</w:t>
            </w:r>
          </w:p>
        </w:tc>
        <w:tc>
          <w:tcPr>
            <w:tcW w:w="0" w:type="dxa"/>
            <w:vAlign w:val="bottom"/>
          </w:tcPr>
          <w:p>
            <w:pPr>
              <w:spacing w:after="0"/>
              <w:rPr>
                <w:sz w:val="1"/>
                <w:szCs w:val="1"/>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22"/>
          <w:szCs w:val="22"/>
          <w:color w:val="auto"/>
        </w:rPr>
        <w:t>P.A. No. 3219</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Table of Contents</w:t>
      </w:r>
    </w:p>
    <w:p>
      <w:pPr>
        <w:spacing w:after="0" w:line="4" w:lineRule="exact"/>
        <w:rPr>
          <w:sz w:val="20"/>
          <w:szCs w:val="20"/>
          <w:color w:val="auto"/>
        </w:rPr>
      </w:pPr>
    </w:p>
    <w:p>
      <w:pPr>
        <w:ind w:left="4480"/>
        <w:spacing w:after="0"/>
        <w:rPr>
          <w:sz w:val="20"/>
          <w:szCs w:val="20"/>
          <w:color w:val="auto"/>
        </w:rPr>
      </w:pPr>
      <w:r>
        <w:rPr>
          <w:rFonts w:ascii="Arial" w:cs="Arial" w:eastAsia="Arial" w:hAnsi="Arial"/>
          <w:sz w:val="22"/>
          <w:szCs w:val="22"/>
          <w:b w:val="1"/>
          <w:bCs w:val="1"/>
          <w:color w:val="auto"/>
        </w:rPr>
        <w:t>BOEING PROPRIETARY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6" w:lineRule="exact"/>
        <w:rPr>
          <w:sz w:val="20"/>
          <w:szCs w:val="20"/>
          <w:color w:val="auto"/>
        </w:rPr>
      </w:pPr>
    </w:p>
    <w:p>
      <w:pPr>
        <w:jc w:val="center"/>
        <w:ind w:right="280"/>
        <w:spacing w:after="0"/>
        <w:rPr>
          <w:sz w:val="20"/>
          <w:szCs w:val="20"/>
          <w:color w:val="auto"/>
        </w:rPr>
      </w:pPr>
      <w:r>
        <w:rPr>
          <w:rFonts w:ascii="Arial" w:cs="Arial" w:eastAsia="Arial" w:hAnsi="Arial"/>
          <w:sz w:val="22"/>
          <w:szCs w:val="22"/>
          <w:color w:val="auto"/>
        </w:rPr>
        <w:t>SA</w:t>
      </w:r>
    </w:p>
    <w:p>
      <w:pPr>
        <w:spacing w:after="0" w:line="8" w:lineRule="exact"/>
        <w:rPr>
          <w:sz w:val="20"/>
          <w:szCs w:val="20"/>
          <w:color w:val="auto"/>
        </w:rPr>
      </w:pPr>
    </w:p>
    <w:p>
      <w:pPr>
        <w:jc w:val="center"/>
        <w:ind w:right="280"/>
        <w:spacing w:after="0"/>
        <w:rPr>
          <w:sz w:val="20"/>
          <w:szCs w:val="20"/>
          <w:color w:val="auto"/>
        </w:rPr>
      </w:pPr>
      <w:r>
        <w:rPr>
          <w:rFonts w:ascii="Arial" w:cs="Arial" w:eastAsia="Arial" w:hAnsi="Arial"/>
          <w:sz w:val="21"/>
          <w:szCs w:val="21"/>
          <w:u w:val="single" w:color="auto"/>
          <w:color w:val="auto"/>
        </w:rPr>
        <w:t>NUMBER</w:t>
      </w:r>
    </w:p>
    <w:p>
      <w:pPr>
        <w:jc w:val="center"/>
        <w:ind w:right="280"/>
        <w:spacing w:after="0" w:line="232" w:lineRule="auto"/>
        <w:rPr>
          <w:sz w:val="20"/>
          <w:szCs w:val="20"/>
          <w:color w:val="auto"/>
        </w:rPr>
      </w:pPr>
      <w:r>
        <w:rPr>
          <w:rFonts w:ascii="Arial" w:cs="Arial" w:eastAsia="Arial" w:hAnsi="Arial"/>
          <w:sz w:val="22"/>
          <w:szCs w:val="22"/>
          <w:color w:val="auto"/>
        </w:rPr>
        <w:t>SA-3</w:t>
      </w:r>
    </w:p>
    <w:p>
      <w:pPr>
        <w:jc w:val="center"/>
        <w:ind w:right="280"/>
        <w:spacing w:after="0" w:line="230" w:lineRule="auto"/>
        <w:rPr>
          <w:sz w:val="20"/>
          <w:szCs w:val="20"/>
          <w:color w:val="auto"/>
        </w:rPr>
      </w:pPr>
      <w:r>
        <w:rPr>
          <w:rFonts w:ascii="Arial" w:cs="Arial" w:eastAsia="Arial" w:hAnsi="Arial"/>
          <w:sz w:val="22"/>
          <w:szCs w:val="22"/>
          <w:color w:val="auto"/>
        </w:rPr>
        <w:t>SA-3</w:t>
      </w:r>
    </w:p>
    <w:p>
      <w:pPr>
        <w:jc w:val="center"/>
        <w:ind w:right="280"/>
        <w:spacing w:after="0" w:line="231" w:lineRule="auto"/>
        <w:rPr>
          <w:sz w:val="20"/>
          <w:szCs w:val="20"/>
          <w:color w:val="auto"/>
        </w:rPr>
      </w:pPr>
      <w:r>
        <w:rPr>
          <w:rFonts w:ascii="Arial" w:cs="Arial" w:eastAsia="Arial" w:hAnsi="Arial"/>
          <w:sz w:val="22"/>
          <w:szCs w:val="22"/>
          <w:color w:val="auto"/>
        </w:rPr>
        <w:t>SA-3</w:t>
      </w:r>
    </w:p>
    <w:p>
      <w:pPr>
        <w:jc w:val="center"/>
        <w:ind w:right="280"/>
        <w:spacing w:after="0" w:line="231" w:lineRule="auto"/>
        <w:rPr>
          <w:sz w:val="20"/>
          <w:szCs w:val="20"/>
          <w:color w:val="auto"/>
        </w:rPr>
      </w:pPr>
      <w:r>
        <w:rPr>
          <w:rFonts w:ascii="Arial" w:cs="Arial" w:eastAsia="Arial" w:hAnsi="Arial"/>
          <w:sz w:val="22"/>
          <w:szCs w:val="22"/>
          <w:color w:val="auto"/>
        </w:rPr>
        <w:t>SA-3</w:t>
      </w:r>
    </w:p>
    <w:p>
      <w:pPr>
        <w:jc w:val="center"/>
        <w:ind w:right="280"/>
        <w:spacing w:after="0"/>
        <w:rPr>
          <w:sz w:val="20"/>
          <w:szCs w:val="20"/>
          <w:color w:val="auto"/>
        </w:rPr>
      </w:pPr>
      <w:r>
        <w:rPr>
          <w:rFonts w:ascii="Arial" w:cs="Arial" w:eastAsia="Arial" w:hAnsi="Arial"/>
          <w:sz w:val="22"/>
          <w:szCs w:val="22"/>
          <w:color w:val="auto"/>
        </w:rPr>
        <w:t>SA-3</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40"/>
        <w:spacing w:after="0"/>
        <w:rPr>
          <w:sz w:val="20"/>
          <w:szCs w:val="20"/>
          <w:color w:val="auto"/>
        </w:rPr>
      </w:pPr>
      <w:r>
        <w:rPr>
          <w:rFonts w:ascii="Arial" w:cs="Arial" w:eastAsia="Arial" w:hAnsi="Arial"/>
          <w:sz w:val="22"/>
          <w:szCs w:val="22"/>
          <w:color w:val="auto"/>
        </w:rPr>
        <w:t>SA-2</w:t>
      </w:r>
    </w:p>
    <w:p>
      <w:pPr>
        <w:spacing w:after="0" w:line="92" w:lineRule="exact"/>
        <w:rPr>
          <w:sz w:val="20"/>
          <w:szCs w:val="20"/>
          <w:color w:val="auto"/>
        </w:rPr>
      </w:pPr>
    </w:p>
    <w:p>
      <w:pPr>
        <w:ind w:left="240"/>
        <w:spacing w:after="0"/>
        <w:rPr>
          <w:sz w:val="20"/>
          <w:szCs w:val="20"/>
          <w:color w:val="auto"/>
        </w:rPr>
      </w:pPr>
      <w:r>
        <w:rPr>
          <w:rFonts w:ascii="Arial" w:cs="Arial" w:eastAsia="Arial" w:hAnsi="Arial"/>
          <w:sz w:val="22"/>
          <w:szCs w:val="22"/>
          <w:b w:val="1"/>
          <w:bCs w:val="1"/>
          <w:color w:val="auto"/>
        </w:rPr>
        <w:t>SA-9</w:t>
      </w:r>
    </w:p>
    <w:p>
      <w:pPr>
        <w:spacing w:after="0" w:line="104" w:lineRule="exact"/>
        <w:rPr>
          <w:sz w:val="20"/>
          <w:szCs w:val="20"/>
          <w:color w:val="auto"/>
        </w:rPr>
      </w:pPr>
    </w:p>
    <w:p>
      <w:pPr>
        <w:ind w:left="240"/>
        <w:spacing w:after="0"/>
        <w:rPr>
          <w:sz w:val="20"/>
          <w:szCs w:val="20"/>
          <w:color w:val="auto"/>
        </w:rPr>
      </w:pPr>
      <w:r>
        <w:rPr>
          <w:rFonts w:ascii="Arial" w:cs="Arial" w:eastAsia="Arial" w:hAnsi="Arial"/>
          <w:sz w:val="22"/>
          <w:szCs w:val="22"/>
          <w:color w:val="auto"/>
        </w:rPr>
        <w:t>SA-5</w:t>
      </w:r>
    </w:p>
    <w:p>
      <w:pPr>
        <w:spacing w:after="0" w:line="341" w:lineRule="exact"/>
        <w:rPr>
          <w:sz w:val="20"/>
          <w:szCs w:val="20"/>
          <w:color w:val="auto"/>
        </w:rPr>
      </w:pPr>
    </w:p>
    <w:p>
      <w:pPr>
        <w:ind w:left="240"/>
        <w:spacing w:after="0"/>
        <w:rPr>
          <w:sz w:val="20"/>
          <w:szCs w:val="20"/>
          <w:color w:val="auto"/>
        </w:rPr>
      </w:pPr>
      <w:r>
        <w:rPr>
          <w:rFonts w:ascii="Arial" w:cs="Arial" w:eastAsia="Arial" w:hAnsi="Arial"/>
          <w:sz w:val="22"/>
          <w:szCs w:val="22"/>
          <w:color w:val="auto"/>
        </w:rPr>
        <w:t>SA-5</w:t>
      </w:r>
    </w:p>
    <w:p>
      <w:pPr>
        <w:spacing w:after="0" w:line="200" w:lineRule="exact"/>
        <w:rPr>
          <w:sz w:val="20"/>
          <w:szCs w:val="20"/>
          <w:color w:val="auto"/>
        </w:rPr>
      </w:pPr>
    </w:p>
    <w:p>
      <w:pPr>
        <w:spacing w:after="0" w:line="384" w:lineRule="exact"/>
        <w:rPr>
          <w:sz w:val="20"/>
          <w:szCs w:val="20"/>
          <w:color w:val="auto"/>
        </w:rPr>
      </w:pPr>
    </w:p>
    <w:p>
      <w:pPr>
        <w:ind w:left="240"/>
        <w:spacing w:after="0"/>
        <w:rPr>
          <w:sz w:val="20"/>
          <w:szCs w:val="20"/>
          <w:color w:val="auto"/>
        </w:rPr>
      </w:pPr>
      <w:r>
        <w:rPr>
          <w:rFonts w:ascii="Arial" w:cs="Arial" w:eastAsia="Arial" w:hAnsi="Arial"/>
          <w:sz w:val="22"/>
          <w:szCs w:val="22"/>
          <w:color w:val="auto"/>
        </w:rPr>
        <w:t>SA-6</w:t>
      </w:r>
    </w:p>
    <w:p>
      <w:pPr>
        <w:spacing w:after="0" w:line="200" w:lineRule="exact"/>
        <w:rPr>
          <w:sz w:val="20"/>
          <w:szCs w:val="20"/>
          <w:color w:val="auto"/>
        </w:rPr>
      </w:pPr>
    </w:p>
    <w:p>
      <w:pPr>
        <w:spacing w:after="0" w:line="249" w:lineRule="exact"/>
        <w:rPr>
          <w:sz w:val="20"/>
          <w:szCs w:val="20"/>
          <w:color w:val="auto"/>
        </w:rPr>
      </w:pPr>
    </w:p>
    <w:p>
      <w:pPr>
        <w:ind w:left="240"/>
        <w:spacing w:after="0"/>
        <w:rPr>
          <w:sz w:val="20"/>
          <w:szCs w:val="20"/>
          <w:color w:val="auto"/>
        </w:rPr>
      </w:pPr>
      <w:r>
        <w:rPr>
          <w:rFonts w:ascii="Arial" w:cs="Arial" w:eastAsia="Arial" w:hAnsi="Arial"/>
          <w:sz w:val="22"/>
          <w:szCs w:val="22"/>
          <w:color w:val="auto"/>
        </w:rPr>
        <w:t>SA-7</w:t>
      </w:r>
    </w:p>
    <w:p>
      <w:pPr>
        <w:ind w:left="240"/>
        <w:spacing w:after="0" w:line="238" w:lineRule="auto"/>
        <w:rPr>
          <w:sz w:val="20"/>
          <w:szCs w:val="20"/>
          <w:color w:val="auto"/>
        </w:rPr>
      </w:pPr>
      <w:r>
        <w:rPr>
          <w:rFonts w:ascii="Arial" w:cs="Arial" w:eastAsia="Arial" w:hAnsi="Arial"/>
          <w:sz w:val="22"/>
          <w:szCs w:val="22"/>
          <w:color w:val="auto"/>
        </w:rPr>
        <w:t>SA-6</w:t>
      </w:r>
    </w:p>
    <w:p>
      <w:pPr>
        <w:ind w:left="240"/>
        <w:spacing w:after="0" w:line="230" w:lineRule="auto"/>
        <w:rPr>
          <w:sz w:val="20"/>
          <w:szCs w:val="20"/>
          <w:color w:val="auto"/>
        </w:rPr>
      </w:pPr>
      <w:r>
        <w:rPr>
          <w:rFonts w:ascii="Arial" w:cs="Arial" w:eastAsia="Arial" w:hAnsi="Arial"/>
          <w:sz w:val="22"/>
          <w:szCs w:val="22"/>
          <w:color w:val="auto"/>
        </w:rPr>
        <w:t>SA-3</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22"/>
          <w:szCs w:val="22"/>
          <w:color w:val="auto"/>
        </w:rPr>
        <w:t>SA-3</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40"/>
        <w:spacing w:after="0"/>
        <w:rPr>
          <w:sz w:val="20"/>
          <w:szCs w:val="20"/>
          <w:color w:val="auto"/>
        </w:rPr>
      </w:pPr>
      <w:r>
        <w:rPr>
          <w:rFonts w:ascii="Arial" w:cs="Arial" w:eastAsia="Arial" w:hAnsi="Arial"/>
          <w:sz w:val="22"/>
          <w:szCs w:val="22"/>
          <w:color w:val="auto"/>
        </w:rPr>
        <w:t>SA-3</w:t>
      </w:r>
    </w:p>
    <w:p>
      <w:pPr>
        <w:spacing w:after="0" w:line="8" w:lineRule="exact"/>
        <w:rPr>
          <w:sz w:val="20"/>
          <w:szCs w:val="20"/>
          <w:color w:val="auto"/>
        </w:rPr>
      </w:pPr>
    </w:p>
    <w:p>
      <w:pPr>
        <w:ind w:left="240"/>
        <w:spacing w:after="0"/>
        <w:rPr>
          <w:sz w:val="20"/>
          <w:szCs w:val="20"/>
          <w:color w:val="auto"/>
        </w:rPr>
      </w:pPr>
      <w:r>
        <w:rPr>
          <w:rFonts w:ascii="Arial" w:cs="Arial" w:eastAsia="Arial" w:hAnsi="Arial"/>
          <w:sz w:val="22"/>
          <w:szCs w:val="22"/>
          <w:color w:val="auto"/>
        </w:rPr>
        <w:t>SA-3</w:t>
      </w:r>
    </w:p>
    <w:p>
      <w:pPr>
        <w:spacing w:after="0" w:line="200" w:lineRule="exact"/>
        <w:rPr>
          <w:sz w:val="20"/>
          <w:szCs w:val="20"/>
          <w:color w:val="auto"/>
        </w:rPr>
      </w:pPr>
    </w:p>
    <w:p>
      <w:pPr>
        <w:spacing w:after="0" w:line="258" w:lineRule="exact"/>
        <w:rPr>
          <w:sz w:val="20"/>
          <w:szCs w:val="20"/>
          <w:color w:val="auto"/>
        </w:rPr>
      </w:pPr>
    </w:p>
    <w:p>
      <w:pPr>
        <w:ind w:left="240"/>
        <w:spacing w:after="0"/>
        <w:rPr>
          <w:sz w:val="20"/>
          <w:szCs w:val="20"/>
          <w:color w:val="auto"/>
        </w:rPr>
      </w:pPr>
      <w:r>
        <w:rPr>
          <w:rFonts w:ascii="Arial" w:cs="Arial" w:eastAsia="Arial" w:hAnsi="Arial"/>
          <w:sz w:val="22"/>
          <w:szCs w:val="22"/>
          <w:color w:val="auto"/>
        </w:rPr>
        <w:t>SA-2</w:t>
      </w:r>
    </w:p>
    <w:p>
      <w:pPr>
        <w:spacing w:after="0" w:line="8" w:lineRule="exact"/>
        <w:rPr>
          <w:sz w:val="20"/>
          <w:szCs w:val="20"/>
          <w:color w:val="auto"/>
        </w:rPr>
      </w:pPr>
    </w:p>
    <w:p>
      <w:pPr>
        <w:ind w:left="240"/>
        <w:spacing w:after="0"/>
        <w:rPr>
          <w:sz w:val="20"/>
          <w:szCs w:val="20"/>
          <w:color w:val="auto"/>
        </w:rPr>
      </w:pPr>
      <w:r>
        <w:rPr>
          <w:rFonts w:ascii="Arial" w:cs="Arial" w:eastAsia="Arial" w:hAnsi="Arial"/>
          <w:sz w:val="22"/>
          <w:szCs w:val="22"/>
          <w:color w:val="auto"/>
        </w:rPr>
        <w:t>SA-4</w:t>
      </w:r>
    </w:p>
    <w:p>
      <w:pPr>
        <w:spacing w:after="0" w:line="36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SA-9</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Page 1</w:t>
      </w:r>
    </w:p>
    <w:p>
      <w:pPr>
        <w:spacing w:after="0" w:line="456" w:lineRule="exact"/>
        <w:rPr>
          <w:sz w:val="20"/>
          <w:szCs w:val="20"/>
          <w:color w:val="auto"/>
        </w:rPr>
      </w:pPr>
    </w:p>
    <w:p>
      <w:pPr>
        <w:sectPr>
          <w:pgSz w:w="11900" w:h="16838" w:orient="portrait"/>
          <w:cols w:equalWidth="0" w:num="2">
            <w:col w:w="9480" w:space="720"/>
            <w:col w:w="1220"/>
          </w:cols>
          <w:pgMar w:left="240" w:top="266" w:right="239" w:bottom="1440" w:gutter="0" w:footer="0" w:header="0"/>
        </w:sectPr>
      </w:pPr>
    </w:p>
    <w:p>
      <w:pPr>
        <w:spacing w:after="0" w:line="12"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[*CTR]=[CONFIDENTIAL PORTION OMITTED AND FILED SEPARATELY WITH THE COMMISSION PURSUANT TO A REQUEST FOR CONFIDENTIAL TREATMENT]</w:t>
      </w:r>
    </w:p>
    <w:p>
      <w:pPr>
        <w:sectPr>
          <w:pgSz w:w="11900" w:h="16838" w:orient="portrait"/>
          <w:cols w:equalWidth="0" w:num="1">
            <w:col w:w="11420"/>
          </w:cols>
          <w:pgMar w:left="240" w:top="266" w:right="239" w:bottom="1440" w:gutter="0" w:footer="0" w:header="0"/>
          <w:type w:val="continuous"/>
        </w:sectPr>
      </w:pPr>
    </w:p>
    <w:bookmarkStart w:id="111" w:name="page112"/>
    <w:bookmarkEnd w:id="111"/>
    <w:tbl>
      <w:tblPr>
        <w:tblLayout w:type="fixed"/>
        <w:tblInd w:w="0" w:type="dxa"/>
        <w:tblCellMar>
          <w:top w:w="0" w:type="dxa"/>
          <w:left w:w="0" w:type="dxa"/>
          <w:bottom w:w="0" w:type="dxa"/>
          <w:right w:w="0" w:type="dxa"/>
        </w:tblCellMar>
      </w:tblPr>
      <w:tr>
        <w:trPr>
          <w:trHeight w:val="275"/>
        </w:trPr>
        <w:tc>
          <w:tcPr>
            <w:tcW w:w="23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980" w:type="dxa"/>
            <w:vAlign w:val="bottom"/>
            <w:gridSpan w:val="3"/>
          </w:tcPr>
          <w:p>
            <w:pPr>
              <w:jc w:val="center"/>
              <w:ind w:right="1492"/>
              <w:spacing w:after="0"/>
              <w:rPr>
                <w:sz w:val="20"/>
                <w:szCs w:val="20"/>
                <w:color w:val="auto"/>
              </w:rPr>
            </w:pPr>
            <w:r>
              <w:rPr>
                <w:rFonts w:ascii="Arial" w:cs="Arial" w:eastAsia="Arial" w:hAnsi="Arial"/>
                <w:sz w:val="22"/>
                <w:szCs w:val="22"/>
                <w:color w:val="auto"/>
                <w:w w:val="92"/>
              </w:rPr>
              <w:t>TABLE OF CONTENTS, continued</w:t>
            </w:r>
          </w:p>
        </w:tc>
        <w:tc>
          <w:tcPr>
            <w:tcW w:w="13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11"/>
        </w:trPr>
        <w:tc>
          <w:tcPr>
            <w:tcW w:w="2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22"/>
                <w:szCs w:val="22"/>
                <w:color w:val="auto"/>
                <w:w w:val="95"/>
              </w:rPr>
              <w:t>SA</w:t>
            </w:r>
          </w:p>
        </w:tc>
        <w:tc>
          <w:tcPr>
            <w:tcW w:w="0" w:type="dxa"/>
            <w:vAlign w:val="bottom"/>
          </w:tcPr>
          <w:p>
            <w:pPr>
              <w:spacing w:after="0"/>
              <w:rPr>
                <w:sz w:val="1"/>
                <w:szCs w:val="1"/>
                <w:color w:val="auto"/>
              </w:rPr>
            </w:pPr>
          </w:p>
        </w:tc>
      </w:tr>
      <w:tr>
        <w:trPr>
          <w:trHeight w:val="224"/>
        </w:trPr>
        <w:tc>
          <w:tcPr>
            <w:tcW w:w="2880" w:type="dxa"/>
            <w:vAlign w:val="bottom"/>
            <w:gridSpan w:val="2"/>
          </w:tcPr>
          <w:p>
            <w:pPr>
              <w:spacing w:after="0" w:line="224" w:lineRule="exact"/>
              <w:rPr>
                <w:sz w:val="20"/>
                <w:szCs w:val="20"/>
                <w:color w:val="auto"/>
              </w:rPr>
            </w:pPr>
            <w:r>
              <w:rPr>
                <w:rFonts w:ascii="Arial" w:cs="Arial" w:eastAsia="Arial" w:hAnsi="Arial"/>
                <w:sz w:val="22"/>
                <w:szCs w:val="22"/>
                <w:color w:val="auto"/>
              </w:rPr>
              <w:t>LETTER AGREEMENTS</w:t>
            </w:r>
          </w:p>
        </w:tc>
        <w:tc>
          <w:tcPr>
            <w:tcW w:w="6120" w:type="dxa"/>
            <w:vAlign w:val="bottom"/>
            <w:gridSpan w:val="4"/>
            <w:vMerge w:val="restart"/>
          </w:tcPr>
          <w:p>
            <w:pPr>
              <w:spacing w:after="0"/>
              <w:rPr>
                <w:sz w:val="20"/>
                <w:szCs w:val="20"/>
                <w:color w:val="auto"/>
              </w:rPr>
            </w:pPr>
            <w:r>
              <w:rPr>
                <w:rFonts w:ascii="Arial" w:cs="Arial" w:eastAsia="Arial" w:hAnsi="Arial"/>
                <w:sz w:val="22"/>
                <w:szCs w:val="22"/>
                <w:color w:val="auto"/>
              </w:rPr>
              <w:t>[*CTR]</w:t>
            </w:r>
          </w:p>
        </w:tc>
        <w:tc>
          <w:tcPr>
            <w:tcW w:w="2420" w:type="dxa"/>
            <w:vAlign w:val="bottom"/>
            <w:gridSpan w:val="3"/>
          </w:tcPr>
          <w:p>
            <w:pPr>
              <w:jc w:val="center"/>
              <w:ind w:left="1152"/>
              <w:spacing w:after="0" w:line="224" w:lineRule="exact"/>
              <w:rPr>
                <w:sz w:val="20"/>
                <w:szCs w:val="20"/>
                <w:color w:val="auto"/>
              </w:rPr>
            </w:pPr>
            <w:r>
              <w:rPr>
                <w:rFonts w:ascii="Arial" w:cs="Arial" w:eastAsia="Arial" w:hAnsi="Arial"/>
                <w:sz w:val="22"/>
                <w:szCs w:val="22"/>
                <w:color w:val="auto"/>
                <w:w w:val="96"/>
              </w:rPr>
              <w:t>NUMBER</w:t>
            </w:r>
          </w:p>
        </w:tc>
        <w:tc>
          <w:tcPr>
            <w:tcW w:w="0" w:type="dxa"/>
            <w:vAlign w:val="bottom"/>
          </w:tcPr>
          <w:p>
            <w:pPr>
              <w:spacing w:after="0"/>
              <w:rPr>
                <w:sz w:val="1"/>
                <w:szCs w:val="1"/>
                <w:color w:val="auto"/>
              </w:rPr>
            </w:pPr>
          </w:p>
        </w:tc>
      </w:tr>
      <w:tr>
        <w:trPr>
          <w:trHeight w:val="274"/>
        </w:trPr>
        <w:tc>
          <w:tcPr>
            <w:tcW w:w="2300" w:type="dxa"/>
            <w:vAlign w:val="bottom"/>
            <w:tcBorders>
              <w:top w:val="single" w:sz="8" w:color="auto"/>
            </w:tcBorders>
          </w:tcPr>
          <w:p>
            <w:pPr>
              <w:spacing w:after="0"/>
              <w:rPr>
                <w:sz w:val="20"/>
                <w:szCs w:val="20"/>
                <w:color w:val="auto"/>
              </w:rPr>
            </w:pPr>
            <w:r>
              <w:rPr>
                <w:rFonts w:ascii="Arial" w:cs="Arial" w:eastAsia="Arial" w:hAnsi="Arial"/>
                <w:sz w:val="22"/>
                <w:szCs w:val="22"/>
                <w:color w:val="auto"/>
              </w:rPr>
              <w:t>3219-01</w:t>
            </w:r>
          </w:p>
        </w:tc>
        <w:tc>
          <w:tcPr>
            <w:tcW w:w="580" w:type="dxa"/>
            <w:vAlign w:val="bottom"/>
          </w:tcPr>
          <w:p>
            <w:pPr>
              <w:spacing w:after="0"/>
              <w:rPr>
                <w:sz w:val="23"/>
                <w:szCs w:val="23"/>
                <w:color w:val="auto"/>
              </w:rPr>
            </w:pPr>
          </w:p>
        </w:tc>
        <w:tc>
          <w:tcPr>
            <w:tcW w:w="6120" w:type="dxa"/>
            <w:vAlign w:val="bottom"/>
            <w:gridSpan w:val="4"/>
            <w:vMerge w:val="continue"/>
          </w:tcPr>
          <w:p>
            <w:pPr>
              <w:spacing w:after="0"/>
              <w:rPr>
                <w:sz w:val="23"/>
                <w:szCs w:val="23"/>
                <w:color w:val="auto"/>
              </w:rPr>
            </w:pPr>
          </w:p>
        </w:tc>
        <w:tc>
          <w:tcPr>
            <w:tcW w:w="1380" w:type="dxa"/>
            <w:vAlign w:val="bottom"/>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1"/>
        </w:trPr>
        <w:tc>
          <w:tcPr>
            <w:tcW w:w="2300" w:type="dxa"/>
            <w:vAlign w:val="bottom"/>
          </w:tcPr>
          <w:p>
            <w:pPr>
              <w:spacing w:after="0"/>
              <w:rPr>
                <w:sz w:val="20"/>
                <w:szCs w:val="20"/>
                <w:color w:val="auto"/>
              </w:rPr>
            </w:pPr>
            <w:r>
              <w:rPr>
                <w:rFonts w:ascii="Arial" w:cs="Arial" w:eastAsia="Arial" w:hAnsi="Arial"/>
                <w:sz w:val="22"/>
                <w:szCs w:val="22"/>
                <w:color w:val="auto"/>
              </w:rPr>
              <w:t>3219-02</w:t>
            </w:r>
          </w:p>
        </w:tc>
        <w:tc>
          <w:tcPr>
            <w:tcW w:w="580" w:type="dxa"/>
            <w:vAlign w:val="bottom"/>
          </w:tcPr>
          <w:p>
            <w:pPr>
              <w:spacing w:after="0"/>
              <w:rPr>
                <w:sz w:val="24"/>
                <w:szCs w:val="24"/>
                <w:color w:val="auto"/>
              </w:rPr>
            </w:pPr>
          </w:p>
        </w:tc>
        <w:tc>
          <w:tcPr>
            <w:tcW w:w="6120" w:type="dxa"/>
            <w:vAlign w:val="bottom"/>
            <w:gridSpan w:val="4"/>
          </w:tcPr>
          <w:p>
            <w:pPr>
              <w:spacing w:after="0"/>
              <w:rPr>
                <w:sz w:val="20"/>
                <w:szCs w:val="20"/>
                <w:color w:val="auto"/>
              </w:rPr>
            </w:pPr>
            <w:r>
              <w:rPr>
                <w:rFonts w:ascii="Arial" w:cs="Arial" w:eastAsia="Arial" w:hAnsi="Arial"/>
                <w:sz w:val="22"/>
                <w:szCs w:val="22"/>
                <w:color w:val="auto"/>
              </w:rPr>
              <w:t>Special Terms – Seats and In-Flight Entertainment</w:t>
            </w:r>
          </w:p>
        </w:tc>
        <w:tc>
          <w:tcPr>
            <w:tcW w:w="1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300" w:type="dxa"/>
            <w:vAlign w:val="bottom"/>
          </w:tcPr>
          <w:p>
            <w:pPr>
              <w:spacing w:after="0"/>
              <w:rPr>
                <w:sz w:val="20"/>
                <w:szCs w:val="20"/>
                <w:color w:val="auto"/>
              </w:rPr>
            </w:pPr>
            <w:r>
              <w:rPr>
                <w:rFonts w:ascii="Arial" w:cs="Arial" w:eastAsia="Arial" w:hAnsi="Arial"/>
                <w:sz w:val="22"/>
                <w:szCs w:val="22"/>
                <w:color w:val="auto"/>
              </w:rPr>
              <w:t>3219-04</w:t>
            </w:r>
          </w:p>
        </w:tc>
        <w:tc>
          <w:tcPr>
            <w:tcW w:w="580" w:type="dxa"/>
            <w:vAlign w:val="bottom"/>
          </w:tcPr>
          <w:p>
            <w:pPr>
              <w:spacing w:after="0"/>
              <w:rPr>
                <w:sz w:val="24"/>
                <w:szCs w:val="24"/>
                <w:color w:val="auto"/>
              </w:rPr>
            </w:pPr>
          </w:p>
        </w:tc>
        <w:tc>
          <w:tcPr>
            <w:tcW w:w="6120" w:type="dxa"/>
            <w:vAlign w:val="bottom"/>
            <w:gridSpan w:val="4"/>
          </w:tcPr>
          <w:p>
            <w:pPr>
              <w:spacing w:after="0"/>
              <w:rPr>
                <w:sz w:val="20"/>
                <w:szCs w:val="20"/>
                <w:color w:val="auto"/>
              </w:rPr>
            </w:pPr>
            <w:r>
              <w:rPr>
                <w:rFonts w:ascii="Arial" w:cs="Arial" w:eastAsia="Arial" w:hAnsi="Arial"/>
                <w:sz w:val="22"/>
                <w:szCs w:val="22"/>
                <w:color w:val="auto"/>
              </w:rPr>
              <w:t>[*CTR]</w:t>
            </w:r>
          </w:p>
        </w:tc>
        <w:tc>
          <w:tcPr>
            <w:tcW w:w="1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880" w:type="dxa"/>
            <w:vAlign w:val="bottom"/>
            <w:gridSpan w:val="2"/>
          </w:tcPr>
          <w:p>
            <w:pPr>
              <w:spacing w:after="0"/>
              <w:rPr>
                <w:sz w:val="20"/>
                <w:szCs w:val="20"/>
                <w:color w:val="auto"/>
              </w:rPr>
            </w:pPr>
            <w:r>
              <w:rPr>
                <w:rFonts w:ascii="Arial" w:cs="Arial" w:eastAsia="Arial" w:hAnsi="Arial"/>
                <w:sz w:val="22"/>
                <w:szCs w:val="22"/>
                <w:color w:val="auto"/>
              </w:rPr>
              <w:t>3219-05R1</w:t>
            </w:r>
          </w:p>
        </w:tc>
        <w:tc>
          <w:tcPr>
            <w:tcW w:w="6120" w:type="dxa"/>
            <w:vAlign w:val="bottom"/>
            <w:gridSpan w:val="4"/>
          </w:tcPr>
          <w:p>
            <w:pPr>
              <w:spacing w:after="0"/>
              <w:rPr>
                <w:sz w:val="20"/>
                <w:szCs w:val="20"/>
                <w:color w:val="auto"/>
              </w:rPr>
            </w:pPr>
            <w:r>
              <w:rPr>
                <w:rFonts w:ascii="Arial" w:cs="Arial" w:eastAsia="Arial" w:hAnsi="Arial"/>
                <w:sz w:val="22"/>
                <w:szCs w:val="22"/>
                <w:color w:val="auto"/>
              </w:rPr>
              <w:t>Spare Parts Commitments</w:t>
            </w:r>
          </w:p>
        </w:tc>
        <w:tc>
          <w:tcPr>
            <w:tcW w:w="1380" w:type="dxa"/>
            <w:vAlign w:val="bottom"/>
          </w:tcPr>
          <w:p>
            <w:pPr>
              <w:spacing w:after="0"/>
              <w:rPr>
                <w:sz w:val="24"/>
                <w:szCs w:val="2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22"/>
                <w:szCs w:val="22"/>
                <w:color w:val="auto"/>
                <w:w w:val="89"/>
              </w:rPr>
              <w:t>SA-3</w:t>
            </w:r>
          </w:p>
        </w:tc>
        <w:tc>
          <w:tcPr>
            <w:tcW w:w="0" w:type="dxa"/>
            <w:vAlign w:val="bottom"/>
          </w:tcPr>
          <w:p>
            <w:pPr>
              <w:spacing w:after="0"/>
              <w:rPr>
                <w:sz w:val="1"/>
                <w:szCs w:val="1"/>
                <w:color w:val="auto"/>
              </w:rPr>
            </w:pPr>
          </w:p>
        </w:tc>
      </w:tr>
      <w:tr>
        <w:trPr>
          <w:trHeight w:val="311"/>
        </w:trPr>
        <w:tc>
          <w:tcPr>
            <w:tcW w:w="2880" w:type="dxa"/>
            <w:vAlign w:val="bottom"/>
            <w:gridSpan w:val="2"/>
          </w:tcPr>
          <w:p>
            <w:pPr>
              <w:spacing w:after="0"/>
              <w:rPr>
                <w:sz w:val="20"/>
                <w:szCs w:val="20"/>
                <w:color w:val="auto"/>
              </w:rPr>
            </w:pPr>
            <w:r>
              <w:rPr>
                <w:rFonts w:ascii="Arial" w:cs="Arial" w:eastAsia="Arial" w:hAnsi="Arial"/>
                <w:sz w:val="22"/>
                <w:szCs w:val="22"/>
                <w:color w:val="auto"/>
              </w:rPr>
              <w:t>3219-06R1</w:t>
            </w:r>
          </w:p>
        </w:tc>
        <w:tc>
          <w:tcPr>
            <w:tcW w:w="6120" w:type="dxa"/>
            <w:vAlign w:val="bottom"/>
            <w:gridSpan w:val="4"/>
          </w:tcPr>
          <w:p>
            <w:pPr>
              <w:spacing w:after="0"/>
              <w:rPr>
                <w:sz w:val="20"/>
                <w:szCs w:val="20"/>
                <w:color w:val="auto"/>
              </w:rPr>
            </w:pPr>
            <w:r>
              <w:rPr>
                <w:rFonts w:ascii="Arial" w:cs="Arial" w:eastAsia="Arial" w:hAnsi="Arial"/>
                <w:sz w:val="22"/>
                <w:szCs w:val="22"/>
                <w:color w:val="auto"/>
              </w:rPr>
              <w:t>Spare Parts Initial Provisioning</w:t>
            </w:r>
          </w:p>
        </w:tc>
        <w:tc>
          <w:tcPr>
            <w:tcW w:w="1380" w:type="dxa"/>
            <w:vAlign w:val="bottom"/>
          </w:tcPr>
          <w:p>
            <w:pPr>
              <w:spacing w:after="0"/>
              <w:rPr>
                <w:sz w:val="24"/>
                <w:szCs w:val="2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22"/>
                <w:szCs w:val="22"/>
                <w:color w:val="auto"/>
                <w:w w:val="89"/>
              </w:rPr>
              <w:t>SA-3</w:t>
            </w:r>
          </w:p>
        </w:tc>
        <w:tc>
          <w:tcPr>
            <w:tcW w:w="0" w:type="dxa"/>
            <w:vAlign w:val="bottom"/>
          </w:tcPr>
          <w:p>
            <w:pPr>
              <w:spacing w:after="0"/>
              <w:rPr>
                <w:sz w:val="1"/>
                <w:szCs w:val="1"/>
                <w:color w:val="auto"/>
              </w:rPr>
            </w:pPr>
          </w:p>
        </w:tc>
      </w:tr>
      <w:tr>
        <w:trPr>
          <w:trHeight w:val="311"/>
        </w:trPr>
        <w:tc>
          <w:tcPr>
            <w:tcW w:w="2300" w:type="dxa"/>
            <w:vAlign w:val="bottom"/>
          </w:tcPr>
          <w:p>
            <w:pPr>
              <w:spacing w:after="0"/>
              <w:rPr>
                <w:sz w:val="20"/>
                <w:szCs w:val="20"/>
                <w:color w:val="auto"/>
              </w:rPr>
            </w:pPr>
            <w:r>
              <w:rPr>
                <w:rFonts w:ascii="Arial" w:cs="Arial" w:eastAsia="Arial" w:hAnsi="Arial"/>
                <w:sz w:val="22"/>
                <w:szCs w:val="22"/>
                <w:color w:val="auto"/>
                <w:strike w:val="1"/>
              </w:rPr>
              <w:t>3219-08R2</w:t>
            </w:r>
          </w:p>
        </w:tc>
        <w:tc>
          <w:tcPr>
            <w:tcW w:w="580" w:type="dxa"/>
            <w:vAlign w:val="bottom"/>
          </w:tcPr>
          <w:p>
            <w:pPr>
              <w:spacing w:after="0"/>
              <w:rPr>
                <w:sz w:val="24"/>
                <w:szCs w:val="24"/>
                <w:color w:val="auto"/>
              </w:rPr>
            </w:pPr>
          </w:p>
        </w:tc>
        <w:tc>
          <w:tcPr>
            <w:tcW w:w="2440" w:type="dxa"/>
            <w:vAlign w:val="bottom"/>
            <w:gridSpan w:val="2"/>
          </w:tcPr>
          <w:p>
            <w:pPr>
              <w:spacing w:after="0"/>
              <w:rPr>
                <w:sz w:val="20"/>
                <w:szCs w:val="20"/>
                <w:color w:val="auto"/>
              </w:rPr>
            </w:pPr>
            <w:r>
              <w:rPr>
                <w:rFonts w:ascii="Arial" w:cs="Arial" w:eastAsia="Arial" w:hAnsi="Arial"/>
                <w:sz w:val="22"/>
                <w:szCs w:val="22"/>
                <w:color w:val="auto"/>
                <w:strike w:val="1"/>
                <w:w w:val="89"/>
              </w:rPr>
              <w:t>Open Configuration Matters</w:t>
            </w:r>
          </w:p>
        </w:tc>
        <w:tc>
          <w:tcPr>
            <w:tcW w:w="3680" w:type="dxa"/>
            <w:vAlign w:val="bottom"/>
            <w:gridSpan w:val="2"/>
          </w:tcPr>
          <w:p>
            <w:pPr>
              <w:ind w:left="60"/>
              <w:spacing w:after="0"/>
              <w:rPr>
                <w:sz w:val="20"/>
                <w:szCs w:val="20"/>
                <w:color w:val="auto"/>
              </w:rPr>
            </w:pPr>
            <w:r>
              <w:rPr>
                <w:rFonts w:ascii="Arial" w:cs="Arial" w:eastAsia="Arial" w:hAnsi="Arial"/>
                <w:sz w:val="22"/>
                <w:szCs w:val="22"/>
                <w:color w:val="auto"/>
              </w:rPr>
              <w:t>Withdrawn</w:t>
            </w:r>
          </w:p>
        </w:tc>
        <w:tc>
          <w:tcPr>
            <w:tcW w:w="1380" w:type="dxa"/>
            <w:vAlign w:val="bottom"/>
          </w:tcPr>
          <w:p>
            <w:pPr>
              <w:spacing w:after="0"/>
              <w:rPr>
                <w:sz w:val="24"/>
                <w:szCs w:val="2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22"/>
                <w:szCs w:val="22"/>
                <w:color w:val="auto"/>
                <w:w w:val="89"/>
              </w:rPr>
              <w:t>SA-8</w:t>
            </w:r>
          </w:p>
        </w:tc>
        <w:tc>
          <w:tcPr>
            <w:tcW w:w="0" w:type="dxa"/>
            <w:vAlign w:val="bottom"/>
          </w:tcPr>
          <w:p>
            <w:pPr>
              <w:spacing w:after="0"/>
              <w:rPr>
                <w:sz w:val="1"/>
                <w:szCs w:val="1"/>
                <w:color w:val="auto"/>
              </w:rPr>
            </w:pPr>
          </w:p>
        </w:tc>
      </w:tr>
      <w:tr>
        <w:trPr>
          <w:trHeight w:val="279"/>
        </w:trPr>
        <w:tc>
          <w:tcPr>
            <w:tcW w:w="2300" w:type="dxa"/>
            <w:vAlign w:val="bottom"/>
          </w:tcPr>
          <w:p>
            <w:pPr>
              <w:spacing w:after="0"/>
              <w:rPr>
                <w:sz w:val="20"/>
                <w:szCs w:val="20"/>
                <w:color w:val="auto"/>
              </w:rPr>
            </w:pPr>
            <w:r>
              <w:rPr>
                <w:rFonts w:ascii="Arial" w:cs="Arial" w:eastAsia="Arial" w:hAnsi="Arial"/>
                <w:sz w:val="22"/>
                <w:szCs w:val="22"/>
                <w:color w:val="auto"/>
                <w:strike w:val="1"/>
              </w:rPr>
              <w:t>6-1162-AKP-071R1</w:t>
            </w:r>
          </w:p>
        </w:tc>
        <w:tc>
          <w:tcPr>
            <w:tcW w:w="580" w:type="dxa"/>
            <w:vAlign w:val="bottom"/>
          </w:tcPr>
          <w:p>
            <w:pPr>
              <w:spacing w:after="0"/>
              <w:rPr>
                <w:sz w:val="24"/>
                <w:szCs w:val="24"/>
                <w:color w:val="auto"/>
              </w:rPr>
            </w:pPr>
          </w:p>
        </w:tc>
        <w:tc>
          <w:tcPr>
            <w:tcW w:w="6120" w:type="dxa"/>
            <w:vAlign w:val="bottom"/>
            <w:gridSpan w:val="4"/>
          </w:tcPr>
          <w:p>
            <w:pPr>
              <w:spacing w:after="0"/>
              <w:rPr>
                <w:sz w:val="20"/>
                <w:szCs w:val="20"/>
                <w:color w:val="auto"/>
              </w:rPr>
            </w:pPr>
            <w:r>
              <w:rPr>
                <w:rFonts w:ascii="Arial" w:cs="Arial" w:eastAsia="Arial" w:hAnsi="Arial"/>
                <w:sz w:val="22"/>
                <w:szCs w:val="22"/>
                <w:color w:val="auto"/>
              </w:rPr>
              <w:t>[*CTR]</w:t>
            </w:r>
          </w:p>
        </w:tc>
        <w:tc>
          <w:tcPr>
            <w:tcW w:w="1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23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120" w:type="dxa"/>
            <w:vAlign w:val="bottom"/>
            <w:gridSpan w:val="4"/>
          </w:tcPr>
          <w:p>
            <w:pPr>
              <w:ind w:left="320"/>
              <w:spacing w:after="0"/>
              <w:rPr>
                <w:sz w:val="20"/>
                <w:szCs w:val="20"/>
                <w:color w:val="auto"/>
              </w:rPr>
            </w:pPr>
            <w:r>
              <w:rPr>
                <w:rFonts w:ascii="Arial" w:cs="Arial" w:eastAsia="Arial" w:hAnsi="Arial"/>
                <w:sz w:val="22"/>
                <w:szCs w:val="22"/>
                <w:color w:val="auto"/>
              </w:rPr>
              <w:t>Terminated per AAL-PA-1977-LA-1105595</w:t>
            </w:r>
          </w:p>
        </w:tc>
        <w:tc>
          <w:tcPr>
            <w:tcW w:w="13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9"/>
        </w:trPr>
        <w:tc>
          <w:tcPr>
            <w:tcW w:w="2300" w:type="dxa"/>
            <w:vAlign w:val="bottom"/>
          </w:tcPr>
          <w:p>
            <w:pPr>
              <w:spacing w:after="0"/>
              <w:rPr>
                <w:sz w:val="20"/>
                <w:szCs w:val="20"/>
                <w:color w:val="auto"/>
              </w:rPr>
            </w:pPr>
            <w:r>
              <w:rPr>
                <w:rFonts w:ascii="Arial" w:cs="Arial" w:eastAsia="Arial" w:hAnsi="Arial"/>
                <w:sz w:val="22"/>
                <w:szCs w:val="22"/>
                <w:color w:val="auto"/>
                <w:strike w:val="1"/>
              </w:rPr>
              <w:t>6-1162-AKP-072R2</w:t>
            </w:r>
          </w:p>
        </w:tc>
        <w:tc>
          <w:tcPr>
            <w:tcW w:w="580" w:type="dxa"/>
            <w:vAlign w:val="bottom"/>
          </w:tcPr>
          <w:p>
            <w:pPr>
              <w:spacing w:after="0"/>
              <w:rPr>
                <w:sz w:val="24"/>
                <w:szCs w:val="24"/>
                <w:color w:val="auto"/>
              </w:rPr>
            </w:pPr>
          </w:p>
        </w:tc>
        <w:tc>
          <w:tcPr>
            <w:tcW w:w="6120" w:type="dxa"/>
            <w:vAlign w:val="bottom"/>
            <w:gridSpan w:val="4"/>
          </w:tcPr>
          <w:p>
            <w:pPr>
              <w:spacing w:after="0"/>
              <w:rPr>
                <w:sz w:val="20"/>
                <w:szCs w:val="20"/>
                <w:color w:val="auto"/>
              </w:rPr>
            </w:pPr>
            <w:r>
              <w:rPr>
                <w:rFonts w:ascii="Arial" w:cs="Arial" w:eastAsia="Arial" w:hAnsi="Arial"/>
                <w:sz w:val="22"/>
                <w:szCs w:val="22"/>
                <w:color w:val="auto"/>
              </w:rPr>
              <w:t>[*CTR]</w:t>
            </w:r>
          </w:p>
        </w:tc>
        <w:tc>
          <w:tcPr>
            <w:tcW w:w="1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23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120" w:type="dxa"/>
            <w:vAlign w:val="bottom"/>
            <w:gridSpan w:val="4"/>
          </w:tcPr>
          <w:p>
            <w:pPr>
              <w:ind w:left="320"/>
              <w:spacing w:after="0"/>
              <w:rPr>
                <w:sz w:val="20"/>
                <w:szCs w:val="20"/>
                <w:color w:val="auto"/>
              </w:rPr>
            </w:pPr>
            <w:r>
              <w:rPr>
                <w:rFonts w:ascii="Arial" w:cs="Arial" w:eastAsia="Arial" w:hAnsi="Arial"/>
                <w:sz w:val="22"/>
                <w:szCs w:val="22"/>
                <w:color w:val="auto"/>
              </w:rPr>
              <w:t>Terminated per AAL-PA-1977-LA-1105595</w:t>
            </w:r>
          </w:p>
        </w:tc>
        <w:tc>
          <w:tcPr>
            <w:tcW w:w="13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1"/>
        </w:trPr>
        <w:tc>
          <w:tcPr>
            <w:tcW w:w="2880" w:type="dxa"/>
            <w:vAlign w:val="bottom"/>
            <w:gridSpan w:val="2"/>
          </w:tcPr>
          <w:p>
            <w:pPr>
              <w:spacing w:after="0"/>
              <w:rPr>
                <w:sz w:val="20"/>
                <w:szCs w:val="20"/>
                <w:color w:val="auto"/>
              </w:rPr>
            </w:pPr>
            <w:r>
              <w:rPr>
                <w:rFonts w:ascii="Arial" w:cs="Arial" w:eastAsia="Arial" w:hAnsi="Arial"/>
                <w:sz w:val="22"/>
                <w:szCs w:val="22"/>
                <w:color w:val="auto"/>
              </w:rPr>
              <w:t>6-1162-AKP-073R1</w:t>
            </w:r>
          </w:p>
        </w:tc>
        <w:tc>
          <w:tcPr>
            <w:tcW w:w="6120" w:type="dxa"/>
            <w:vAlign w:val="bottom"/>
            <w:gridSpan w:val="4"/>
          </w:tcPr>
          <w:p>
            <w:pPr>
              <w:spacing w:after="0"/>
              <w:rPr>
                <w:sz w:val="20"/>
                <w:szCs w:val="20"/>
                <w:color w:val="auto"/>
              </w:rPr>
            </w:pPr>
            <w:r>
              <w:rPr>
                <w:rFonts w:ascii="Arial" w:cs="Arial" w:eastAsia="Arial" w:hAnsi="Arial"/>
                <w:sz w:val="22"/>
                <w:szCs w:val="22"/>
                <w:color w:val="auto"/>
              </w:rPr>
              <w:t>Accident Claims and Litigation</w:t>
            </w:r>
          </w:p>
        </w:tc>
        <w:tc>
          <w:tcPr>
            <w:tcW w:w="1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300" w:type="dxa"/>
            <w:vAlign w:val="bottom"/>
          </w:tcPr>
          <w:p>
            <w:pPr>
              <w:spacing w:after="0"/>
              <w:rPr>
                <w:sz w:val="20"/>
                <w:szCs w:val="20"/>
                <w:color w:val="auto"/>
              </w:rPr>
            </w:pPr>
            <w:r>
              <w:rPr>
                <w:rFonts w:ascii="Arial" w:cs="Arial" w:eastAsia="Arial" w:hAnsi="Arial"/>
                <w:sz w:val="22"/>
                <w:szCs w:val="22"/>
                <w:color w:val="auto"/>
                <w:strike w:val="1"/>
              </w:rPr>
              <w:t>6-1162-CLO-1031R1</w:t>
            </w:r>
          </w:p>
        </w:tc>
        <w:tc>
          <w:tcPr>
            <w:tcW w:w="580" w:type="dxa"/>
            <w:vAlign w:val="bottom"/>
          </w:tcPr>
          <w:p>
            <w:pPr>
              <w:spacing w:after="0"/>
              <w:rPr>
                <w:sz w:val="24"/>
                <w:szCs w:val="24"/>
                <w:color w:val="auto"/>
              </w:rPr>
            </w:pPr>
          </w:p>
        </w:tc>
        <w:tc>
          <w:tcPr>
            <w:tcW w:w="6120" w:type="dxa"/>
            <w:vAlign w:val="bottom"/>
            <w:gridSpan w:val="4"/>
          </w:tcPr>
          <w:p>
            <w:pPr>
              <w:spacing w:after="0"/>
              <w:rPr>
                <w:sz w:val="20"/>
                <w:szCs w:val="20"/>
                <w:color w:val="auto"/>
              </w:rPr>
            </w:pPr>
            <w:r>
              <w:rPr>
                <w:rFonts w:ascii="Arial" w:cs="Arial" w:eastAsia="Arial" w:hAnsi="Arial"/>
                <w:sz w:val="22"/>
                <w:szCs w:val="22"/>
                <w:color w:val="auto"/>
              </w:rPr>
              <w:t>[*CTR]</w:t>
            </w:r>
          </w:p>
        </w:tc>
        <w:tc>
          <w:tcPr>
            <w:tcW w:w="1380" w:type="dxa"/>
            <w:vAlign w:val="bottom"/>
          </w:tcPr>
          <w:p>
            <w:pPr>
              <w:spacing w:after="0"/>
              <w:rPr>
                <w:sz w:val="24"/>
                <w:szCs w:val="2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22"/>
                <w:szCs w:val="22"/>
                <w:color w:val="auto"/>
                <w:w w:val="89"/>
              </w:rPr>
              <w:t>SA-2</w:t>
            </w:r>
          </w:p>
        </w:tc>
        <w:tc>
          <w:tcPr>
            <w:tcW w:w="0" w:type="dxa"/>
            <w:vAlign w:val="bottom"/>
          </w:tcPr>
          <w:p>
            <w:pPr>
              <w:spacing w:after="0"/>
              <w:rPr>
                <w:sz w:val="1"/>
                <w:szCs w:val="1"/>
                <w:color w:val="auto"/>
              </w:rPr>
            </w:pPr>
          </w:p>
        </w:tc>
      </w:tr>
      <w:tr>
        <w:trPr>
          <w:trHeight w:val="275"/>
        </w:trPr>
        <w:tc>
          <w:tcPr>
            <w:tcW w:w="23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120" w:type="dxa"/>
            <w:vAlign w:val="bottom"/>
            <w:gridSpan w:val="4"/>
            <w:vMerge w:val="restart"/>
          </w:tcPr>
          <w:p>
            <w:pPr>
              <w:spacing w:after="0"/>
              <w:rPr>
                <w:sz w:val="20"/>
                <w:szCs w:val="20"/>
                <w:color w:val="auto"/>
              </w:rPr>
            </w:pPr>
            <w:r>
              <w:rPr>
                <w:rFonts w:ascii="Arial" w:cs="Arial" w:eastAsia="Arial" w:hAnsi="Arial"/>
                <w:sz w:val="22"/>
                <w:szCs w:val="22"/>
                <w:color w:val="auto"/>
              </w:rPr>
              <w:t>WITHDRAWN</w:t>
            </w:r>
          </w:p>
        </w:tc>
        <w:tc>
          <w:tcPr>
            <w:tcW w:w="1380" w:type="dxa"/>
            <w:vAlign w:val="bottom"/>
          </w:tcPr>
          <w:p>
            <w:pPr>
              <w:spacing w:after="0"/>
              <w:rPr>
                <w:sz w:val="23"/>
                <w:szCs w:val="23"/>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22"/>
                <w:szCs w:val="22"/>
                <w:color w:val="auto"/>
                <w:w w:val="89"/>
              </w:rPr>
              <w:t>SA-3</w:t>
            </w:r>
          </w:p>
        </w:tc>
        <w:tc>
          <w:tcPr>
            <w:tcW w:w="0" w:type="dxa"/>
            <w:vAlign w:val="bottom"/>
          </w:tcPr>
          <w:p>
            <w:pPr>
              <w:spacing w:after="0"/>
              <w:rPr>
                <w:sz w:val="1"/>
                <w:szCs w:val="1"/>
                <w:color w:val="auto"/>
              </w:rPr>
            </w:pPr>
          </w:p>
        </w:tc>
      </w:tr>
      <w:tr>
        <w:trPr>
          <w:trHeight w:val="81"/>
        </w:trPr>
        <w:tc>
          <w:tcPr>
            <w:tcW w:w="23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120" w:type="dxa"/>
            <w:vAlign w:val="bottom"/>
            <w:gridSpan w:val="4"/>
            <w:vMerge w:val="continue"/>
          </w:tcPr>
          <w:p>
            <w:pPr>
              <w:spacing w:after="0"/>
              <w:rPr>
                <w:sz w:val="7"/>
                <w:szCs w:val="7"/>
                <w:color w:val="auto"/>
              </w:rPr>
            </w:pPr>
          </w:p>
        </w:tc>
        <w:tc>
          <w:tcPr>
            <w:tcW w:w="138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3"/>
        </w:trPr>
        <w:tc>
          <w:tcPr>
            <w:tcW w:w="2300" w:type="dxa"/>
            <w:vAlign w:val="bottom"/>
          </w:tcPr>
          <w:p>
            <w:pPr>
              <w:spacing w:after="0"/>
              <w:rPr>
                <w:sz w:val="20"/>
                <w:szCs w:val="20"/>
                <w:color w:val="auto"/>
              </w:rPr>
            </w:pPr>
            <w:r>
              <w:rPr>
                <w:rFonts w:ascii="Arial" w:cs="Arial" w:eastAsia="Arial" w:hAnsi="Arial"/>
                <w:sz w:val="22"/>
                <w:szCs w:val="22"/>
                <w:color w:val="auto"/>
                <w:strike w:val="1"/>
              </w:rPr>
              <w:t>6-1162-CLO-1032R1</w:t>
            </w:r>
          </w:p>
        </w:tc>
        <w:tc>
          <w:tcPr>
            <w:tcW w:w="580" w:type="dxa"/>
            <w:vAlign w:val="bottom"/>
          </w:tcPr>
          <w:p>
            <w:pPr>
              <w:spacing w:after="0"/>
              <w:rPr>
                <w:sz w:val="24"/>
                <w:szCs w:val="24"/>
                <w:color w:val="auto"/>
              </w:rPr>
            </w:pPr>
          </w:p>
        </w:tc>
        <w:tc>
          <w:tcPr>
            <w:tcW w:w="6120" w:type="dxa"/>
            <w:vAlign w:val="bottom"/>
            <w:gridSpan w:val="4"/>
          </w:tcPr>
          <w:p>
            <w:pPr>
              <w:spacing w:after="0"/>
              <w:rPr>
                <w:sz w:val="20"/>
                <w:szCs w:val="20"/>
                <w:color w:val="auto"/>
              </w:rPr>
            </w:pPr>
            <w:r>
              <w:rPr>
                <w:rFonts w:ascii="Arial" w:cs="Arial" w:eastAsia="Arial" w:hAnsi="Arial"/>
                <w:sz w:val="22"/>
                <w:szCs w:val="22"/>
                <w:color w:val="auto"/>
              </w:rPr>
              <w:t>[*CTR]</w:t>
            </w:r>
          </w:p>
        </w:tc>
        <w:tc>
          <w:tcPr>
            <w:tcW w:w="1380" w:type="dxa"/>
            <w:vAlign w:val="bottom"/>
          </w:tcPr>
          <w:p>
            <w:pPr>
              <w:spacing w:after="0"/>
              <w:rPr>
                <w:sz w:val="24"/>
                <w:szCs w:val="2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22"/>
                <w:szCs w:val="22"/>
                <w:color w:val="auto"/>
                <w:w w:val="89"/>
              </w:rPr>
              <w:t>SA-3</w:t>
            </w:r>
          </w:p>
        </w:tc>
        <w:tc>
          <w:tcPr>
            <w:tcW w:w="0" w:type="dxa"/>
            <w:vAlign w:val="bottom"/>
          </w:tcPr>
          <w:p>
            <w:pPr>
              <w:spacing w:after="0"/>
              <w:rPr>
                <w:sz w:val="1"/>
                <w:szCs w:val="1"/>
                <w:color w:val="auto"/>
              </w:rPr>
            </w:pPr>
          </w:p>
        </w:tc>
      </w:tr>
      <w:tr>
        <w:trPr>
          <w:trHeight w:val="275"/>
        </w:trPr>
        <w:tc>
          <w:tcPr>
            <w:tcW w:w="23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120" w:type="dxa"/>
            <w:vAlign w:val="bottom"/>
            <w:gridSpan w:val="4"/>
          </w:tcPr>
          <w:p>
            <w:pPr>
              <w:ind w:left="320"/>
              <w:spacing w:after="0"/>
              <w:rPr>
                <w:sz w:val="20"/>
                <w:szCs w:val="20"/>
                <w:color w:val="auto"/>
              </w:rPr>
            </w:pPr>
            <w:r>
              <w:rPr>
                <w:rFonts w:ascii="Arial" w:cs="Arial" w:eastAsia="Arial" w:hAnsi="Arial"/>
                <w:sz w:val="22"/>
                <w:szCs w:val="22"/>
                <w:color w:val="auto"/>
              </w:rPr>
              <w:t>Terminated</w:t>
            </w:r>
          </w:p>
        </w:tc>
        <w:tc>
          <w:tcPr>
            <w:tcW w:w="13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1"/>
        </w:trPr>
        <w:tc>
          <w:tcPr>
            <w:tcW w:w="2880" w:type="dxa"/>
            <w:vAlign w:val="bottom"/>
            <w:gridSpan w:val="2"/>
          </w:tcPr>
          <w:p>
            <w:pPr>
              <w:spacing w:after="0"/>
              <w:rPr>
                <w:sz w:val="20"/>
                <w:szCs w:val="20"/>
                <w:color w:val="auto"/>
              </w:rPr>
            </w:pPr>
            <w:r>
              <w:rPr>
                <w:rFonts w:ascii="Arial" w:cs="Arial" w:eastAsia="Arial" w:hAnsi="Arial"/>
                <w:sz w:val="22"/>
                <w:szCs w:val="22"/>
                <w:color w:val="auto"/>
              </w:rPr>
              <w:t>6-1162-CLO-1039</w:t>
            </w:r>
          </w:p>
        </w:tc>
        <w:tc>
          <w:tcPr>
            <w:tcW w:w="6120" w:type="dxa"/>
            <w:vAlign w:val="bottom"/>
            <w:gridSpan w:val="4"/>
          </w:tcPr>
          <w:p>
            <w:pPr>
              <w:spacing w:after="0"/>
              <w:rPr>
                <w:sz w:val="20"/>
                <w:szCs w:val="20"/>
                <w:color w:val="auto"/>
              </w:rPr>
            </w:pPr>
            <w:r>
              <w:rPr>
                <w:rFonts w:ascii="Arial" w:cs="Arial" w:eastAsia="Arial" w:hAnsi="Arial"/>
                <w:sz w:val="22"/>
                <w:szCs w:val="22"/>
                <w:color w:val="auto"/>
              </w:rPr>
              <w:t>[*CTR]</w:t>
            </w:r>
          </w:p>
        </w:tc>
        <w:tc>
          <w:tcPr>
            <w:tcW w:w="1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880" w:type="dxa"/>
            <w:vAlign w:val="bottom"/>
            <w:gridSpan w:val="2"/>
          </w:tcPr>
          <w:p>
            <w:pPr>
              <w:spacing w:after="0"/>
              <w:rPr>
                <w:sz w:val="20"/>
                <w:szCs w:val="20"/>
                <w:color w:val="auto"/>
              </w:rPr>
            </w:pPr>
            <w:r>
              <w:rPr>
                <w:rFonts w:ascii="Arial" w:cs="Arial" w:eastAsia="Arial" w:hAnsi="Arial"/>
                <w:sz w:val="22"/>
                <w:szCs w:val="22"/>
                <w:color w:val="auto"/>
              </w:rPr>
              <w:t>6-1162-CLO-1042</w:t>
            </w:r>
          </w:p>
        </w:tc>
        <w:tc>
          <w:tcPr>
            <w:tcW w:w="6120" w:type="dxa"/>
            <w:vAlign w:val="bottom"/>
            <w:gridSpan w:val="4"/>
          </w:tcPr>
          <w:p>
            <w:pPr>
              <w:spacing w:after="0"/>
              <w:rPr>
                <w:sz w:val="20"/>
                <w:szCs w:val="20"/>
                <w:color w:val="auto"/>
              </w:rPr>
            </w:pPr>
            <w:r>
              <w:rPr>
                <w:rFonts w:ascii="Arial" w:cs="Arial" w:eastAsia="Arial" w:hAnsi="Arial"/>
                <w:sz w:val="22"/>
                <w:szCs w:val="22"/>
                <w:color w:val="auto"/>
              </w:rPr>
              <w:t>[*CTR]</w:t>
            </w:r>
          </w:p>
        </w:tc>
        <w:tc>
          <w:tcPr>
            <w:tcW w:w="1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880" w:type="dxa"/>
            <w:vAlign w:val="bottom"/>
            <w:gridSpan w:val="2"/>
          </w:tcPr>
          <w:p>
            <w:pPr>
              <w:spacing w:after="0"/>
              <w:rPr>
                <w:sz w:val="20"/>
                <w:szCs w:val="20"/>
                <w:color w:val="auto"/>
              </w:rPr>
            </w:pPr>
            <w:r>
              <w:rPr>
                <w:rFonts w:ascii="Arial" w:cs="Arial" w:eastAsia="Arial" w:hAnsi="Arial"/>
                <w:sz w:val="22"/>
                <w:szCs w:val="22"/>
                <w:color w:val="auto"/>
              </w:rPr>
              <w:t>6-1162-CLO-1043R1</w:t>
            </w:r>
          </w:p>
        </w:tc>
        <w:tc>
          <w:tcPr>
            <w:tcW w:w="6120" w:type="dxa"/>
            <w:vAlign w:val="bottom"/>
            <w:gridSpan w:val="4"/>
          </w:tcPr>
          <w:p>
            <w:pPr>
              <w:spacing w:after="0"/>
              <w:rPr>
                <w:sz w:val="20"/>
                <w:szCs w:val="20"/>
                <w:color w:val="auto"/>
              </w:rPr>
            </w:pPr>
            <w:r>
              <w:rPr>
                <w:rFonts w:ascii="Arial" w:cs="Arial" w:eastAsia="Arial" w:hAnsi="Arial"/>
                <w:sz w:val="22"/>
                <w:szCs w:val="22"/>
                <w:color w:val="auto"/>
              </w:rPr>
              <w:t>787 Inspection Process</w:t>
            </w:r>
          </w:p>
        </w:tc>
        <w:tc>
          <w:tcPr>
            <w:tcW w:w="1380" w:type="dxa"/>
            <w:vAlign w:val="bottom"/>
          </w:tcPr>
          <w:p>
            <w:pPr>
              <w:spacing w:after="0"/>
              <w:rPr>
                <w:sz w:val="24"/>
                <w:szCs w:val="2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22"/>
                <w:szCs w:val="22"/>
                <w:color w:val="auto"/>
                <w:w w:val="89"/>
              </w:rPr>
              <w:t>SA-3</w:t>
            </w:r>
          </w:p>
        </w:tc>
        <w:tc>
          <w:tcPr>
            <w:tcW w:w="0" w:type="dxa"/>
            <w:vAlign w:val="bottom"/>
          </w:tcPr>
          <w:p>
            <w:pPr>
              <w:spacing w:after="0"/>
              <w:rPr>
                <w:sz w:val="1"/>
                <w:szCs w:val="1"/>
                <w:color w:val="auto"/>
              </w:rPr>
            </w:pPr>
          </w:p>
        </w:tc>
      </w:tr>
      <w:tr>
        <w:trPr>
          <w:trHeight w:val="311"/>
        </w:trPr>
        <w:tc>
          <w:tcPr>
            <w:tcW w:w="2880" w:type="dxa"/>
            <w:vAlign w:val="bottom"/>
            <w:gridSpan w:val="2"/>
          </w:tcPr>
          <w:p>
            <w:pPr>
              <w:spacing w:after="0"/>
              <w:rPr>
                <w:sz w:val="20"/>
                <w:szCs w:val="20"/>
                <w:color w:val="auto"/>
              </w:rPr>
            </w:pPr>
            <w:r>
              <w:rPr>
                <w:rFonts w:ascii="Arial" w:cs="Arial" w:eastAsia="Arial" w:hAnsi="Arial"/>
                <w:sz w:val="22"/>
                <w:szCs w:val="22"/>
                <w:color w:val="auto"/>
              </w:rPr>
              <w:t>6-1162-CLO-1045R1</w:t>
            </w:r>
          </w:p>
        </w:tc>
        <w:tc>
          <w:tcPr>
            <w:tcW w:w="6120" w:type="dxa"/>
            <w:vAlign w:val="bottom"/>
            <w:gridSpan w:val="4"/>
          </w:tcPr>
          <w:p>
            <w:pPr>
              <w:spacing w:after="0"/>
              <w:rPr>
                <w:sz w:val="20"/>
                <w:szCs w:val="20"/>
                <w:color w:val="auto"/>
              </w:rPr>
            </w:pPr>
            <w:r>
              <w:rPr>
                <w:rFonts w:ascii="Arial" w:cs="Arial" w:eastAsia="Arial" w:hAnsi="Arial"/>
                <w:sz w:val="22"/>
                <w:szCs w:val="22"/>
                <w:color w:val="auto"/>
              </w:rPr>
              <w:t>[*CTR]</w:t>
            </w:r>
          </w:p>
        </w:tc>
        <w:tc>
          <w:tcPr>
            <w:tcW w:w="1380" w:type="dxa"/>
            <w:vAlign w:val="bottom"/>
          </w:tcPr>
          <w:p>
            <w:pPr>
              <w:spacing w:after="0"/>
              <w:rPr>
                <w:sz w:val="24"/>
                <w:szCs w:val="2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22"/>
                <w:szCs w:val="22"/>
                <w:color w:val="auto"/>
                <w:w w:val="89"/>
              </w:rPr>
              <w:t>SA-2</w:t>
            </w:r>
          </w:p>
        </w:tc>
        <w:tc>
          <w:tcPr>
            <w:tcW w:w="0" w:type="dxa"/>
            <w:vAlign w:val="bottom"/>
          </w:tcPr>
          <w:p>
            <w:pPr>
              <w:spacing w:after="0"/>
              <w:rPr>
                <w:sz w:val="1"/>
                <w:szCs w:val="1"/>
                <w:color w:val="auto"/>
              </w:rPr>
            </w:pPr>
          </w:p>
        </w:tc>
      </w:tr>
      <w:tr>
        <w:trPr>
          <w:trHeight w:val="279"/>
        </w:trPr>
        <w:tc>
          <w:tcPr>
            <w:tcW w:w="2300" w:type="dxa"/>
            <w:vAlign w:val="bottom"/>
          </w:tcPr>
          <w:p>
            <w:pPr>
              <w:spacing w:after="0"/>
              <w:rPr>
                <w:sz w:val="20"/>
                <w:szCs w:val="20"/>
                <w:color w:val="auto"/>
              </w:rPr>
            </w:pPr>
            <w:r>
              <w:rPr>
                <w:rFonts w:ascii="Arial" w:cs="Arial" w:eastAsia="Arial" w:hAnsi="Arial"/>
                <w:sz w:val="22"/>
                <w:szCs w:val="22"/>
                <w:color w:val="auto"/>
                <w:strike w:val="1"/>
              </w:rPr>
              <w:t>6-1162-CLO-1046</w:t>
            </w:r>
          </w:p>
        </w:tc>
        <w:tc>
          <w:tcPr>
            <w:tcW w:w="580" w:type="dxa"/>
            <w:vAlign w:val="bottom"/>
          </w:tcPr>
          <w:p>
            <w:pPr>
              <w:spacing w:after="0"/>
              <w:rPr>
                <w:sz w:val="24"/>
                <w:szCs w:val="24"/>
                <w:color w:val="auto"/>
              </w:rPr>
            </w:pPr>
          </w:p>
        </w:tc>
        <w:tc>
          <w:tcPr>
            <w:tcW w:w="6120" w:type="dxa"/>
            <w:vAlign w:val="bottom"/>
            <w:gridSpan w:val="4"/>
          </w:tcPr>
          <w:p>
            <w:pPr>
              <w:spacing w:after="0"/>
              <w:rPr>
                <w:sz w:val="20"/>
                <w:szCs w:val="20"/>
                <w:color w:val="auto"/>
              </w:rPr>
            </w:pPr>
            <w:r>
              <w:rPr>
                <w:rFonts w:ascii="Arial" w:cs="Arial" w:eastAsia="Arial" w:hAnsi="Arial"/>
                <w:sz w:val="22"/>
                <w:szCs w:val="22"/>
                <w:color w:val="auto"/>
                <w:strike w:val="1"/>
              </w:rPr>
              <w:t>SA-eE, COTS Software and End User License Matters</w:t>
            </w:r>
          </w:p>
        </w:tc>
        <w:tc>
          <w:tcPr>
            <w:tcW w:w="1380" w:type="dxa"/>
            <w:vAlign w:val="bottom"/>
          </w:tcPr>
          <w:p>
            <w:pPr>
              <w:spacing w:after="0"/>
              <w:rPr>
                <w:sz w:val="24"/>
                <w:szCs w:val="2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22"/>
                <w:szCs w:val="22"/>
                <w:color w:val="auto"/>
                <w:w w:val="89"/>
              </w:rPr>
              <w:t>SA-3</w:t>
            </w:r>
          </w:p>
        </w:tc>
        <w:tc>
          <w:tcPr>
            <w:tcW w:w="0" w:type="dxa"/>
            <w:vAlign w:val="bottom"/>
          </w:tcPr>
          <w:p>
            <w:pPr>
              <w:spacing w:after="0"/>
              <w:rPr>
                <w:sz w:val="1"/>
                <w:szCs w:val="1"/>
                <w:color w:val="auto"/>
              </w:rPr>
            </w:pPr>
          </w:p>
        </w:tc>
      </w:tr>
      <w:tr>
        <w:trPr>
          <w:trHeight w:val="275"/>
        </w:trPr>
        <w:tc>
          <w:tcPr>
            <w:tcW w:w="23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120" w:type="dxa"/>
            <w:vAlign w:val="bottom"/>
            <w:gridSpan w:val="4"/>
          </w:tcPr>
          <w:p>
            <w:pPr>
              <w:ind w:left="320"/>
              <w:spacing w:after="0"/>
              <w:rPr>
                <w:sz w:val="20"/>
                <w:szCs w:val="20"/>
                <w:color w:val="auto"/>
              </w:rPr>
            </w:pPr>
            <w:r>
              <w:rPr>
                <w:rFonts w:ascii="Arial" w:cs="Arial" w:eastAsia="Arial" w:hAnsi="Arial"/>
                <w:sz w:val="22"/>
                <w:szCs w:val="22"/>
                <w:color w:val="auto"/>
              </w:rPr>
              <w:t>WITHDRAWN</w:t>
            </w:r>
          </w:p>
        </w:tc>
        <w:tc>
          <w:tcPr>
            <w:tcW w:w="13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4"/>
        </w:trPr>
        <w:tc>
          <w:tcPr>
            <w:tcW w:w="2880" w:type="dxa"/>
            <w:vAlign w:val="bottom"/>
            <w:gridSpan w:val="2"/>
          </w:tcPr>
          <w:p>
            <w:pPr>
              <w:spacing w:after="0"/>
              <w:rPr>
                <w:sz w:val="20"/>
                <w:szCs w:val="20"/>
                <w:color w:val="auto"/>
              </w:rPr>
            </w:pPr>
            <w:r>
              <w:rPr>
                <w:rFonts w:ascii="Arial" w:cs="Arial" w:eastAsia="Arial" w:hAnsi="Arial"/>
                <w:sz w:val="22"/>
                <w:szCs w:val="22"/>
                <w:color w:val="auto"/>
              </w:rPr>
              <w:t>6-1162-CLO-1047R2</w:t>
            </w:r>
          </w:p>
        </w:tc>
        <w:tc>
          <w:tcPr>
            <w:tcW w:w="6120" w:type="dxa"/>
            <w:vAlign w:val="bottom"/>
            <w:gridSpan w:val="4"/>
          </w:tcPr>
          <w:p>
            <w:pPr>
              <w:spacing w:after="0"/>
              <w:rPr>
                <w:sz w:val="20"/>
                <w:szCs w:val="20"/>
                <w:color w:val="auto"/>
              </w:rPr>
            </w:pPr>
            <w:r>
              <w:rPr>
                <w:rFonts w:ascii="Arial" w:cs="Arial" w:eastAsia="Arial" w:hAnsi="Arial"/>
                <w:sz w:val="22"/>
                <w:szCs w:val="22"/>
                <w:color w:val="auto"/>
              </w:rPr>
              <w:t>[*CTR]</w:t>
            </w:r>
          </w:p>
        </w:tc>
        <w:tc>
          <w:tcPr>
            <w:tcW w:w="1380" w:type="dxa"/>
            <w:vAlign w:val="bottom"/>
          </w:tcPr>
          <w:p>
            <w:pPr>
              <w:spacing w:after="0"/>
              <w:rPr>
                <w:sz w:val="24"/>
                <w:szCs w:val="2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22"/>
                <w:szCs w:val="22"/>
                <w:color w:val="auto"/>
                <w:w w:val="89"/>
              </w:rPr>
              <w:t>SA-6</w:t>
            </w:r>
          </w:p>
        </w:tc>
        <w:tc>
          <w:tcPr>
            <w:tcW w:w="0" w:type="dxa"/>
            <w:vAlign w:val="bottom"/>
          </w:tcPr>
          <w:p>
            <w:pPr>
              <w:spacing w:after="0"/>
              <w:rPr>
                <w:sz w:val="1"/>
                <w:szCs w:val="1"/>
                <w:color w:val="auto"/>
              </w:rPr>
            </w:pPr>
          </w:p>
        </w:tc>
      </w:tr>
      <w:tr>
        <w:trPr>
          <w:trHeight w:val="311"/>
        </w:trPr>
        <w:tc>
          <w:tcPr>
            <w:tcW w:w="2300" w:type="dxa"/>
            <w:vAlign w:val="bottom"/>
          </w:tcPr>
          <w:p>
            <w:pPr>
              <w:spacing w:after="0"/>
              <w:rPr>
                <w:sz w:val="20"/>
                <w:szCs w:val="20"/>
                <w:color w:val="auto"/>
              </w:rPr>
            </w:pPr>
            <w:r>
              <w:rPr>
                <w:rFonts w:ascii="Arial" w:cs="Arial" w:eastAsia="Arial" w:hAnsi="Arial"/>
                <w:sz w:val="22"/>
                <w:szCs w:val="22"/>
                <w:color w:val="auto"/>
                <w:strike w:val="1"/>
              </w:rPr>
              <w:t>6-1162-CLO-1048</w:t>
            </w:r>
          </w:p>
        </w:tc>
        <w:tc>
          <w:tcPr>
            <w:tcW w:w="58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22"/>
                <w:szCs w:val="22"/>
                <w:color w:val="auto"/>
                <w:strike w:val="1"/>
                <w:w w:val="88"/>
              </w:rPr>
              <w:t>Final Matters</w:t>
            </w:r>
          </w:p>
        </w:tc>
        <w:tc>
          <w:tcPr>
            <w:tcW w:w="2060" w:type="dxa"/>
            <w:vAlign w:val="bottom"/>
            <w:gridSpan w:val="2"/>
          </w:tcPr>
          <w:p>
            <w:pPr>
              <w:spacing w:after="0"/>
              <w:rPr>
                <w:sz w:val="24"/>
                <w:szCs w:val="24"/>
                <w:color w:val="auto"/>
              </w:rPr>
            </w:pPr>
          </w:p>
        </w:tc>
        <w:tc>
          <w:tcPr>
            <w:tcW w:w="29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22"/>
                <w:szCs w:val="22"/>
                <w:color w:val="auto"/>
                <w:w w:val="89"/>
              </w:rPr>
              <w:t>SA-2</w:t>
            </w:r>
          </w:p>
        </w:tc>
        <w:tc>
          <w:tcPr>
            <w:tcW w:w="0" w:type="dxa"/>
            <w:vAlign w:val="bottom"/>
          </w:tcPr>
          <w:p>
            <w:pPr>
              <w:spacing w:after="0"/>
              <w:rPr>
                <w:sz w:val="1"/>
                <w:szCs w:val="1"/>
                <w:color w:val="auto"/>
              </w:rPr>
            </w:pPr>
          </w:p>
        </w:tc>
      </w:tr>
      <w:tr>
        <w:trPr>
          <w:trHeight w:val="311"/>
        </w:trPr>
        <w:tc>
          <w:tcPr>
            <w:tcW w:w="2880" w:type="dxa"/>
            <w:vAlign w:val="bottom"/>
            <w:gridSpan w:val="2"/>
          </w:tcPr>
          <w:p>
            <w:pPr>
              <w:spacing w:after="0"/>
              <w:rPr>
                <w:sz w:val="20"/>
                <w:szCs w:val="20"/>
                <w:color w:val="auto"/>
              </w:rPr>
            </w:pPr>
            <w:r>
              <w:rPr>
                <w:rFonts w:ascii="Arial" w:cs="Arial" w:eastAsia="Arial" w:hAnsi="Arial"/>
                <w:sz w:val="22"/>
                <w:szCs w:val="22"/>
                <w:color w:val="auto"/>
              </w:rPr>
              <w:t>6-1162-CLO-1049R2</w:t>
            </w:r>
          </w:p>
        </w:tc>
        <w:tc>
          <w:tcPr>
            <w:tcW w:w="6120" w:type="dxa"/>
            <w:vAlign w:val="bottom"/>
            <w:gridSpan w:val="4"/>
          </w:tcPr>
          <w:p>
            <w:pPr>
              <w:spacing w:after="0"/>
              <w:rPr>
                <w:sz w:val="20"/>
                <w:szCs w:val="20"/>
                <w:color w:val="auto"/>
              </w:rPr>
            </w:pPr>
            <w:r>
              <w:rPr>
                <w:rFonts w:ascii="Arial" w:cs="Arial" w:eastAsia="Arial" w:hAnsi="Arial"/>
                <w:sz w:val="22"/>
                <w:szCs w:val="22"/>
                <w:color w:val="auto"/>
              </w:rPr>
              <w:t>CS1 Matters</w:t>
            </w:r>
          </w:p>
        </w:tc>
        <w:tc>
          <w:tcPr>
            <w:tcW w:w="1380" w:type="dxa"/>
            <w:vAlign w:val="bottom"/>
          </w:tcPr>
          <w:p>
            <w:pPr>
              <w:spacing w:after="0"/>
              <w:rPr>
                <w:sz w:val="24"/>
                <w:szCs w:val="2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22"/>
                <w:szCs w:val="22"/>
                <w:color w:val="auto"/>
                <w:w w:val="89"/>
              </w:rPr>
              <w:t>SA-6</w:t>
            </w:r>
          </w:p>
        </w:tc>
        <w:tc>
          <w:tcPr>
            <w:tcW w:w="0" w:type="dxa"/>
            <w:vAlign w:val="bottom"/>
          </w:tcPr>
          <w:p>
            <w:pPr>
              <w:spacing w:after="0"/>
              <w:rPr>
                <w:sz w:val="1"/>
                <w:szCs w:val="1"/>
                <w:color w:val="auto"/>
              </w:rPr>
            </w:pPr>
          </w:p>
        </w:tc>
      </w:tr>
      <w:tr>
        <w:trPr>
          <w:trHeight w:val="279"/>
        </w:trPr>
        <w:tc>
          <w:tcPr>
            <w:tcW w:w="2880" w:type="dxa"/>
            <w:vAlign w:val="bottom"/>
            <w:gridSpan w:val="2"/>
          </w:tcPr>
          <w:p>
            <w:pPr>
              <w:spacing w:after="0"/>
              <w:rPr>
                <w:sz w:val="20"/>
                <w:szCs w:val="20"/>
                <w:color w:val="auto"/>
              </w:rPr>
            </w:pPr>
            <w:r>
              <w:rPr>
                <w:rFonts w:ascii="Arial" w:cs="Arial" w:eastAsia="Arial" w:hAnsi="Arial"/>
                <w:sz w:val="22"/>
                <w:szCs w:val="22"/>
                <w:color w:val="auto"/>
              </w:rPr>
              <w:t>6-1162-TRW-0664R1</w:t>
            </w:r>
          </w:p>
        </w:tc>
        <w:tc>
          <w:tcPr>
            <w:tcW w:w="6120" w:type="dxa"/>
            <w:vAlign w:val="bottom"/>
            <w:gridSpan w:val="4"/>
          </w:tcPr>
          <w:p>
            <w:pPr>
              <w:spacing w:after="0"/>
              <w:rPr>
                <w:sz w:val="20"/>
                <w:szCs w:val="20"/>
                <w:color w:val="auto"/>
              </w:rPr>
            </w:pPr>
            <w:r>
              <w:rPr>
                <w:rFonts w:ascii="Arial" w:cs="Arial" w:eastAsia="Arial" w:hAnsi="Arial"/>
                <w:sz w:val="22"/>
                <w:szCs w:val="22"/>
                <w:color w:val="auto"/>
              </w:rPr>
              <w:t>Aircraft Purchase Rights and Substitution Rights</w:t>
            </w:r>
          </w:p>
        </w:tc>
        <w:tc>
          <w:tcPr>
            <w:tcW w:w="1380" w:type="dxa"/>
            <w:vAlign w:val="bottom"/>
          </w:tcPr>
          <w:p>
            <w:pPr>
              <w:spacing w:after="0"/>
              <w:rPr>
                <w:sz w:val="24"/>
                <w:szCs w:val="2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22"/>
                <w:szCs w:val="22"/>
                <w:color w:val="auto"/>
                <w:w w:val="89"/>
              </w:rPr>
              <w:t>SA-4</w:t>
            </w:r>
          </w:p>
        </w:tc>
        <w:tc>
          <w:tcPr>
            <w:tcW w:w="0" w:type="dxa"/>
            <w:vAlign w:val="bottom"/>
          </w:tcPr>
          <w:p>
            <w:pPr>
              <w:spacing w:after="0"/>
              <w:rPr>
                <w:sz w:val="1"/>
                <w:szCs w:val="1"/>
                <w:color w:val="auto"/>
              </w:rPr>
            </w:pPr>
          </w:p>
        </w:tc>
      </w:tr>
      <w:tr>
        <w:trPr>
          <w:trHeight w:val="243"/>
        </w:trPr>
        <w:tc>
          <w:tcPr>
            <w:tcW w:w="23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120" w:type="dxa"/>
            <w:vAlign w:val="bottom"/>
            <w:gridSpan w:val="4"/>
          </w:tcPr>
          <w:p>
            <w:pPr>
              <w:spacing w:after="0" w:line="243" w:lineRule="exact"/>
              <w:rPr>
                <w:sz w:val="20"/>
                <w:szCs w:val="20"/>
                <w:color w:val="auto"/>
              </w:rPr>
            </w:pPr>
            <w:r>
              <w:rPr>
                <w:rFonts w:ascii="Arial" w:cs="Arial" w:eastAsia="Arial" w:hAnsi="Arial"/>
                <w:sz w:val="22"/>
                <w:szCs w:val="22"/>
                <w:color w:val="auto"/>
              </w:rPr>
              <w:t>Attachment A(R2) – MADP Exercise Dates</w:t>
            </w:r>
          </w:p>
        </w:tc>
        <w:tc>
          <w:tcPr>
            <w:tcW w:w="1380" w:type="dxa"/>
            <w:vAlign w:val="bottom"/>
          </w:tcPr>
          <w:p>
            <w:pPr>
              <w:spacing w:after="0"/>
              <w:rPr>
                <w:sz w:val="21"/>
                <w:szCs w:val="21"/>
                <w:color w:val="auto"/>
              </w:rPr>
            </w:pPr>
          </w:p>
        </w:tc>
        <w:tc>
          <w:tcPr>
            <w:tcW w:w="1040" w:type="dxa"/>
            <w:vAlign w:val="bottom"/>
            <w:gridSpan w:val="2"/>
          </w:tcPr>
          <w:p>
            <w:pPr>
              <w:jc w:val="center"/>
              <w:ind w:right="120"/>
              <w:spacing w:after="0" w:line="243" w:lineRule="exact"/>
              <w:rPr>
                <w:sz w:val="20"/>
                <w:szCs w:val="20"/>
                <w:color w:val="auto"/>
              </w:rPr>
            </w:pPr>
            <w:r>
              <w:rPr>
                <w:rFonts w:ascii="Arial" w:cs="Arial" w:eastAsia="Arial" w:hAnsi="Arial"/>
                <w:sz w:val="22"/>
                <w:szCs w:val="22"/>
                <w:color w:val="auto"/>
                <w:w w:val="89"/>
              </w:rPr>
              <w:t>SA-6</w:t>
            </w:r>
          </w:p>
        </w:tc>
        <w:tc>
          <w:tcPr>
            <w:tcW w:w="0" w:type="dxa"/>
            <w:vAlign w:val="bottom"/>
          </w:tcPr>
          <w:p>
            <w:pPr>
              <w:spacing w:after="0"/>
              <w:rPr>
                <w:sz w:val="1"/>
                <w:szCs w:val="1"/>
                <w:color w:val="auto"/>
              </w:rPr>
            </w:pPr>
          </w:p>
        </w:tc>
      </w:tr>
      <w:tr>
        <w:trPr>
          <w:trHeight w:val="243"/>
        </w:trPr>
        <w:tc>
          <w:tcPr>
            <w:tcW w:w="23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120" w:type="dxa"/>
            <w:vAlign w:val="bottom"/>
            <w:gridSpan w:val="4"/>
          </w:tcPr>
          <w:p>
            <w:pPr>
              <w:spacing w:after="0" w:line="243" w:lineRule="exact"/>
              <w:rPr>
                <w:sz w:val="20"/>
                <w:szCs w:val="20"/>
                <w:color w:val="auto"/>
              </w:rPr>
            </w:pPr>
            <w:r>
              <w:rPr>
                <w:rFonts w:ascii="Arial" w:cs="Arial" w:eastAsia="Arial" w:hAnsi="Arial"/>
                <w:sz w:val="22"/>
                <w:szCs w:val="22"/>
                <w:color w:val="auto"/>
              </w:rPr>
              <w:t>Attachment B(R2) – QADP Exercise Dates</w:t>
            </w:r>
          </w:p>
        </w:tc>
        <w:tc>
          <w:tcPr>
            <w:tcW w:w="1380" w:type="dxa"/>
            <w:vAlign w:val="bottom"/>
          </w:tcPr>
          <w:p>
            <w:pPr>
              <w:spacing w:after="0"/>
              <w:rPr>
                <w:sz w:val="21"/>
                <w:szCs w:val="21"/>
                <w:color w:val="auto"/>
              </w:rPr>
            </w:pPr>
          </w:p>
        </w:tc>
        <w:tc>
          <w:tcPr>
            <w:tcW w:w="1040" w:type="dxa"/>
            <w:vAlign w:val="bottom"/>
            <w:gridSpan w:val="2"/>
          </w:tcPr>
          <w:p>
            <w:pPr>
              <w:jc w:val="center"/>
              <w:ind w:right="120"/>
              <w:spacing w:after="0" w:line="243" w:lineRule="exact"/>
              <w:rPr>
                <w:sz w:val="20"/>
                <w:szCs w:val="20"/>
                <w:color w:val="auto"/>
              </w:rPr>
            </w:pPr>
            <w:r>
              <w:rPr>
                <w:rFonts w:ascii="Arial" w:cs="Arial" w:eastAsia="Arial" w:hAnsi="Arial"/>
                <w:sz w:val="22"/>
                <w:szCs w:val="22"/>
                <w:color w:val="auto"/>
                <w:w w:val="89"/>
              </w:rPr>
              <w:t>SA-6</w:t>
            </w:r>
          </w:p>
        </w:tc>
        <w:tc>
          <w:tcPr>
            <w:tcW w:w="0" w:type="dxa"/>
            <w:vAlign w:val="bottom"/>
          </w:tcPr>
          <w:p>
            <w:pPr>
              <w:spacing w:after="0"/>
              <w:rPr>
                <w:sz w:val="1"/>
                <w:szCs w:val="1"/>
                <w:color w:val="auto"/>
              </w:rPr>
            </w:pPr>
          </w:p>
        </w:tc>
      </w:tr>
      <w:tr>
        <w:trPr>
          <w:trHeight w:val="243"/>
        </w:trPr>
        <w:tc>
          <w:tcPr>
            <w:tcW w:w="23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120" w:type="dxa"/>
            <w:vAlign w:val="bottom"/>
            <w:gridSpan w:val="4"/>
          </w:tcPr>
          <w:p>
            <w:pPr>
              <w:spacing w:after="0" w:line="243" w:lineRule="exact"/>
              <w:rPr>
                <w:sz w:val="20"/>
                <w:szCs w:val="20"/>
                <w:color w:val="auto"/>
              </w:rPr>
            </w:pPr>
            <w:r>
              <w:rPr>
                <w:rFonts w:ascii="Arial" w:cs="Arial" w:eastAsia="Arial" w:hAnsi="Arial"/>
                <w:sz w:val="22"/>
                <w:szCs w:val="22"/>
                <w:color w:val="auto"/>
              </w:rPr>
              <w:t>Attachment C(R3) – MADP &amp; QADP Rights Aircraft:</w:t>
            </w:r>
          </w:p>
        </w:tc>
        <w:tc>
          <w:tcPr>
            <w:tcW w:w="1380" w:type="dxa"/>
            <w:vAlign w:val="bottom"/>
          </w:tcPr>
          <w:p>
            <w:pPr>
              <w:spacing w:after="0"/>
              <w:rPr>
                <w:sz w:val="21"/>
                <w:szCs w:val="21"/>
                <w:color w:val="auto"/>
              </w:rPr>
            </w:pPr>
          </w:p>
        </w:tc>
        <w:tc>
          <w:tcPr>
            <w:tcW w:w="1040" w:type="dxa"/>
            <w:vAlign w:val="bottom"/>
            <w:gridSpan w:val="2"/>
          </w:tcPr>
          <w:p>
            <w:pPr>
              <w:jc w:val="center"/>
              <w:ind w:right="120"/>
              <w:spacing w:after="0" w:line="243" w:lineRule="exact"/>
              <w:rPr>
                <w:sz w:val="20"/>
                <w:szCs w:val="20"/>
                <w:color w:val="auto"/>
              </w:rPr>
            </w:pPr>
            <w:r>
              <w:rPr>
                <w:rFonts w:ascii="Arial" w:cs="Arial" w:eastAsia="Arial" w:hAnsi="Arial"/>
                <w:sz w:val="22"/>
                <w:szCs w:val="22"/>
                <w:color w:val="auto"/>
                <w:w w:val="89"/>
              </w:rPr>
              <w:t>SA-8</w:t>
            </w:r>
          </w:p>
        </w:tc>
        <w:tc>
          <w:tcPr>
            <w:tcW w:w="0" w:type="dxa"/>
            <w:vAlign w:val="bottom"/>
          </w:tcPr>
          <w:p>
            <w:pPr>
              <w:spacing w:after="0"/>
              <w:rPr>
                <w:sz w:val="1"/>
                <w:szCs w:val="1"/>
                <w:color w:val="auto"/>
              </w:rPr>
            </w:pPr>
          </w:p>
        </w:tc>
      </w:tr>
      <w:tr>
        <w:trPr>
          <w:trHeight w:val="243"/>
        </w:trPr>
        <w:tc>
          <w:tcPr>
            <w:tcW w:w="23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120" w:type="dxa"/>
            <w:vAlign w:val="bottom"/>
            <w:gridSpan w:val="4"/>
          </w:tcPr>
          <w:p>
            <w:pPr>
              <w:ind w:left="320"/>
              <w:spacing w:after="0" w:line="243" w:lineRule="exact"/>
              <w:rPr>
                <w:sz w:val="20"/>
                <w:szCs w:val="20"/>
                <w:color w:val="auto"/>
              </w:rPr>
            </w:pPr>
            <w:r>
              <w:rPr>
                <w:rFonts w:ascii="Arial" w:cs="Arial" w:eastAsia="Arial" w:hAnsi="Arial"/>
                <w:sz w:val="22"/>
                <w:szCs w:val="22"/>
                <w:color w:val="auto"/>
              </w:rPr>
              <w:t>Description/Price Data</w:t>
            </w:r>
          </w:p>
        </w:tc>
        <w:tc>
          <w:tcPr>
            <w:tcW w:w="13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120" w:type="dxa"/>
            <w:vAlign w:val="bottom"/>
            <w:gridSpan w:val="4"/>
          </w:tcPr>
          <w:p>
            <w:pPr>
              <w:spacing w:after="0" w:line="243" w:lineRule="exact"/>
              <w:rPr>
                <w:sz w:val="20"/>
                <w:szCs w:val="20"/>
                <w:color w:val="auto"/>
              </w:rPr>
            </w:pPr>
            <w:r>
              <w:rPr>
                <w:rFonts w:ascii="Arial" w:cs="Arial" w:eastAsia="Arial" w:hAnsi="Arial"/>
                <w:sz w:val="22"/>
                <w:szCs w:val="22"/>
                <w:color w:val="auto"/>
              </w:rPr>
              <w:t>Attachment D – Form of Purchase Agreement</w:t>
            </w:r>
          </w:p>
        </w:tc>
        <w:tc>
          <w:tcPr>
            <w:tcW w:w="1380" w:type="dxa"/>
            <w:vAlign w:val="bottom"/>
          </w:tcPr>
          <w:p>
            <w:pPr>
              <w:spacing w:after="0"/>
              <w:rPr>
                <w:sz w:val="21"/>
                <w:szCs w:val="21"/>
                <w:color w:val="auto"/>
              </w:rPr>
            </w:pPr>
          </w:p>
        </w:tc>
        <w:tc>
          <w:tcPr>
            <w:tcW w:w="1040" w:type="dxa"/>
            <w:vAlign w:val="bottom"/>
            <w:gridSpan w:val="2"/>
          </w:tcPr>
          <w:p>
            <w:pPr>
              <w:jc w:val="center"/>
              <w:ind w:right="120"/>
              <w:spacing w:after="0" w:line="243" w:lineRule="exact"/>
              <w:rPr>
                <w:sz w:val="20"/>
                <w:szCs w:val="20"/>
                <w:color w:val="auto"/>
              </w:rPr>
            </w:pPr>
            <w:r>
              <w:rPr>
                <w:rFonts w:ascii="Arial" w:cs="Arial" w:eastAsia="Arial" w:hAnsi="Arial"/>
                <w:sz w:val="22"/>
                <w:szCs w:val="22"/>
                <w:color w:val="auto"/>
                <w:w w:val="89"/>
              </w:rPr>
              <w:t>SA-3</w:t>
            </w:r>
          </w:p>
        </w:tc>
        <w:tc>
          <w:tcPr>
            <w:tcW w:w="0" w:type="dxa"/>
            <w:vAlign w:val="bottom"/>
          </w:tcPr>
          <w:p>
            <w:pPr>
              <w:spacing w:after="0"/>
              <w:rPr>
                <w:sz w:val="1"/>
                <w:szCs w:val="1"/>
                <w:color w:val="auto"/>
              </w:rPr>
            </w:pPr>
          </w:p>
        </w:tc>
      </w:tr>
      <w:tr>
        <w:trPr>
          <w:trHeight w:val="243"/>
        </w:trPr>
        <w:tc>
          <w:tcPr>
            <w:tcW w:w="23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120" w:type="dxa"/>
            <w:vAlign w:val="bottom"/>
            <w:gridSpan w:val="4"/>
          </w:tcPr>
          <w:p>
            <w:pPr>
              <w:ind w:left="320"/>
              <w:spacing w:after="0" w:line="243" w:lineRule="exact"/>
              <w:rPr>
                <w:sz w:val="20"/>
                <w:szCs w:val="20"/>
                <w:color w:val="auto"/>
              </w:rPr>
            </w:pPr>
            <w:r>
              <w:rPr>
                <w:rFonts w:ascii="Arial" w:cs="Arial" w:eastAsia="Arial" w:hAnsi="Arial"/>
                <w:sz w:val="22"/>
                <w:szCs w:val="22"/>
                <w:color w:val="auto"/>
              </w:rPr>
              <w:t>Supplement</w:t>
            </w:r>
          </w:p>
        </w:tc>
        <w:tc>
          <w:tcPr>
            <w:tcW w:w="13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120" w:type="dxa"/>
            <w:vAlign w:val="bottom"/>
            <w:gridSpan w:val="4"/>
          </w:tcPr>
          <w:p>
            <w:pPr>
              <w:spacing w:after="0" w:line="243" w:lineRule="exact"/>
              <w:rPr>
                <w:sz w:val="20"/>
                <w:szCs w:val="20"/>
                <w:color w:val="auto"/>
              </w:rPr>
            </w:pPr>
            <w:r>
              <w:rPr>
                <w:rFonts w:ascii="Arial" w:cs="Arial" w:eastAsia="Arial" w:hAnsi="Arial"/>
                <w:sz w:val="22"/>
                <w:szCs w:val="22"/>
                <w:color w:val="auto"/>
                <w:strike w:val="1"/>
              </w:rPr>
              <w:t>Attachment E – Letter Agreements To Be Included In</w:t>
            </w:r>
          </w:p>
        </w:tc>
        <w:tc>
          <w:tcPr>
            <w:tcW w:w="1380" w:type="dxa"/>
            <w:vAlign w:val="bottom"/>
          </w:tcPr>
          <w:p>
            <w:pPr>
              <w:spacing w:after="0"/>
              <w:rPr>
                <w:sz w:val="21"/>
                <w:szCs w:val="21"/>
                <w:color w:val="auto"/>
              </w:rPr>
            </w:pPr>
          </w:p>
        </w:tc>
        <w:tc>
          <w:tcPr>
            <w:tcW w:w="1040" w:type="dxa"/>
            <w:vAlign w:val="bottom"/>
            <w:gridSpan w:val="2"/>
          </w:tcPr>
          <w:p>
            <w:pPr>
              <w:jc w:val="center"/>
              <w:ind w:right="120"/>
              <w:spacing w:after="0" w:line="243" w:lineRule="exact"/>
              <w:rPr>
                <w:sz w:val="20"/>
                <w:szCs w:val="20"/>
                <w:color w:val="auto"/>
              </w:rPr>
            </w:pPr>
            <w:r>
              <w:rPr>
                <w:rFonts w:ascii="Arial" w:cs="Arial" w:eastAsia="Arial" w:hAnsi="Arial"/>
                <w:sz w:val="22"/>
                <w:szCs w:val="22"/>
                <w:color w:val="auto"/>
                <w:w w:val="89"/>
              </w:rPr>
              <w:t>SA-6</w:t>
            </w:r>
          </w:p>
        </w:tc>
        <w:tc>
          <w:tcPr>
            <w:tcW w:w="0" w:type="dxa"/>
            <w:vAlign w:val="bottom"/>
          </w:tcPr>
          <w:p>
            <w:pPr>
              <w:spacing w:after="0"/>
              <w:rPr>
                <w:sz w:val="1"/>
                <w:szCs w:val="1"/>
                <w:color w:val="auto"/>
              </w:rPr>
            </w:pPr>
          </w:p>
        </w:tc>
      </w:tr>
      <w:tr>
        <w:trPr>
          <w:trHeight w:val="275"/>
        </w:trPr>
        <w:tc>
          <w:tcPr>
            <w:tcW w:w="2880" w:type="dxa"/>
            <w:vAlign w:val="bottom"/>
            <w:gridSpan w:val="2"/>
            <w:vMerge w:val="restart"/>
          </w:tcPr>
          <w:p>
            <w:pPr>
              <w:spacing w:after="0"/>
              <w:rPr>
                <w:sz w:val="20"/>
                <w:szCs w:val="20"/>
                <w:color w:val="auto"/>
              </w:rPr>
            </w:pPr>
            <w:r>
              <w:rPr>
                <w:rFonts w:ascii="Arial" w:cs="Arial" w:eastAsia="Arial" w:hAnsi="Arial"/>
                <w:sz w:val="22"/>
                <w:szCs w:val="22"/>
                <w:color w:val="auto"/>
              </w:rPr>
              <w:t>P.A. No. 3219</w:t>
            </w:r>
          </w:p>
        </w:tc>
        <w:tc>
          <w:tcPr>
            <w:tcW w:w="3200" w:type="dxa"/>
            <w:vAlign w:val="bottom"/>
            <w:gridSpan w:val="3"/>
          </w:tcPr>
          <w:p>
            <w:pPr>
              <w:ind w:left="320"/>
              <w:spacing w:after="0"/>
              <w:rPr>
                <w:sz w:val="20"/>
                <w:szCs w:val="20"/>
                <w:color w:val="auto"/>
              </w:rPr>
            </w:pPr>
            <w:r>
              <w:rPr>
                <w:rFonts w:ascii="Arial" w:cs="Arial" w:eastAsia="Arial" w:hAnsi="Arial"/>
                <w:sz w:val="22"/>
                <w:szCs w:val="22"/>
                <w:color w:val="auto"/>
                <w:strike w:val="1"/>
                <w:w w:val="86"/>
              </w:rPr>
              <w:t>Purchase Agreement Supplement</w:t>
            </w:r>
          </w:p>
        </w:tc>
        <w:tc>
          <w:tcPr>
            <w:tcW w:w="2920" w:type="dxa"/>
            <w:vAlign w:val="bottom"/>
          </w:tcPr>
          <w:p>
            <w:pPr>
              <w:spacing w:after="0"/>
              <w:rPr>
                <w:sz w:val="20"/>
                <w:szCs w:val="20"/>
                <w:color w:val="auto"/>
              </w:rPr>
            </w:pPr>
            <w:r>
              <w:rPr>
                <w:rFonts w:ascii="Arial" w:cs="Arial" w:eastAsia="Arial" w:hAnsi="Arial"/>
                <w:sz w:val="22"/>
                <w:szCs w:val="22"/>
                <w:color w:val="auto"/>
              </w:rPr>
              <w:t>: WITHDRAWN</w:t>
            </w:r>
          </w:p>
        </w:tc>
        <w:tc>
          <w:tcPr>
            <w:tcW w:w="1380" w:type="dxa"/>
            <w:vAlign w:val="bottom"/>
          </w:tcPr>
          <w:p>
            <w:pPr>
              <w:spacing w:after="0"/>
              <w:rPr>
                <w:sz w:val="23"/>
                <w:szCs w:val="23"/>
                <w:color w:val="auto"/>
              </w:rPr>
            </w:pPr>
          </w:p>
        </w:tc>
        <w:tc>
          <w:tcPr>
            <w:tcW w:w="1040" w:type="dxa"/>
            <w:vAlign w:val="bottom"/>
            <w:gridSpan w:val="2"/>
            <w:vMerge w:val="restart"/>
          </w:tcPr>
          <w:p>
            <w:pPr>
              <w:jc w:val="right"/>
              <w:spacing w:after="0"/>
              <w:rPr>
                <w:sz w:val="20"/>
                <w:szCs w:val="20"/>
                <w:color w:val="auto"/>
              </w:rPr>
            </w:pPr>
            <w:r>
              <w:rPr>
                <w:rFonts w:ascii="Arial" w:cs="Arial" w:eastAsia="Arial" w:hAnsi="Arial"/>
                <w:sz w:val="22"/>
                <w:szCs w:val="22"/>
                <w:color w:val="auto"/>
              </w:rPr>
              <w:t>SA-9</w:t>
            </w:r>
          </w:p>
        </w:tc>
        <w:tc>
          <w:tcPr>
            <w:tcW w:w="0" w:type="dxa"/>
            <w:vAlign w:val="bottom"/>
          </w:tcPr>
          <w:p>
            <w:pPr>
              <w:spacing w:after="0"/>
              <w:rPr>
                <w:sz w:val="1"/>
                <w:szCs w:val="1"/>
                <w:color w:val="auto"/>
              </w:rPr>
            </w:pPr>
          </w:p>
        </w:tc>
      </w:tr>
      <w:tr>
        <w:trPr>
          <w:trHeight w:val="360"/>
        </w:trPr>
        <w:tc>
          <w:tcPr>
            <w:tcW w:w="2880" w:type="dxa"/>
            <w:vAlign w:val="bottom"/>
            <w:gridSpan w:val="2"/>
            <w:vMerge w:val="continue"/>
          </w:tcPr>
          <w:p>
            <w:pPr>
              <w:spacing w:after="0"/>
              <w:rPr>
                <w:sz w:val="24"/>
                <w:szCs w:val="24"/>
                <w:color w:val="auto"/>
              </w:rPr>
            </w:pPr>
          </w:p>
        </w:tc>
        <w:tc>
          <w:tcPr>
            <w:tcW w:w="1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2880" w:type="dxa"/>
            <w:vAlign w:val="bottom"/>
            <w:gridSpan w:val="2"/>
          </w:tcPr>
          <w:p>
            <w:pPr>
              <w:spacing w:after="0"/>
              <w:rPr>
                <w:sz w:val="20"/>
                <w:szCs w:val="20"/>
                <w:color w:val="auto"/>
              </w:rPr>
            </w:pPr>
            <w:r>
              <w:rPr>
                <w:rFonts w:ascii="Arial" w:cs="Arial" w:eastAsia="Arial" w:hAnsi="Arial"/>
                <w:sz w:val="22"/>
                <w:szCs w:val="22"/>
                <w:color w:val="auto"/>
              </w:rPr>
              <w:t>Table of Contents</w:t>
            </w:r>
          </w:p>
        </w:tc>
        <w:tc>
          <w:tcPr>
            <w:tcW w:w="1140" w:type="dxa"/>
            <w:vAlign w:val="bottom"/>
          </w:tcPr>
          <w:p>
            <w:pPr>
              <w:spacing w:after="0"/>
              <w:rPr>
                <w:sz w:val="23"/>
                <w:szCs w:val="23"/>
                <w:color w:val="auto"/>
              </w:rPr>
            </w:pPr>
          </w:p>
        </w:tc>
        <w:tc>
          <w:tcPr>
            <w:tcW w:w="4980" w:type="dxa"/>
            <w:vAlign w:val="bottom"/>
            <w:gridSpan w:val="3"/>
            <w:vMerge w:val="restart"/>
          </w:tcPr>
          <w:p>
            <w:pPr>
              <w:jc w:val="center"/>
              <w:ind w:right="1472"/>
              <w:spacing w:after="0"/>
              <w:rPr>
                <w:sz w:val="20"/>
                <w:szCs w:val="20"/>
                <w:color w:val="auto"/>
              </w:rPr>
            </w:pPr>
            <w:r>
              <w:rPr>
                <w:rFonts w:ascii="Arial" w:cs="Arial" w:eastAsia="Arial" w:hAnsi="Arial"/>
                <w:sz w:val="22"/>
                <w:szCs w:val="22"/>
                <w:b w:val="1"/>
                <w:bCs w:val="1"/>
                <w:color w:val="auto"/>
                <w:w w:val="98"/>
              </w:rPr>
              <w:t>BOEING PROPRIETARY</w:t>
            </w:r>
          </w:p>
        </w:tc>
        <w:tc>
          <w:tcPr>
            <w:tcW w:w="1380" w:type="dxa"/>
            <w:vAlign w:val="bottom"/>
          </w:tcPr>
          <w:p>
            <w:pPr>
              <w:spacing w:after="0"/>
              <w:rPr>
                <w:sz w:val="23"/>
                <w:szCs w:val="23"/>
                <w:color w:val="auto"/>
              </w:rPr>
            </w:pPr>
          </w:p>
        </w:tc>
        <w:tc>
          <w:tcPr>
            <w:tcW w:w="1040" w:type="dxa"/>
            <w:vAlign w:val="bottom"/>
            <w:gridSpan w:val="2"/>
          </w:tcPr>
          <w:p>
            <w:pPr>
              <w:jc w:val="right"/>
              <w:spacing w:after="0"/>
              <w:rPr>
                <w:sz w:val="20"/>
                <w:szCs w:val="20"/>
                <w:color w:val="auto"/>
              </w:rPr>
            </w:pPr>
            <w:r>
              <w:rPr>
                <w:rFonts w:ascii="Arial" w:cs="Arial" w:eastAsia="Arial" w:hAnsi="Arial"/>
                <w:sz w:val="22"/>
                <w:szCs w:val="22"/>
                <w:color w:val="auto"/>
              </w:rPr>
              <w:t>Page 2</w:t>
            </w:r>
          </w:p>
        </w:tc>
        <w:tc>
          <w:tcPr>
            <w:tcW w:w="0" w:type="dxa"/>
            <w:vAlign w:val="bottom"/>
          </w:tcPr>
          <w:p>
            <w:pPr>
              <w:spacing w:after="0"/>
              <w:rPr>
                <w:sz w:val="1"/>
                <w:szCs w:val="1"/>
                <w:color w:val="auto"/>
              </w:rPr>
            </w:pPr>
          </w:p>
        </w:tc>
      </w:tr>
      <w:tr>
        <w:trPr>
          <w:trHeight w:val="257"/>
        </w:trPr>
        <w:tc>
          <w:tcPr>
            <w:tcW w:w="23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980" w:type="dxa"/>
            <w:vAlign w:val="bottom"/>
            <w:gridSpan w:val="3"/>
            <w:vMerge w:val="continue"/>
          </w:tcPr>
          <w:p>
            <w:pPr>
              <w:spacing w:after="0"/>
              <w:rPr>
                <w:sz w:val="22"/>
                <w:szCs w:val="22"/>
                <w:color w:val="auto"/>
              </w:rPr>
            </w:pPr>
          </w:p>
        </w:tc>
        <w:tc>
          <w:tcPr>
            <w:tcW w:w="13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both"/>
        <w:spacing w:after="0" w:line="260" w:lineRule="auto"/>
        <w:rPr>
          <w:sz w:val="20"/>
          <w:szCs w:val="20"/>
          <w:color w:val="auto"/>
        </w:rPr>
      </w:pPr>
      <w:r>
        <w:rPr>
          <w:rFonts w:ascii="Arial" w:cs="Arial" w:eastAsia="Arial" w:hAnsi="Arial"/>
          <w:sz w:val="16"/>
          <w:szCs w:val="16"/>
          <w:color w:val="auto"/>
        </w:rPr>
        <w:t>[*CTR]=[CONFIDENTIAL PORTION OMITTED AND FILED SEPARATELY WITH THE COMMISSION PURSUANT TO A REQUEST FOR CONFIDENTIAL TREATMENT]</w:t>
      </w:r>
    </w:p>
    <w:p>
      <w:pPr>
        <w:sectPr>
          <w:pgSz w:w="11900" w:h="16838" w:orient="portrait"/>
          <w:cols w:equalWidth="0" w:num="1">
            <w:col w:w="11420"/>
          </w:cols>
          <w:pgMar w:left="240" w:top="267" w:right="23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275"/>
        </w:trPr>
        <w:tc>
          <w:tcPr>
            <w:tcW w:w="23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720" w:type="dxa"/>
            <w:vAlign w:val="bottom"/>
          </w:tcPr>
          <w:p>
            <w:pPr>
              <w:ind w:left="1060"/>
              <w:spacing w:after="0"/>
              <w:rPr>
                <w:sz w:val="20"/>
                <w:szCs w:val="20"/>
                <w:color w:val="auto"/>
              </w:rPr>
            </w:pPr>
            <w:r>
              <w:rPr>
                <w:rFonts w:ascii="Arial" w:cs="Arial" w:eastAsia="Arial" w:hAnsi="Arial"/>
                <w:sz w:val="22"/>
                <w:szCs w:val="22"/>
                <w:color w:val="auto"/>
              </w:rPr>
              <w:t>TABLE OF CONTENTS, continued</w:t>
            </w:r>
          </w:p>
        </w:tc>
        <w:tc>
          <w:tcPr>
            <w:tcW w:w="5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11"/>
        </w:trPr>
        <w:tc>
          <w:tcPr>
            <w:tcW w:w="2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22"/>
                <w:szCs w:val="22"/>
                <w:color w:val="auto"/>
                <w:w w:val="95"/>
              </w:rPr>
              <w:t>SA</w:t>
            </w:r>
          </w:p>
        </w:tc>
        <w:tc>
          <w:tcPr>
            <w:tcW w:w="0" w:type="dxa"/>
            <w:vAlign w:val="bottom"/>
          </w:tcPr>
          <w:p>
            <w:pPr>
              <w:spacing w:after="0"/>
              <w:rPr>
                <w:sz w:val="1"/>
                <w:szCs w:val="1"/>
                <w:color w:val="auto"/>
              </w:rPr>
            </w:pPr>
          </w:p>
        </w:tc>
      </w:tr>
      <w:tr>
        <w:trPr>
          <w:trHeight w:val="224"/>
        </w:trPr>
        <w:tc>
          <w:tcPr>
            <w:tcW w:w="3080" w:type="dxa"/>
            <w:vAlign w:val="bottom"/>
            <w:gridSpan w:val="2"/>
          </w:tcPr>
          <w:p>
            <w:pPr>
              <w:spacing w:after="0" w:line="224" w:lineRule="exact"/>
              <w:rPr>
                <w:sz w:val="20"/>
                <w:szCs w:val="20"/>
                <w:color w:val="auto"/>
              </w:rPr>
            </w:pPr>
            <w:r>
              <w:rPr>
                <w:rFonts w:ascii="Arial" w:cs="Arial" w:eastAsia="Arial" w:hAnsi="Arial"/>
                <w:sz w:val="22"/>
                <w:szCs w:val="22"/>
                <w:color w:val="auto"/>
              </w:rPr>
              <w:t>LETTER AGREEMENTS</w:t>
            </w:r>
          </w:p>
        </w:tc>
        <w:tc>
          <w:tcPr>
            <w:tcW w:w="6720" w:type="dxa"/>
            <w:vAlign w:val="bottom"/>
          </w:tcPr>
          <w:p>
            <w:pPr>
              <w:spacing w:after="0"/>
              <w:rPr>
                <w:sz w:val="19"/>
                <w:szCs w:val="19"/>
                <w:color w:val="auto"/>
              </w:rPr>
            </w:pPr>
          </w:p>
        </w:tc>
        <w:tc>
          <w:tcPr>
            <w:tcW w:w="1620" w:type="dxa"/>
            <w:vAlign w:val="bottom"/>
            <w:gridSpan w:val="3"/>
          </w:tcPr>
          <w:p>
            <w:pPr>
              <w:jc w:val="center"/>
              <w:ind w:left="352"/>
              <w:spacing w:after="0" w:line="224" w:lineRule="exact"/>
              <w:rPr>
                <w:sz w:val="20"/>
                <w:szCs w:val="20"/>
                <w:color w:val="auto"/>
              </w:rPr>
            </w:pPr>
            <w:r>
              <w:rPr>
                <w:rFonts w:ascii="Arial" w:cs="Arial" w:eastAsia="Arial" w:hAnsi="Arial"/>
                <w:sz w:val="22"/>
                <w:szCs w:val="22"/>
                <w:color w:val="auto"/>
                <w:w w:val="96"/>
              </w:rPr>
              <w:t>NUMBER</w:t>
            </w:r>
          </w:p>
        </w:tc>
        <w:tc>
          <w:tcPr>
            <w:tcW w:w="0" w:type="dxa"/>
            <w:vAlign w:val="bottom"/>
          </w:tcPr>
          <w:p>
            <w:pPr>
              <w:spacing w:after="0"/>
              <w:rPr>
                <w:sz w:val="1"/>
                <w:szCs w:val="1"/>
                <w:color w:val="auto"/>
              </w:rPr>
            </w:pPr>
          </w:p>
        </w:tc>
      </w:tr>
      <w:tr>
        <w:trPr>
          <w:trHeight w:val="341"/>
        </w:trPr>
        <w:tc>
          <w:tcPr>
            <w:tcW w:w="2300" w:type="dxa"/>
            <w:vAlign w:val="bottom"/>
            <w:tcBorders>
              <w:top w:val="single" w:sz="8" w:color="auto"/>
            </w:tcBorders>
          </w:tcPr>
          <w:p>
            <w:pPr>
              <w:spacing w:after="0"/>
              <w:rPr>
                <w:sz w:val="20"/>
                <w:szCs w:val="20"/>
                <w:color w:val="auto"/>
              </w:rPr>
            </w:pPr>
            <w:r>
              <w:rPr>
                <w:rFonts w:ascii="Arial" w:cs="Arial" w:eastAsia="Arial" w:hAnsi="Arial"/>
                <w:sz w:val="22"/>
                <w:szCs w:val="22"/>
                <w:color w:val="auto"/>
                <w:strike w:val="1"/>
              </w:rPr>
              <w:t>6-1162-TRW-0665</w:t>
            </w:r>
          </w:p>
        </w:tc>
        <w:tc>
          <w:tcPr>
            <w:tcW w:w="780" w:type="dxa"/>
            <w:vAlign w:val="bottom"/>
          </w:tcPr>
          <w:p>
            <w:pPr>
              <w:spacing w:after="0"/>
              <w:rPr>
                <w:sz w:val="24"/>
                <w:szCs w:val="24"/>
                <w:color w:val="auto"/>
              </w:rPr>
            </w:pPr>
          </w:p>
        </w:tc>
        <w:tc>
          <w:tcPr>
            <w:tcW w:w="6720" w:type="dxa"/>
            <w:vAlign w:val="bottom"/>
          </w:tcPr>
          <w:p>
            <w:pPr>
              <w:ind w:left="380"/>
              <w:spacing w:after="0"/>
              <w:rPr>
                <w:sz w:val="20"/>
                <w:szCs w:val="20"/>
                <w:color w:val="auto"/>
              </w:rPr>
            </w:pPr>
            <w:r>
              <w:rPr>
                <w:rFonts w:ascii="Arial" w:cs="Arial" w:eastAsia="Arial" w:hAnsi="Arial"/>
                <w:sz w:val="22"/>
                <w:szCs w:val="22"/>
                <w:color w:val="auto"/>
              </w:rPr>
              <w:t>[*CTR]</w:t>
            </w:r>
          </w:p>
        </w:tc>
        <w:tc>
          <w:tcPr>
            <w:tcW w:w="580" w:type="dxa"/>
            <w:vAlign w:val="bottom"/>
          </w:tcPr>
          <w:p>
            <w:pPr>
              <w:spacing w:after="0"/>
              <w:rPr>
                <w:sz w:val="24"/>
                <w:szCs w:val="24"/>
                <w:color w:val="auto"/>
              </w:rPr>
            </w:pPr>
          </w:p>
        </w:tc>
        <w:tc>
          <w:tcPr>
            <w:tcW w:w="920" w:type="dxa"/>
            <w:vAlign w:val="bottom"/>
            <w:tcBorders>
              <w:top w:val="single" w:sz="8" w:color="auto"/>
            </w:tcBorders>
          </w:tcPr>
          <w:p>
            <w:pPr>
              <w:jc w:val="center"/>
              <w:spacing w:after="0"/>
              <w:rPr>
                <w:sz w:val="20"/>
                <w:szCs w:val="20"/>
                <w:color w:val="auto"/>
              </w:rPr>
            </w:pPr>
            <w:r>
              <w:rPr>
                <w:rFonts w:ascii="Arial" w:cs="Arial" w:eastAsia="Arial" w:hAnsi="Arial"/>
                <w:sz w:val="22"/>
                <w:szCs w:val="22"/>
                <w:color w:val="auto"/>
                <w:w w:val="89"/>
              </w:rPr>
              <w:t>SA-3</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300" w:type="dxa"/>
            <w:vAlign w:val="bottom"/>
          </w:tcPr>
          <w:p>
            <w:pPr>
              <w:spacing w:after="0"/>
              <w:rPr>
                <w:sz w:val="20"/>
                <w:szCs w:val="20"/>
                <w:color w:val="auto"/>
              </w:rPr>
            </w:pPr>
            <w:r>
              <w:rPr>
                <w:rFonts w:ascii="Arial" w:cs="Arial" w:eastAsia="Arial" w:hAnsi="Arial"/>
                <w:sz w:val="22"/>
                <w:szCs w:val="22"/>
                <w:color w:val="auto"/>
                <w:strike w:val="1"/>
              </w:rPr>
              <w:t>6-1162-TRW-0666</w:t>
            </w:r>
          </w:p>
        </w:tc>
        <w:tc>
          <w:tcPr>
            <w:tcW w:w="780" w:type="dxa"/>
            <w:vAlign w:val="bottom"/>
          </w:tcPr>
          <w:p>
            <w:pPr>
              <w:spacing w:after="0"/>
              <w:rPr>
                <w:sz w:val="24"/>
                <w:szCs w:val="24"/>
                <w:color w:val="auto"/>
              </w:rPr>
            </w:pPr>
          </w:p>
        </w:tc>
        <w:tc>
          <w:tcPr>
            <w:tcW w:w="6720" w:type="dxa"/>
            <w:vAlign w:val="bottom"/>
          </w:tcPr>
          <w:p>
            <w:pPr>
              <w:ind w:left="380"/>
              <w:spacing w:after="0"/>
              <w:rPr>
                <w:sz w:val="20"/>
                <w:szCs w:val="20"/>
                <w:color w:val="auto"/>
              </w:rPr>
            </w:pPr>
            <w:r>
              <w:rPr>
                <w:rFonts w:ascii="Arial" w:cs="Arial" w:eastAsia="Arial" w:hAnsi="Arial"/>
                <w:sz w:val="22"/>
                <w:szCs w:val="22"/>
                <w:color w:val="auto"/>
              </w:rPr>
              <w:t>[*CTR]</w:t>
            </w:r>
          </w:p>
        </w:tc>
        <w:tc>
          <w:tcPr>
            <w:tcW w:w="580" w:type="dxa"/>
            <w:vAlign w:val="bottom"/>
          </w:tcPr>
          <w:p>
            <w:pPr>
              <w:spacing w:after="0"/>
              <w:rPr>
                <w:sz w:val="24"/>
                <w:szCs w:val="2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22"/>
                <w:szCs w:val="22"/>
                <w:color w:val="auto"/>
                <w:w w:val="89"/>
              </w:rPr>
              <w:t>SA-3</w:t>
            </w:r>
          </w:p>
        </w:tc>
        <w:tc>
          <w:tcPr>
            <w:tcW w:w="0" w:type="dxa"/>
            <w:vAlign w:val="bottom"/>
          </w:tcPr>
          <w:p>
            <w:pPr>
              <w:spacing w:after="0"/>
              <w:rPr>
                <w:sz w:val="1"/>
                <w:szCs w:val="1"/>
                <w:color w:val="auto"/>
              </w:rPr>
            </w:pPr>
          </w:p>
        </w:tc>
      </w:tr>
      <w:tr>
        <w:trPr>
          <w:trHeight w:val="311"/>
        </w:trPr>
        <w:tc>
          <w:tcPr>
            <w:tcW w:w="3080" w:type="dxa"/>
            <w:vAlign w:val="bottom"/>
            <w:gridSpan w:val="2"/>
          </w:tcPr>
          <w:p>
            <w:pPr>
              <w:spacing w:after="0"/>
              <w:rPr>
                <w:sz w:val="20"/>
                <w:szCs w:val="20"/>
                <w:color w:val="auto"/>
              </w:rPr>
            </w:pPr>
            <w:r>
              <w:rPr>
                <w:rFonts w:ascii="Arial" w:cs="Arial" w:eastAsia="Arial" w:hAnsi="Arial"/>
                <w:sz w:val="22"/>
                <w:szCs w:val="22"/>
                <w:b w:val="1"/>
                <w:bCs w:val="1"/>
                <w:color w:val="auto"/>
              </w:rPr>
              <w:t>6-1162-TRW-0667R2</w:t>
            </w:r>
          </w:p>
        </w:tc>
        <w:tc>
          <w:tcPr>
            <w:tcW w:w="6720" w:type="dxa"/>
            <w:vAlign w:val="bottom"/>
          </w:tcPr>
          <w:p>
            <w:pPr>
              <w:ind w:left="380"/>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color w:val="auto"/>
              </w:rPr>
              <w:t>*CTR</w:t>
            </w:r>
            <w:r>
              <w:rPr>
                <w:rFonts w:ascii="Arial" w:cs="Arial" w:eastAsia="Arial" w:hAnsi="Arial"/>
                <w:sz w:val="22"/>
                <w:szCs w:val="22"/>
                <w:b w:val="1"/>
                <w:bCs w:val="1"/>
                <w:color w:val="auto"/>
              </w:rPr>
              <w:t>]</w:t>
            </w:r>
          </w:p>
        </w:tc>
        <w:tc>
          <w:tcPr>
            <w:tcW w:w="580" w:type="dxa"/>
            <w:vAlign w:val="bottom"/>
          </w:tcPr>
          <w:p>
            <w:pPr>
              <w:spacing w:after="0"/>
              <w:rPr>
                <w:sz w:val="24"/>
                <w:szCs w:val="2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22"/>
                <w:szCs w:val="22"/>
                <w:b w:val="1"/>
                <w:bCs w:val="1"/>
                <w:color w:val="auto"/>
                <w:w w:val="87"/>
              </w:rPr>
              <w:t>SA-9</w:t>
            </w:r>
          </w:p>
        </w:tc>
        <w:tc>
          <w:tcPr>
            <w:tcW w:w="0" w:type="dxa"/>
            <w:vAlign w:val="bottom"/>
          </w:tcPr>
          <w:p>
            <w:pPr>
              <w:spacing w:after="0"/>
              <w:rPr>
                <w:sz w:val="1"/>
                <w:szCs w:val="1"/>
                <w:color w:val="auto"/>
              </w:rPr>
            </w:pPr>
          </w:p>
        </w:tc>
      </w:tr>
      <w:tr>
        <w:trPr>
          <w:trHeight w:val="279"/>
        </w:trPr>
        <w:tc>
          <w:tcPr>
            <w:tcW w:w="3080" w:type="dxa"/>
            <w:vAlign w:val="bottom"/>
            <w:gridSpan w:val="2"/>
          </w:tcPr>
          <w:p>
            <w:pPr>
              <w:spacing w:after="0"/>
              <w:rPr>
                <w:sz w:val="20"/>
                <w:szCs w:val="20"/>
                <w:color w:val="auto"/>
              </w:rPr>
            </w:pPr>
            <w:r>
              <w:rPr>
                <w:rFonts w:ascii="Arial" w:cs="Arial" w:eastAsia="Arial" w:hAnsi="Arial"/>
                <w:sz w:val="22"/>
                <w:szCs w:val="22"/>
                <w:color w:val="auto"/>
              </w:rPr>
              <w:t>6-1162-TRW-0668R1</w:t>
            </w:r>
          </w:p>
        </w:tc>
        <w:tc>
          <w:tcPr>
            <w:tcW w:w="6720" w:type="dxa"/>
            <w:vAlign w:val="bottom"/>
          </w:tcPr>
          <w:p>
            <w:pPr>
              <w:ind w:left="380"/>
              <w:spacing w:after="0"/>
              <w:rPr>
                <w:sz w:val="20"/>
                <w:szCs w:val="20"/>
                <w:color w:val="auto"/>
              </w:rPr>
            </w:pPr>
            <w:r>
              <w:rPr>
                <w:rFonts w:ascii="Arial" w:cs="Arial" w:eastAsia="Arial" w:hAnsi="Arial"/>
                <w:sz w:val="22"/>
                <w:szCs w:val="22"/>
                <w:color w:val="auto"/>
                <w:w w:val="97"/>
              </w:rPr>
              <w:t>Special Matters Relating to COTS Software and End User License</w:t>
            </w:r>
          </w:p>
        </w:tc>
        <w:tc>
          <w:tcPr>
            <w:tcW w:w="580" w:type="dxa"/>
            <w:vAlign w:val="bottom"/>
          </w:tcPr>
          <w:p>
            <w:pPr>
              <w:spacing w:after="0"/>
              <w:rPr>
                <w:sz w:val="24"/>
                <w:szCs w:val="2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22"/>
                <w:szCs w:val="22"/>
                <w:color w:val="auto"/>
                <w:w w:val="89"/>
              </w:rPr>
              <w:t>SA-3</w:t>
            </w:r>
          </w:p>
        </w:tc>
        <w:tc>
          <w:tcPr>
            <w:tcW w:w="0" w:type="dxa"/>
            <w:vAlign w:val="bottom"/>
          </w:tcPr>
          <w:p>
            <w:pPr>
              <w:spacing w:after="0"/>
              <w:rPr>
                <w:sz w:val="1"/>
                <w:szCs w:val="1"/>
                <w:color w:val="auto"/>
              </w:rPr>
            </w:pPr>
          </w:p>
        </w:tc>
      </w:tr>
      <w:tr>
        <w:trPr>
          <w:trHeight w:val="275"/>
        </w:trPr>
        <w:tc>
          <w:tcPr>
            <w:tcW w:w="23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720" w:type="dxa"/>
            <w:vAlign w:val="bottom"/>
          </w:tcPr>
          <w:p>
            <w:pPr>
              <w:ind w:left="700"/>
              <w:spacing w:after="0"/>
              <w:rPr>
                <w:sz w:val="20"/>
                <w:szCs w:val="20"/>
                <w:color w:val="auto"/>
              </w:rPr>
            </w:pPr>
            <w:r>
              <w:rPr>
                <w:rFonts w:ascii="Arial" w:cs="Arial" w:eastAsia="Arial" w:hAnsi="Arial"/>
                <w:sz w:val="22"/>
                <w:szCs w:val="22"/>
                <w:color w:val="auto"/>
              </w:rPr>
              <w:t>Agreements</w:t>
            </w:r>
          </w:p>
        </w:tc>
        <w:tc>
          <w:tcPr>
            <w:tcW w:w="5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1"/>
        </w:trPr>
        <w:tc>
          <w:tcPr>
            <w:tcW w:w="3080" w:type="dxa"/>
            <w:vAlign w:val="bottom"/>
            <w:gridSpan w:val="2"/>
          </w:tcPr>
          <w:p>
            <w:pPr>
              <w:spacing w:after="0"/>
              <w:rPr>
                <w:sz w:val="20"/>
                <w:szCs w:val="20"/>
                <w:color w:val="auto"/>
              </w:rPr>
            </w:pPr>
            <w:r>
              <w:rPr>
                <w:rFonts w:ascii="Arial" w:cs="Arial" w:eastAsia="Arial" w:hAnsi="Arial"/>
                <w:sz w:val="22"/>
                <w:szCs w:val="22"/>
                <w:color w:val="auto"/>
              </w:rPr>
              <w:t>6-1162-TRW-0670R1</w:t>
            </w:r>
          </w:p>
        </w:tc>
        <w:tc>
          <w:tcPr>
            <w:tcW w:w="6720" w:type="dxa"/>
            <w:vAlign w:val="bottom"/>
          </w:tcPr>
          <w:p>
            <w:pPr>
              <w:ind w:left="380"/>
              <w:spacing w:after="0"/>
              <w:rPr>
                <w:sz w:val="20"/>
                <w:szCs w:val="20"/>
                <w:color w:val="auto"/>
              </w:rPr>
            </w:pPr>
            <w:r>
              <w:rPr>
                <w:rFonts w:ascii="Arial" w:cs="Arial" w:eastAsia="Arial" w:hAnsi="Arial"/>
                <w:sz w:val="22"/>
                <w:szCs w:val="22"/>
                <w:color w:val="auto"/>
              </w:rPr>
              <w:t>Miscellaneous Commitments for Model 787 Aircraft</w:t>
            </w:r>
          </w:p>
        </w:tc>
        <w:tc>
          <w:tcPr>
            <w:tcW w:w="580" w:type="dxa"/>
            <w:vAlign w:val="bottom"/>
          </w:tcPr>
          <w:p>
            <w:pPr>
              <w:spacing w:after="0"/>
              <w:rPr>
                <w:sz w:val="24"/>
                <w:szCs w:val="2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22"/>
                <w:szCs w:val="22"/>
                <w:color w:val="auto"/>
                <w:w w:val="89"/>
              </w:rPr>
              <w:t>SA-3</w:t>
            </w:r>
          </w:p>
        </w:tc>
        <w:tc>
          <w:tcPr>
            <w:tcW w:w="0" w:type="dxa"/>
            <w:vAlign w:val="bottom"/>
          </w:tcPr>
          <w:p>
            <w:pPr>
              <w:spacing w:after="0"/>
              <w:rPr>
                <w:sz w:val="1"/>
                <w:szCs w:val="1"/>
                <w:color w:val="auto"/>
              </w:rPr>
            </w:pPr>
          </w:p>
        </w:tc>
      </w:tr>
      <w:tr>
        <w:trPr>
          <w:trHeight w:val="279"/>
        </w:trPr>
        <w:tc>
          <w:tcPr>
            <w:tcW w:w="2300" w:type="dxa"/>
            <w:vAlign w:val="bottom"/>
          </w:tcPr>
          <w:p>
            <w:pPr>
              <w:spacing w:after="0"/>
              <w:rPr>
                <w:sz w:val="20"/>
                <w:szCs w:val="20"/>
                <w:color w:val="auto"/>
              </w:rPr>
            </w:pPr>
            <w:r>
              <w:rPr>
                <w:rFonts w:ascii="Arial" w:cs="Arial" w:eastAsia="Arial" w:hAnsi="Arial"/>
                <w:sz w:val="22"/>
                <w:szCs w:val="22"/>
                <w:color w:val="auto"/>
                <w:strike w:val="1"/>
              </w:rPr>
              <w:t>6-1162-TRW-0671</w:t>
            </w:r>
          </w:p>
        </w:tc>
        <w:tc>
          <w:tcPr>
            <w:tcW w:w="780" w:type="dxa"/>
            <w:vAlign w:val="bottom"/>
          </w:tcPr>
          <w:p>
            <w:pPr>
              <w:spacing w:after="0"/>
              <w:rPr>
                <w:sz w:val="24"/>
                <w:szCs w:val="24"/>
                <w:color w:val="auto"/>
              </w:rPr>
            </w:pPr>
          </w:p>
        </w:tc>
        <w:tc>
          <w:tcPr>
            <w:tcW w:w="6720" w:type="dxa"/>
            <w:vAlign w:val="bottom"/>
          </w:tcPr>
          <w:p>
            <w:pPr>
              <w:ind w:left="380"/>
              <w:spacing w:after="0"/>
              <w:rPr>
                <w:sz w:val="20"/>
                <w:szCs w:val="20"/>
                <w:color w:val="auto"/>
              </w:rPr>
            </w:pPr>
            <w:r>
              <w:rPr>
                <w:rFonts w:ascii="Arial" w:cs="Arial" w:eastAsia="Arial" w:hAnsi="Arial"/>
                <w:sz w:val="22"/>
                <w:szCs w:val="22"/>
                <w:color w:val="auto"/>
              </w:rPr>
              <w:t>[*CTR]</w:t>
            </w:r>
          </w:p>
        </w:tc>
        <w:tc>
          <w:tcPr>
            <w:tcW w:w="580" w:type="dxa"/>
            <w:vAlign w:val="bottom"/>
          </w:tcPr>
          <w:p>
            <w:pPr>
              <w:spacing w:after="0"/>
              <w:rPr>
                <w:sz w:val="24"/>
                <w:szCs w:val="2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22"/>
                <w:szCs w:val="22"/>
                <w:color w:val="auto"/>
                <w:w w:val="89"/>
              </w:rPr>
              <w:t>SA-3</w:t>
            </w:r>
          </w:p>
        </w:tc>
        <w:tc>
          <w:tcPr>
            <w:tcW w:w="0" w:type="dxa"/>
            <w:vAlign w:val="bottom"/>
          </w:tcPr>
          <w:p>
            <w:pPr>
              <w:spacing w:after="0"/>
              <w:rPr>
                <w:sz w:val="1"/>
                <w:szCs w:val="1"/>
                <w:color w:val="auto"/>
              </w:rPr>
            </w:pPr>
          </w:p>
        </w:tc>
      </w:tr>
      <w:tr>
        <w:trPr>
          <w:trHeight w:val="275"/>
        </w:trPr>
        <w:tc>
          <w:tcPr>
            <w:tcW w:w="23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720" w:type="dxa"/>
            <w:vAlign w:val="bottom"/>
          </w:tcPr>
          <w:p>
            <w:pPr>
              <w:ind w:left="700"/>
              <w:spacing w:after="0"/>
              <w:rPr>
                <w:sz w:val="20"/>
                <w:szCs w:val="20"/>
                <w:color w:val="auto"/>
              </w:rPr>
            </w:pPr>
            <w:r>
              <w:rPr>
                <w:rFonts w:ascii="Arial" w:cs="Arial" w:eastAsia="Arial" w:hAnsi="Arial"/>
                <w:sz w:val="22"/>
                <w:szCs w:val="22"/>
                <w:color w:val="auto"/>
              </w:rPr>
              <w:t>WITHDRAWN</w:t>
            </w:r>
          </w:p>
        </w:tc>
        <w:tc>
          <w:tcPr>
            <w:tcW w:w="5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4"/>
        </w:trPr>
        <w:tc>
          <w:tcPr>
            <w:tcW w:w="3080" w:type="dxa"/>
            <w:vAlign w:val="bottom"/>
            <w:gridSpan w:val="2"/>
          </w:tcPr>
          <w:p>
            <w:pPr>
              <w:spacing w:after="0"/>
              <w:rPr>
                <w:sz w:val="20"/>
                <w:szCs w:val="20"/>
                <w:color w:val="auto"/>
              </w:rPr>
            </w:pPr>
            <w:r>
              <w:rPr>
                <w:rFonts w:ascii="Arial" w:cs="Arial" w:eastAsia="Arial" w:hAnsi="Arial"/>
                <w:sz w:val="22"/>
                <w:szCs w:val="22"/>
                <w:color w:val="auto"/>
              </w:rPr>
              <w:t>6-1162-TRW-0672R1</w:t>
            </w:r>
          </w:p>
        </w:tc>
        <w:tc>
          <w:tcPr>
            <w:tcW w:w="6720" w:type="dxa"/>
            <w:vAlign w:val="bottom"/>
          </w:tcPr>
          <w:p>
            <w:pPr>
              <w:ind w:left="380"/>
              <w:spacing w:after="0"/>
              <w:rPr>
                <w:sz w:val="20"/>
                <w:szCs w:val="20"/>
                <w:color w:val="auto"/>
              </w:rPr>
            </w:pPr>
            <w:r>
              <w:rPr>
                <w:rFonts w:ascii="Arial" w:cs="Arial" w:eastAsia="Arial" w:hAnsi="Arial"/>
                <w:sz w:val="22"/>
                <w:szCs w:val="22"/>
                <w:color w:val="auto"/>
              </w:rPr>
              <w:t>Promotional Support Agreement</w:t>
            </w:r>
          </w:p>
        </w:tc>
        <w:tc>
          <w:tcPr>
            <w:tcW w:w="580" w:type="dxa"/>
            <w:vAlign w:val="bottom"/>
          </w:tcPr>
          <w:p>
            <w:pPr>
              <w:spacing w:after="0"/>
              <w:rPr>
                <w:sz w:val="24"/>
                <w:szCs w:val="2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22"/>
                <w:szCs w:val="22"/>
                <w:color w:val="auto"/>
                <w:w w:val="89"/>
              </w:rPr>
              <w:t>SA-3</w:t>
            </w:r>
          </w:p>
        </w:tc>
        <w:tc>
          <w:tcPr>
            <w:tcW w:w="0" w:type="dxa"/>
            <w:vAlign w:val="bottom"/>
          </w:tcPr>
          <w:p>
            <w:pPr>
              <w:spacing w:after="0"/>
              <w:rPr>
                <w:sz w:val="1"/>
                <w:szCs w:val="1"/>
                <w:color w:val="auto"/>
              </w:rPr>
            </w:pPr>
          </w:p>
        </w:tc>
      </w:tr>
      <w:tr>
        <w:trPr>
          <w:trHeight w:val="311"/>
        </w:trPr>
        <w:tc>
          <w:tcPr>
            <w:tcW w:w="3080" w:type="dxa"/>
            <w:vAlign w:val="bottom"/>
            <w:gridSpan w:val="2"/>
          </w:tcPr>
          <w:p>
            <w:pPr>
              <w:spacing w:after="0"/>
              <w:rPr>
                <w:sz w:val="20"/>
                <w:szCs w:val="20"/>
                <w:color w:val="auto"/>
              </w:rPr>
            </w:pPr>
            <w:r>
              <w:rPr>
                <w:rFonts w:ascii="Arial" w:cs="Arial" w:eastAsia="Arial" w:hAnsi="Arial"/>
                <w:sz w:val="22"/>
                <w:szCs w:val="22"/>
                <w:color w:val="auto"/>
              </w:rPr>
              <w:t>6-1162-TRW-0673R1</w:t>
            </w:r>
          </w:p>
        </w:tc>
        <w:tc>
          <w:tcPr>
            <w:tcW w:w="6720" w:type="dxa"/>
            <w:vAlign w:val="bottom"/>
          </w:tcPr>
          <w:p>
            <w:pPr>
              <w:ind w:left="380"/>
              <w:spacing w:after="0"/>
              <w:rPr>
                <w:sz w:val="20"/>
                <w:szCs w:val="20"/>
                <w:color w:val="auto"/>
              </w:rPr>
            </w:pPr>
            <w:r>
              <w:rPr>
                <w:rFonts w:ascii="Arial" w:cs="Arial" w:eastAsia="Arial" w:hAnsi="Arial"/>
                <w:sz w:val="22"/>
                <w:szCs w:val="22"/>
                <w:color w:val="auto"/>
              </w:rPr>
              <w:t>Confidentiality</w:t>
            </w:r>
          </w:p>
        </w:tc>
        <w:tc>
          <w:tcPr>
            <w:tcW w:w="580" w:type="dxa"/>
            <w:vAlign w:val="bottom"/>
          </w:tcPr>
          <w:p>
            <w:pPr>
              <w:spacing w:after="0"/>
              <w:rPr>
                <w:sz w:val="24"/>
                <w:szCs w:val="2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22"/>
                <w:szCs w:val="22"/>
                <w:color w:val="auto"/>
                <w:w w:val="89"/>
              </w:rPr>
              <w:t>SA-3</w:t>
            </w:r>
          </w:p>
        </w:tc>
        <w:tc>
          <w:tcPr>
            <w:tcW w:w="0" w:type="dxa"/>
            <w:vAlign w:val="bottom"/>
          </w:tcPr>
          <w:p>
            <w:pPr>
              <w:spacing w:after="0"/>
              <w:rPr>
                <w:sz w:val="1"/>
                <w:szCs w:val="1"/>
                <w:color w:val="auto"/>
              </w:rPr>
            </w:pPr>
          </w:p>
        </w:tc>
      </w:tr>
      <w:tr>
        <w:trPr>
          <w:trHeight w:val="311"/>
        </w:trPr>
        <w:tc>
          <w:tcPr>
            <w:tcW w:w="3080" w:type="dxa"/>
            <w:vAlign w:val="bottom"/>
            <w:gridSpan w:val="2"/>
          </w:tcPr>
          <w:p>
            <w:pPr>
              <w:spacing w:after="0"/>
              <w:rPr>
                <w:sz w:val="20"/>
                <w:szCs w:val="20"/>
                <w:color w:val="auto"/>
              </w:rPr>
            </w:pPr>
            <w:r>
              <w:rPr>
                <w:rFonts w:ascii="Arial" w:cs="Arial" w:eastAsia="Arial" w:hAnsi="Arial"/>
                <w:sz w:val="22"/>
                <w:szCs w:val="22"/>
                <w:color w:val="auto"/>
              </w:rPr>
              <w:t>6-1162-TRW-0674R3</w:t>
            </w:r>
          </w:p>
        </w:tc>
        <w:tc>
          <w:tcPr>
            <w:tcW w:w="6720" w:type="dxa"/>
            <w:vAlign w:val="bottom"/>
          </w:tcPr>
          <w:p>
            <w:pPr>
              <w:ind w:left="380"/>
              <w:spacing w:after="0"/>
              <w:rPr>
                <w:sz w:val="20"/>
                <w:szCs w:val="20"/>
                <w:color w:val="auto"/>
              </w:rPr>
            </w:pPr>
            <w:r>
              <w:rPr>
                <w:rFonts w:ascii="Arial" w:cs="Arial" w:eastAsia="Arial" w:hAnsi="Arial"/>
                <w:sz w:val="22"/>
                <w:szCs w:val="22"/>
                <w:color w:val="auto"/>
              </w:rPr>
              <w:t>Business Considerations</w:t>
            </w:r>
          </w:p>
        </w:tc>
        <w:tc>
          <w:tcPr>
            <w:tcW w:w="580" w:type="dxa"/>
            <w:vAlign w:val="bottom"/>
          </w:tcPr>
          <w:p>
            <w:pPr>
              <w:spacing w:after="0"/>
              <w:rPr>
                <w:sz w:val="24"/>
                <w:szCs w:val="2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22"/>
                <w:szCs w:val="22"/>
                <w:color w:val="auto"/>
                <w:w w:val="89"/>
              </w:rPr>
              <w:t>SA-6</w:t>
            </w:r>
          </w:p>
        </w:tc>
        <w:tc>
          <w:tcPr>
            <w:tcW w:w="0" w:type="dxa"/>
            <w:vAlign w:val="bottom"/>
          </w:tcPr>
          <w:p>
            <w:pPr>
              <w:spacing w:after="0"/>
              <w:rPr>
                <w:sz w:val="1"/>
                <w:szCs w:val="1"/>
                <w:color w:val="auto"/>
              </w:rPr>
            </w:pPr>
          </w:p>
        </w:tc>
      </w:tr>
      <w:tr>
        <w:trPr>
          <w:trHeight w:val="311"/>
        </w:trPr>
        <w:tc>
          <w:tcPr>
            <w:tcW w:w="3080" w:type="dxa"/>
            <w:vAlign w:val="bottom"/>
            <w:gridSpan w:val="2"/>
          </w:tcPr>
          <w:p>
            <w:pPr>
              <w:spacing w:after="0"/>
              <w:rPr>
                <w:sz w:val="20"/>
                <w:szCs w:val="20"/>
                <w:color w:val="auto"/>
              </w:rPr>
            </w:pPr>
            <w:r>
              <w:rPr>
                <w:rFonts w:ascii="Arial" w:cs="Arial" w:eastAsia="Arial" w:hAnsi="Arial"/>
                <w:sz w:val="22"/>
                <w:szCs w:val="22"/>
                <w:color w:val="auto"/>
              </w:rPr>
              <w:t>AAL-PA-3219-LA-08836R1</w:t>
            </w:r>
          </w:p>
        </w:tc>
        <w:tc>
          <w:tcPr>
            <w:tcW w:w="6720" w:type="dxa"/>
            <w:vAlign w:val="bottom"/>
          </w:tcPr>
          <w:p>
            <w:pPr>
              <w:ind w:left="380"/>
              <w:spacing w:after="0"/>
              <w:rPr>
                <w:sz w:val="20"/>
                <w:szCs w:val="20"/>
                <w:color w:val="auto"/>
              </w:rPr>
            </w:pPr>
            <w:r>
              <w:rPr>
                <w:rFonts w:ascii="Arial" w:cs="Arial" w:eastAsia="Arial" w:hAnsi="Arial"/>
                <w:sz w:val="22"/>
                <w:szCs w:val="22"/>
                <w:color w:val="auto"/>
              </w:rPr>
              <w:t>[*CTR]</w:t>
            </w:r>
          </w:p>
        </w:tc>
        <w:tc>
          <w:tcPr>
            <w:tcW w:w="580" w:type="dxa"/>
            <w:vAlign w:val="bottom"/>
          </w:tcPr>
          <w:p>
            <w:pPr>
              <w:spacing w:after="0"/>
              <w:rPr>
                <w:sz w:val="24"/>
                <w:szCs w:val="2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22"/>
                <w:szCs w:val="22"/>
                <w:color w:val="auto"/>
                <w:w w:val="89"/>
              </w:rPr>
              <w:t>SA-6</w:t>
            </w:r>
          </w:p>
        </w:tc>
        <w:tc>
          <w:tcPr>
            <w:tcW w:w="0" w:type="dxa"/>
            <w:vAlign w:val="bottom"/>
          </w:tcPr>
          <w:p>
            <w:pPr>
              <w:spacing w:after="0"/>
              <w:rPr>
                <w:sz w:val="1"/>
                <w:szCs w:val="1"/>
                <w:color w:val="auto"/>
              </w:rPr>
            </w:pPr>
          </w:p>
        </w:tc>
      </w:tr>
      <w:tr>
        <w:trPr>
          <w:trHeight w:val="311"/>
        </w:trPr>
        <w:tc>
          <w:tcPr>
            <w:tcW w:w="3080" w:type="dxa"/>
            <w:vAlign w:val="bottom"/>
            <w:gridSpan w:val="2"/>
          </w:tcPr>
          <w:p>
            <w:pPr>
              <w:spacing w:after="0"/>
              <w:rPr>
                <w:sz w:val="20"/>
                <w:szCs w:val="20"/>
                <w:color w:val="auto"/>
              </w:rPr>
            </w:pPr>
            <w:r>
              <w:rPr>
                <w:rFonts w:ascii="Arial" w:cs="Arial" w:eastAsia="Arial" w:hAnsi="Arial"/>
                <w:sz w:val="22"/>
                <w:szCs w:val="22"/>
                <w:color w:val="auto"/>
              </w:rPr>
              <w:t>AAL-PA-3219-LA-08837R1</w:t>
            </w:r>
          </w:p>
        </w:tc>
        <w:tc>
          <w:tcPr>
            <w:tcW w:w="6720" w:type="dxa"/>
            <w:vAlign w:val="bottom"/>
          </w:tcPr>
          <w:p>
            <w:pPr>
              <w:ind w:left="380"/>
              <w:spacing w:after="0"/>
              <w:rPr>
                <w:sz w:val="20"/>
                <w:szCs w:val="20"/>
                <w:color w:val="auto"/>
              </w:rPr>
            </w:pPr>
            <w:r>
              <w:rPr>
                <w:rFonts w:ascii="Arial" w:cs="Arial" w:eastAsia="Arial" w:hAnsi="Arial"/>
                <w:sz w:val="22"/>
                <w:szCs w:val="22"/>
                <w:color w:val="auto"/>
              </w:rPr>
              <w:t>[*CTR]</w:t>
            </w:r>
          </w:p>
        </w:tc>
        <w:tc>
          <w:tcPr>
            <w:tcW w:w="580" w:type="dxa"/>
            <w:vAlign w:val="bottom"/>
          </w:tcPr>
          <w:p>
            <w:pPr>
              <w:spacing w:after="0"/>
              <w:rPr>
                <w:sz w:val="24"/>
                <w:szCs w:val="2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22"/>
                <w:szCs w:val="22"/>
                <w:color w:val="auto"/>
                <w:w w:val="89"/>
              </w:rPr>
              <w:t>SA-6</w:t>
            </w:r>
          </w:p>
        </w:tc>
        <w:tc>
          <w:tcPr>
            <w:tcW w:w="0" w:type="dxa"/>
            <w:vAlign w:val="bottom"/>
          </w:tcPr>
          <w:p>
            <w:pPr>
              <w:spacing w:after="0"/>
              <w:rPr>
                <w:sz w:val="1"/>
                <w:szCs w:val="1"/>
                <w:color w:val="auto"/>
              </w:rPr>
            </w:pPr>
          </w:p>
        </w:tc>
      </w:tr>
      <w:tr>
        <w:trPr>
          <w:trHeight w:val="311"/>
        </w:trPr>
        <w:tc>
          <w:tcPr>
            <w:tcW w:w="3080" w:type="dxa"/>
            <w:vAlign w:val="bottom"/>
            <w:gridSpan w:val="2"/>
          </w:tcPr>
          <w:p>
            <w:pPr>
              <w:spacing w:after="0"/>
              <w:rPr>
                <w:sz w:val="20"/>
                <w:szCs w:val="20"/>
                <w:color w:val="auto"/>
              </w:rPr>
            </w:pPr>
            <w:r>
              <w:rPr>
                <w:rFonts w:ascii="Arial" w:cs="Arial" w:eastAsia="Arial" w:hAnsi="Arial"/>
                <w:sz w:val="22"/>
                <w:szCs w:val="22"/>
                <w:color w:val="auto"/>
              </w:rPr>
              <w:t>AAL-PA-3219-LA-08838</w:t>
            </w:r>
          </w:p>
        </w:tc>
        <w:tc>
          <w:tcPr>
            <w:tcW w:w="6720" w:type="dxa"/>
            <w:vAlign w:val="bottom"/>
          </w:tcPr>
          <w:p>
            <w:pPr>
              <w:ind w:left="380"/>
              <w:spacing w:after="0"/>
              <w:rPr>
                <w:sz w:val="20"/>
                <w:szCs w:val="20"/>
                <w:color w:val="auto"/>
              </w:rPr>
            </w:pPr>
            <w:r>
              <w:rPr>
                <w:rFonts w:ascii="Arial" w:cs="Arial" w:eastAsia="Arial" w:hAnsi="Arial"/>
                <w:sz w:val="22"/>
                <w:szCs w:val="22"/>
                <w:color w:val="auto"/>
              </w:rPr>
              <w:t>[*CTR]</w:t>
            </w:r>
          </w:p>
        </w:tc>
        <w:tc>
          <w:tcPr>
            <w:tcW w:w="580" w:type="dxa"/>
            <w:vAlign w:val="bottom"/>
          </w:tcPr>
          <w:p>
            <w:pPr>
              <w:spacing w:after="0"/>
              <w:rPr>
                <w:sz w:val="24"/>
                <w:szCs w:val="2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22"/>
                <w:szCs w:val="22"/>
                <w:color w:val="auto"/>
                <w:w w:val="89"/>
              </w:rPr>
              <w:t>SA-3</w:t>
            </w:r>
          </w:p>
        </w:tc>
        <w:tc>
          <w:tcPr>
            <w:tcW w:w="0" w:type="dxa"/>
            <w:vAlign w:val="bottom"/>
          </w:tcPr>
          <w:p>
            <w:pPr>
              <w:spacing w:after="0"/>
              <w:rPr>
                <w:sz w:val="1"/>
                <w:szCs w:val="1"/>
                <w:color w:val="auto"/>
              </w:rPr>
            </w:pPr>
          </w:p>
        </w:tc>
      </w:tr>
      <w:tr>
        <w:trPr>
          <w:trHeight w:val="311"/>
        </w:trPr>
        <w:tc>
          <w:tcPr>
            <w:tcW w:w="3080" w:type="dxa"/>
            <w:vAlign w:val="bottom"/>
            <w:gridSpan w:val="2"/>
          </w:tcPr>
          <w:p>
            <w:pPr>
              <w:spacing w:after="0"/>
              <w:rPr>
                <w:sz w:val="20"/>
                <w:szCs w:val="20"/>
                <w:color w:val="auto"/>
              </w:rPr>
            </w:pPr>
            <w:r>
              <w:rPr>
                <w:rFonts w:ascii="Arial" w:cs="Arial" w:eastAsia="Arial" w:hAnsi="Arial"/>
                <w:sz w:val="22"/>
                <w:szCs w:val="22"/>
                <w:color w:val="auto"/>
              </w:rPr>
              <w:t>AAL-LA-1106678</w:t>
            </w:r>
          </w:p>
        </w:tc>
        <w:tc>
          <w:tcPr>
            <w:tcW w:w="6720" w:type="dxa"/>
            <w:vAlign w:val="bottom"/>
          </w:tcPr>
          <w:p>
            <w:pPr>
              <w:ind w:left="380"/>
              <w:spacing w:after="0"/>
              <w:rPr>
                <w:sz w:val="20"/>
                <w:szCs w:val="20"/>
                <w:color w:val="auto"/>
              </w:rPr>
            </w:pPr>
            <w:r>
              <w:rPr>
                <w:rFonts w:ascii="Arial" w:cs="Arial" w:eastAsia="Arial" w:hAnsi="Arial"/>
                <w:sz w:val="22"/>
                <w:szCs w:val="22"/>
                <w:color w:val="auto"/>
              </w:rPr>
              <w:t>Assignment Matters</w:t>
            </w:r>
          </w:p>
        </w:tc>
        <w:tc>
          <w:tcPr>
            <w:tcW w:w="580" w:type="dxa"/>
            <w:vAlign w:val="bottom"/>
          </w:tcPr>
          <w:p>
            <w:pPr>
              <w:spacing w:after="0"/>
              <w:rPr>
                <w:sz w:val="24"/>
                <w:szCs w:val="2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22"/>
                <w:szCs w:val="22"/>
                <w:color w:val="auto"/>
                <w:w w:val="89"/>
              </w:rPr>
              <w:t>SA-3</w:t>
            </w:r>
          </w:p>
        </w:tc>
        <w:tc>
          <w:tcPr>
            <w:tcW w:w="0" w:type="dxa"/>
            <w:vAlign w:val="bottom"/>
          </w:tcPr>
          <w:p>
            <w:pPr>
              <w:spacing w:after="0"/>
              <w:rPr>
                <w:sz w:val="1"/>
                <w:szCs w:val="1"/>
                <w:color w:val="auto"/>
              </w:rPr>
            </w:pPr>
          </w:p>
        </w:tc>
      </w:tr>
      <w:tr>
        <w:trPr>
          <w:trHeight w:val="311"/>
        </w:trPr>
        <w:tc>
          <w:tcPr>
            <w:tcW w:w="3080" w:type="dxa"/>
            <w:vAlign w:val="bottom"/>
            <w:gridSpan w:val="2"/>
          </w:tcPr>
          <w:p>
            <w:pPr>
              <w:spacing w:after="0"/>
              <w:rPr>
                <w:sz w:val="20"/>
                <w:szCs w:val="20"/>
                <w:color w:val="auto"/>
              </w:rPr>
            </w:pPr>
            <w:r>
              <w:rPr>
                <w:rFonts w:ascii="Arial" w:cs="Arial" w:eastAsia="Arial" w:hAnsi="Arial"/>
                <w:sz w:val="22"/>
                <w:szCs w:val="22"/>
                <w:color w:val="auto"/>
              </w:rPr>
              <w:t>AAL-PA-3219-LA-1302236R1</w:t>
            </w:r>
          </w:p>
        </w:tc>
        <w:tc>
          <w:tcPr>
            <w:tcW w:w="6720" w:type="dxa"/>
            <w:vAlign w:val="bottom"/>
          </w:tcPr>
          <w:p>
            <w:pPr>
              <w:ind w:left="380"/>
              <w:spacing w:after="0"/>
              <w:rPr>
                <w:sz w:val="20"/>
                <w:szCs w:val="20"/>
                <w:color w:val="auto"/>
              </w:rPr>
            </w:pPr>
            <w:r>
              <w:rPr>
                <w:rFonts w:ascii="Arial" w:cs="Arial" w:eastAsia="Arial" w:hAnsi="Arial"/>
                <w:sz w:val="22"/>
                <w:szCs w:val="22"/>
                <w:color w:val="auto"/>
              </w:rPr>
              <w:t>[*CTR]</w:t>
            </w:r>
          </w:p>
        </w:tc>
        <w:tc>
          <w:tcPr>
            <w:tcW w:w="580" w:type="dxa"/>
            <w:vAlign w:val="bottom"/>
          </w:tcPr>
          <w:p>
            <w:pPr>
              <w:spacing w:after="0"/>
              <w:rPr>
                <w:sz w:val="24"/>
                <w:szCs w:val="2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22"/>
                <w:szCs w:val="22"/>
                <w:color w:val="auto"/>
                <w:w w:val="89"/>
              </w:rPr>
              <w:t>SA-6</w:t>
            </w:r>
          </w:p>
        </w:tc>
        <w:tc>
          <w:tcPr>
            <w:tcW w:w="0" w:type="dxa"/>
            <w:vAlign w:val="bottom"/>
          </w:tcPr>
          <w:p>
            <w:pPr>
              <w:spacing w:after="0"/>
              <w:rPr>
                <w:sz w:val="1"/>
                <w:szCs w:val="1"/>
                <w:color w:val="auto"/>
              </w:rPr>
            </w:pPr>
          </w:p>
        </w:tc>
      </w:tr>
      <w:tr>
        <w:trPr>
          <w:trHeight w:val="311"/>
        </w:trPr>
        <w:tc>
          <w:tcPr>
            <w:tcW w:w="3080" w:type="dxa"/>
            <w:vAlign w:val="bottom"/>
            <w:gridSpan w:val="2"/>
          </w:tcPr>
          <w:p>
            <w:pPr>
              <w:spacing w:after="0"/>
              <w:rPr>
                <w:sz w:val="20"/>
                <w:szCs w:val="20"/>
                <w:color w:val="auto"/>
              </w:rPr>
            </w:pPr>
            <w:r>
              <w:rPr>
                <w:rFonts w:ascii="Arial" w:cs="Arial" w:eastAsia="Arial" w:hAnsi="Arial"/>
                <w:sz w:val="22"/>
                <w:szCs w:val="22"/>
                <w:color w:val="auto"/>
              </w:rPr>
              <w:t>AAL-PA-3219-LA-1604503</w:t>
            </w:r>
          </w:p>
        </w:tc>
        <w:tc>
          <w:tcPr>
            <w:tcW w:w="6720" w:type="dxa"/>
            <w:vAlign w:val="bottom"/>
          </w:tcPr>
          <w:p>
            <w:pPr>
              <w:ind w:left="380"/>
              <w:spacing w:after="0"/>
              <w:rPr>
                <w:sz w:val="20"/>
                <w:szCs w:val="20"/>
                <w:color w:val="auto"/>
              </w:rPr>
            </w:pPr>
            <w:r>
              <w:rPr>
                <w:rFonts w:ascii="Arial" w:cs="Arial" w:eastAsia="Arial" w:hAnsi="Arial"/>
                <w:sz w:val="22"/>
                <w:szCs w:val="22"/>
                <w:color w:val="auto"/>
              </w:rPr>
              <w:t>787 [*CTR] Matters</w:t>
            </w:r>
          </w:p>
        </w:tc>
        <w:tc>
          <w:tcPr>
            <w:tcW w:w="580" w:type="dxa"/>
            <w:vAlign w:val="bottom"/>
          </w:tcPr>
          <w:p>
            <w:pPr>
              <w:spacing w:after="0"/>
              <w:rPr>
                <w:sz w:val="24"/>
                <w:szCs w:val="2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22"/>
                <w:szCs w:val="22"/>
                <w:color w:val="auto"/>
                <w:w w:val="89"/>
              </w:rPr>
              <w:t>SA-8</w:t>
            </w:r>
          </w:p>
        </w:tc>
        <w:tc>
          <w:tcPr>
            <w:tcW w:w="0" w:type="dxa"/>
            <w:vAlign w:val="bottom"/>
          </w:tcPr>
          <w:p>
            <w:pPr>
              <w:spacing w:after="0"/>
              <w:rPr>
                <w:sz w:val="1"/>
                <w:szCs w:val="1"/>
                <w:color w:val="auto"/>
              </w:rPr>
            </w:pPr>
          </w:p>
        </w:tc>
      </w:tr>
      <w:tr>
        <w:trPr>
          <w:trHeight w:val="360"/>
        </w:trPr>
        <w:tc>
          <w:tcPr>
            <w:tcW w:w="3080" w:type="dxa"/>
            <w:vAlign w:val="bottom"/>
            <w:gridSpan w:val="2"/>
          </w:tcPr>
          <w:p>
            <w:pPr>
              <w:spacing w:after="0"/>
              <w:rPr>
                <w:sz w:val="20"/>
                <w:szCs w:val="20"/>
                <w:color w:val="auto"/>
              </w:rPr>
            </w:pPr>
            <w:r>
              <w:rPr>
                <w:rFonts w:ascii="Arial" w:cs="Arial" w:eastAsia="Arial" w:hAnsi="Arial"/>
                <w:sz w:val="22"/>
                <w:szCs w:val="22"/>
                <w:color w:val="auto"/>
              </w:rPr>
              <w:t>P.A. No. 3219</w:t>
            </w:r>
          </w:p>
        </w:tc>
        <w:tc>
          <w:tcPr>
            <w:tcW w:w="6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22"/>
                <w:szCs w:val="22"/>
                <w:color w:val="auto"/>
              </w:rPr>
              <w:t>SA-9</w:t>
            </w:r>
          </w:p>
        </w:tc>
        <w:tc>
          <w:tcPr>
            <w:tcW w:w="0" w:type="dxa"/>
            <w:vAlign w:val="bottom"/>
          </w:tcPr>
          <w:p>
            <w:pPr>
              <w:spacing w:after="0"/>
              <w:rPr>
                <w:sz w:val="1"/>
                <w:szCs w:val="1"/>
                <w:color w:val="auto"/>
              </w:rPr>
            </w:pPr>
          </w:p>
        </w:tc>
      </w:tr>
      <w:tr>
        <w:trPr>
          <w:trHeight w:val="275"/>
        </w:trPr>
        <w:tc>
          <w:tcPr>
            <w:tcW w:w="3080" w:type="dxa"/>
            <w:vAlign w:val="bottom"/>
            <w:gridSpan w:val="2"/>
          </w:tcPr>
          <w:p>
            <w:pPr>
              <w:spacing w:after="0"/>
              <w:rPr>
                <w:sz w:val="20"/>
                <w:szCs w:val="20"/>
                <w:color w:val="auto"/>
              </w:rPr>
            </w:pPr>
            <w:r>
              <w:rPr>
                <w:rFonts w:ascii="Arial" w:cs="Arial" w:eastAsia="Arial" w:hAnsi="Arial"/>
                <w:sz w:val="22"/>
                <w:szCs w:val="22"/>
                <w:color w:val="auto"/>
              </w:rPr>
              <w:t>Table of Contents</w:t>
            </w:r>
          </w:p>
        </w:tc>
        <w:tc>
          <w:tcPr>
            <w:tcW w:w="6720" w:type="dxa"/>
            <w:vAlign w:val="bottom"/>
            <w:vMerge w:val="restart"/>
          </w:tcPr>
          <w:p>
            <w:pPr>
              <w:ind w:left="1400"/>
              <w:spacing w:after="0"/>
              <w:rPr>
                <w:sz w:val="20"/>
                <w:szCs w:val="20"/>
                <w:color w:val="auto"/>
              </w:rPr>
            </w:pPr>
            <w:r>
              <w:rPr>
                <w:rFonts w:ascii="Arial" w:cs="Arial" w:eastAsia="Arial" w:hAnsi="Arial"/>
                <w:sz w:val="22"/>
                <w:szCs w:val="22"/>
                <w:b w:val="1"/>
                <w:bCs w:val="1"/>
                <w:color w:val="auto"/>
              </w:rPr>
              <w:t>BOEING PROPRIETARY</w:t>
            </w:r>
          </w:p>
        </w:tc>
        <w:tc>
          <w:tcPr>
            <w:tcW w:w="580" w:type="dxa"/>
            <w:vAlign w:val="bottom"/>
          </w:tcPr>
          <w:p>
            <w:pPr>
              <w:spacing w:after="0"/>
              <w:rPr>
                <w:sz w:val="23"/>
                <w:szCs w:val="23"/>
                <w:color w:val="auto"/>
              </w:rPr>
            </w:pPr>
          </w:p>
        </w:tc>
        <w:tc>
          <w:tcPr>
            <w:tcW w:w="1040" w:type="dxa"/>
            <w:vAlign w:val="bottom"/>
            <w:gridSpan w:val="2"/>
          </w:tcPr>
          <w:p>
            <w:pPr>
              <w:jc w:val="right"/>
              <w:spacing w:after="0"/>
              <w:rPr>
                <w:sz w:val="20"/>
                <w:szCs w:val="20"/>
                <w:color w:val="auto"/>
              </w:rPr>
            </w:pPr>
            <w:r>
              <w:rPr>
                <w:rFonts w:ascii="Arial" w:cs="Arial" w:eastAsia="Arial" w:hAnsi="Arial"/>
                <w:sz w:val="22"/>
                <w:szCs w:val="22"/>
                <w:color w:val="auto"/>
              </w:rPr>
              <w:t>Page 3</w:t>
            </w:r>
          </w:p>
        </w:tc>
        <w:tc>
          <w:tcPr>
            <w:tcW w:w="0" w:type="dxa"/>
            <w:vAlign w:val="bottom"/>
          </w:tcPr>
          <w:p>
            <w:pPr>
              <w:spacing w:after="0"/>
              <w:rPr>
                <w:sz w:val="1"/>
                <w:szCs w:val="1"/>
                <w:color w:val="auto"/>
              </w:rPr>
            </w:pPr>
          </w:p>
        </w:tc>
      </w:tr>
      <w:tr>
        <w:trPr>
          <w:trHeight w:val="257"/>
        </w:trPr>
        <w:tc>
          <w:tcPr>
            <w:tcW w:w="23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720" w:type="dxa"/>
            <w:vAlign w:val="bottom"/>
            <w:vMerge w:val="continue"/>
          </w:tcPr>
          <w:p>
            <w:pPr>
              <w:spacing w:after="0"/>
              <w:rPr>
                <w:sz w:val="22"/>
                <w:szCs w:val="22"/>
                <w:color w:val="auto"/>
              </w:rPr>
            </w:pPr>
          </w:p>
        </w:tc>
        <w:tc>
          <w:tcPr>
            <w:tcW w:w="5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both"/>
        <w:spacing w:after="0" w:line="260" w:lineRule="auto"/>
        <w:rPr>
          <w:sz w:val="20"/>
          <w:szCs w:val="20"/>
          <w:color w:val="auto"/>
        </w:rPr>
      </w:pPr>
      <w:r>
        <w:rPr>
          <w:rFonts w:ascii="Arial" w:cs="Arial" w:eastAsia="Arial" w:hAnsi="Arial"/>
          <w:sz w:val="16"/>
          <w:szCs w:val="16"/>
          <w:color w:val="auto"/>
        </w:rPr>
        <w:t>[*CTR]=[CONFIDENTIAL PORTION OMITTED AND FILED SEPARATELY WITH THE COMMISSION PURSUANT TO A REQUEST FOR CONFIDENTIAL TREATMENT]</w:t>
      </w:r>
    </w:p>
    <w:p>
      <w:pPr>
        <w:sectPr>
          <w:pgSz w:w="11900" w:h="16838" w:orient="portrait"/>
          <w:cols w:equalWidth="0" w:num="1">
            <w:col w:w="11420"/>
          </w:cols>
          <w:pgMar w:left="240" w:top="267" w:right="239" w:bottom="1440" w:gutter="0" w:footer="0" w:header="0"/>
        </w:sectPr>
      </w:pPr>
    </w:p>
    <w:bookmarkStart w:id="113" w:name="page114"/>
    <w:bookmarkEnd w:id="113"/>
    <w:p>
      <w:pPr>
        <w:jc w:val="center"/>
        <w:spacing w:after="0" w:line="275" w:lineRule="auto"/>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Table 1(R6) To Purchase Agreement No. PA-03219 787-9 Aircraft Delivery, Description, Price and Advance Payments [*CTR]</w:t>
      </w:r>
    </w:p>
    <w:p>
      <w:pPr>
        <w:spacing w:after="0" w:line="190" w:lineRule="exact"/>
        <w:rPr>
          <w:sz w:val="20"/>
          <w:szCs w:val="20"/>
          <w:color w:val="auto"/>
        </w:rPr>
      </w:pPr>
    </w:p>
    <w:tbl>
      <w:tblPr>
        <w:tblLayout w:type="fixed"/>
        <w:tblInd w:w="10" w:type="dxa"/>
        <w:tblCellMar>
          <w:top w:w="0" w:type="dxa"/>
          <w:left w:w="0" w:type="dxa"/>
          <w:bottom w:w="0" w:type="dxa"/>
          <w:right w:w="0" w:type="dxa"/>
        </w:tblCellMar>
      </w:tblPr>
      <w:tr>
        <w:trPr>
          <w:trHeight w:val="198"/>
        </w:trPr>
        <w:tc>
          <w:tcPr>
            <w:tcW w:w="2220" w:type="dxa"/>
            <w:vAlign w:val="bottom"/>
            <w:gridSpan w:val="3"/>
          </w:tcPr>
          <w:p>
            <w:pPr>
              <w:spacing w:after="0"/>
              <w:rPr>
                <w:sz w:val="20"/>
                <w:szCs w:val="20"/>
                <w:color w:val="auto"/>
              </w:rPr>
            </w:pPr>
            <w:r>
              <w:rPr>
                <w:rFonts w:ascii="Arial" w:cs="Arial" w:eastAsia="Arial" w:hAnsi="Arial"/>
                <w:sz w:val="15"/>
                <w:szCs w:val="15"/>
                <w:b w:val="1"/>
                <w:bCs w:val="1"/>
                <w:color w:val="auto"/>
              </w:rPr>
              <w:t>Airframe Model/MTOW:</w:t>
            </w:r>
          </w:p>
        </w:tc>
        <w:tc>
          <w:tcPr>
            <w:tcW w:w="1040" w:type="dxa"/>
            <w:vAlign w:val="bottom"/>
          </w:tcPr>
          <w:p>
            <w:pPr>
              <w:spacing w:after="0"/>
              <w:rPr>
                <w:sz w:val="17"/>
                <w:szCs w:val="17"/>
                <w:color w:val="auto"/>
              </w:rPr>
            </w:pPr>
          </w:p>
        </w:tc>
        <w:tc>
          <w:tcPr>
            <w:tcW w:w="900" w:type="dxa"/>
            <w:vAlign w:val="bottom"/>
          </w:tcPr>
          <w:p>
            <w:pPr>
              <w:ind w:left="80"/>
              <w:spacing w:after="0"/>
              <w:rPr>
                <w:sz w:val="20"/>
                <w:szCs w:val="20"/>
                <w:color w:val="auto"/>
              </w:rPr>
            </w:pPr>
            <w:r>
              <w:rPr>
                <w:rFonts w:ascii="Arial" w:cs="Arial" w:eastAsia="Arial" w:hAnsi="Arial"/>
                <w:sz w:val="15"/>
                <w:szCs w:val="15"/>
                <w:color w:val="auto"/>
              </w:rPr>
              <w:t>787-9</w:t>
            </w:r>
          </w:p>
        </w:tc>
        <w:tc>
          <w:tcPr>
            <w:tcW w:w="1320" w:type="dxa"/>
            <w:vAlign w:val="bottom"/>
            <w:gridSpan w:val="7"/>
          </w:tcPr>
          <w:p>
            <w:pPr>
              <w:jc w:val="right"/>
              <w:ind w:right="300"/>
              <w:spacing w:after="0"/>
              <w:rPr>
                <w:sz w:val="20"/>
                <w:szCs w:val="20"/>
                <w:color w:val="auto"/>
              </w:rPr>
            </w:pPr>
            <w:r>
              <w:rPr>
                <w:rFonts w:ascii="Arial" w:cs="Arial" w:eastAsia="Arial" w:hAnsi="Arial"/>
                <w:sz w:val="15"/>
                <w:szCs w:val="15"/>
                <w:color w:val="auto"/>
                <w:w w:val="92"/>
              </w:rPr>
              <w:t>553,000 pounds</w:t>
            </w:r>
          </w:p>
        </w:tc>
        <w:tc>
          <w:tcPr>
            <w:tcW w:w="520" w:type="dxa"/>
            <w:vAlign w:val="bottom"/>
          </w:tcPr>
          <w:p>
            <w:pPr>
              <w:spacing w:after="0"/>
              <w:rPr>
                <w:sz w:val="17"/>
                <w:szCs w:val="17"/>
                <w:color w:val="auto"/>
              </w:rPr>
            </w:pPr>
          </w:p>
        </w:tc>
        <w:tc>
          <w:tcPr>
            <w:tcW w:w="2100" w:type="dxa"/>
            <w:vAlign w:val="bottom"/>
            <w:gridSpan w:val="4"/>
          </w:tcPr>
          <w:p>
            <w:pPr>
              <w:spacing w:after="0"/>
              <w:rPr>
                <w:sz w:val="20"/>
                <w:szCs w:val="20"/>
                <w:color w:val="auto"/>
              </w:rPr>
            </w:pPr>
            <w:r>
              <w:rPr>
                <w:rFonts w:ascii="Arial" w:cs="Arial" w:eastAsia="Arial" w:hAnsi="Arial"/>
                <w:sz w:val="15"/>
                <w:szCs w:val="15"/>
                <w:b w:val="1"/>
                <w:bCs w:val="1"/>
                <w:color w:val="auto"/>
              </w:rPr>
              <w:t>Detail Specification:</w:t>
            </w:r>
          </w:p>
        </w:tc>
        <w:tc>
          <w:tcPr>
            <w:tcW w:w="960" w:type="dxa"/>
            <w:vAlign w:val="bottom"/>
          </w:tcPr>
          <w:p>
            <w:pPr>
              <w:spacing w:after="0"/>
              <w:rPr>
                <w:sz w:val="17"/>
                <w:szCs w:val="17"/>
                <w:color w:val="auto"/>
              </w:rPr>
            </w:pPr>
          </w:p>
        </w:tc>
        <w:tc>
          <w:tcPr>
            <w:tcW w:w="1100" w:type="dxa"/>
            <w:vAlign w:val="bottom"/>
            <w:gridSpan w:val="2"/>
          </w:tcPr>
          <w:p>
            <w:pPr>
              <w:ind w:left="20"/>
              <w:spacing w:after="0"/>
              <w:rPr>
                <w:sz w:val="20"/>
                <w:szCs w:val="20"/>
                <w:color w:val="auto"/>
              </w:rPr>
            </w:pPr>
            <w:r>
              <w:rPr>
                <w:rFonts w:ascii="Arial" w:cs="Arial" w:eastAsia="Arial" w:hAnsi="Arial"/>
                <w:sz w:val="15"/>
                <w:szCs w:val="15"/>
                <w:color w:val="auto"/>
              </w:rPr>
              <w:t>[*CTR]</w:t>
            </w: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220" w:type="dxa"/>
            <w:vAlign w:val="bottom"/>
            <w:gridSpan w:val="3"/>
          </w:tcPr>
          <w:p>
            <w:pPr>
              <w:spacing w:after="0"/>
              <w:rPr>
                <w:sz w:val="20"/>
                <w:szCs w:val="20"/>
                <w:color w:val="auto"/>
              </w:rPr>
            </w:pPr>
            <w:r>
              <w:rPr>
                <w:rFonts w:ascii="Arial" w:cs="Arial" w:eastAsia="Arial" w:hAnsi="Arial"/>
                <w:sz w:val="15"/>
                <w:szCs w:val="15"/>
                <w:b w:val="1"/>
                <w:bCs w:val="1"/>
                <w:color w:val="auto"/>
              </w:rPr>
              <w:t>Engine Model/Thrust:</w:t>
            </w:r>
          </w:p>
        </w:tc>
        <w:tc>
          <w:tcPr>
            <w:tcW w:w="1940" w:type="dxa"/>
            <w:vAlign w:val="bottom"/>
            <w:gridSpan w:val="2"/>
          </w:tcPr>
          <w:p>
            <w:pPr>
              <w:ind w:left="800"/>
              <w:spacing w:after="0"/>
              <w:rPr>
                <w:sz w:val="20"/>
                <w:szCs w:val="20"/>
                <w:color w:val="auto"/>
              </w:rPr>
            </w:pPr>
            <w:r>
              <w:rPr>
                <w:rFonts w:ascii="Arial" w:cs="Arial" w:eastAsia="Arial" w:hAnsi="Arial"/>
                <w:sz w:val="15"/>
                <w:szCs w:val="15"/>
                <w:color w:val="auto"/>
              </w:rPr>
              <w:t>GENX-1B74/75</w:t>
            </w:r>
          </w:p>
        </w:tc>
        <w:tc>
          <w:tcPr>
            <w:tcW w:w="40" w:type="dxa"/>
            <w:vAlign w:val="bottom"/>
          </w:tcPr>
          <w:p>
            <w:pPr>
              <w:spacing w:after="0"/>
              <w:rPr>
                <w:sz w:val="23"/>
                <w:szCs w:val="23"/>
                <w:color w:val="auto"/>
              </w:rPr>
            </w:pPr>
          </w:p>
        </w:tc>
        <w:tc>
          <w:tcPr>
            <w:tcW w:w="1280" w:type="dxa"/>
            <w:vAlign w:val="bottom"/>
            <w:gridSpan w:val="6"/>
          </w:tcPr>
          <w:p>
            <w:pPr>
              <w:jc w:val="right"/>
              <w:ind w:right="300"/>
              <w:spacing w:after="0"/>
              <w:rPr>
                <w:sz w:val="20"/>
                <w:szCs w:val="20"/>
                <w:color w:val="auto"/>
              </w:rPr>
            </w:pPr>
            <w:r>
              <w:rPr>
                <w:rFonts w:ascii="Arial" w:cs="Arial" w:eastAsia="Arial" w:hAnsi="Arial"/>
                <w:sz w:val="15"/>
                <w:szCs w:val="15"/>
                <w:color w:val="auto"/>
                <w:w w:val="96"/>
              </w:rPr>
              <w:t>74,100 pounds</w:t>
            </w:r>
          </w:p>
        </w:tc>
        <w:tc>
          <w:tcPr>
            <w:tcW w:w="520" w:type="dxa"/>
            <w:vAlign w:val="bottom"/>
          </w:tcPr>
          <w:p>
            <w:pPr>
              <w:spacing w:after="0"/>
              <w:rPr>
                <w:sz w:val="23"/>
                <w:szCs w:val="23"/>
                <w:color w:val="auto"/>
              </w:rPr>
            </w:pPr>
          </w:p>
        </w:tc>
        <w:tc>
          <w:tcPr>
            <w:tcW w:w="3060" w:type="dxa"/>
            <w:vAlign w:val="bottom"/>
            <w:gridSpan w:val="5"/>
          </w:tcPr>
          <w:p>
            <w:pPr>
              <w:spacing w:after="0"/>
              <w:rPr>
                <w:sz w:val="20"/>
                <w:szCs w:val="20"/>
                <w:color w:val="auto"/>
              </w:rPr>
            </w:pPr>
            <w:r>
              <w:rPr>
                <w:rFonts w:ascii="Arial" w:cs="Arial" w:eastAsia="Arial" w:hAnsi="Arial"/>
                <w:sz w:val="15"/>
                <w:szCs w:val="15"/>
                <w:b w:val="1"/>
                <w:bCs w:val="1"/>
                <w:color w:val="auto"/>
                <w:w w:val="93"/>
              </w:rPr>
              <w:t>Airframe Price Base Year/Escalation Formula:</w:t>
            </w:r>
          </w:p>
        </w:tc>
        <w:tc>
          <w:tcPr>
            <w:tcW w:w="200" w:type="dxa"/>
            <w:vAlign w:val="bottom"/>
          </w:tcPr>
          <w:p>
            <w:pPr>
              <w:spacing w:after="0"/>
              <w:rPr>
                <w:sz w:val="23"/>
                <w:szCs w:val="23"/>
                <w:color w:val="auto"/>
              </w:rPr>
            </w:pPr>
          </w:p>
        </w:tc>
        <w:tc>
          <w:tcPr>
            <w:tcW w:w="900" w:type="dxa"/>
            <w:vAlign w:val="bottom"/>
          </w:tcPr>
          <w:p>
            <w:pPr>
              <w:ind w:left="400"/>
              <w:spacing w:after="0"/>
              <w:rPr>
                <w:sz w:val="20"/>
                <w:szCs w:val="20"/>
                <w:color w:val="auto"/>
              </w:rPr>
            </w:pPr>
            <w:r>
              <w:rPr>
                <w:rFonts w:ascii="Arial" w:cs="Arial" w:eastAsia="Arial" w:hAnsi="Arial"/>
                <w:sz w:val="15"/>
                <w:szCs w:val="15"/>
                <w:color w:val="auto"/>
              </w:rPr>
              <w:t>[*CTR]</w:t>
            </w:r>
          </w:p>
        </w:tc>
        <w:tc>
          <w:tcPr>
            <w:tcW w:w="240" w:type="dxa"/>
            <w:vAlign w:val="bottom"/>
          </w:tcPr>
          <w:p>
            <w:pPr>
              <w:spacing w:after="0"/>
              <w:rPr>
                <w:sz w:val="23"/>
                <w:szCs w:val="23"/>
                <w:color w:val="auto"/>
              </w:rPr>
            </w:pPr>
          </w:p>
        </w:tc>
        <w:tc>
          <w:tcPr>
            <w:tcW w:w="1040" w:type="dxa"/>
            <w:vAlign w:val="bottom"/>
          </w:tcPr>
          <w:p>
            <w:pPr>
              <w:ind w:left="540"/>
              <w:spacing w:after="0"/>
              <w:rPr>
                <w:sz w:val="20"/>
                <w:szCs w:val="20"/>
                <w:color w:val="auto"/>
              </w:rPr>
            </w:pPr>
            <w:r>
              <w:rPr>
                <w:rFonts w:ascii="Arial" w:cs="Arial" w:eastAsia="Arial" w:hAnsi="Arial"/>
                <w:sz w:val="15"/>
                <w:szCs w:val="15"/>
                <w:color w:val="auto"/>
              </w:rPr>
              <w:t>[*CTR]</w:t>
            </w:r>
          </w:p>
        </w:tc>
        <w:tc>
          <w:tcPr>
            <w:tcW w:w="0" w:type="dxa"/>
            <w:vAlign w:val="bottom"/>
          </w:tcPr>
          <w:p>
            <w:pPr>
              <w:spacing w:after="0"/>
              <w:rPr>
                <w:sz w:val="1"/>
                <w:szCs w:val="1"/>
                <w:color w:val="auto"/>
              </w:rPr>
            </w:pPr>
          </w:p>
        </w:tc>
      </w:tr>
      <w:tr>
        <w:trPr>
          <w:trHeight w:val="270"/>
        </w:trPr>
        <w:tc>
          <w:tcPr>
            <w:tcW w:w="1320" w:type="dxa"/>
            <w:vAlign w:val="bottom"/>
            <w:gridSpan w:val="2"/>
          </w:tcPr>
          <w:p>
            <w:pPr>
              <w:spacing w:after="0"/>
              <w:rPr>
                <w:sz w:val="20"/>
                <w:szCs w:val="20"/>
                <w:color w:val="auto"/>
              </w:rPr>
            </w:pPr>
            <w:r>
              <w:rPr>
                <w:rFonts w:ascii="Arial" w:cs="Arial" w:eastAsia="Arial" w:hAnsi="Arial"/>
                <w:sz w:val="15"/>
                <w:szCs w:val="15"/>
                <w:b w:val="1"/>
                <w:bCs w:val="1"/>
                <w:color w:val="auto"/>
              </w:rPr>
              <w:t>Airframe Price:</w:t>
            </w:r>
          </w:p>
        </w:tc>
        <w:tc>
          <w:tcPr>
            <w:tcW w:w="9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gridSpan w:val="2"/>
          </w:tcPr>
          <w:p>
            <w:pPr>
              <w:ind w:left="80"/>
              <w:spacing w:after="0"/>
              <w:rPr>
                <w:sz w:val="20"/>
                <w:szCs w:val="20"/>
                <w:color w:val="auto"/>
              </w:rPr>
            </w:pPr>
            <w:r>
              <w:rPr>
                <w:rFonts w:ascii="Arial" w:cs="Arial" w:eastAsia="Arial" w:hAnsi="Arial"/>
                <w:sz w:val="15"/>
                <w:szCs w:val="15"/>
                <w:color w:val="auto"/>
              </w:rPr>
              <w:t>$[*CTR]</w:t>
            </w:r>
          </w:p>
        </w:tc>
        <w:tc>
          <w:tcPr>
            <w:tcW w:w="520" w:type="dxa"/>
            <w:vAlign w:val="bottom"/>
          </w:tcPr>
          <w:p>
            <w:pPr>
              <w:spacing w:after="0"/>
              <w:rPr>
                <w:sz w:val="23"/>
                <w:szCs w:val="23"/>
                <w:color w:val="auto"/>
              </w:rPr>
            </w:pPr>
          </w:p>
        </w:tc>
        <w:tc>
          <w:tcPr>
            <w:tcW w:w="3060" w:type="dxa"/>
            <w:vAlign w:val="bottom"/>
            <w:gridSpan w:val="5"/>
          </w:tcPr>
          <w:p>
            <w:pPr>
              <w:spacing w:after="0"/>
              <w:rPr>
                <w:sz w:val="20"/>
                <w:szCs w:val="20"/>
                <w:color w:val="auto"/>
              </w:rPr>
            </w:pPr>
            <w:r>
              <w:rPr>
                <w:rFonts w:ascii="Arial" w:cs="Arial" w:eastAsia="Arial" w:hAnsi="Arial"/>
                <w:sz w:val="15"/>
                <w:szCs w:val="15"/>
                <w:b w:val="1"/>
                <w:bCs w:val="1"/>
                <w:color w:val="auto"/>
                <w:w w:val="96"/>
              </w:rPr>
              <w:t>Engine Price Base Year/Escalation Formula:</w:t>
            </w:r>
          </w:p>
        </w:tc>
        <w:tc>
          <w:tcPr>
            <w:tcW w:w="200" w:type="dxa"/>
            <w:vAlign w:val="bottom"/>
          </w:tcPr>
          <w:p>
            <w:pPr>
              <w:spacing w:after="0"/>
              <w:rPr>
                <w:sz w:val="23"/>
                <w:szCs w:val="23"/>
                <w:color w:val="auto"/>
              </w:rPr>
            </w:pPr>
          </w:p>
        </w:tc>
        <w:tc>
          <w:tcPr>
            <w:tcW w:w="900" w:type="dxa"/>
            <w:vAlign w:val="bottom"/>
          </w:tcPr>
          <w:p>
            <w:pPr>
              <w:ind w:left="400"/>
              <w:spacing w:after="0"/>
              <w:rPr>
                <w:sz w:val="20"/>
                <w:szCs w:val="20"/>
                <w:color w:val="auto"/>
              </w:rPr>
            </w:pPr>
            <w:r>
              <w:rPr>
                <w:rFonts w:ascii="Arial" w:cs="Arial" w:eastAsia="Arial" w:hAnsi="Arial"/>
                <w:sz w:val="15"/>
                <w:szCs w:val="15"/>
                <w:color w:val="auto"/>
              </w:rPr>
              <w:t>[*CTR]</w:t>
            </w:r>
          </w:p>
        </w:tc>
        <w:tc>
          <w:tcPr>
            <w:tcW w:w="240" w:type="dxa"/>
            <w:vAlign w:val="bottom"/>
          </w:tcPr>
          <w:p>
            <w:pPr>
              <w:spacing w:after="0"/>
              <w:rPr>
                <w:sz w:val="23"/>
                <w:szCs w:val="23"/>
                <w:color w:val="auto"/>
              </w:rPr>
            </w:pPr>
          </w:p>
        </w:tc>
        <w:tc>
          <w:tcPr>
            <w:tcW w:w="1040" w:type="dxa"/>
            <w:vAlign w:val="bottom"/>
          </w:tcPr>
          <w:p>
            <w:pPr>
              <w:ind w:left="540"/>
              <w:spacing w:after="0"/>
              <w:rPr>
                <w:sz w:val="20"/>
                <w:szCs w:val="20"/>
                <w:color w:val="auto"/>
              </w:rPr>
            </w:pPr>
            <w:r>
              <w:rPr>
                <w:rFonts w:ascii="Arial" w:cs="Arial" w:eastAsia="Arial" w:hAnsi="Arial"/>
                <w:sz w:val="15"/>
                <w:szCs w:val="15"/>
                <w:color w:val="auto"/>
              </w:rPr>
              <w:t>[*CTR]</w:t>
            </w:r>
          </w:p>
        </w:tc>
        <w:tc>
          <w:tcPr>
            <w:tcW w:w="0" w:type="dxa"/>
            <w:vAlign w:val="bottom"/>
          </w:tcPr>
          <w:p>
            <w:pPr>
              <w:spacing w:after="0"/>
              <w:rPr>
                <w:sz w:val="1"/>
                <w:szCs w:val="1"/>
                <w:color w:val="auto"/>
              </w:rPr>
            </w:pPr>
          </w:p>
        </w:tc>
      </w:tr>
      <w:tr>
        <w:trPr>
          <w:trHeight w:val="238"/>
        </w:trPr>
        <w:tc>
          <w:tcPr>
            <w:tcW w:w="1320" w:type="dxa"/>
            <w:vAlign w:val="bottom"/>
            <w:gridSpan w:val="2"/>
          </w:tcPr>
          <w:p>
            <w:pPr>
              <w:spacing w:after="0"/>
              <w:rPr>
                <w:sz w:val="20"/>
                <w:szCs w:val="20"/>
                <w:color w:val="auto"/>
              </w:rPr>
            </w:pPr>
            <w:r>
              <w:rPr>
                <w:rFonts w:ascii="Arial" w:cs="Arial" w:eastAsia="Arial" w:hAnsi="Arial"/>
                <w:sz w:val="15"/>
                <w:szCs w:val="15"/>
                <w:b w:val="1"/>
                <w:bCs w:val="1"/>
                <w:color w:val="auto"/>
                <w:w w:val="98"/>
              </w:rPr>
              <w:t>Optional Features:</w:t>
            </w:r>
          </w:p>
        </w:tc>
        <w:tc>
          <w:tcPr>
            <w:tcW w:w="9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gridSpan w:val="2"/>
          </w:tcPr>
          <w:p>
            <w:pPr>
              <w:ind w:left="80"/>
              <w:spacing w:after="0"/>
              <w:rPr>
                <w:sz w:val="20"/>
                <w:szCs w:val="20"/>
                <w:color w:val="auto"/>
              </w:rPr>
            </w:pPr>
            <w:r>
              <w:rPr>
                <w:rFonts w:ascii="Arial" w:cs="Arial" w:eastAsia="Arial" w:hAnsi="Arial"/>
                <w:sz w:val="15"/>
                <w:szCs w:val="15"/>
                <w:color w:val="auto"/>
              </w:rPr>
              <w:t>$[*CTR]</w:t>
            </w: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60" w:type="dxa"/>
            <w:vAlign w:val="bottom"/>
            <w:gridSpan w:val="4"/>
            <w:vMerge w:val="restart"/>
          </w:tcPr>
          <w:p>
            <w:pPr>
              <w:spacing w:after="0"/>
              <w:rPr>
                <w:sz w:val="20"/>
                <w:szCs w:val="20"/>
                <w:color w:val="auto"/>
              </w:rPr>
            </w:pPr>
            <w:r>
              <w:rPr>
                <w:rFonts w:ascii="Arial" w:cs="Arial" w:eastAsia="Arial" w:hAnsi="Arial"/>
                <w:sz w:val="15"/>
                <w:szCs w:val="15"/>
                <w:b w:val="1"/>
                <w:bCs w:val="1"/>
                <w:color w:val="auto"/>
              </w:rPr>
              <w:t>Sub-Total of Airframe and Features:</w:t>
            </w: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40" w:type="dxa"/>
            <w:vAlign w:val="bottom"/>
            <w:gridSpan w:val="3"/>
            <w:vMerge w:val="restart"/>
          </w:tcPr>
          <w:p>
            <w:pPr>
              <w:spacing w:after="0"/>
              <w:rPr>
                <w:sz w:val="20"/>
                <w:szCs w:val="20"/>
                <w:color w:val="auto"/>
              </w:rPr>
            </w:pPr>
            <w:r>
              <w:rPr>
                <w:rFonts w:ascii="Arial" w:cs="Arial" w:eastAsia="Arial" w:hAnsi="Arial"/>
                <w:sz w:val="15"/>
                <w:szCs w:val="15"/>
                <w:b w:val="1"/>
                <w:bCs w:val="1"/>
                <w:color w:val="auto"/>
                <w:w w:val="94"/>
              </w:rPr>
              <w:t>Airframe Escalation Data:</w:t>
            </w:r>
          </w:p>
        </w:tc>
        <w:tc>
          <w:tcPr>
            <w:tcW w:w="360" w:type="dxa"/>
            <w:vAlign w:val="bottom"/>
            <w:vMerge w:val="restart"/>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3260" w:type="dxa"/>
            <w:vAlign w:val="bottom"/>
            <w:gridSpan w:val="4"/>
            <w:vMerge w:val="continue"/>
          </w:tcPr>
          <w:p>
            <w:pPr>
              <w:spacing w:after="0"/>
              <w:rPr>
                <w:sz w:val="21"/>
                <w:szCs w:val="21"/>
                <w:color w:val="auto"/>
              </w:rPr>
            </w:pPr>
          </w:p>
        </w:tc>
        <w:tc>
          <w:tcPr>
            <w:tcW w:w="9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gridSpan w:val="2"/>
          </w:tcPr>
          <w:p>
            <w:pPr>
              <w:ind w:left="80"/>
              <w:spacing w:after="0"/>
              <w:rPr>
                <w:sz w:val="20"/>
                <w:szCs w:val="20"/>
                <w:color w:val="auto"/>
              </w:rPr>
            </w:pPr>
            <w:r>
              <w:rPr>
                <w:rFonts w:ascii="Arial" w:cs="Arial" w:eastAsia="Arial" w:hAnsi="Arial"/>
                <w:sz w:val="15"/>
                <w:szCs w:val="15"/>
                <w:color w:val="auto"/>
              </w:rPr>
              <w:t>$[*CTR]</w:t>
            </w:r>
          </w:p>
        </w:tc>
        <w:tc>
          <w:tcPr>
            <w:tcW w:w="520" w:type="dxa"/>
            <w:vAlign w:val="bottom"/>
          </w:tcPr>
          <w:p>
            <w:pPr>
              <w:spacing w:after="0"/>
              <w:rPr>
                <w:sz w:val="21"/>
                <w:szCs w:val="21"/>
                <w:color w:val="auto"/>
              </w:rPr>
            </w:pPr>
          </w:p>
        </w:tc>
        <w:tc>
          <w:tcPr>
            <w:tcW w:w="1740" w:type="dxa"/>
            <w:vAlign w:val="bottom"/>
            <w:tcBorders>
              <w:bottom w:val="single" w:sz="8" w:color="auto"/>
            </w:tcBorders>
            <w:gridSpan w:val="3"/>
            <w:vMerge w:val="continue"/>
          </w:tcPr>
          <w:p>
            <w:pPr>
              <w:spacing w:after="0"/>
              <w:rPr>
                <w:sz w:val="21"/>
                <w:szCs w:val="21"/>
                <w:color w:val="auto"/>
              </w:rPr>
            </w:pPr>
          </w:p>
        </w:tc>
        <w:tc>
          <w:tcPr>
            <w:tcW w:w="360" w:type="dxa"/>
            <w:vAlign w:val="bottom"/>
            <w:vMerge w:val="continue"/>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2220" w:type="dxa"/>
            <w:vAlign w:val="bottom"/>
            <w:gridSpan w:val="3"/>
          </w:tcPr>
          <w:p>
            <w:pPr>
              <w:spacing w:after="0"/>
              <w:rPr>
                <w:sz w:val="20"/>
                <w:szCs w:val="20"/>
                <w:color w:val="auto"/>
              </w:rPr>
            </w:pPr>
            <w:r>
              <w:rPr>
                <w:rFonts w:ascii="Arial" w:cs="Arial" w:eastAsia="Arial" w:hAnsi="Arial"/>
                <w:sz w:val="15"/>
                <w:szCs w:val="15"/>
                <w:b w:val="1"/>
                <w:bCs w:val="1"/>
                <w:color w:val="auto"/>
              </w:rPr>
              <w:t>Engine Price (Per Aircraft):</w:t>
            </w:r>
          </w:p>
        </w:tc>
        <w:tc>
          <w:tcPr>
            <w:tcW w:w="10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gridSpan w:val="2"/>
          </w:tcPr>
          <w:p>
            <w:pPr>
              <w:ind w:left="80"/>
              <w:spacing w:after="0"/>
              <w:rPr>
                <w:sz w:val="20"/>
                <w:szCs w:val="20"/>
                <w:color w:val="auto"/>
              </w:rPr>
            </w:pPr>
            <w:r>
              <w:rPr>
                <w:rFonts w:ascii="Arial" w:cs="Arial" w:eastAsia="Arial" w:hAnsi="Arial"/>
                <w:sz w:val="15"/>
                <w:szCs w:val="15"/>
                <w:color w:val="auto"/>
              </w:rPr>
              <w:t>$[*CTR]</w:t>
            </w:r>
          </w:p>
        </w:tc>
        <w:tc>
          <w:tcPr>
            <w:tcW w:w="520" w:type="dxa"/>
            <w:vAlign w:val="bottom"/>
          </w:tcPr>
          <w:p>
            <w:pPr>
              <w:spacing w:after="0"/>
              <w:rPr>
                <w:sz w:val="24"/>
                <w:szCs w:val="24"/>
                <w:color w:val="auto"/>
              </w:rPr>
            </w:pPr>
          </w:p>
        </w:tc>
        <w:tc>
          <w:tcPr>
            <w:tcW w:w="2100" w:type="dxa"/>
            <w:vAlign w:val="bottom"/>
            <w:gridSpan w:val="4"/>
          </w:tcPr>
          <w:p>
            <w:pPr>
              <w:spacing w:after="0"/>
              <w:rPr>
                <w:sz w:val="20"/>
                <w:szCs w:val="20"/>
                <w:color w:val="auto"/>
              </w:rPr>
            </w:pPr>
            <w:r>
              <w:rPr>
                <w:rFonts w:ascii="Arial" w:cs="Arial" w:eastAsia="Arial" w:hAnsi="Arial"/>
                <w:sz w:val="15"/>
                <w:szCs w:val="15"/>
                <w:b w:val="1"/>
                <w:bCs w:val="1"/>
                <w:color w:val="auto"/>
              </w:rPr>
              <w:t>Base Year Index (ECI):</w:t>
            </w: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80" w:type="dxa"/>
            <w:vAlign w:val="bottom"/>
            <w:gridSpan w:val="2"/>
          </w:tcPr>
          <w:p>
            <w:pPr>
              <w:ind w:left="100"/>
              <w:spacing w:after="0"/>
              <w:rPr>
                <w:sz w:val="20"/>
                <w:szCs w:val="20"/>
                <w:color w:val="auto"/>
              </w:rPr>
            </w:pPr>
            <w:r>
              <w:rPr>
                <w:rFonts w:ascii="Arial" w:cs="Arial" w:eastAsia="Arial" w:hAnsi="Arial"/>
                <w:sz w:val="15"/>
                <w:szCs w:val="15"/>
                <w:color w:val="auto"/>
              </w:rPr>
              <w:t>[*CTR]</w:t>
            </w:r>
          </w:p>
        </w:tc>
        <w:tc>
          <w:tcPr>
            <w:tcW w:w="0" w:type="dxa"/>
            <w:vAlign w:val="bottom"/>
          </w:tcPr>
          <w:p>
            <w:pPr>
              <w:spacing w:after="0"/>
              <w:rPr>
                <w:sz w:val="1"/>
                <w:szCs w:val="1"/>
                <w:color w:val="auto"/>
              </w:rPr>
            </w:pPr>
          </w:p>
        </w:tc>
      </w:tr>
      <w:tr>
        <w:trPr>
          <w:trHeight w:val="238"/>
        </w:trPr>
        <w:tc>
          <w:tcPr>
            <w:tcW w:w="3260" w:type="dxa"/>
            <w:vAlign w:val="bottom"/>
            <w:gridSpan w:val="4"/>
          </w:tcPr>
          <w:p>
            <w:pPr>
              <w:spacing w:after="0"/>
              <w:rPr>
                <w:sz w:val="20"/>
                <w:szCs w:val="20"/>
                <w:color w:val="auto"/>
              </w:rPr>
            </w:pPr>
            <w:r>
              <w:rPr>
                <w:rFonts w:ascii="Arial" w:cs="Arial" w:eastAsia="Arial" w:hAnsi="Arial"/>
                <w:sz w:val="15"/>
                <w:szCs w:val="15"/>
                <w:b w:val="1"/>
                <w:bCs w:val="1"/>
                <w:color w:val="auto"/>
              </w:rPr>
              <w:t>Aircraft Basic Price (Excluding BFE/SPE):</w:t>
            </w: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gridSpan w:val="2"/>
          </w:tcPr>
          <w:p>
            <w:pPr>
              <w:ind w:left="80"/>
              <w:spacing w:after="0"/>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[*CTR]</w:t>
            </w:r>
          </w:p>
        </w:tc>
        <w:tc>
          <w:tcPr>
            <w:tcW w:w="520" w:type="dxa"/>
            <w:vAlign w:val="bottom"/>
          </w:tcPr>
          <w:p>
            <w:pPr>
              <w:spacing w:after="0"/>
              <w:rPr>
                <w:sz w:val="20"/>
                <w:szCs w:val="20"/>
                <w:color w:val="auto"/>
              </w:rPr>
            </w:pPr>
          </w:p>
        </w:tc>
        <w:tc>
          <w:tcPr>
            <w:tcW w:w="2100" w:type="dxa"/>
            <w:vAlign w:val="bottom"/>
            <w:gridSpan w:val="4"/>
          </w:tcPr>
          <w:p>
            <w:pPr>
              <w:spacing w:after="0"/>
              <w:rPr>
                <w:sz w:val="20"/>
                <w:szCs w:val="20"/>
                <w:color w:val="auto"/>
              </w:rPr>
            </w:pPr>
            <w:r>
              <w:rPr>
                <w:rFonts w:ascii="Arial" w:cs="Arial" w:eastAsia="Arial" w:hAnsi="Arial"/>
                <w:sz w:val="15"/>
                <w:szCs w:val="15"/>
                <w:b w:val="1"/>
                <w:bCs w:val="1"/>
                <w:color w:val="auto"/>
              </w:rPr>
              <w:t>Base Year Index (CPI):</w:t>
            </w: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80" w:type="dxa"/>
            <w:vAlign w:val="bottom"/>
            <w:gridSpan w:val="2"/>
          </w:tcPr>
          <w:p>
            <w:pPr>
              <w:ind w:left="100"/>
              <w:spacing w:after="0"/>
              <w:rPr>
                <w:sz w:val="20"/>
                <w:szCs w:val="20"/>
                <w:color w:val="auto"/>
              </w:rPr>
            </w:pPr>
            <w:r>
              <w:rPr>
                <w:rFonts w:ascii="Arial" w:cs="Arial" w:eastAsia="Arial" w:hAnsi="Arial"/>
                <w:sz w:val="15"/>
                <w:szCs w:val="15"/>
                <w:color w:val="auto"/>
              </w:rPr>
              <w:t>[*CTR]</w:t>
            </w:r>
          </w:p>
        </w:tc>
        <w:tc>
          <w:tcPr>
            <w:tcW w:w="0" w:type="dxa"/>
            <w:vAlign w:val="bottom"/>
          </w:tcPr>
          <w:p>
            <w:pPr>
              <w:spacing w:after="0"/>
              <w:rPr>
                <w:sz w:val="1"/>
                <w:szCs w:val="1"/>
                <w:color w:val="auto"/>
              </w:rPr>
            </w:pPr>
          </w:p>
        </w:tc>
      </w:tr>
      <w:tr>
        <w:trPr>
          <w:trHeight w:val="61"/>
        </w:trPr>
        <w:tc>
          <w:tcPr>
            <w:tcW w:w="3260" w:type="dxa"/>
            <w:vAlign w:val="bottom"/>
            <w:gridSpan w:val="4"/>
            <w:vMerge w:val="restart"/>
          </w:tcPr>
          <w:p>
            <w:pPr>
              <w:spacing w:after="0"/>
              <w:rPr>
                <w:sz w:val="20"/>
                <w:szCs w:val="20"/>
                <w:color w:val="auto"/>
              </w:rPr>
            </w:pPr>
            <w:r>
              <w:rPr>
                <w:rFonts w:ascii="Arial" w:cs="Arial" w:eastAsia="Arial" w:hAnsi="Arial"/>
                <w:sz w:val="15"/>
                <w:szCs w:val="15"/>
                <w:b w:val="1"/>
                <w:bCs w:val="1"/>
                <w:color w:val="auto"/>
              </w:rPr>
              <w:t>Buyer Furnished Equipment (BFE) Estimate:</w:t>
            </w:r>
          </w:p>
        </w:tc>
        <w:tc>
          <w:tcPr>
            <w:tcW w:w="9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20" w:type="dxa"/>
            <w:vAlign w:val="bottom"/>
            <w:tcBorders>
              <w:top w:val="single" w:sz="8" w:color="auto"/>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2100" w:type="dxa"/>
            <w:vAlign w:val="bottom"/>
            <w:gridSpan w:val="4"/>
            <w:vMerge w:val="restart"/>
          </w:tcPr>
          <w:p>
            <w:pPr>
              <w:spacing w:after="0"/>
              <w:rPr>
                <w:sz w:val="20"/>
                <w:szCs w:val="20"/>
                <w:color w:val="auto"/>
              </w:rPr>
            </w:pPr>
            <w:r>
              <w:rPr>
                <w:rFonts w:ascii="Arial" w:cs="Arial" w:eastAsia="Arial" w:hAnsi="Arial"/>
                <w:sz w:val="15"/>
                <w:szCs w:val="15"/>
                <w:b w:val="1"/>
                <w:bCs w:val="1"/>
                <w:color w:val="auto"/>
              </w:rPr>
              <w:t>Engine Escalation Data:</w:t>
            </w:r>
          </w:p>
        </w:tc>
        <w:tc>
          <w:tcPr>
            <w:tcW w:w="960" w:type="dxa"/>
            <w:vAlign w:val="bottom"/>
          </w:tcPr>
          <w:p>
            <w:pPr>
              <w:spacing w:after="0"/>
              <w:rPr>
                <w:sz w:val="5"/>
                <w:szCs w:val="5"/>
                <w:color w:val="auto"/>
              </w:rPr>
            </w:pPr>
          </w:p>
        </w:tc>
        <w:tc>
          <w:tcPr>
            <w:tcW w:w="200" w:type="dxa"/>
            <w:vAlign w:val="bottom"/>
          </w:tcPr>
          <w:p>
            <w:pPr>
              <w:spacing w:after="0"/>
              <w:rPr>
                <w:sz w:val="5"/>
                <w:szCs w:val="5"/>
                <w:color w:val="auto"/>
              </w:rPr>
            </w:pPr>
          </w:p>
        </w:tc>
        <w:tc>
          <w:tcPr>
            <w:tcW w:w="9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3260" w:type="dxa"/>
            <w:vAlign w:val="bottom"/>
            <w:gridSpan w:val="4"/>
            <w:vMerge w:val="continue"/>
          </w:tcPr>
          <w:p>
            <w:pPr>
              <w:spacing w:after="0"/>
              <w:rPr>
                <w:sz w:val="22"/>
                <w:szCs w:val="22"/>
                <w:color w:val="auto"/>
              </w:rPr>
            </w:pPr>
          </w:p>
        </w:tc>
        <w:tc>
          <w:tcPr>
            <w:tcW w:w="9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gridSpan w:val="2"/>
          </w:tcPr>
          <w:p>
            <w:pPr>
              <w:ind w:left="80"/>
              <w:spacing w:after="0"/>
              <w:rPr>
                <w:sz w:val="20"/>
                <w:szCs w:val="20"/>
                <w:color w:val="auto"/>
              </w:rPr>
            </w:pPr>
            <w:r>
              <w:rPr>
                <w:rFonts w:ascii="Arial" w:cs="Arial" w:eastAsia="Arial" w:hAnsi="Arial"/>
                <w:sz w:val="15"/>
                <w:szCs w:val="15"/>
                <w:color w:val="auto"/>
              </w:rPr>
              <w:t>$[*CTR]</w:t>
            </w:r>
          </w:p>
        </w:tc>
        <w:tc>
          <w:tcPr>
            <w:tcW w:w="520" w:type="dxa"/>
            <w:vAlign w:val="bottom"/>
          </w:tcPr>
          <w:p>
            <w:pPr>
              <w:spacing w:after="0"/>
              <w:rPr>
                <w:sz w:val="22"/>
                <w:szCs w:val="22"/>
                <w:color w:val="auto"/>
              </w:rPr>
            </w:pPr>
          </w:p>
        </w:tc>
        <w:tc>
          <w:tcPr>
            <w:tcW w:w="2100" w:type="dxa"/>
            <w:vAlign w:val="bottom"/>
            <w:gridSpan w:val="4"/>
            <w:vMerge w:val="continue"/>
          </w:tcPr>
          <w:p>
            <w:pPr>
              <w:spacing w:after="0"/>
              <w:rPr>
                <w:sz w:val="22"/>
                <w:szCs w:val="22"/>
                <w:color w:val="auto"/>
              </w:rPr>
            </w:pPr>
          </w:p>
        </w:tc>
        <w:tc>
          <w:tcPr>
            <w:tcW w:w="9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3260" w:type="dxa"/>
            <w:vAlign w:val="bottom"/>
            <w:gridSpan w:val="4"/>
          </w:tcPr>
          <w:p>
            <w:pPr>
              <w:spacing w:after="0"/>
              <w:rPr>
                <w:sz w:val="20"/>
                <w:szCs w:val="20"/>
                <w:color w:val="auto"/>
              </w:rPr>
            </w:pPr>
            <w:r>
              <w:rPr>
                <w:rFonts w:ascii="Arial" w:cs="Arial" w:eastAsia="Arial" w:hAnsi="Arial"/>
                <w:sz w:val="15"/>
                <w:szCs w:val="15"/>
                <w:b w:val="1"/>
                <w:bCs w:val="1"/>
                <w:color w:val="auto"/>
              </w:rPr>
              <w:t>In-Flight Entertainment (IFE) Estimate:</w:t>
            </w: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gridSpan w:val="2"/>
          </w:tcPr>
          <w:p>
            <w:pPr>
              <w:ind w:left="80"/>
              <w:spacing w:after="0"/>
              <w:rPr>
                <w:sz w:val="20"/>
                <w:szCs w:val="20"/>
                <w:color w:val="auto"/>
              </w:rPr>
            </w:pPr>
            <w:r>
              <w:rPr>
                <w:rFonts w:ascii="Arial" w:cs="Arial" w:eastAsia="Arial" w:hAnsi="Arial"/>
                <w:sz w:val="15"/>
                <w:szCs w:val="15"/>
                <w:color w:val="auto"/>
              </w:rPr>
              <w:t>$[*CTR]</w:t>
            </w:r>
          </w:p>
        </w:tc>
        <w:tc>
          <w:tcPr>
            <w:tcW w:w="520" w:type="dxa"/>
            <w:vAlign w:val="bottom"/>
          </w:tcPr>
          <w:p>
            <w:pPr>
              <w:spacing w:after="0"/>
              <w:rPr>
                <w:sz w:val="24"/>
                <w:szCs w:val="24"/>
                <w:color w:val="auto"/>
              </w:rPr>
            </w:pPr>
          </w:p>
        </w:tc>
        <w:tc>
          <w:tcPr>
            <w:tcW w:w="1580" w:type="dxa"/>
            <w:vAlign w:val="bottom"/>
            <w:tcBorders>
              <w:top w:val="single" w:sz="8" w:color="auto"/>
            </w:tcBorders>
            <w:gridSpan w:val="2"/>
          </w:tcPr>
          <w:p>
            <w:pPr>
              <w:spacing w:after="0"/>
              <w:rPr>
                <w:sz w:val="20"/>
                <w:szCs w:val="20"/>
                <w:color w:val="auto"/>
              </w:rPr>
            </w:pPr>
            <w:r>
              <w:rPr>
                <w:rFonts w:ascii="Arial" w:cs="Arial" w:eastAsia="Arial" w:hAnsi="Arial"/>
                <w:sz w:val="15"/>
                <w:szCs w:val="15"/>
                <w:b w:val="1"/>
                <w:bCs w:val="1"/>
                <w:color w:val="auto"/>
                <w:w w:val="97"/>
              </w:rPr>
              <w:t>Base Year Index (ECI):</w:t>
            </w:r>
          </w:p>
        </w:tc>
        <w:tc>
          <w:tcPr>
            <w:tcW w:w="520" w:type="dxa"/>
            <w:vAlign w:val="bottom"/>
            <w:gridSpan w:val="2"/>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80" w:type="dxa"/>
            <w:vAlign w:val="bottom"/>
            <w:gridSpan w:val="2"/>
          </w:tcPr>
          <w:p>
            <w:pPr>
              <w:ind w:left="100"/>
              <w:spacing w:after="0"/>
              <w:rPr>
                <w:sz w:val="20"/>
                <w:szCs w:val="20"/>
                <w:color w:val="auto"/>
              </w:rPr>
            </w:pPr>
            <w:r>
              <w:rPr>
                <w:rFonts w:ascii="Arial" w:cs="Arial" w:eastAsia="Arial" w:hAnsi="Arial"/>
                <w:sz w:val="15"/>
                <w:szCs w:val="15"/>
                <w:color w:val="auto"/>
              </w:rPr>
              <w:t>[*CTR]</w:t>
            </w:r>
          </w:p>
        </w:tc>
        <w:tc>
          <w:tcPr>
            <w:tcW w:w="0" w:type="dxa"/>
            <w:vAlign w:val="bottom"/>
          </w:tcPr>
          <w:p>
            <w:pPr>
              <w:spacing w:after="0"/>
              <w:rPr>
                <w:sz w:val="1"/>
                <w:szCs w:val="1"/>
                <w:color w:val="auto"/>
              </w:rPr>
            </w:pPr>
          </w:p>
        </w:tc>
      </w:tr>
      <w:tr>
        <w:trPr>
          <w:trHeight w:val="270"/>
        </w:trPr>
        <w:tc>
          <w:tcPr>
            <w:tcW w:w="1320" w:type="dxa"/>
            <w:vAlign w:val="bottom"/>
            <w:gridSpan w:val="2"/>
          </w:tcPr>
          <w:p>
            <w:pPr>
              <w:spacing w:after="0"/>
              <w:rPr>
                <w:sz w:val="20"/>
                <w:szCs w:val="20"/>
                <w:color w:val="auto"/>
              </w:rPr>
            </w:pPr>
            <w:r>
              <w:rPr>
                <w:rFonts w:ascii="Arial" w:cs="Arial" w:eastAsia="Arial" w:hAnsi="Arial"/>
                <w:sz w:val="15"/>
                <w:szCs w:val="15"/>
                <w:b w:val="1"/>
                <w:bCs w:val="1"/>
                <w:color w:val="auto"/>
                <w:w w:val="92"/>
              </w:rPr>
              <w:t>Fixed Price Options</w:t>
            </w:r>
          </w:p>
        </w:tc>
        <w:tc>
          <w:tcPr>
            <w:tcW w:w="9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gridSpan w:val="2"/>
          </w:tcPr>
          <w:p>
            <w:pPr>
              <w:ind w:left="80"/>
              <w:spacing w:after="0"/>
              <w:rPr>
                <w:sz w:val="20"/>
                <w:szCs w:val="20"/>
                <w:color w:val="auto"/>
              </w:rPr>
            </w:pPr>
            <w:r>
              <w:rPr>
                <w:rFonts w:ascii="Arial" w:cs="Arial" w:eastAsia="Arial" w:hAnsi="Arial"/>
                <w:sz w:val="15"/>
                <w:szCs w:val="15"/>
                <w:color w:val="auto"/>
              </w:rPr>
              <w:t>$[*CTR]</w:t>
            </w:r>
          </w:p>
        </w:tc>
        <w:tc>
          <w:tcPr>
            <w:tcW w:w="520" w:type="dxa"/>
            <w:vAlign w:val="bottom"/>
          </w:tcPr>
          <w:p>
            <w:pPr>
              <w:spacing w:after="0"/>
              <w:rPr>
                <w:sz w:val="23"/>
                <w:szCs w:val="23"/>
                <w:color w:val="auto"/>
              </w:rPr>
            </w:pPr>
          </w:p>
        </w:tc>
        <w:tc>
          <w:tcPr>
            <w:tcW w:w="2100" w:type="dxa"/>
            <w:vAlign w:val="bottom"/>
            <w:gridSpan w:val="4"/>
          </w:tcPr>
          <w:p>
            <w:pPr>
              <w:spacing w:after="0"/>
              <w:rPr>
                <w:sz w:val="20"/>
                <w:szCs w:val="20"/>
                <w:color w:val="auto"/>
              </w:rPr>
            </w:pPr>
            <w:r>
              <w:rPr>
                <w:rFonts w:ascii="Arial" w:cs="Arial" w:eastAsia="Arial" w:hAnsi="Arial"/>
                <w:sz w:val="15"/>
                <w:szCs w:val="15"/>
                <w:b w:val="1"/>
                <w:bCs w:val="1"/>
                <w:color w:val="auto"/>
              </w:rPr>
              <w:t>Base Year Index (CPI):</w:t>
            </w:r>
          </w:p>
        </w:tc>
        <w:tc>
          <w:tcPr>
            <w:tcW w:w="9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80" w:type="dxa"/>
            <w:vAlign w:val="bottom"/>
            <w:gridSpan w:val="2"/>
          </w:tcPr>
          <w:p>
            <w:pPr>
              <w:ind w:left="100"/>
              <w:spacing w:after="0"/>
              <w:rPr>
                <w:sz w:val="20"/>
                <w:szCs w:val="20"/>
                <w:color w:val="auto"/>
              </w:rPr>
            </w:pPr>
            <w:r>
              <w:rPr>
                <w:rFonts w:ascii="Arial" w:cs="Arial" w:eastAsia="Arial" w:hAnsi="Arial"/>
                <w:sz w:val="15"/>
                <w:szCs w:val="15"/>
                <w:color w:val="auto"/>
              </w:rPr>
              <w:t>[*CTR]</w:t>
            </w:r>
          </w:p>
        </w:tc>
        <w:tc>
          <w:tcPr>
            <w:tcW w:w="0" w:type="dxa"/>
            <w:vAlign w:val="bottom"/>
          </w:tcPr>
          <w:p>
            <w:pPr>
              <w:spacing w:after="0"/>
              <w:rPr>
                <w:sz w:val="1"/>
                <w:szCs w:val="1"/>
                <w:color w:val="auto"/>
              </w:rPr>
            </w:pPr>
          </w:p>
        </w:tc>
      </w:tr>
      <w:tr>
        <w:trPr>
          <w:trHeight w:val="270"/>
        </w:trPr>
        <w:tc>
          <w:tcPr>
            <w:tcW w:w="2220" w:type="dxa"/>
            <w:vAlign w:val="bottom"/>
            <w:gridSpan w:val="3"/>
          </w:tcPr>
          <w:p>
            <w:pPr>
              <w:spacing w:after="0"/>
              <w:rPr>
                <w:sz w:val="20"/>
                <w:szCs w:val="20"/>
                <w:color w:val="auto"/>
              </w:rPr>
            </w:pPr>
            <w:r>
              <w:rPr>
                <w:rFonts w:ascii="Arial" w:cs="Arial" w:eastAsia="Arial" w:hAnsi="Arial"/>
                <w:sz w:val="15"/>
                <w:szCs w:val="15"/>
                <w:b w:val="1"/>
                <w:bCs w:val="1"/>
                <w:color w:val="auto"/>
              </w:rPr>
              <w:t>Deposit per Aircraft:</w:t>
            </w:r>
          </w:p>
        </w:tc>
        <w:tc>
          <w:tcPr>
            <w:tcW w:w="10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gridSpan w:val="2"/>
          </w:tcPr>
          <w:p>
            <w:pPr>
              <w:ind w:left="80"/>
              <w:spacing w:after="0"/>
              <w:rPr>
                <w:sz w:val="20"/>
                <w:szCs w:val="20"/>
                <w:color w:val="auto"/>
              </w:rPr>
            </w:pPr>
            <w:r>
              <w:rPr>
                <w:rFonts w:ascii="Arial" w:cs="Arial" w:eastAsia="Arial" w:hAnsi="Arial"/>
                <w:sz w:val="15"/>
                <w:szCs w:val="15"/>
                <w:color w:val="auto"/>
              </w:rPr>
              <w:t>$[*CTR]</w:t>
            </w:r>
          </w:p>
        </w:tc>
        <w:tc>
          <w:tcPr>
            <w:tcW w:w="5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spacing w:after="0"/>
              <w:rPr>
                <w:sz w:val="20"/>
                <w:szCs w:val="20"/>
                <w:color w:val="auto"/>
              </w:rPr>
            </w:pPr>
          </w:p>
        </w:tc>
        <w:tc>
          <w:tcPr>
            <w:tcW w:w="1140" w:type="dxa"/>
            <w:vAlign w:val="bottom"/>
            <w:tcBorders>
              <w:bottom w:val="single" w:sz="8" w:color="auto"/>
            </w:tcBorders>
            <w:gridSpan w:val="2"/>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1160" w:type="dxa"/>
            <w:vAlign w:val="bottom"/>
            <w:tcBorders>
              <w:left w:val="single" w:sz="8" w:color="auto"/>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Borders>
              <w:right w:val="single" w:sz="8" w:color="auto"/>
            </w:tcBorders>
            <w:vMerge w:val="restart"/>
          </w:tcPr>
          <w:p>
            <w:pPr>
              <w:jc w:val="right"/>
              <w:ind w:right="107"/>
              <w:spacing w:after="0"/>
              <w:rPr>
                <w:sz w:val="20"/>
                <w:szCs w:val="20"/>
                <w:color w:val="auto"/>
              </w:rPr>
            </w:pPr>
            <w:r>
              <w:rPr>
                <w:rFonts w:ascii="Arial" w:cs="Arial" w:eastAsia="Arial" w:hAnsi="Arial"/>
                <w:sz w:val="15"/>
                <w:szCs w:val="15"/>
                <w:b w:val="1"/>
                <w:bCs w:val="1"/>
                <w:color w:val="auto"/>
                <w:w w:val="93"/>
              </w:rPr>
              <w:t>Number of</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w w:val="90"/>
              </w:rPr>
              <w:t>Escalation</w:t>
            </w:r>
          </w:p>
        </w:tc>
        <w:tc>
          <w:tcPr>
            <w:tcW w:w="900" w:type="dxa"/>
            <w:vAlign w:val="bottom"/>
          </w:tcPr>
          <w:p>
            <w:pPr>
              <w:jc w:val="center"/>
              <w:ind w:left="107"/>
              <w:spacing w:after="0"/>
              <w:rPr>
                <w:sz w:val="20"/>
                <w:szCs w:val="20"/>
                <w:color w:val="auto"/>
              </w:rPr>
            </w:pPr>
            <w:r>
              <w:rPr>
                <w:rFonts w:ascii="Arial" w:cs="Arial" w:eastAsia="Arial" w:hAnsi="Arial"/>
                <w:sz w:val="15"/>
                <w:szCs w:val="15"/>
                <w:b w:val="1"/>
                <w:bCs w:val="1"/>
                <w:color w:val="auto"/>
                <w:w w:val="90"/>
              </w:rPr>
              <w:t>Escalation</w:t>
            </w:r>
          </w:p>
        </w:tc>
        <w:tc>
          <w:tcPr>
            <w:tcW w:w="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Borders>
              <w:bottom w:val="single" w:sz="8" w:color="B2B2B2"/>
            </w:tcBorders>
            <w:shd w:val="clear" w:color="auto" w:fill="B2B2B2"/>
          </w:tcPr>
          <w:p>
            <w:pPr>
              <w:spacing w:after="0"/>
              <w:rPr>
                <w:sz w:val="24"/>
                <w:szCs w:val="24"/>
                <w:color w:val="auto"/>
              </w:rPr>
            </w:pPr>
          </w:p>
        </w:tc>
        <w:tc>
          <w:tcPr>
            <w:tcW w:w="60" w:type="dxa"/>
            <w:vAlign w:val="bottom"/>
            <w:tcBorders>
              <w:bottom w:val="single" w:sz="8" w:color="B2B2B2"/>
            </w:tcBorders>
            <w:shd w:val="clear" w:color="auto" w:fill="B2B2B2"/>
          </w:tcPr>
          <w:p>
            <w:pPr>
              <w:spacing w:after="0"/>
              <w:rPr>
                <w:sz w:val="24"/>
                <w:szCs w:val="24"/>
                <w:color w:val="auto"/>
              </w:rPr>
            </w:pPr>
          </w:p>
        </w:tc>
        <w:tc>
          <w:tcPr>
            <w:tcW w:w="220" w:type="dxa"/>
            <w:vAlign w:val="bottom"/>
            <w:tcBorders>
              <w:bottom w:val="single" w:sz="8" w:color="B2B2B2"/>
            </w:tcBorders>
            <w:shd w:val="clear" w:color="auto" w:fill="B2B2B2"/>
          </w:tcPr>
          <w:p>
            <w:pPr>
              <w:spacing w:after="0"/>
              <w:rPr>
                <w:sz w:val="24"/>
                <w:szCs w:val="24"/>
                <w:color w:val="auto"/>
              </w:rPr>
            </w:pPr>
          </w:p>
        </w:tc>
        <w:tc>
          <w:tcPr>
            <w:tcW w:w="620" w:type="dxa"/>
            <w:vAlign w:val="bottom"/>
            <w:tcBorders>
              <w:bottom w:val="single" w:sz="8" w:color="B2B2B2"/>
            </w:tcBorders>
            <w:shd w:val="clear" w:color="auto" w:fill="B2B2B2"/>
          </w:tcPr>
          <w:p>
            <w:pPr>
              <w:spacing w:after="0"/>
              <w:rPr>
                <w:sz w:val="24"/>
                <w:szCs w:val="24"/>
                <w:color w:val="auto"/>
              </w:rPr>
            </w:pPr>
          </w:p>
        </w:tc>
        <w:tc>
          <w:tcPr>
            <w:tcW w:w="160" w:type="dxa"/>
            <w:vAlign w:val="bottom"/>
            <w:tcBorders>
              <w:bottom w:val="single" w:sz="8" w:color="B2B2B2"/>
              <w:right w:val="single" w:sz="8" w:color="auto"/>
            </w:tcBorders>
            <w:shd w:val="clear" w:color="auto" w:fill="B2B2B2"/>
          </w:tcPr>
          <w:p>
            <w:pPr>
              <w:spacing w:after="0"/>
              <w:rPr>
                <w:sz w:val="24"/>
                <w:szCs w:val="24"/>
                <w:color w:val="auto"/>
              </w:rPr>
            </w:pPr>
          </w:p>
        </w:tc>
        <w:tc>
          <w:tcPr>
            <w:tcW w:w="1480" w:type="dxa"/>
            <w:vAlign w:val="bottom"/>
            <w:tcBorders>
              <w:right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w w:val="91"/>
              </w:rPr>
              <w:t>Escalation Estimate</w:t>
            </w:r>
          </w:p>
        </w:tc>
        <w:tc>
          <w:tcPr>
            <w:tcW w:w="4480" w:type="dxa"/>
            <w:vAlign w:val="bottom"/>
            <w:tcBorders>
              <w:bottom w:val="single" w:sz="8" w:color="auto"/>
              <w:right w:val="single" w:sz="8" w:color="auto"/>
            </w:tcBorders>
            <w:gridSpan w:val="8"/>
          </w:tcPr>
          <w:p>
            <w:pPr>
              <w:ind w:left="80"/>
              <w:spacing w:after="0"/>
              <w:rPr>
                <w:sz w:val="20"/>
                <w:szCs w:val="20"/>
                <w:color w:val="auto"/>
              </w:rPr>
            </w:pPr>
            <w:r>
              <w:rPr>
                <w:rFonts w:ascii="Arial" w:cs="Arial" w:eastAsia="Arial" w:hAnsi="Arial"/>
                <w:sz w:val="15"/>
                <w:szCs w:val="15"/>
                <w:b w:val="1"/>
                <w:bCs w:val="1"/>
                <w:color w:val="auto"/>
                <w:w w:val="93"/>
              </w:rPr>
              <w:t>Advance Payment Per Aircraft (Amts. Due/Mos. Prior to Delivery):</w:t>
            </w:r>
          </w:p>
        </w:tc>
        <w:tc>
          <w:tcPr>
            <w:tcW w:w="0" w:type="dxa"/>
            <w:vAlign w:val="bottom"/>
          </w:tcPr>
          <w:p>
            <w:pPr>
              <w:spacing w:after="0"/>
              <w:rPr>
                <w:sz w:val="1"/>
                <w:szCs w:val="1"/>
                <w:color w:val="auto"/>
              </w:rPr>
            </w:pPr>
          </w:p>
        </w:tc>
      </w:tr>
      <w:tr>
        <w:trPr>
          <w:trHeight w:val="188"/>
        </w:trPr>
        <w:tc>
          <w:tcPr>
            <w:tcW w:w="1160" w:type="dxa"/>
            <w:vAlign w:val="bottom"/>
            <w:tcBorders>
              <w:left w:val="single" w:sz="8" w:color="auto"/>
              <w:right w:val="single" w:sz="8" w:color="auto"/>
            </w:tcBorders>
            <w:vMerge w:val="restart"/>
          </w:tcPr>
          <w:p>
            <w:pPr>
              <w:ind w:left="380"/>
              <w:spacing w:after="0"/>
              <w:rPr>
                <w:sz w:val="20"/>
                <w:szCs w:val="20"/>
                <w:color w:val="auto"/>
              </w:rPr>
            </w:pPr>
            <w:r>
              <w:rPr>
                <w:rFonts w:ascii="Arial" w:cs="Arial" w:eastAsia="Arial" w:hAnsi="Arial"/>
                <w:sz w:val="15"/>
                <w:szCs w:val="15"/>
                <w:b w:val="1"/>
                <w:bCs w:val="1"/>
                <w:color w:val="auto"/>
              </w:rPr>
              <w:t>Delivery</w:t>
            </w:r>
          </w:p>
        </w:tc>
        <w:tc>
          <w:tcPr>
            <w:tcW w:w="160" w:type="dxa"/>
            <w:vAlign w:val="bottom"/>
          </w:tcPr>
          <w:p>
            <w:pPr>
              <w:spacing w:after="0"/>
              <w:rPr>
                <w:sz w:val="16"/>
                <w:szCs w:val="16"/>
                <w:color w:val="auto"/>
              </w:rPr>
            </w:pPr>
          </w:p>
        </w:tc>
        <w:tc>
          <w:tcPr>
            <w:tcW w:w="900" w:type="dxa"/>
            <w:vAlign w:val="bottom"/>
            <w:tcBorders>
              <w:right w:val="single" w:sz="8" w:color="auto"/>
            </w:tcBorders>
            <w:vMerge w:val="continue"/>
          </w:tcPr>
          <w:p>
            <w:pPr>
              <w:spacing w:after="0"/>
              <w:rPr>
                <w:sz w:val="16"/>
                <w:szCs w:val="16"/>
                <w:color w:val="auto"/>
              </w:rPr>
            </w:pPr>
          </w:p>
        </w:tc>
        <w:tc>
          <w:tcPr>
            <w:tcW w:w="1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b w:val="1"/>
                <w:bCs w:val="1"/>
                <w:color w:val="auto"/>
                <w:w w:val="95"/>
              </w:rPr>
              <w:t>Factor</w:t>
            </w:r>
          </w:p>
        </w:tc>
        <w:tc>
          <w:tcPr>
            <w:tcW w:w="900" w:type="dxa"/>
            <w:vAlign w:val="bottom"/>
            <w:vMerge w:val="restart"/>
          </w:tcPr>
          <w:p>
            <w:pPr>
              <w:jc w:val="center"/>
              <w:ind w:left="87"/>
              <w:spacing w:after="0"/>
              <w:rPr>
                <w:sz w:val="20"/>
                <w:szCs w:val="20"/>
                <w:color w:val="auto"/>
              </w:rPr>
            </w:pPr>
            <w:r>
              <w:rPr>
                <w:rFonts w:ascii="Arial" w:cs="Arial" w:eastAsia="Arial" w:hAnsi="Arial"/>
                <w:sz w:val="15"/>
                <w:szCs w:val="15"/>
                <w:b w:val="1"/>
                <w:bCs w:val="1"/>
                <w:color w:val="auto"/>
                <w:w w:val="91"/>
              </w:rPr>
              <w:t>Factor</w:t>
            </w:r>
          </w:p>
        </w:tc>
        <w:tc>
          <w:tcPr>
            <w:tcW w:w="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shd w:val="clear" w:color="auto" w:fill="B2B2B2"/>
          </w:tcPr>
          <w:p>
            <w:pPr>
              <w:spacing w:after="0"/>
              <w:rPr>
                <w:sz w:val="16"/>
                <w:szCs w:val="16"/>
                <w:color w:val="auto"/>
              </w:rPr>
            </w:pPr>
          </w:p>
        </w:tc>
        <w:tc>
          <w:tcPr>
            <w:tcW w:w="1060" w:type="dxa"/>
            <w:vAlign w:val="bottom"/>
            <w:tcBorders>
              <w:right w:val="single" w:sz="8" w:color="auto"/>
            </w:tcBorders>
            <w:gridSpan w:val="4"/>
            <w:vMerge w:val="restart"/>
            <w:shd w:val="clear" w:color="auto" w:fill="B2B2B2"/>
          </w:tcPr>
          <w:p>
            <w:pPr>
              <w:ind w:left="20"/>
              <w:spacing w:after="0"/>
              <w:rPr>
                <w:sz w:val="20"/>
                <w:szCs w:val="20"/>
                <w:color w:val="auto"/>
              </w:rPr>
            </w:pPr>
            <w:r>
              <w:rPr>
                <w:rFonts w:ascii="Arial" w:cs="Arial" w:eastAsia="Arial" w:hAnsi="Arial"/>
                <w:sz w:val="15"/>
                <w:szCs w:val="15"/>
                <w:b w:val="1"/>
                <w:bCs w:val="1"/>
                <w:color w:val="auto"/>
              </w:rPr>
              <w:t>Manufacturer</w:t>
            </w:r>
          </w:p>
        </w:tc>
        <w:tc>
          <w:tcPr>
            <w:tcW w:w="148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5"/>
                <w:szCs w:val="15"/>
                <w:b w:val="1"/>
                <w:bCs w:val="1"/>
                <w:color w:val="auto"/>
                <w:w w:val="90"/>
              </w:rPr>
              <w:t>Adv Payment Base</w:t>
            </w:r>
          </w:p>
        </w:tc>
        <w:tc>
          <w:tcPr>
            <w:tcW w:w="1140" w:type="dxa"/>
            <w:vAlign w:val="bottom"/>
            <w:tcBorders>
              <w:right w:val="single" w:sz="8" w:color="auto"/>
            </w:tcBorders>
            <w:gridSpan w:val="3"/>
          </w:tcPr>
          <w:p>
            <w:pPr>
              <w:ind w:left="360"/>
              <w:spacing w:after="0"/>
              <w:rPr>
                <w:sz w:val="20"/>
                <w:szCs w:val="20"/>
                <w:color w:val="auto"/>
              </w:rPr>
            </w:pPr>
            <w:r>
              <w:rPr>
                <w:rFonts w:ascii="Arial" w:cs="Arial" w:eastAsia="Arial" w:hAnsi="Arial"/>
                <w:sz w:val="15"/>
                <w:szCs w:val="15"/>
                <w:color w:val="auto"/>
              </w:rPr>
              <w:t>[*CTR]</w:t>
            </w:r>
          </w:p>
        </w:tc>
        <w:tc>
          <w:tcPr>
            <w:tcW w:w="960" w:type="dxa"/>
            <w:vAlign w:val="bottom"/>
          </w:tcPr>
          <w:p>
            <w:pPr>
              <w:ind w:left="380"/>
              <w:spacing w:after="0"/>
              <w:rPr>
                <w:sz w:val="20"/>
                <w:szCs w:val="20"/>
                <w:color w:val="auto"/>
              </w:rPr>
            </w:pPr>
            <w:r>
              <w:rPr>
                <w:rFonts w:ascii="Arial" w:cs="Arial" w:eastAsia="Arial" w:hAnsi="Arial"/>
                <w:sz w:val="15"/>
                <w:szCs w:val="15"/>
                <w:color w:val="auto"/>
              </w:rPr>
              <w:t>[*CTR]</w:t>
            </w:r>
          </w:p>
        </w:tc>
        <w:tc>
          <w:tcPr>
            <w:tcW w:w="200" w:type="dxa"/>
            <w:vAlign w:val="bottom"/>
            <w:tcBorders>
              <w:right w:val="single" w:sz="8" w:color="auto"/>
            </w:tcBorders>
          </w:tcPr>
          <w:p>
            <w:pPr>
              <w:spacing w:after="0"/>
              <w:rPr>
                <w:sz w:val="16"/>
                <w:szCs w:val="16"/>
                <w:color w:val="auto"/>
              </w:rPr>
            </w:pPr>
          </w:p>
        </w:tc>
        <w:tc>
          <w:tcPr>
            <w:tcW w:w="900" w:type="dxa"/>
            <w:vAlign w:val="bottom"/>
          </w:tcPr>
          <w:p>
            <w:pPr>
              <w:ind w:left="360"/>
              <w:spacing w:after="0"/>
              <w:rPr>
                <w:sz w:val="20"/>
                <w:szCs w:val="20"/>
                <w:color w:val="auto"/>
              </w:rPr>
            </w:pPr>
            <w:r>
              <w:rPr>
                <w:rFonts w:ascii="Arial" w:cs="Arial" w:eastAsia="Arial" w:hAnsi="Arial"/>
                <w:sz w:val="15"/>
                <w:szCs w:val="15"/>
                <w:color w:val="auto"/>
              </w:rPr>
              <w:t>[*CTR]</w:t>
            </w:r>
          </w:p>
        </w:tc>
        <w:tc>
          <w:tcPr>
            <w:tcW w:w="24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b w:val="1"/>
                <w:bCs w:val="1"/>
                <w:color w:val="auto"/>
                <w:w w:val="94"/>
              </w:rPr>
              <w:t>Total</w:t>
            </w:r>
          </w:p>
        </w:tc>
        <w:tc>
          <w:tcPr>
            <w:tcW w:w="0" w:type="dxa"/>
            <w:vAlign w:val="bottom"/>
          </w:tcPr>
          <w:p>
            <w:pPr>
              <w:spacing w:after="0"/>
              <w:rPr>
                <w:sz w:val="1"/>
                <w:szCs w:val="1"/>
                <w:color w:val="auto"/>
              </w:rPr>
            </w:pPr>
          </w:p>
        </w:tc>
      </w:tr>
      <w:tr>
        <w:trPr>
          <w:trHeight w:val="54"/>
        </w:trPr>
        <w:tc>
          <w:tcPr>
            <w:tcW w:w="1160" w:type="dxa"/>
            <w:vAlign w:val="bottom"/>
            <w:tcBorders>
              <w:left w:val="single" w:sz="8" w:color="auto"/>
              <w:right w:val="single" w:sz="8" w:color="auto"/>
            </w:tcBorders>
            <w:vMerge w:val="continue"/>
          </w:tcPr>
          <w:p>
            <w:pPr>
              <w:spacing w:after="0"/>
              <w:rPr>
                <w:sz w:val="4"/>
                <w:szCs w:val="4"/>
                <w:color w:val="auto"/>
              </w:rPr>
            </w:pPr>
          </w:p>
        </w:tc>
        <w:tc>
          <w:tcPr>
            <w:tcW w:w="160" w:type="dxa"/>
            <w:vAlign w:val="bottom"/>
          </w:tcPr>
          <w:p>
            <w:pPr>
              <w:spacing w:after="0"/>
              <w:rPr>
                <w:sz w:val="4"/>
                <w:szCs w:val="4"/>
                <w:color w:val="auto"/>
              </w:rPr>
            </w:pPr>
          </w:p>
        </w:tc>
        <w:tc>
          <w:tcPr>
            <w:tcW w:w="900" w:type="dxa"/>
            <w:vAlign w:val="bottom"/>
            <w:tcBorders>
              <w:right w:val="single" w:sz="8" w:color="auto"/>
            </w:tcBorders>
          </w:tcPr>
          <w:p>
            <w:pPr>
              <w:spacing w:after="0"/>
              <w:rPr>
                <w:sz w:val="4"/>
                <w:szCs w:val="4"/>
                <w:color w:val="auto"/>
              </w:rPr>
            </w:pPr>
          </w:p>
        </w:tc>
        <w:tc>
          <w:tcPr>
            <w:tcW w:w="1040" w:type="dxa"/>
            <w:vAlign w:val="bottom"/>
            <w:tcBorders>
              <w:right w:val="single" w:sz="8" w:color="auto"/>
            </w:tcBorders>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100" w:type="dxa"/>
            <w:vAlign w:val="bottom"/>
            <w:shd w:val="clear" w:color="auto" w:fill="B2B2B2"/>
          </w:tcPr>
          <w:p>
            <w:pPr>
              <w:spacing w:after="0"/>
              <w:rPr>
                <w:sz w:val="4"/>
                <w:szCs w:val="4"/>
                <w:color w:val="auto"/>
              </w:rPr>
            </w:pPr>
          </w:p>
        </w:tc>
        <w:tc>
          <w:tcPr>
            <w:tcW w:w="1060" w:type="dxa"/>
            <w:vAlign w:val="bottom"/>
            <w:tcBorders>
              <w:right w:val="single" w:sz="8" w:color="auto"/>
            </w:tcBorders>
            <w:gridSpan w:val="4"/>
            <w:vMerge w:val="continue"/>
            <w:shd w:val="clear" w:color="auto" w:fill="B2B2B2"/>
          </w:tcPr>
          <w:p>
            <w:pPr>
              <w:spacing w:after="0"/>
              <w:rPr>
                <w:sz w:val="4"/>
                <w:szCs w:val="4"/>
                <w:color w:val="auto"/>
              </w:rPr>
            </w:pPr>
          </w:p>
        </w:tc>
        <w:tc>
          <w:tcPr>
            <w:tcW w:w="1480" w:type="dxa"/>
            <w:vAlign w:val="bottom"/>
            <w:tcBorders>
              <w:right w:val="single" w:sz="8" w:color="auto"/>
            </w:tcBorders>
            <w:gridSpan w:val="2"/>
            <w:vMerge w:val="continue"/>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Borders>
              <w:right w:val="single" w:sz="8" w:color="auto"/>
            </w:tcBorders>
          </w:tcPr>
          <w:p>
            <w:pPr>
              <w:spacing w:after="0"/>
              <w:rPr>
                <w:sz w:val="4"/>
                <w:szCs w:val="4"/>
                <w:color w:val="auto"/>
              </w:rPr>
            </w:pPr>
          </w:p>
        </w:tc>
        <w:tc>
          <w:tcPr>
            <w:tcW w:w="960" w:type="dxa"/>
            <w:vAlign w:val="bottom"/>
          </w:tcPr>
          <w:p>
            <w:pPr>
              <w:spacing w:after="0"/>
              <w:rPr>
                <w:sz w:val="4"/>
                <w:szCs w:val="4"/>
                <w:color w:val="auto"/>
              </w:rPr>
            </w:pPr>
          </w:p>
        </w:tc>
        <w:tc>
          <w:tcPr>
            <w:tcW w:w="200" w:type="dxa"/>
            <w:vAlign w:val="bottom"/>
            <w:tcBorders>
              <w:right w:val="single" w:sz="8" w:color="auto"/>
            </w:tcBorders>
          </w:tcPr>
          <w:p>
            <w:pPr>
              <w:spacing w:after="0"/>
              <w:rPr>
                <w:sz w:val="4"/>
                <w:szCs w:val="4"/>
                <w:color w:val="auto"/>
              </w:rPr>
            </w:pPr>
          </w:p>
        </w:tc>
        <w:tc>
          <w:tcPr>
            <w:tcW w:w="900" w:type="dxa"/>
            <w:vAlign w:val="bottom"/>
          </w:tcPr>
          <w:p>
            <w:pPr>
              <w:spacing w:after="0"/>
              <w:rPr>
                <w:sz w:val="4"/>
                <w:szCs w:val="4"/>
                <w:color w:val="auto"/>
              </w:rPr>
            </w:pPr>
          </w:p>
        </w:tc>
        <w:tc>
          <w:tcPr>
            <w:tcW w:w="240" w:type="dxa"/>
            <w:vAlign w:val="bottom"/>
            <w:tcBorders>
              <w:right w:val="single" w:sz="8" w:color="auto"/>
            </w:tcBorders>
          </w:tcPr>
          <w:p>
            <w:pPr>
              <w:spacing w:after="0"/>
              <w:rPr>
                <w:sz w:val="4"/>
                <w:szCs w:val="4"/>
                <w:color w:val="auto"/>
              </w:rPr>
            </w:pPr>
          </w:p>
        </w:tc>
        <w:tc>
          <w:tcPr>
            <w:tcW w:w="104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8"/>
        </w:trPr>
        <w:tc>
          <w:tcPr>
            <w:tcW w:w="1160" w:type="dxa"/>
            <w:vAlign w:val="bottom"/>
            <w:tcBorders>
              <w:left w:val="single" w:sz="8" w:color="auto"/>
              <w:bottom w:val="single" w:sz="8" w:color="auto"/>
              <w:right w:val="single" w:sz="8" w:color="auto"/>
            </w:tcBorders>
          </w:tcPr>
          <w:p>
            <w:pPr>
              <w:ind w:left="500"/>
              <w:spacing w:after="0"/>
              <w:rPr>
                <w:sz w:val="20"/>
                <w:szCs w:val="20"/>
                <w:color w:val="auto"/>
              </w:rPr>
            </w:pPr>
            <w:r>
              <w:rPr>
                <w:rFonts w:ascii="Arial" w:cs="Arial" w:eastAsia="Arial" w:hAnsi="Arial"/>
                <w:sz w:val="15"/>
                <w:szCs w:val="15"/>
                <w:b w:val="1"/>
                <w:bCs w:val="1"/>
                <w:color w:val="auto"/>
              </w:rPr>
              <w:t>Date</w:t>
            </w: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jc w:val="right"/>
              <w:ind w:right="187"/>
              <w:spacing w:after="0"/>
              <w:rPr>
                <w:sz w:val="20"/>
                <w:szCs w:val="20"/>
                <w:color w:val="auto"/>
              </w:rPr>
            </w:pPr>
            <w:r>
              <w:rPr>
                <w:rFonts w:ascii="Arial" w:cs="Arial" w:eastAsia="Arial" w:hAnsi="Arial"/>
                <w:sz w:val="15"/>
                <w:szCs w:val="15"/>
                <w:b w:val="1"/>
                <w:bCs w:val="1"/>
                <w:color w:val="auto"/>
              </w:rPr>
              <w:t>Aircraft</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rPr>
              <w:t>(Airframe)</w:t>
            </w:r>
          </w:p>
        </w:tc>
        <w:tc>
          <w:tcPr>
            <w:tcW w:w="900" w:type="dxa"/>
            <w:vAlign w:val="bottom"/>
            <w:tcBorders>
              <w:bottom w:val="single" w:sz="8" w:color="auto"/>
            </w:tcBorders>
          </w:tcPr>
          <w:p>
            <w:pPr>
              <w:jc w:val="center"/>
              <w:ind w:left="107"/>
              <w:spacing w:after="0"/>
              <w:rPr>
                <w:sz w:val="20"/>
                <w:szCs w:val="20"/>
                <w:color w:val="auto"/>
              </w:rPr>
            </w:pPr>
            <w:r>
              <w:rPr>
                <w:rFonts w:ascii="Arial" w:cs="Arial" w:eastAsia="Arial" w:hAnsi="Arial"/>
                <w:sz w:val="15"/>
                <w:szCs w:val="15"/>
                <w:b w:val="1"/>
                <w:bCs w:val="1"/>
                <w:color w:val="auto"/>
                <w:w w:val="93"/>
              </w:rPr>
              <w:t>(Engine)</w:t>
            </w: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shd w:val="clear" w:color="auto" w:fill="B2B2B2"/>
          </w:tcPr>
          <w:p>
            <w:pPr>
              <w:spacing w:after="0"/>
              <w:rPr>
                <w:sz w:val="24"/>
                <w:szCs w:val="24"/>
                <w:color w:val="auto"/>
              </w:rPr>
            </w:pPr>
          </w:p>
        </w:tc>
        <w:tc>
          <w:tcPr>
            <w:tcW w:w="1060" w:type="dxa"/>
            <w:vAlign w:val="bottom"/>
            <w:tcBorders>
              <w:bottom w:val="single" w:sz="8" w:color="auto"/>
              <w:right w:val="single" w:sz="8" w:color="auto"/>
            </w:tcBorders>
            <w:gridSpan w:val="4"/>
            <w:shd w:val="clear" w:color="auto" w:fill="B2B2B2"/>
          </w:tcPr>
          <w:p>
            <w:pPr>
              <w:spacing w:after="0"/>
              <w:rPr>
                <w:sz w:val="20"/>
                <w:szCs w:val="20"/>
                <w:color w:val="auto"/>
              </w:rPr>
            </w:pPr>
            <w:r>
              <w:rPr>
                <w:rFonts w:ascii="Arial" w:cs="Arial" w:eastAsia="Arial" w:hAnsi="Arial"/>
                <w:sz w:val="15"/>
                <w:szCs w:val="15"/>
                <w:b w:val="1"/>
                <w:bCs w:val="1"/>
                <w:color w:val="auto"/>
              </w:rPr>
              <w:t>Serial Number</w:t>
            </w:r>
          </w:p>
        </w:tc>
        <w:tc>
          <w:tcPr>
            <w:tcW w:w="148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w w:val="93"/>
              </w:rPr>
              <w:t>Price Per A/P</w:t>
            </w:r>
          </w:p>
        </w:tc>
        <w:tc>
          <w:tcPr>
            <w:tcW w:w="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[*CTR]</w:t>
            </w:r>
          </w:p>
        </w:tc>
        <w:tc>
          <w:tcPr>
            <w:tcW w:w="0" w:type="dxa"/>
            <w:vAlign w:val="bottom"/>
          </w:tcPr>
          <w:p>
            <w:pPr>
              <w:spacing w:after="0"/>
              <w:rPr>
                <w:sz w:val="1"/>
                <w:szCs w:val="1"/>
                <w:color w:val="auto"/>
              </w:rPr>
            </w:pPr>
          </w:p>
        </w:tc>
      </w:tr>
      <w:tr>
        <w:trPr>
          <w:trHeight w:val="237"/>
        </w:trPr>
        <w:tc>
          <w:tcPr>
            <w:tcW w:w="1160" w:type="dxa"/>
            <w:vAlign w:val="bottom"/>
            <w:tcBorders>
              <w:left w:val="single" w:sz="8" w:color="auto"/>
              <w:bottom w:val="single" w:sz="8" w:color="auto"/>
              <w:right w:val="single" w:sz="8" w:color="auto"/>
            </w:tcBorders>
          </w:tcPr>
          <w:p>
            <w:pPr>
              <w:ind w:left="220"/>
              <w:spacing w:after="0"/>
              <w:rPr>
                <w:sz w:val="20"/>
                <w:szCs w:val="20"/>
                <w:color w:val="auto"/>
              </w:rPr>
            </w:pPr>
            <w:r>
              <w:rPr>
                <w:rFonts w:ascii="Arial" w:cs="Arial" w:eastAsia="Arial" w:hAnsi="Arial"/>
                <w:sz w:val="14"/>
                <w:szCs w:val="14"/>
                <w:color w:val="auto"/>
              </w:rPr>
              <w:t>[*CTR]-2016</w:t>
            </w: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jc w:val="right"/>
              <w:ind w:right="387"/>
              <w:spacing w:after="0"/>
              <w:rPr>
                <w:sz w:val="20"/>
                <w:szCs w:val="20"/>
                <w:color w:val="auto"/>
              </w:rPr>
            </w:pPr>
            <w:r>
              <w:rPr>
                <w:rFonts w:ascii="Arial" w:cs="Arial" w:eastAsia="Arial" w:hAnsi="Arial"/>
                <w:sz w:val="14"/>
                <w:szCs w:val="14"/>
                <w:color w:val="auto"/>
              </w:rPr>
              <w:t>1</w:t>
            </w:r>
          </w:p>
        </w:tc>
        <w:tc>
          <w:tcPr>
            <w:tcW w:w="104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4"/>
                <w:szCs w:val="14"/>
                <w:color w:val="auto"/>
              </w:rPr>
              <w:t>[*CTR]</w:t>
            </w:r>
          </w:p>
        </w:tc>
        <w:tc>
          <w:tcPr>
            <w:tcW w:w="900" w:type="dxa"/>
            <w:vAlign w:val="bottom"/>
            <w:tcBorders>
              <w:bottom w:val="single" w:sz="8" w:color="auto"/>
            </w:tcBorders>
          </w:tcPr>
          <w:p>
            <w:pPr>
              <w:ind w:left="340"/>
              <w:spacing w:after="0"/>
              <w:rPr>
                <w:sz w:val="20"/>
                <w:szCs w:val="20"/>
                <w:color w:val="auto"/>
              </w:rPr>
            </w:pPr>
            <w:r>
              <w:rPr>
                <w:rFonts w:ascii="Arial" w:cs="Arial" w:eastAsia="Arial" w:hAnsi="Arial"/>
                <w:sz w:val="14"/>
                <w:szCs w:val="14"/>
                <w:color w:val="auto"/>
              </w:rPr>
              <w:t>[*CTR]</w:t>
            </w: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shd w:val="clear" w:color="auto" w:fill="B2B2B2"/>
          </w:tcPr>
          <w:p>
            <w:pPr>
              <w:spacing w:after="0"/>
              <w:rPr>
                <w:sz w:val="20"/>
                <w:szCs w:val="20"/>
                <w:color w:val="auto"/>
              </w:rPr>
            </w:pPr>
          </w:p>
        </w:tc>
        <w:tc>
          <w:tcPr>
            <w:tcW w:w="60" w:type="dxa"/>
            <w:vAlign w:val="bottom"/>
            <w:tcBorders>
              <w:bottom w:val="single" w:sz="8" w:color="auto"/>
            </w:tcBorders>
            <w:shd w:val="clear" w:color="auto" w:fill="B2B2B2"/>
          </w:tcPr>
          <w:p>
            <w:pPr>
              <w:spacing w:after="0"/>
              <w:rPr>
                <w:sz w:val="20"/>
                <w:szCs w:val="20"/>
                <w:color w:val="auto"/>
              </w:rPr>
            </w:pPr>
          </w:p>
        </w:tc>
        <w:tc>
          <w:tcPr>
            <w:tcW w:w="220" w:type="dxa"/>
            <w:vAlign w:val="bottom"/>
            <w:tcBorders>
              <w:bottom w:val="single" w:sz="8" w:color="auto"/>
            </w:tcBorders>
            <w:shd w:val="clear" w:color="auto" w:fill="B2B2B2"/>
          </w:tcPr>
          <w:p>
            <w:pPr>
              <w:spacing w:after="0"/>
              <w:rPr>
                <w:sz w:val="20"/>
                <w:szCs w:val="20"/>
                <w:color w:val="auto"/>
              </w:rPr>
            </w:pPr>
          </w:p>
        </w:tc>
        <w:tc>
          <w:tcPr>
            <w:tcW w:w="780" w:type="dxa"/>
            <w:vAlign w:val="bottom"/>
            <w:tcBorders>
              <w:bottom w:val="single" w:sz="8" w:color="auto"/>
              <w:right w:val="single" w:sz="8" w:color="auto"/>
            </w:tcBorders>
            <w:gridSpan w:val="2"/>
            <w:shd w:val="clear" w:color="auto" w:fill="B2B2B2"/>
          </w:tcPr>
          <w:p>
            <w:pPr>
              <w:spacing w:after="0"/>
              <w:rPr>
                <w:sz w:val="20"/>
                <w:szCs w:val="20"/>
                <w:color w:val="auto"/>
              </w:rPr>
            </w:pPr>
            <w:r>
              <w:rPr>
                <w:rFonts w:ascii="Arial" w:cs="Arial" w:eastAsia="Arial" w:hAnsi="Arial"/>
                <w:sz w:val="14"/>
                <w:szCs w:val="14"/>
                <w:color w:val="auto"/>
              </w:rPr>
              <w:t>[*CTR]</w:t>
            </w: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1140" w:type="dxa"/>
            <w:vAlign w:val="bottom"/>
            <w:tcBorders>
              <w:bottom w:val="single" w:sz="8" w:color="auto"/>
              <w:right w:val="single" w:sz="8" w:color="auto"/>
            </w:tcBorders>
            <w:gridSpan w:val="3"/>
          </w:tcPr>
          <w:p>
            <w:pPr>
              <w:ind w:left="380"/>
              <w:spacing w:after="0"/>
              <w:rPr>
                <w:sz w:val="20"/>
                <w:szCs w:val="20"/>
                <w:color w:val="auto"/>
              </w:rPr>
            </w:pPr>
            <w:r>
              <w:rPr>
                <w:rFonts w:ascii="Arial" w:cs="Arial" w:eastAsia="Arial" w:hAnsi="Arial"/>
                <w:sz w:val="14"/>
                <w:szCs w:val="14"/>
                <w:color w:val="auto"/>
              </w:rPr>
              <w:t>[*CTR]</w:t>
            </w:r>
          </w:p>
        </w:tc>
        <w:tc>
          <w:tcPr>
            <w:tcW w:w="96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[*CTR]</w:t>
            </w:r>
          </w:p>
        </w:tc>
        <w:tc>
          <w:tcPr>
            <w:tcW w:w="20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[*CTR]</w:t>
            </w:r>
          </w:p>
        </w:tc>
        <w:tc>
          <w:tcPr>
            <w:tcW w:w="24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0" w:type="dxa"/>
            <w:vAlign w:val="bottom"/>
          </w:tcPr>
          <w:p>
            <w:pPr>
              <w:spacing w:after="0"/>
              <w:rPr>
                <w:sz w:val="1"/>
                <w:szCs w:val="1"/>
                <w:color w:val="auto"/>
              </w:rPr>
            </w:pPr>
          </w:p>
        </w:tc>
      </w:tr>
      <w:tr>
        <w:trPr>
          <w:trHeight w:val="237"/>
        </w:trPr>
        <w:tc>
          <w:tcPr>
            <w:tcW w:w="1160" w:type="dxa"/>
            <w:vAlign w:val="bottom"/>
            <w:tcBorders>
              <w:left w:val="single" w:sz="8" w:color="auto"/>
              <w:bottom w:val="single" w:sz="8" w:color="auto"/>
              <w:right w:val="single" w:sz="8" w:color="auto"/>
            </w:tcBorders>
          </w:tcPr>
          <w:p>
            <w:pPr>
              <w:ind w:left="220"/>
              <w:spacing w:after="0"/>
              <w:rPr>
                <w:sz w:val="20"/>
                <w:szCs w:val="20"/>
                <w:color w:val="auto"/>
              </w:rPr>
            </w:pPr>
            <w:r>
              <w:rPr>
                <w:rFonts w:ascii="Arial" w:cs="Arial" w:eastAsia="Arial" w:hAnsi="Arial"/>
                <w:sz w:val="14"/>
                <w:szCs w:val="14"/>
                <w:color w:val="auto"/>
              </w:rPr>
              <w:t>[*CTR]-2016</w:t>
            </w: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jc w:val="right"/>
              <w:ind w:right="387"/>
              <w:spacing w:after="0"/>
              <w:rPr>
                <w:sz w:val="20"/>
                <w:szCs w:val="20"/>
                <w:color w:val="auto"/>
              </w:rPr>
            </w:pPr>
            <w:r>
              <w:rPr>
                <w:rFonts w:ascii="Arial" w:cs="Arial" w:eastAsia="Arial" w:hAnsi="Arial"/>
                <w:sz w:val="14"/>
                <w:szCs w:val="14"/>
                <w:color w:val="auto"/>
              </w:rPr>
              <w:t>1</w:t>
            </w:r>
          </w:p>
        </w:tc>
        <w:tc>
          <w:tcPr>
            <w:tcW w:w="104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4"/>
                <w:szCs w:val="14"/>
                <w:color w:val="auto"/>
              </w:rPr>
              <w:t>[*CTR]</w:t>
            </w:r>
          </w:p>
        </w:tc>
        <w:tc>
          <w:tcPr>
            <w:tcW w:w="900" w:type="dxa"/>
            <w:vAlign w:val="bottom"/>
            <w:tcBorders>
              <w:bottom w:val="single" w:sz="8" w:color="auto"/>
            </w:tcBorders>
          </w:tcPr>
          <w:p>
            <w:pPr>
              <w:ind w:left="340"/>
              <w:spacing w:after="0"/>
              <w:rPr>
                <w:sz w:val="20"/>
                <w:szCs w:val="20"/>
                <w:color w:val="auto"/>
              </w:rPr>
            </w:pPr>
            <w:r>
              <w:rPr>
                <w:rFonts w:ascii="Arial" w:cs="Arial" w:eastAsia="Arial" w:hAnsi="Arial"/>
                <w:sz w:val="14"/>
                <w:szCs w:val="14"/>
                <w:color w:val="auto"/>
              </w:rPr>
              <w:t>[*CTR]</w:t>
            </w: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shd w:val="clear" w:color="auto" w:fill="B2B2B2"/>
          </w:tcPr>
          <w:p>
            <w:pPr>
              <w:spacing w:after="0"/>
              <w:rPr>
                <w:sz w:val="20"/>
                <w:szCs w:val="20"/>
                <w:color w:val="auto"/>
              </w:rPr>
            </w:pPr>
          </w:p>
        </w:tc>
        <w:tc>
          <w:tcPr>
            <w:tcW w:w="60" w:type="dxa"/>
            <w:vAlign w:val="bottom"/>
            <w:tcBorders>
              <w:bottom w:val="single" w:sz="8" w:color="auto"/>
            </w:tcBorders>
            <w:shd w:val="clear" w:color="auto" w:fill="B2B2B2"/>
          </w:tcPr>
          <w:p>
            <w:pPr>
              <w:spacing w:after="0"/>
              <w:rPr>
                <w:sz w:val="20"/>
                <w:szCs w:val="20"/>
                <w:color w:val="auto"/>
              </w:rPr>
            </w:pPr>
          </w:p>
        </w:tc>
        <w:tc>
          <w:tcPr>
            <w:tcW w:w="220" w:type="dxa"/>
            <w:vAlign w:val="bottom"/>
            <w:tcBorders>
              <w:bottom w:val="single" w:sz="8" w:color="auto"/>
            </w:tcBorders>
            <w:shd w:val="clear" w:color="auto" w:fill="B2B2B2"/>
          </w:tcPr>
          <w:p>
            <w:pPr>
              <w:spacing w:after="0"/>
              <w:rPr>
                <w:sz w:val="20"/>
                <w:szCs w:val="20"/>
                <w:color w:val="auto"/>
              </w:rPr>
            </w:pPr>
          </w:p>
        </w:tc>
        <w:tc>
          <w:tcPr>
            <w:tcW w:w="780" w:type="dxa"/>
            <w:vAlign w:val="bottom"/>
            <w:tcBorders>
              <w:bottom w:val="single" w:sz="8" w:color="auto"/>
              <w:right w:val="single" w:sz="8" w:color="auto"/>
            </w:tcBorders>
            <w:gridSpan w:val="2"/>
            <w:shd w:val="clear" w:color="auto" w:fill="B2B2B2"/>
          </w:tcPr>
          <w:p>
            <w:pPr>
              <w:spacing w:after="0"/>
              <w:rPr>
                <w:sz w:val="20"/>
                <w:szCs w:val="20"/>
                <w:color w:val="auto"/>
              </w:rPr>
            </w:pPr>
            <w:r>
              <w:rPr>
                <w:rFonts w:ascii="Arial" w:cs="Arial" w:eastAsia="Arial" w:hAnsi="Arial"/>
                <w:sz w:val="14"/>
                <w:szCs w:val="14"/>
                <w:color w:val="auto"/>
              </w:rPr>
              <w:t>[*CTR]</w:t>
            </w: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1140" w:type="dxa"/>
            <w:vAlign w:val="bottom"/>
            <w:tcBorders>
              <w:bottom w:val="single" w:sz="8" w:color="auto"/>
              <w:right w:val="single" w:sz="8" w:color="auto"/>
            </w:tcBorders>
            <w:gridSpan w:val="3"/>
          </w:tcPr>
          <w:p>
            <w:pPr>
              <w:ind w:left="380"/>
              <w:spacing w:after="0"/>
              <w:rPr>
                <w:sz w:val="20"/>
                <w:szCs w:val="20"/>
                <w:color w:val="auto"/>
              </w:rPr>
            </w:pPr>
            <w:r>
              <w:rPr>
                <w:rFonts w:ascii="Arial" w:cs="Arial" w:eastAsia="Arial" w:hAnsi="Arial"/>
                <w:sz w:val="14"/>
                <w:szCs w:val="14"/>
                <w:color w:val="auto"/>
              </w:rPr>
              <w:t>[*CTR]</w:t>
            </w:r>
          </w:p>
        </w:tc>
        <w:tc>
          <w:tcPr>
            <w:tcW w:w="96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[*CTR]</w:t>
            </w:r>
          </w:p>
        </w:tc>
        <w:tc>
          <w:tcPr>
            <w:tcW w:w="20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[*CTR]</w:t>
            </w:r>
          </w:p>
        </w:tc>
        <w:tc>
          <w:tcPr>
            <w:tcW w:w="24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0" w:type="dxa"/>
            <w:vAlign w:val="bottom"/>
          </w:tcPr>
          <w:p>
            <w:pPr>
              <w:spacing w:after="0"/>
              <w:rPr>
                <w:sz w:val="1"/>
                <w:szCs w:val="1"/>
                <w:color w:val="auto"/>
              </w:rPr>
            </w:pPr>
          </w:p>
        </w:tc>
      </w:tr>
      <w:tr>
        <w:trPr>
          <w:trHeight w:val="237"/>
        </w:trPr>
        <w:tc>
          <w:tcPr>
            <w:tcW w:w="1160" w:type="dxa"/>
            <w:vAlign w:val="bottom"/>
            <w:tcBorders>
              <w:left w:val="single" w:sz="8" w:color="auto"/>
              <w:bottom w:val="single" w:sz="8" w:color="auto"/>
              <w:right w:val="single" w:sz="8" w:color="auto"/>
            </w:tcBorders>
          </w:tcPr>
          <w:p>
            <w:pPr>
              <w:ind w:left="220"/>
              <w:spacing w:after="0"/>
              <w:rPr>
                <w:sz w:val="20"/>
                <w:szCs w:val="20"/>
                <w:color w:val="auto"/>
              </w:rPr>
            </w:pPr>
            <w:r>
              <w:rPr>
                <w:rFonts w:ascii="Arial" w:cs="Arial" w:eastAsia="Arial" w:hAnsi="Arial"/>
                <w:sz w:val="14"/>
                <w:szCs w:val="14"/>
                <w:color w:val="auto"/>
              </w:rPr>
              <w:t>[*CTR]-2016</w:t>
            </w: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jc w:val="right"/>
              <w:ind w:right="387"/>
              <w:spacing w:after="0"/>
              <w:rPr>
                <w:sz w:val="20"/>
                <w:szCs w:val="20"/>
                <w:color w:val="auto"/>
              </w:rPr>
            </w:pPr>
            <w:r>
              <w:rPr>
                <w:rFonts w:ascii="Arial" w:cs="Arial" w:eastAsia="Arial" w:hAnsi="Arial"/>
                <w:sz w:val="14"/>
                <w:szCs w:val="14"/>
                <w:color w:val="auto"/>
              </w:rPr>
              <w:t>1</w:t>
            </w:r>
          </w:p>
        </w:tc>
        <w:tc>
          <w:tcPr>
            <w:tcW w:w="104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4"/>
                <w:szCs w:val="14"/>
                <w:color w:val="auto"/>
              </w:rPr>
              <w:t>[*CTR]</w:t>
            </w:r>
          </w:p>
        </w:tc>
        <w:tc>
          <w:tcPr>
            <w:tcW w:w="900" w:type="dxa"/>
            <w:vAlign w:val="bottom"/>
            <w:tcBorders>
              <w:bottom w:val="single" w:sz="8" w:color="auto"/>
            </w:tcBorders>
          </w:tcPr>
          <w:p>
            <w:pPr>
              <w:ind w:left="340"/>
              <w:spacing w:after="0"/>
              <w:rPr>
                <w:sz w:val="20"/>
                <w:szCs w:val="20"/>
                <w:color w:val="auto"/>
              </w:rPr>
            </w:pPr>
            <w:r>
              <w:rPr>
                <w:rFonts w:ascii="Arial" w:cs="Arial" w:eastAsia="Arial" w:hAnsi="Arial"/>
                <w:sz w:val="14"/>
                <w:szCs w:val="14"/>
                <w:color w:val="auto"/>
              </w:rPr>
              <w:t>[*CTR]</w:t>
            </w: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shd w:val="clear" w:color="auto" w:fill="B2B2B2"/>
          </w:tcPr>
          <w:p>
            <w:pPr>
              <w:spacing w:after="0"/>
              <w:rPr>
                <w:sz w:val="20"/>
                <w:szCs w:val="20"/>
                <w:color w:val="auto"/>
              </w:rPr>
            </w:pPr>
          </w:p>
        </w:tc>
        <w:tc>
          <w:tcPr>
            <w:tcW w:w="60" w:type="dxa"/>
            <w:vAlign w:val="bottom"/>
            <w:tcBorders>
              <w:bottom w:val="single" w:sz="8" w:color="auto"/>
            </w:tcBorders>
            <w:shd w:val="clear" w:color="auto" w:fill="B2B2B2"/>
          </w:tcPr>
          <w:p>
            <w:pPr>
              <w:spacing w:after="0"/>
              <w:rPr>
                <w:sz w:val="20"/>
                <w:szCs w:val="20"/>
                <w:color w:val="auto"/>
              </w:rPr>
            </w:pPr>
          </w:p>
        </w:tc>
        <w:tc>
          <w:tcPr>
            <w:tcW w:w="220" w:type="dxa"/>
            <w:vAlign w:val="bottom"/>
            <w:tcBorders>
              <w:bottom w:val="single" w:sz="8" w:color="auto"/>
            </w:tcBorders>
            <w:shd w:val="clear" w:color="auto" w:fill="B2B2B2"/>
          </w:tcPr>
          <w:p>
            <w:pPr>
              <w:spacing w:after="0"/>
              <w:rPr>
                <w:sz w:val="20"/>
                <w:szCs w:val="20"/>
                <w:color w:val="auto"/>
              </w:rPr>
            </w:pPr>
          </w:p>
        </w:tc>
        <w:tc>
          <w:tcPr>
            <w:tcW w:w="780" w:type="dxa"/>
            <w:vAlign w:val="bottom"/>
            <w:tcBorders>
              <w:bottom w:val="single" w:sz="8" w:color="auto"/>
              <w:right w:val="single" w:sz="8" w:color="auto"/>
            </w:tcBorders>
            <w:gridSpan w:val="2"/>
            <w:shd w:val="clear" w:color="auto" w:fill="B2B2B2"/>
          </w:tcPr>
          <w:p>
            <w:pPr>
              <w:spacing w:after="0"/>
              <w:rPr>
                <w:sz w:val="20"/>
                <w:szCs w:val="20"/>
                <w:color w:val="auto"/>
              </w:rPr>
            </w:pPr>
            <w:r>
              <w:rPr>
                <w:rFonts w:ascii="Arial" w:cs="Arial" w:eastAsia="Arial" w:hAnsi="Arial"/>
                <w:sz w:val="14"/>
                <w:szCs w:val="14"/>
                <w:color w:val="auto"/>
              </w:rPr>
              <w:t>[*CTR]</w:t>
            </w: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1140" w:type="dxa"/>
            <w:vAlign w:val="bottom"/>
            <w:tcBorders>
              <w:bottom w:val="single" w:sz="8" w:color="auto"/>
              <w:right w:val="single" w:sz="8" w:color="auto"/>
            </w:tcBorders>
            <w:gridSpan w:val="3"/>
          </w:tcPr>
          <w:p>
            <w:pPr>
              <w:ind w:left="380"/>
              <w:spacing w:after="0"/>
              <w:rPr>
                <w:sz w:val="20"/>
                <w:szCs w:val="20"/>
                <w:color w:val="auto"/>
              </w:rPr>
            </w:pPr>
            <w:r>
              <w:rPr>
                <w:rFonts w:ascii="Arial" w:cs="Arial" w:eastAsia="Arial" w:hAnsi="Arial"/>
                <w:sz w:val="14"/>
                <w:szCs w:val="14"/>
                <w:color w:val="auto"/>
              </w:rPr>
              <w:t>[*CTR]</w:t>
            </w:r>
          </w:p>
        </w:tc>
        <w:tc>
          <w:tcPr>
            <w:tcW w:w="96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[*CTR]</w:t>
            </w:r>
          </w:p>
        </w:tc>
        <w:tc>
          <w:tcPr>
            <w:tcW w:w="20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[*CTR]</w:t>
            </w:r>
          </w:p>
        </w:tc>
        <w:tc>
          <w:tcPr>
            <w:tcW w:w="24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0" w:type="dxa"/>
            <w:vAlign w:val="bottom"/>
          </w:tcPr>
          <w:p>
            <w:pPr>
              <w:spacing w:after="0"/>
              <w:rPr>
                <w:sz w:val="1"/>
                <w:szCs w:val="1"/>
                <w:color w:val="auto"/>
              </w:rPr>
            </w:pPr>
          </w:p>
        </w:tc>
      </w:tr>
      <w:tr>
        <w:trPr>
          <w:trHeight w:val="237"/>
        </w:trPr>
        <w:tc>
          <w:tcPr>
            <w:tcW w:w="1160" w:type="dxa"/>
            <w:vAlign w:val="bottom"/>
            <w:tcBorders>
              <w:left w:val="single" w:sz="8" w:color="auto"/>
              <w:bottom w:val="single" w:sz="8" w:color="auto"/>
              <w:right w:val="single" w:sz="8" w:color="auto"/>
            </w:tcBorders>
          </w:tcPr>
          <w:p>
            <w:pPr>
              <w:ind w:left="220"/>
              <w:spacing w:after="0"/>
              <w:rPr>
                <w:sz w:val="20"/>
                <w:szCs w:val="20"/>
                <w:color w:val="auto"/>
              </w:rPr>
            </w:pPr>
            <w:r>
              <w:rPr>
                <w:rFonts w:ascii="Arial" w:cs="Arial" w:eastAsia="Arial" w:hAnsi="Arial"/>
                <w:sz w:val="14"/>
                <w:szCs w:val="14"/>
                <w:color w:val="auto"/>
              </w:rPr>
              <w:t>[*CTR]-2016</w:t>
            </w: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jc w:val="right"/>
              <w:ind w:right="387"/>
              <w:spacing w:after="0"/>
              <w:rPr>
                <w:sz w:val="20"/>
                <w:szCs w:val="20"/>
                <w:color w:val="auto"/>
              </w:rPr>
            </w:pPr>
            <w:r>
              <w:rPr>
                <w:rFonts w:ascii="Arial" w:cs="Arial" w:eastAsia="Arial" w:hAnsi="Arial"/>
                <w:sz w:val="14"/>
                <w:szCs w:val="14"/>
                <w:color w:val="auto"/>
              </w:rPr>
              <w:t>1</w:t>
            </w:r>
          </w:p>
        </w:tc>
        <w:tc>
          <w:tcPr>
            <w:tcW w:w="104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4"/>
                <w:szCs w:val="14"/>
                <w:color w:val="auto"/>
              </w:rPr>
              <w:t>[*CTR]</w:t>
            </w:r>
          </w:p>
        </w:tc>
        <w:tc>
          <w:tcPr>
            <w:tcW w:w="900" w:type="dxa"/>
            <w:vAlign w:val="bottom"/>
            <w:tcBorders>
              <w:bottom w:val="single" w:sz="8" w:color="auto"/>
            </w:tcBorders>
          </w:tcPr>
          <w:p>
            <w:pPr>
              <w:ind w:left="340"/>
              <w:spacing w:after="0"/>
              <w:rPr>
                <w:sz w:val="20"/>
                <w:szCs w:val="20"/>
                <w:color w:val="auto"/>
              </w:rPr>
            </w:pPr>
            <w:r>
              <w:rPr>
                <w:rFonts w:ascii="Arial" w:cs="Arial" w:eastAsia="Arial" w:hAnsi="Arial"/>
                <w:sz w:val="14"/>
                <w:szCs w:val="14"/>
                <w:color w:val="auto"/>
              </w:rPr>
              <w:t>[*CTR]</w:t>
            </w: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shd w:val="clear" w:color="auto" w:fill="B2B2B2"/>
          </w:tcPr>
          <w:p>
            <w:pPr>
              <w:spacing w:after="0"/>
              <w:rPr>
                <w:sz w:val="20"/>
                <w:szCs w:val="20"/>
                <w:color w:val="auto"/>
              </w:rPr>
            </w:pPr>
          </w:p>
        </w:tc>
        <w:tc>
          <w:tcPr>
            <w:tcW w:w="60" w:type="dxa"/>
            <w:vAlign w:val="bottom"/>
            <w:tcBorders>
              <w:bottom w:val="single" w:sz="8" w:color="auto"/>
            </w:tcBorders>
            <w:shd w:val="clear" w:color="auto" w:fill="B2B2B2"/>
          </w:tcPr>
          <w:p>
            <w:pPr>
              <w:spacing w:after="0"/>
              <w:rPr>
                <w:sz w:val="20"/>
                <w:szCs w:val="20"/>
                <w:color w:val="auto"/>
              </w:rPr>
            </w:pPr>
          </w:p>
        </w:tc>
        <w:tc>
          <w:tcPr>
            <w:tcW w:w="220" w:type="dxa"/>
            <w:vAlign w:val="bottom"/>
            <w:tcBorders>
              <w:bottom w:val="single" w:sz="8" w:color="auto"/>
            </w:tcBorders>
            <w:shd w:val="clear" w:color="auto" w:fill="B2B2B2"/>
          </w:tcPr>
          <w:p>
            <w:pPr>
              <w:spacing w:after="0"/>
              <w:rPr>
                <w:sz w:val="20"/>
                <w:szCs w:val="20"/>
                <w:color w:val="auto"/>
              </w:rPr>
            </w:pPr>
          </w:p>
        </w:tc>
        <w:tc>
          <w:tcPr>
            <w:tcW w:w="780" w:type="dxa"/>
            <w:vAlign w:val="bottom"/>
            <w:tcBorders>
              <w:bottom w:val="single" w:sz="8" w:color="auto"/>
              <w:right w:val="single" w:sz="8" w:color="auto"/>
            </w:tcBorders>
            <w:gridSpan w:val="2"/>
            <w:shd w:val="clear" w:color="auto" w:fill="B2B2B2"/>
          </w:tcPr>
          <w:p>
            <w:pPr>
              <w:spacing w:after="0"/>
              <w:rPr>
                <w:sz w:val="20"/>
                <w:szCs w:val="20"/>
                <w:color w:val="auto"/>
              </w:rPr>
            </w:pPr>
            <w:r>
              <w:rPr>
                <w:rFonts w:ascii="Arial" w:cs="Arial" w:eastAsia="Arial" w:hAnsi="Arial"/>
                <w:sz w:val="14"/>
                <w:szCs w:val="14"/>
                <w:color w:val="auto"/>
              </w:rPr>
              <w:t>[*CTR]</w:t>
            </w: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1140" w:type="dxa"/>
            <w:vAlign w:val="bottom"/>
            <w:tcBorders>
              <w:bottom w:val="single" w:sz="8" w:color="auto"/>
              <w:right w:val="single" w:sz="8" w:color="auto"/>
            </w:tcBorders>
            <w:gridSpan w:val="3"/>
          </w:tcPr>
          <w:p>
            <w:pPr>
              <w:ind w:left="380"/>
              <w:spacing w:after="0"/>
              <w:rPr>
                <w:sz w:val="20"/>
                <w:szCs w:val="20"/>
                <w:color w:val="auto"/>
              </w:rPr>
            </w:pPr>
            <w:r>
              <w:rPr>
                <w:rFonts w:ascii="Arial" w:cs="Arial" w:eastAsia="Arial" w:hAnsi="Arial"/>
                <w:sz w:val="14"/>
                <w:szCs w:val="14"/>
                <w:color w:val="auto"/>
              </w:rPr>
              <w:t>[*CTR]</w:t>
            </w:r>
          </w:p>
        </w:tc>
        <w:tc>
          <w:tcPr>
            <w:tcW w:w="96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[*CTR]</w:t>
            </w:r>
          </w:p>
        </w:tc>
        <w:tc>
          <w:tcPr>
            <w:tcW w:w="20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[*CTR]</w:t>
            </w:r>
          </w:p>
        </w:tc>
        <w:tc>
          <w:tcPr>
            <w:tcW w:w="24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0" w:type="dxa"/>
            <w:vAlign w:val="bottom"/>
          </w:tcPr>
          <w:p>
            <w:pPr>
              <w:spacing w:after="0"/>
              <w:rPr>
                <w:sz w:val="1"/>
                <w:szCs w:val="1"/>
                <w:color w:val="auto"/>
              </w:rPr>
            </w:pPr>
          </w:p>
        </w:tc>
      </w:tr>
      <w:tr>
        <w:trPr>
          <w:trHeight w:val="237"/>
        </w:trPr>
        <w:tc>
          <w:tcPr>
            <w:tcW w:w="1160" w:type="dxa"/>
            <w:vAlign w:val="bottom"/>
            <w:tcBorders>
              <w:left w:val="single" w:sz="8" w:color="auto"/>
              <w:bottom w:val="single" w:sz="8" w:color="auto"/>
              <w:right w:val="single" w:sz="8" w:color="auto"/>
            </w:tcBorders>
          </w:tcPr>
          <w:p>
            <w:pPr>
              <w:ind w:left="220"/>
              <w:spacing w:after="0"/>
              <w:rPr>
                <w:sz w:val="20"/>
                <w:szCs w:val="20"/>
                <w:color w:val="auto"/>
              </w:rPr>
            </w:pPr>
            <w:r>
              <w:rPr>
                <w:rFonts w:ascii="Arial" w:cs="Arial" w:eastAsia="Arial" w:hAnsi="Arial"/>
                <w:sz w:val="14"/>
                <w:szCs w:val="14"/>
                <w:color w:val="auto"/>
              </w:rPr>
              <w:t>[*CTR]-2017</w:t>
            </w: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jc w:val="right"/>
              <w:ind w:right="387"/>
              <w:spacing w:after="0"/>
              <w:rPr>
                <w:sz w:val="20"/>
                <w:szCs w:val="20"/>
                <w:color w:val="auto"/>
              </w:rPr>
            </w:pPr>
            <w:r>
              <w:rPr>
                <w:rFonts w:ascii="Arial" w:cs="Arial" w:eastAsia="Arial" w:hAnsi="Arial"/>
                <w:sz w:val="14"/>
                <w:szCs w:val="14"/>
                <w:color w:val="auto"/>
              </w:rPr>
              <w:t>1</w:t>
            </w:r>
          </w:p>
        </w:tc>
        <w:tc>
          <w:tcPr>
            <w:tcW w:w="104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4"/>
                <w:szCs w:val="14"/>
                <w:color w:val="auto"/>
              </w:rPr>
              <w:t>[*CTR]</w:t>
            </w:r>
          </w:p>
        </w:tc>
        <w:tc>
          <w:tcPr>
            <w:tcW w:w="900" w:type="dxa"/>
            <w:vAlign w:val="bottom"/>
            <w:tcBorders>
              <w:bottom w:val="single" w:sz="8" w:color="auto"/>
            </w:tcBorders>
          </w:tcPr>
          <w:p>
            <w:pPr>
              <w:ind w:left="340"/>
              <w:spacing w:after="0"/>
              <w:rPr>
                <w:sz w:val="20"/>
                <w:szCs w:val="20"/>
                <w:color w:val="auto"/>
              </w:rPr>
            </w:pPr>
            <w:r>
              <w:rPr>
                <w:rFonts w:ascii="Arial" w:cs="Arial" w:eastAsia="Arial" w:hAnsi="Arial"/>
                <w:sz w:val="14"/>
                <w:szCs w:val="14"/>
                <w:color w:val="auto"/>
              </w:rPr>
              <w:t>[*CTR]</w:t>
            </w: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shd w:val="clear" w:color="auto" w:fill="B2B2B2"/>
          </w:tcPr>
          <w:p>
            <w:pPr>
              <w:spacing w:after="0"/>
              <w:rPr>
                <w:sz w:val="20"/>
                <w:szCs w:val="20"/>
                <w:color w:val="auto"/>
              </w:rPr>
            </w:pPr>
          </w:p>
        </w:tc>
        <w:tc>
          <w:tcPr>
            <w:tcW w:w="60" w:type="dxa"/>
            <w:vAlign w:val="bottom"/>
            <w:tcBorders>
              <w:bottom w:val="single" w:sz="8" w:color="auto"/>
            </w:tcBorders>
            <w:shd w:val="clear" w:color="auto" w:fill="B2B2B2"/>
          </w:tcPr>
          <w:p>
            <w:pPr>
              <w:spacing w:after="0"/>
              <w:rPr>
                <w:sz w:val="20"/>
                <w:szCs w:val="20"/>
                <w:color w:val="auto"/>
              </w:rPr>
            </w:pPr>
          </w:p>
        </w:tc>
        <w:tc>
          <w:tcPr>
            <w:tcW w:w="220" w:type="dxa"/>
            <w:vAlign w:val="bottom"/>
            <w:tcBorders>
              <w:bottom w:val="single" w:sz="8" w:color="auto"/>
            </w:tcBorders>
            <w:shd w:val="clear" w:color="auto" w:fill="B2B2B2"/>
          </w:tcPr>
          <w:p>
            <w:pPr>
              <w:spacing w:after="0"/>
              <w:rPr>
                <w:sz w:val="20"/>
                <w:szCs w:val="20"/>
                <w:color w:val="auto"/>
              </w:rPr>
            </w:pPr>
          </w:p>
        </w:tc>
        <w:tc>
          <w:tcPr>
            <w:tcW w:w="780" w:type="dxa"/>
            <w:vAlign w:val="bottom"/>
            <w:tcBorders>
              <w:bottom w:val="single" w:sz="8" w:color="auto"/>
              <w:right w:val="single" w:sz="8" w:color="auto"/>
            </w:tcBorders>
            <w:gridSpan w:val="2"/>
            <w:shd w:val="clear" w:color="auto" w:fill="B2B2B2"/>
          </w:tcPr>
          <w:p>
            <w:pPr>
              <w:spacing w:after="0"/>
              <w:rPr>
                <w:sz w:val="20"/>
                <w:szCs w:val="20"/>
                <w:color w:val="auto"/>
              </w:rPr>
            </w:pPr>
            <w:r>
              <w:rPr>
                <w:rFonts w:ascii="Arial" w:cs="Arial" w:eastAsia="Arial" w:hAnsi="Arial"/>
                <w:sz w:val="14"/>
                <w:szCs w:val="14"/>
                <w:color w:val="auto"/>
              </w:rPr>
              <w:t>[*CTR]</w:t>
            </w: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1140" w:type="dxa"/>
            <w:vAlign w:val="bottom"/>
            <w:tcBorders>
              <w:bottom w:val="single" w:sz="8" w:color="auto"/>
              <w:right w:val="single" w:sz="8" w:color="auto"/>
            </w:tcBorders>
            <w:gridSpan w:val="3"/>
          </w:tcPr>
          <w:p>
            <w:pPr>
              <w:ind w:left="380"/>
              <w:spacing w:after="0"/>
              <w:rPr>
                <w:sz w:val="20"/>
                <w:szCs w:val="20"/>
                <w:color w:val="auto"/>
              </w:rPr>
            </w:pPr>
            <w:r>
              <w:rPr>
                <w:rFonts w:ascii="Arial" w:cs="Arial" w:eastAsia="Arial" w:hAnsi="Arial"/>
                <w:sz w:val="14"/>
                <w:szCs w:val="14"/>
                <w:color w:val="auto"/>
              </w:rPr>
              <w:t>[*CTR]</w:t>
            </w:r>
          </w:p>
        </w:tc>
        <w:tc>
          <w:tcPr>
            <w:tcW w:w="96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[*CTR]</w:t>
            </w:r>
          </w:p>
        </w:tc>
        <w:tc>
          <w:tcPr>
            <w:tcW w:w="20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[*CTR]</w:t>
            </w:r>
          </w:p>
        </w:tc>
        <w:tc>
          <w:tcPr>
            <w:tcW w:w="24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0" w:type="dxa"/>
            <w:vAlign w:val="bottom"/>
          </w:tcPr>
          <w:p>
            <w:pPr>
              <w:spacing w:after="0"/>
              <w:rPr>
                <w:sz w:val="1"/>
                <w:szCs w:val="1"/>
                <w:color w:val="auto"/>
              </w:rPr>
            </w:pPr>
          </w:p>
        </w:tc>
      </w:tr>
      <w:tr>
        <w:trPr>
          <w:trHeight w:val="237"/>
        </w:trPr>
        <w:tc>
          <w:tcPr>
            <w:tcW w:w="1160" w:type="dxa"/>
            <w:vAlign w:val="bottom"/>
            <w:tcBorders>
              <w:left w:val="single" w:sz="8" w:color="auto"/>
              <w:bottom w:val="single" w:sz="8" w:color="auto"/>
              <w:right w:val="single" w:sz="8" w:color="auto"/>
            </w:tcBorders>
          </w:tcPr>
          <w:p>
            <w:pPr>
              <w:ind w:left="220"/>
              <w:spacing w:after="0"/>
              <w:rPr>
                <w:sz w:val="20"/>
                <w:szCs w:val="20"/>
                <w:color w:val="auto"/>
              </w:rPr>
            </w:pPr>
            <w:r>
              <w:rPr>
                <w:rFonts w:ascii="Arial" w:cs="Arial" w:eastAsia="Arial" w:hAnsi="Arial"/>
                <w:sz w:val="14"/>
                <w:szCs w:val="14"/>
                <w:color w:val="auto"/>
              </w:rPr>
              <w:t>[*CTR]-2017</w:t>
            </w: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jc w:val="right"/>
              <w:ind w:right="387"/>
              <w:spacing w:after="0"/>
              <w:rPr>
                <w:sz w:val="20"/>
                <w:szCs w:val="20"/>
                <w:color w:val="auto"/>
              </w:rPr>
            </w:pPr>
            <w:r>
              <w:rPr>
                <w:rFonts w:ascii="Arial" w:cs="Arial" w:eastAsia="Arial" w:hAnsi="Arial"/>
                <w:sz w:val="14"/>
                <w:szCs w:val="14"/>
                <w:color w:val="auto"/>
              </w:rPr>
              <w:t>1</w:t>
            </w:r>
          </w:p>
        </w:tc>
        <w:tc>
          <w:tcPr>
            <w:tcW w:w="104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4"/>
                <w:szCs w:val="14"/>
                <w:color w:val="auto"/>
              </w:rPr>
              <w:t>[*CTR]</w:t>
            </w:r>
          </w:p>
        </w:tc>
        <w:tc>
          <w:tcPr>
            <w:tcW w:w="900" w:type="dxa"/>
            <w:vAlign w:val="bottom"/>
            <w:tcBorders>
              <w:bottom w:val="single" w:sz="8" w:color="auto"/>
            </w:tcBorders>
          </w:tcPr>
          <w:p>
            <w:pPr>
              <w:ind w:left="340"/>
              <w:spacing w:after="0"/>
              <w:rPr>
                <w:sz w:val="20"/>
                <w:szCs w:val="20"/>
                <w:color w:val="auto"/>
              </w:rPr>
            </w:pPr>
            <w:r>
              <w:rPr>
                <w:rFonts w:ascii="Arial" w:cs="Arial" w:eastAsia="Arial" w:hAnsi="Arial"/>
                <w:sz w:val="14"/>
                <w:szCs w:val="14"/>
                <w:color w:val="auto"/>
              </w:rPr>
              <w:t>[*CTR]</w:t>
            </w: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shd w:val="clear" w:color="auto" w:fill="B2B2B2"/>
          </w:tcPr>
          <w:p>
            <w:pPr>
              <w:spacing w:after="0"/>
              <w:rPr>
                <w:sz w:val="20"/>
                <w:szCs w:val="20"/>
                <w:color w:val="auto"/>
              </w:rPr>
            </w:pPr>
          </w:p>
        </w:tc>
        <w:tc>
          <w:tcPr>
            <w:tcW w:w="60" w:type="dxa"/>
            <w:vAlign w:val="bottom"/>
            <w:tcBorders>
              <w:bottom w:val="single" w:sz="8" w:color="auto"/>
            </w:tcBorders>
            <w:shd w:val="clear" w:color="auto" w:fill="B2B2B2"/>
          </w:tcPr>
          <w:p>
            <w:pPr>
              <w:spacing w:after="0"/>
              <w:rPr>
                <w:sz w:val="20"/>
                <w:szCs w:val="20"/>
                <w:color w:val="auto"/>
              </w:rPr>
            </w:pPr>
          </w:p>
        </w:tc>
        <w:tc>
          <w:tcPr>
            <w:tcW w:w="220" w:type="dxa"/>
            <w:vAlign w:val="bottom"/>
            <w:tcBorders>
              <w:bottom w:val="single" w:sz="8" w:color="auto"/>
            </w:tcBorders>
            <w:shd w:val="clear" w:color="auto" w:fill="B2B2B2"/>
          </w:tcPr>
          <w:p>
            <w:pPr>
              <w:spacing w:after="0"/>
              <w:rPr>
                <w:sz w:val="20"/>
                <w:szCs w:val="20"/>
                <w:color w:val="auto"/>
              </w:rPr>
            </w:pPr>
          </w:p>
        </w:tc>
        <w:tc>
          <w:tcPr>
            <w:tcW w:w="780" w:type="dxa"/>
            <w:vAlign w:val="bottom"/>
            <w:tcBorders>
              <w:bottom w:val="single" w:sz="8" w:color="auto"/>
              <w:right w:val="single" w:sz="8" w:color="auto"/>
            </w:tcBorders>
            <w:gridSpan w:val="2"/>
            <w:shd w:val="clear" w:color="auto" w:fill="B2B2B2"/>
          </w:tcPr>
          <w:p>
            <w:pPr>
              <w:spacing w:after="0"/>
              <w:rPr>
                <w:sz w:val="20"/>
                <w:szCs w:val="20"/>
                <w:color w:val="auto"/>
              </w:rPr>
            </w:pPr>
            <w:r>
              <w:rPr>
                <w:rFonts w:ascii="Arial" w:cs="Arial" w:eastAsia="Arial" w:hAnsi="Arial"/>
                <w:sz w:val="14"/>
                <w:szCs w:val="14"/>
                <w:color w:val="auto"/>
              </w:rPr>
              <w:t>[*CTR]</w:t>
            </w: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1140" w:type="dxa"/>
            <w:vAlign w:val="bottom"/>
            <w:tcBorders>
              <w:bottom w:val="single" w:sz="8" w:color="auto"/>
              <w:right w:val="single" w:sz="8" w:color="auto"/>
            </w:tcBorders>
            <w:gridSpan w:val="3"/>
          </w:tcPr>
          <w:p>
            <w:pPr>
              <w:ind w:left="380"/>
              <w:spacing w:after="0"/>
              <w:rPr>
                <w:sz w:val="20"/>
                <w:szCs w:val="20"/>
                <w:color w:val="auto"/>
              </w:rPr>
            </w:pPr>
            <w:r>
              <w:rPr>
                <w:rFonts w:ascii="Arial" w:cs="Arial" w:eastAsia="Arial" w:hAnsi="Arial"/>
                <w:sz w:val="14"/>
                <w:szCs w:val="14"/>
                <w:color w:val="auto"/>
              </w:rPr>
              <w:t>[*CTR]</w:t>
            </w:r>
          </w:p>
        </w:tc>
        <w:tc>
          <w:tcPr>
            <w:tcW w:w="96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[*CTR]</w:t>
            </w:r>
          </w:p>
        </w:tc>
        <w:tc>
          <w:tcPr>
            <w:tcW w:w="20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[*CTR]</w:t>
            </w:r>
          </w:p>
        </w:tc>
        <w:tc>
          <w:tcPr>
            <w:tcW w:w="24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0" w:type="dxa"/>
            <w:vAlign w:val="bottom"/>
          </w:tcPr>
          <w:p>
            <w:pPr>
              <w:spacing w:after="0"/>
              <w:rPr>
                <w:sz w:val="1"/>
                <w:szCs w:val="1"/>
                <w:color w:val="auto"/>
              </w:rPr>
            </w:pPr>
          </w:p>
        </w:tc>
      </w:tr>
      <w:tr>
        <w:trPr>
          <w:trHeight w:val="237"/>
        </w:trPr>
        <w:tc>
          <w:tcPr>
            <w:tcW w:w="1160" w:type="dxa"/>
            <w:vAlign w:val="bottom"/>
            <w:tcBorders>
              <w:left w:val="single" w:sz="8" w:color="auto"/>
              <w:bottom w:val="single" w:sz="8" w:color="auto"/>
              <w:right w:val="single" w:sz="8" w:color="auto"/>
            </w:tcBorders>
          </w:tcPr>
          <w:p>
            <w:pPr>
              <w:ind w:left="220"/>
              <w:spacing w:after="0"/>
              <w:rPr>
                <w:sz w:val="20"/>
                <w:szCs w:val="20"/>
                <w:color w:val="auto"/>
              </w:rPr>
            </w:pPr>
            <w:r>
              <w:rPr>
                <w:rFonts w:ascii="Arial" w:cs="Arial" w:eastAsia="Arial" w:hAnsi="Arial"/>
                <w:sz w:val="14"/>
                <w:szCs w:val="14"/>
                <w:color w:val="auto"/>
              </w:rPr>
              <w:t>[*CTR]-2017</w:t>
            </w: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jc w:val="right"/>
              <w:ind w:right="387"/>
              <w:spacing w:after="0"/>
              <w:rPr>
                <w:sz w:val="20"/>
                <w:szCs w:val="20"/>
                <w:color w:val="auto"/>
              </w:rPr>
            </w:pPr>
            <w:r>
              <w:rPr>
                <w:rFonts w:ascii="Arial" w:cs="Arial" w:eastAsia="Arial" w:hAnsi="Arial"/>
                <w:sz w:val="14"/>
                <w:szCs w:val="14"/>
                <w:color w:val="auto"/>
              </w:rPr>
              <w:t>1</w:t>
            </w:r>
          </w:p>
        </w:tc>
        <w:tc>
          <w:tcPr>
            <w:tcW w:w="104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4"/>
                <w:szCs w:val="14"/>
                <w:color w:val="auto"/>
              </w:rPr>
              <w:t>[*CTR]</w:t>
            </w:r>
          </w:p>
        </w:tc>
        <w:tc>
          <w:tcPr>
            <w:tcW w:w="900" w:type="dxa"/>
            <w:vAlign w:val="bottom"/>
            <w:tcBorders>
              <w:bottom w:val="single" w:sz="8" w:color="auto"/>
            </w:tcBorders>
          </w:tcPr>
          <w:p>
            <w:pPr>
              <w:ind w:left="340"/>
              <w:spacing w:after="0"/>
              <w:rPr>
                <w:sz w:val="20"/>
                <w:szCs w:val="20"/>
                <w:color w:val="auto"/>
              </w:rPr>
            </w:pPr>
            <w:r>
              <w:rPr>
                <w:rFonts w:ascii="Arial" w:cs="Arial" w:eastAsia="Arial" w:hAnsi="Arial"/>
                <w:sz w:val="14"/>
                <w:szCs w:val="14"/>
                <w:color w:val="auto"/>
              </w:rPr>
              <w:t>[*CTR]</w:t>
            </w: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shd w:val="clear" w:color="auto" w:fill="B2B2B2"/>
          </w:tcPr>
          <w:p>
            <w:pPr>
              <w:spacing w:after="0"/>
              <w:rPr>
                <w:sz w:val="20"/>
                <w:szCs w:val="20"/>
                <w:color w:val="auto"/>
              </w:rPr>
            </w:pPr>
          </w:p>
        </w:tc>
        <w:tc>
          <w:tcPr>
            <w:tcW w:w="60" w:type="dxa"/>
            <w:vAlign w:val="bottom"/>
            <w:tcBorders>
              <w:bottom w:val="single" w:sz="8" w:color="auto"/>
            </w:tcBorders>
            <w:shd w:val="clear" w:color="auto" w:fill="B2B2B2"/>
          </w:tcPr>
          <w:p>
            <w:pPr>
              <w:spacing w:after="0"/>
              <w:rPr>
                <w:sz w:val="20"/>
                <w:szCs w:val="20"/>
                <w:color w:val="auto"/>
              </w:rPr>
            </w:pPr>
          </w:p>
        </w:tc>
        <w:tc>
          <w:tcPr>
            <w:tcW w:w="220" w:type="dxa"/>
            <w:vAlign w:val="bottom"/>
            <w:tcBorders>
              <w:bottom w:val="single" w:sz="8" w:color="auto"/>
            </w:tcBorders>
            <w:shd w:val="clear" w:color="auto" w:fill="B2B2B2"/>
          </w:tcPr>
          <w:p>
            <w:pPr>
              <w:spacing w:after="0"/>
              <w:rPr>
                <w:sz w:val="20"/>
                <w:szCs w:val="20"/>
                <w:color w:val="auto"/>
              </w:rPr>
            </w:pPr>
          </w:p>
        </w:tc>
        <w:tc>
          <w:tcPr>
            <w:tcW w:w="780" w:type="dxa"/>
            <w:vAlign w:val="bottom"/>
            <w:tcBorders>
              <w:bottom w:val="single" w:sz="8" w:color="auto"/>
              <w:right w:val="single" w:sz="8" w:color="auto"/>
            </w:tcBorders>
            <w:gridSpan w:val="2"/>
            <w:shd w:val="clear" w:color="auto" w:fill="B2B2B2"/>
          </w:tcPr>
          <w:p>
            <w:pPr>
              <w:spacing w:after="0"/>
              <w:rPr>
                <w:sz w:val="20"/>
                <w:szCs w:val="20"/>
                <w:color w:val="auto"/>
              </w:rPr>
            </w:pPr>
            <w:r>
              <w:rPr>
                <w:rFonts w:ascii="Arial" w:cs="Arial" w:eastAsia="Arial" w:hAnsi="Arial"/>
                <w:sz w:val="14"/>
                <w:szCs w:val="14"/>
                <w:color w:val="auto"/>
              </w:rPr>
              <w:t>[*CTR]</w:t>
            </w: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1140" w:type="dxa"/>
            <w:vAlign w:val="bottom"/>
            <w:tcBorders>
              <w:bottom w:val="single" w:sz="8" w:color="auto"/>
              <w:right w:val="single" w:sz="8" w:color="auto"/>
            </w:tcBorders>
            <w:gridSpan w:val="3"/>
          </w:tcPr>
          <w:p>
            <w:pPr>
              <w:ind w:left="380"/>
              <w:spacing w:after="0"/>
              <w:rPr>
                <w:sz w:val="20"/>
                <w:szCs w:val="20"/>
                <w:color w:val="auto"/>
              </w:rPr>
            </w:pPr>
            <w:r>
              <w:rPr>
                <w:rFonts w:ascii="Arial" w:cs="Arial" w:eastAsia="Arial" w:hAnsi="Arial"/>
                <w:sz w:val="14"/>
                <w:szCs w:val="14"/>
                <w:color w:val="auto"/>
              </w:rPr>
              <w:t>[*CTR]</w:t>
            </w:r>
          </w:p>
        </w:tc>
        <w:tc>
          <w:tcPr>
            <w:tcW w:w="96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[*CTR]</w:t>
            </w:r>
          </w:p>
        </w:tc>
        <w:tc>
          <w:tcPr>
            <w:tcW w:w="20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[*CTR]</w:t>
            </w:r>
          </w:p>
        </w:tc>
        <w:tc>
          <w:tcPr>
            <w:tcW w:w="24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0" w:type="dxa"/>
            <w:vAlign w:val="bottom"/>
          </w:tcPr>
          <w:p>
            <w:pPr>
              <w:spacing w:after="0"/>
              <w:rPr>
                <w:sz w:val="1"/>
                <w:szCs w:val="1"/>
                <w:color w:val="auto"/>
              </w:rPr>
            </w:pPr>
          </w:p>
        </w:tc>
      </w:tr>
      <w:tr>
        <w:trPr>
          <w:trHeight w:val="237"/>
        </w:trPr>
        <w:tc>
          <w:tcPr>
            <w:tcW w:w="1160" w:type="dxa"/>
            <w:vAlign w:val="bottom"/>
            <w:tcBorders>
              <w:left w:val="single" w:sz="8" w:color="auto"/>
              <w:bottom w:val="single" w:sz="8" w:color="auto"/>
              <w:right w:val="single" w:sz="8" w:color="auto"/>
            </w:tcBorders>
          </w:tcPr>
          <w:p>
            <w:pPr>
              <w:ind w:left="220"/>
              <w:spacing w:after="0"/>
              <w:rPr>
                <w:sz w:val="20"/>
                <w:szCs w:val="20"/>
                <w:color w:val="auto"/>
              </w:rPr>
            </w:pPr>
            <w:r>
              <w:rPr>
                <w:rFonts w:ascii="Arial" w:cs="Arial" w:eastAsia="Arial" w:hAnsi="Arial"/>
                <w:sz w:val="14"/>
                <w:szCs w:val="14"/>
                <w:color w:val="auto"/>
              </w:rPr>
              <w:t>[*CTR]-2017</w:t>
            </w: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jc w:val="right"/>
              <w:ind w:right="387"/>
              <w:spacing w:after="0"/>
              <w:rPr>
                <w:sz w:val="20"/>
                <w:szCs w:val="20"/>
                <w:color w:val="auto"/>
              </w:rPr>
            </w:pPr>
            <w:r>
              <w:rPr>
                <w:rFonts w:ascii="Arial" w:cs="Arial" w:eastAsia="Arial" w:hAnsi="Arial"/>
                <w:sz w:val="14"/>
                <w:szCs w:val="14"/>
                <w:color w:val="auto"/>
              </w:rPr>
              <w:t>1</w:t>
            </w:r>
          </w:p>
        </w:tc>
        <w:tc>
          <w:tcPr>
            <w:tcW w:w="104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4"/>
                <w:szCs w:val="14"/>
                <w:color w:val="auto"/>
              </w:rPr>
              <w:t>[*CTR]</w:t>
            </w:r>
          </w:p>
        </w:tc>
        <w:tc>
          <w:tcPr>
            <w:tcW w:w="900" w:type="dxa"/>
            <w:vAlign w:val="bottom"/>
            <w:tcBorders>
              <w:bottom w:val="single" w:sz="8" w:color="auto"/>
            </w:tcBorders>
          </w:tcPr>
          <w:p>
            <w:pPr>
              <w:ind w:left="340"/>
              <w:spacing w:after="0"/>
              <w:rPr>
                <w:sz w:val="20"/>
                <w:szCs w:val="20"/>
                <w:color w:val="auto"/>
              </w:rPr>
            </w:pPr>
            <w:r>
              <w:rPr>
                <w:rFonts w:ascii="Arial" w:cs="Arial" w:eastAsia="Arial" w:hAnsi="Arial"/>
                <w:sz w:val="14"/>
                <w:szCs w:val="14"/>
                <w:color w:val="auto"/>
              </w:rPr>
              <w:t>[*CTR]</w:t>
            </w: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shd w:val="clear" w:color="auto" w:fill="B2B2B2"/>
          </w:tcPr>
          <w:p>
            <w:pPr>
              <w:spacing w:after="0"/>
              <w:rPr>
                <w:sz w:val="20"/>
                <w:szCs w:val="20"/>
                <w:color w:val="auto"/>
              </w:rPr>
            </w:pPr>
          </w:p>
        </w:tc>
        <w:tc>
          <w:tcPr>
            <w:tcW w:w="60" w:type="dxa"/>
            <w:vAlign w:val="bottom"/>
            <w:tcBorders>
              <w:bottom w:val="single" w:sz="8" w:color="auto"/>
            </w:tcBorders>
            <w:shd w:val="clear" w:color="auto" w:fill="B2B2B2"/>
          </w:tcPr>
          <w:p>
            <w:pPr>
              <w:spacing w:after="0"/>
              <w:rPr>
                <w:sz w:val="20"/>
                <w:szCs w:val="20"/>
                <w:color w:val="auto"/>
              </w:rPr>
            </w:pPr>
          </w:p>
        </w:tc>
        <w:tc>
          <w:tcPr>
            <w:tcW w:w="220" w:type="dxa"/>
            <w:vAlign w:val="bottom"/>
            <w:tcBorders>
              <w:bottom w:val="single" w:sz="8" w:color="auto"/>
            </w:tcBorders>
            <w:shd w:val="clear" w:color="auto" w:fill="B2B2B2"/>
          </w:tcPr>
          <w:p>
            <w:pPr>
              <w:spacing w:after="0"/>
              <w:rPr>
                <w:sz w:val="20"/>
                <w:szCs w:val="20"/>
                <w:color w:val="auto"/>
              </w:rPr>
            </w:pPr>
          </w:p>
        </w:tc>
        <w:tc>
          <w:tcPr>
            <w:tcW w:w="780" w:type="dxa"/>
            <w:vAlign w:val="bottom"/>
            <w:tcBorders>
              <w:bottom w:val="single" w:sz="8" w:color="auto"/>
              <w:right w:val="single" w:sz="8" w:color="auto"/>
            </w:tcBorders>
            <w:gridSpan w:val="2"/>
            <w:shd w:val="clear" w:color="auto" w:fill="B2B2B2"/>
          </w:tcPr>
          <w:p>
            <w:pPr>
              <w:spacing w:after="0"/>
              <w:rPr>
                <w:sz w:val="20"/>
                <w:szCs w:val="20"/>
                <w:color w:val="auto"/>
              </w:rPr>
            </w:pPr>
            <w:r>
              <w:rPr>
                <w:rFonts w:ascii="Arial" w:cs="Arial" w:eastAsia="Arial" w:hAnsi="Arial"/>
                <w:sz w:val="14"/>
                <w:szCs w:val="14"/>
                <w:color w:val="auto"/>
              </w:rPr>
              <w:t>[*CTR]</w:t>
            </w: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1140" w:type="dxa"/>
            <w:vAlign w:val="bottom"/>
            <w:tcBorders>
              <w:bottom w:val="single" w:sz="8" w:color="auto"/>
              <w:right w:val="single" w:sz="8" w:color="auto"/>
            </w:tcBorders>
            <w:gridSpan w:val="3"/>
          </w:tcPr>
          <w:p>
            <w:pPr>
              <w:ind w:left="380"/>
              <w:spacing w:after="0"/>
              <w:rPr>
                <w:sz w:val="20"/>
                <w:szCs w:val="20"/>
                <w:color w:val="auto"/>
              </w:rPr>
            </w:pPr>
            <w:r>
              <w:rPr>
                <w:rFonts w:ascii="Arial" w:cs="Arial" w:eastAsia="Arial" w:hAnsi="Arial"/>
                <w:sz w:val="14"/>
                <w:szCs w:val="14"/>
                <w:color w:val="auto"/>
              </w:rPr>
              <w:t>[*CTR]</w:t>
            </w:r>
          </w:p>
        </w:tc>
        <w:tc>
          <w:tcPr>
            <w:tcW w:w="96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[*CTR]</w:t>
            </w:r>
          </w:p>
        </w:tc>
        <w:tc>
          <w:tcPr>
            <w:tcW w:w="20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[*CTR]</w:t>
            </w:r>
          </w:p>
        </w:tc>
        <w:tc>
          <w:tcPr>
            <w:tcW w:w="24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0" w:type="dxa"/>
            <w:vAlign w:val="bottom"/>
          </w:tcPr>
          <w:p>
            <w:pPr>
              <w:spacing w:after="0"/>
              <w:rPr>
                <w:sz w:val="1"/>
                <w:szCs w:val="1"/>
                <w:color w:val="auto"/>
              </w:rPr>
            </w:pPr>
          </w:p>
        </w:tc>
      </w:tr>
      <w:tr>
        <w:trPr>
          <w:trHeight w:val="237"/>
        </w:trPr>
        <w:tc>
          <w:tcPr>
            <w:tcW w:w="1160" w:type="dxa"/>
            <w:vAlign w:val="bottom"/>
            <w:tcBorders>
              <w:left w:val="single" w:sz="8" w:color="auto"/>
              <w:bottom w:val="single" w:sz="8" w:color="auto"/>
              <w:right w:val="single" w:sz="8" w:color="auto"/>
            </w:tcBorders>
          </w:tcPr>
          <w:p>
            <w:pPr>
              <w:ind w:left="220"/>
              <w:spacing w:after="0"/>
              <w:rPr>
                <w:sz w:val="20"/>
                <w:szCs w:val="20"/>
                <w:color w:val="auto"/>
              </w:rPr>
            </w:pPr>
            <w:r>
              <w:rPr>
                <w:rFonts w:ascii="Arial" w:cs="Arial" w:eastAsia="Arial" w:hAnsi="Arial"/>
                <w:sz w:val="14"/>
                <w:szCs w:val="14"/>
                <w:color w:val="auto"/>
              </w:rPr>
              <w:t>[*CTR]-2017</w:t>
            </w: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jc w:val="right"/>
              <w:ind w:right="387"/>
              <w:spacing w:after="0"/>
              <w:rPr>
                <w:sz w:val="20"/>
                <w:szCs w:val="20"/>
                <w:color w:val="auto"/>
              </w:rPr>
            </w:pPr>
            <w:r>
              <w:rPr>
                <w:rFonts w:ascii="Arial" w:cs="Arial" w:eastAsia="Arial" w:hAnsi="Arial"/>
                <w:sz w:val="14"/>
                <w:szCs w:val="14"/>
                <w:color w:val="auto"/>
              </w:rPr>
              <w:t>1</w:t>
            </w:r>
          </w:p>
        </w:tc>
        <w:tc>
          <w:tcPr>
            <w:tcW w:w="104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4"/>
                <w:szCs w:val="14"/>
                <w:color w:val="auto"/>
              </w:rPr>
              <w:t>[*CTR]</w:t>
            </w:r>
          </w:p>
        </w:tc>
        <w:tc>
          <w:tcPr>
            <w:tcW w:w="900" w:type="dxa"/>
            <w:vAlign w:val="bottom"/>
            <w:tcBorders>
              <w:bottom w:val="single" w:sz="8" w:color="auto"/>
            </w:tcBorders>
          </w:tcPr>
          <w:p>
            <w:pPr>
              <w:ind w:left="340"/>
              <w:spacing w:after="0"/>
              <w:rPr>
                <w:sz w:val="20"/>
                <w:szCs w:val="20"/>
                <w:color w:val="auto"/>
              </w:rPr>
            </w:pPr>
            <w:r>
              <w:rPr>
                <w:rFonts w:ascii="Arial" w:cs="Arial" w:eastAsia="Arial" w:hAnsi="Arial"/>
                <w:sz w:val="14"/>
                <w:szCs w:val="14"/>
                <w:color w:val="auto"/>
              </w:rPr>
              <w:t>[*CTR]</w:t>
            </w: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shd w:val="clear" w:color="auto" w:fill="B2B2B2"/>
          </w:tcPr>
          <w:p>
            <w:pPr>
              <w:spacing w:after="0"/>
              <w:rPr>
                <w:sz w:val="20"/>
                <w:szCs w:val="20"/>
                <w:color w:val="auto"/>
              </w:rPr>
            </w:pPr>
          </w:p>
        </w:tc>
        <w:tc>
          <w:tcPr>
            <w:tcW w:w="60" w:type="dxa"/>
            <w:vAlign w:val="bottom"/>
            <w:tcBorders>
              <w:bottom w:val="single" w:sz="8" w:color="auto"/>
            </w:tcBorders>
            <w:shd w:val="clear" w:color="auto" w:fill="B2B2B2"/>
          </w:tcPr>
          <w:p>
            <w:pPr>
              <w:spacing w:after="0"/>
              <w:rPr>
                <w:sz w:val="20"/>
                <w:szCs w:val="20"/>
                <w:color w:val="auto"/>
              </w:rPr>
            </w:pPr>
          </w:p>
        </w:tc>
        <w:tc>
          <w:tcPr>
            <w:tcW w:w="220" w:type="dxa"/>
            <w:vAlign w:val="bottom"/>
            <w:tcBorders>
              <w:bottom w:val="single" w:sz="8" w:color="auto"/>
            </w:tcBorders>
            <w:shd w:val="clear" w:color="auto" w:fill="B2B2B2"/>
          </w:tcPr>
          <w:p>
            <w:pPr>
              <w:spacing w:after="0"/>
              <w:rPr>
                <w:sz w:val="20"/>
                <w:szCs w:val="20"/>
                <w:color w:val="auto"/>
              </w:rPr>
            </w:pPr>
          </w:p>
        </w:tc>
        <w:tc>
          <w:tcPr>
            <w:tcW w:w="780" w:type="dxa"/>
            <w:vAlign w:val="bottom"/>
            <w:tcBorders>
              <w:bottom w:val="single" w:sz="8" w:color="auto"/>
              <w:right w:val="single" w:sz="8" w:color="auto"/>
            </w:tcBorders>
            <w:gridSpan w:val="2"/>
            <w:shd w:val="clear" w:color="auto" w:fill="B2B2B2"/>
          </w:tcPr>
          <w:p>
            <w:pPr>
              <w:spacing w:after="0"/>
              <w:rPr>
                <w:sz w:val="20"/>
                <w:szCs w:val="20"/>
                <w:color w:val="auto"/>
              </w:rPr>
            </w:pPr>
            <w:r>
              <w:rPr>
                <w:rFonts w:ascii="Arial" w:cs="Arial" w:eastAsia="Arial" w:hAnsi="Arial"/>
                <w:sz w:val="14"/>
                <w:szCs w:val="14"/>
                <w:color w:val="auto"/>
              </w:rPr>
              <w:t>[*CTR]</w:t>
            </w: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1140" w:type="dxa"/>
            <w:vAlign w:val="bottom"/>
            <w:tcBorders>
              <w:bottom w:val="single" w:sz="8" w:color="auto"/>
              <w:right w:val="single" w:sz="8" w:color="auto"/>
            </w:tcBorders>
            <w:gridSpan w:val="3"/>
          </w:tcPr>
          <w:p>
            <w:pPr>
              <w:ind w:left="380"/>
              <w:spacing w:after="0"/>
              <w:rPr>
                <w:sz w:val="20"/>
                <w:szCs w:val="20"/>
                <w:color w:val="auto"/>
              </w:rPr>
            </w:pPr>
            <w:r>
              <w:rPr>
                <w:rFonts w:ascii="Arial" w:cs="Arial" w:eastAsia="Arial" w:hAnsi="Arial"/>
                <w:sz w:val="14"/>
                <w:szCs w:val="14"/>
                <w:color w:val="auto"/>
              </w:rPr>
              <w:t>[*CTR]</w:t>
            </w:r>
          </w:p>
        </w:tc>
        <w:tc>
          <w:tcPr>
            <w:tcW w:w="96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[*CTR]</w:t>
            </w:r>
          </w:p>
        </w:tc>
        <w:tc>
          <w:tcPr>
            <w:tcW w:w="20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[*CTR]</w:t>
            </w:r>
          </w:p>
        </w:tc>
        <w:tc>
          <w:tcPr>
            <w:tcW w:w="24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0" w:type="dxa"/>
            <w:vAlign w:val="bottom"/>
          </w:tcPr>
          <w:p>
            <w:pPr>
              <w:spacing w:after="0"/>
              <w:rPr>
                <w:sz w:val="1"/>
                <w:szCs w:val="1"/>
                <w:color w:val="auto"/>
              </w:rPr>
            </w:pPr>
          </w:p>
        </w:tc>
      </w:tr>
      <w:tr>
        <w:trPr>
          <w:trHeight w:val="237"/>
        </w:trPr>
        <w:tc>
          <w:tcPr>
            <w:tcW w:w="1160" w:type="dxa"/>
            <w:vAlign w:val="bottom"/>
            <w:tcBorders>
              <w:left w:val="single" w:sz="8" w:color="auto"/>
              <w:bottom w:val="single" w:sz="8" w:color="auto"/>
              <w:right w:val="single" w:sz="8" w:color="auto"/>
            </w:tcBorders>
          </w:tcPr>
          <w:p>
            <w:pPr>
              <w:ind w:left="220"/>
              <w:spacing w:after="0"/>
              <w:rPr>
                <w:sz w:val="20"/>
                <w:szCs w:val="20"/>
                <w:color w:val="auto"/>
              </w:rPr>
            </w:pPr>
            <w:r>
              <w:rPr>
                <w:rFonts w:ascii="Arial" w:cs="Arial" w:eastAsia="Arial" w:hAnsi="Arial"/>
                <w:sz w:val="14"/>
                <w:szCs w:val="14"/>
                <w:color w:val="auto"/>
              </w:rPr>
              <w:t>[*CTR]-2017</w:t>
            </w: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jc w:val="right"/>
              <w:ind w:right="387"/>
              <w:spacing w:after="0"/>
              <w:rPr>
                <w:sz w:val="20"/>
                <w:szCs w:val="20"/>
                <w:color w:val="auto"/>
              </w:rPr>
            </w:pPr>
            <w:r>
              <w:rPr>
                <w:rFonts w:ascii="Arial" w:cs="Arial" w:eastAsia="Arial" w:hAnsi="Arial"/>
                <w:sz w:val="14"/>
                <w:szCs w:val="14"/>
                <w:color w:val="auto"/>
              </w:rPr>
              <w:t>1</w:t>
            </w:r>
          </w:p>
        </w:tc>
        <w:tc>
          <w:tcPr>
            <w:tcW w:w="104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4"/>
                <w:szCs w:val="14"/>
                <w:color w:val="auto"/>
              </w:rPr>
              <w:t>[*CTR]</w:t>
            </w:r>
          </w:p>
        </w:tc>
        <w:tc>
          <w:tcPr>
            <w:tcW w:w="900" w:type="dxa"/>
            <w:vAlign w:val="bottom"/>
            <w:tcBorders>
              <w:bottom w:val="single" w:sz="8" w:color="auto"/>
            </w:tcBorders>
          </w:tcPr>
          <w:p>
            <w:pPr>
              <w:ind w:left="340"/>
              <w:spacing w:after="0"/>
              <w:rPr>
                <w:sz w:val="20"/>
                <w:szCs w:val="20"/>
                <w:color w:val="auto"/>
              </w:rPr>
            </w:pPr>
            <w:r>
              <w:rPr>
                <w:rFonts w:ascii="Arial" w:cs="Arial" w:eastAsia="Arial" w:hAnsi="Arial"/>
                <w:sz w:val="14"/>
                <w:szCs w:val="14"/>
                <w:color w:val="auto"/>
              </w:rPr>
              <w:t>[*CTR]</w:t>
            </w: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shd w:val="clear" w:color="auto" w:fill="B2B2B2"/>
          </w:tcPr>
          <w:p>
            <w:pPr>
              <w:spacing w:after="0"/>
              <w:rPr>
                <w:sz w:val="20"/>
                <w:szCs w:val="20"/>
                <w:color w:val="auto"/>
              </w:rPr>
            </w:pPr>
          </w:p>
        </w:tc>
        <w:tc>
          <w:tcPr>
            <w:tcW w:w="60" w:type="dxa"/>
            <w:vAlign w:val="bottom"/>
            <w:tcBorders>
              <w:bottom w:val="single" w:sz="8" w:color="auto"/>
            </w:tcBorders>
            <w:shd w:val="clear" w:color="auto" w:fill="B2B2B2"/>
          </w:tcPr>
          <w:p>
            <w:pPr>
              <w:spacing w:after="0"/>
              <w:rPr>
                <w:sz w:val="20"/>
                <w:szCs w:val="20"/>
                <w:color w:val="auto"/>
              </w:rPr>
            </w:pPr>
          </w:p>
        </w:tc>
        <w:tc>
          <w:tcPr>
            <w:tcW w:w="220" w:type="dxa"/>
            <w:vAlign w:val="bottom"/>
            <w:tcBorders>
              <w:bottom w:val="single" w:sz="8" w:color="auto"/>
            </w:tcBorders>
            <w:shd w:val="clear" w:color="auto" w:fill="B2B2B2"/>
          </w:tcPr>
          <w:p>
            <w:pPr>
              <w:spacing w:after="0"/>
              <w:rPr>
                <w:sz w:val="20"/>
                <w:szCs w:val="20"/>
                <w:color w:val="auto"/>
              </w:rPr>
            </w:pPr>
          </w:p>
        </w:tc>
        <w:tc>
          <w:tcPr>
            <w:tcW w:w="780" w:type="dxa"/>
            <w:vAlign w:val="bottom"/>
            <w:tcBorders>
              <w:bottom w:val="single" w:sz="8" w:color="auto"/>
              <w:right w:val="single" w:sz="8" w:color="auto"/>
            </w:tcBorders>
            <w:gridSpan w:val="2"/>
            <w:shd w:val="clear" w:color="auto" w:fill="B2B2B2"/>
          </w:tcPr>
          <w:p>
            <w:pPr>
              <w:spacing w:after="0"/>
              <w:rPr>
                <w:sz w:val="20"/>
                <w:szCs w:val="20"/>
                <w:color w:val="auto"/>
              </w:rPr>
            </w:pPr>
            <w:r>
              <w:rPr>
                <w:rFonts w:ascii="Arial" w:cs="Arial" w:eastAsia="Arial" w:hAnsi="Arial"/>
                <w:sz w:val="14"/>
                <w:szCs w:val="14"/>
                <w:color w:val="auto"/>
              </w:rPr>
              <w:t>[*CTR]</w:t>
            </w: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1140" w:type="dxa"/>
            <w:vAlign w:val="bottom"/>
            <w:tcBorders>
              <w:bottom w:val="single" w:sz="8" w:color="auto"/>
              <w:right w:val="single" w:sz="8" w:color="auto"/>
            </w:tcBorders>
            <w:gridSpan w:val="3"/>
          </w:tcPr>
          <w:p>
            <w:pPr>
              <w:ind w:left="380"/>
              <w:spacing w:after="0"/>
              <w:rPr>
                <w:sz w:val="20"/>
                <w:szCs w:val="20"/>
                <w:color w:val="auto"/>
              </w:rPr>
            </w:pPr>
            <w:r>
              <w:rPr>
                <w:rFonts w:ascii="Arial" w:cs="Arial" w:eastAsia="Arial" w:hAnsi="Arial"/>
                <w:sz w:val="14"/>
                <w:szCs w:val="14"/>
                <w:color w:val="auto"/>
              </w:rPr>
              <w:t>[*CTR]</w:t>
            </w:r>
          </w:p>
        </w:tc>
        <w:tc>
          <w:tcPr>
            <w:tcW w:w="96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[*CTR]</w:t>
            </w:r>
          </w:p>
        </w:tc>
        <w:tc>
          <w:tcPr>
            <w:tcW w:w="20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[*CTR]</w:t>
            </w:r>
          </w:p>
        </w:tc>
        <w:tc>
          <w:tcPr>
            <w:tcW w:w="24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0" w:type="dxa"/>
            <w:vAlign w:val="bottom"/>
          </w:tcPr>
          <w:p>
            <w:pPr>
              <w:spacing w:after="0"/>
              <w:rPr>
                <w:sz w:val="1"/>
                <w:szCs w:val="1"/>
                <w:color w:val="auto"/>
              </w:rPr>
            </w:pPr>
          </w:p>
        </w:tc>
      </w:tr>
      <w:tr>
        <w:trPr>
          <w:trHeight w:val="237"/>
        </w:trPr>
        <w:tc>
          <w:tcPr>
            <w:tcW w:w="1160" w:type="dxa"/>
            <w:vAlign w:val="bottom"/>
            <w:tcBorders>
              <w:left w:val="single" w:sz="8" w:color="auto"/>
              <w:bottom w:val="single" w:sz="8" w:color="auto"/>
              <w:right w:val="single" w:sz="8" w:color="auto"/>
            </w:tcBorders>
          </w:tcPr>
          <w:p>
            <w:pPr>
              <w:ind w:left="220"/>
              <w:spacing w:after="0"/>
              <w:rPr>
                <w:sz w:val="20"/>
                <w:szCs w:val="20"/>
                <w:color w:val="auto"/>
              </w:rPr>
            </w:pPr>
            <w:r>
              <w:rPr>
                <w:rFonts w:ascii="Arial" w:cs="Arial" w:eastAsia="Arial" w:hAnsi="Arial"/>
                <w:sz w:val="14"/>
                <w:szCs w:val="14"/>
                <w:color w:val="auto"/>
              </w:rPr>
              <w:t>[*CTR]-2017</w:t>
            </w: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jc w:val="right"/>
              <w:ind w:right="387"/>
              <w:spacing w:after="0"/>
              <w:rPr>
                <w:sz w:val="20"/>
                <w:szCs w:val="20"/>
                <w:color w:val="auto"/>
              </w:rPr>
            </w:pPr>
            <w:r>
              <w:rPr>
                <w:rFonts w:ascii="Arial" w:cs="Arial" w:eastAsia="Arial" w:hAnsi="Arial"/>
                <w:sz w:val="14"/>
                <w:szCs w:val="14"/>
                <w:color w:val="auto"/>
              </w:rPr>
              <w:t>1</w:t>
            </w:r>
          </w:p>
        </w:tc>
        <w:tc>
          <w:tcPr>
            <w:tcW w:w="104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4"/>
                <w:szCs w:val="14"/>
                <w:color w:val="auto"/>
              </w:rPr>
              <w:t>[*CTR]</w:t>
            </w:r>
          </w:p>
        </w:tc>
        <w:tc>
          <w:tcPr>
            <w:tcW w:w="900" w:type="dxa"/>
            <w:vAlign w:val="bottom"/>
            <w:tcBorders>
              <w:bottom w:val="single" w:sz="8" w:color="auto"/>
            </w:tcBorders>
          </w:tcPr>
          <w:p>
            <w:pPr>
              <w:ind w:left="340"/>
              <w:spacing w:after="0"/>
              <w:rPr>
                <w:sz w:val="20"/>
                <w:szCs w:val="20"/>
                <w:color w:val="auto"/>
              </w:rPr>
            </w:pPr>
            <w:r>
              <w:rPr>
                <w:rFonts w:ascii="Arial" w:cs="Arial" w:eastAsia="Arial" w:hAnsi="Arial"/>
                <w:sz w:val="14"/>
                <w:szCs w:val="14"/>
                <w:color w:val="auto"/>
              </w:rPr>
              <w:t>[*CTR]</w:t>
            </w: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shd w:val="clear" w:color="auto" w:fill="B2B2B2"/>
          </w:tcPr>
          <w:p>
            <w:pPr>
              <w:spacing w:after="0"/>
              <w:rPr>
                <w:sz w:val="20"/>
                <w:szCs w:val="20"/>
                <w:color w:val="auto"/>
              </w:rPr>
            </w:pPr>
          </w:p>
        </w:tc>
        <w:tc>
          <w:tcPr>
            <w:tcW w:w="60" w:type="dxa"/>
            <w:vAlign w:val="bottom"/>
            <w:tcBorders>
              <w:bottom w:val="single" w:sz="8" w:color="auto"/>
            </w:tcBorders>
            <w:shd w:val="clear" w:color="auto" w:fill="B2B2B2"/>
          </w:tcPr>
          <w:p>
            <w:pPr>
              <w:spacing w:after="0"/>
              <w:rPr>
                <w:sz w:val="20"/>
                <w:szCs w:val="20"/>
                <w:color w:val="auto"/>
              </w:rPr>
            </w:pPr>
          </w:p>
        </w:tc>
        <w:tc>
          <w:tcPr>
            <w:tcW w:w="220" w:type="dxa"/>
            <w:vAlign w:val="bottom"/>
            <w:tcBorders>
              <w:bottom w:val="single" w:sz="8" w:color="auto"/>
            </w:tcBorders>
            <w:shd w:val="clear" w:color="auto" w:fill="B2B2B2"/>
          </w:tcPr>
          <w:p>
            <w:pPr>
              <w:spacing w:after="0"/>
              <w:rPr>
                <w:sz w:val="20"/>
                <w:szCs w:val="20"/>
                <w:color w:val="auto"/>
              </w:rPr>
            </w:pPr>
          </w:p>
        </w:tc>
        <w:tc>
          <w:tcPr>
            <w:tcW w:w="780" w:type="dxa"/>
            <w:vAlign w:val="bottom"/>
            <w:tcBorders>
              <w:bottom w:val="single" w:sz="8" w:color="auto"/>
              <w:right w:val="single" w:sz="8" w:color="auto"/>
            </w:tcBorders>
            <w:gridSpan w:val="2"/>
            <w:shd w:val="clear" w:color="auto" w:fill="B2B2B2"/>
          </w:tcPr>
          <w:p>
            <w:pPr>
              <w:spacing w:after="0"/>
              <w:rPr>
                <w:sz w:val="20"/>
                <w:szCs w:val="20"/>
                <w:color w:val="auto"/>
              </w:rPr>
            </w:pPr>
            <w:r>
              <w:rPr>
                <w:rFonts w:ascii="Arial" w:cs="Arial" w:eastAsia="Arial" w:hAnsi="Arial"/>
                <w:sz w:val="14"/>
                <w:szCs w:val="14"/>
                <w:color w:val="auto"/>
              </w:rPr>
              <w:t>[*CTR]</w:t>
            </w: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1140" w:type="dxa"/>
            <w:vAlign w:val="bottom"/>
            <w:tcBorders>
              <w:bottom w:val="single" w:sz="8" w:color="auto"/>
              <w:right w:val="single" w:sz="8" w:color="auto"/>
            </w:tcBorders>
            <w:gridSpan w:val="3"/>
          </w:tcPr>
          <w:p>
            <w:pPr>
              <w:ind w:left="380"/>
              <w:spacing w:after="0"/>
              <w:rPr>
                <w:sz w:val="20"/>
                <w:szCs w:val="20"/>
                <w:color w:val="auto"/>
              </w:rPr>
            </w:pPr>
            <w:r>
              <w:rPr>
                <w:rFonts w:ascii="Arial" w:cs="Arial" w:eastAsia="Arial" w:hAnsi="Arial"/>
                <w:sz w:val="14"/>
                <w:szCs w:val="14"/>
                <w:color w:val="auto"/>
              </w:rPr>
              <w:t>[*CTR]</w:t>
            </w:r>
          </w:p>
        </w:tc>
        <w:tc>
          <w:tcPr>
            <w:tcW w:w="96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[*CTR]</w:t>
            </w:r>
          </w:p>
        </w:tc>
        <w:tc>
          <w:tcPr>
            <w:tcW w:w="20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[*CTR]</w:t>
            </w:r>
          </w:p>
        </w:tc>
        <w:tc>
          <w:tcPr>
            <w:tcW w:w="24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0" w:type="dxa"/>
            <w:vAlign w:val="bottom"/>
          </w:tcPr>
          <w:p>
            <w:pPr>
              <w:spacing w:after="0"/>
              <w:rPr>
                <w:sz w:val="1"/>
                <w:szCs w:val="1"/>
                <w:color w:val="auto"/>
              </w:rPr>
            </w:pPr>
          </w:p>
        </w:tc>
      </w:tr>
      <w:tr>
        <w:trPr>
          <w:trHeight w:val="237"/>
        </w:trPr>
        <w:tc>
          <w:tcPr>
            <w:tcW w:w="1160" w:type="dxa"/>
            <w:vAlign w:val="bottom"/>
            <w:tcBorders>
              <w:left w:val="single" w:sz="8" w:color="auto"/>
              <w:bottom w:val="single" w:sz="8" w:color="auto"/>
              <w:right w:val="single" w:sz="8" w:color="auto"/>
            </w:tcBorders>
          </w:tcPr>
          <w:p>
            <w:pPr>
              <w:ind w:left="220"/>
              <w:spacing w:after="0"/>
              <w:rPr>
                <w:sz w:val="20"/>
                <w:szCs w:val="20"/>
                <w:color w:val="auto"/>
              </w:rPr>
            </w:pPr>
            <w:r>
              <w:rPr>
                <w:rFonts w:ascii="Arial" w:cs="Arial" w:eastAsia="Arial" w:hAnsi="Arial"/>
                <w:sz w:val="14"/>
                <w:szCs w:val="14"/>
                <w:color w:val="auto"/>
              </w:rPr>
              <w:t>[*CTR]-2017</w:t>
            </w: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jc w:val="right"/>
              <w:ind w:right="387"/>
              <w:spacing w:after="0"/>
              <w:rPr>
                <w:sz w:val="20"/>
                <w:szCs w:val="20"/>
                <w:color w:val="auto"/>
              </w:rPr>
            </w:pPr>
            <w:r>
              <w:rPr>
                <w:rFonts w:ascii="Arial" w:cs="Arial" w:eastAsia="Arial" w:hAnsi="Arial"/>
                <w:sz w:val="14"/>
                <w:szCs w:val="14"/>
                <w:color w:val="auto"/>
              </w:rPr>
              <w:t>1</w:t>
            </w:r>
          </w:p>
        </w:tc>
        <w:tc>
          <w:tcPr>
            <w:tcW w:w="104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4"/>
                <w:szCs w:val="14"/>
                <w:color w:val="auto"/>
              </w:rPr>
              <w:t>[*CTR]</w:t>
            </w:r>
          </w:p>
        </w:tc>
        <w:tc>
          <w:tcPr>
            <w:tcW w:w="900" w:type="dxa"/>
            <w:vAlign w:val="bottom"/>
            <w:tcBorders>
              <w:bottom w:val="single" w:sz="8" w:color="auto"/>
            </w:tcBorders>
          </w:tcPr>
          <w:p>
            <w:pPr>
              <w:ind w:left="340"/>
              <w:spacing w:after="0"/>
              <w:rPr>
                <w:sz w:val="20"/>
                <w:szCs w:val="20"/>
                <w:color w:val="auto"/>
              </w:rPr>
            </w:pPr>
            <w:r>
              <w:rPr>
                <w:rFonts w:ascii="Arial" w:cs="Arial" w:eastAsia="Arial" w:hAnsi="Arial"/>
                <w:sz w:val="14"/>
                <w:szCs w:val="14"/>
                <w:color w:val="auto"/>
              </w:rPr>
              <w:t>[*CTR]</w:t>
            </w: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shd w:val="clear" w:color="auto" w:fill="B2B2B2"/>
          </w:tcPr>
          <w:p>
            <w:pPr>
              <w:spacing w:after="0"/>
              <w:rPr>
                <w:sz w:val="20"/>
                <w:szCs w:val="20"/>
                <w:color w:val="auto"/>
              </w:rPr>
            </w:pPr>
          </w:p>
        </w:tc>
        <w:tc>
          <w:tcPr>
            <w:tcW w:w="60" w:type="dxa"/>
            <w:vAlign w:val="bottom"/>
            <w:tcBorders>
              <w:bottom w:val="single" w:sz="8" w:color="auto"/>
            </w:tcBorders>
            <w:shd w:val="clear" w:color="auto" w:fill="B2B2B2"/>
          </w:tcPr>
          <w:p>
            <w:pPr>
              <w:spacing w:after="0"/>
              <w:rPr>
                <w:sz w:val="20"/>
                <w:szCs w:val="20"/>
                <w:color w:val="auto"/>
              </w:rPr>
            </w:pPr>
          </w:p>
        </w:tc>
        <w:tc>
          <w:tcPr>
            <w:tcW w:w="220" w:type="dxa"/>
            <w:vAlign w:val="bottom"/>
            <w:tcBorders>
              <w:bottom w:val="single" w:sz="8" w:color="auto"/>
            </w:tcBorders>
            <w:shd w:val="clear" w:color="auto" w:fill="B2B2B2"/>
          </w:tcPr>
          <w:p>
            <w:pPr>
              <w:spacing w:after="0"/>
              <w:rPr>
                <w:sz w:val="20"/>
                <w:szCs w:val="20"/>
                <w:color w:val="auto"/>
              </w:rPr>
            </w:pPr>
          </w:p>
        </w:tc>
        <w:tc>
          <w:tcPr>
            <w:tcW w:w="780" w:type="dxa"/>
            <w:vAlign w:val="bottom"/>
            <w:tcBorders>
              <w:bottom w:val="single" w:sz="8" w:color="auto"/>
              <w:right w:val="single" w:sz="8" w:color="auto"/>
            </w:tcBorders>
            <w:gridSpan w:val="2"/>
            <w:shd w:val="clear" w:color="auto" w:fill="B2B2B2"/>
          </w:tcPr>
          <w:p>
            <w:pPr>
              <w:spacing w:after="0"/>
              <w:rPr>
                <w:sz w:val="20"/>
                <w:szCs w:val="20"/>
                <w:color w:val="auto"/>
              </w:rPr>
            </w:pPr>
            <w:r>
              <w:rPr>
                <w:rFonts w:ascii="Arial" w:cs="Arial" w:eastAsia="Arial" w:hAnsi="Arial"/>
                <w:sz w:val="14"/>
                <w:szCs w:val="14"/>
                <w:color w:val="auto"/>
              </w:rPr>
              <w:t>[*CTR]</w:t>
            </w: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1140" w:type="dxa"/>
            <w:vAlign w:val="bottom"/>
            <w:tcBorders>
              <w:bottom w:val="single" w:sz="8" w:color="auto"/>
              <w:right w:val="single" w:sz="8" w:color="auto"/>
            </w:tcBorders>
            <w:gridSpan w:val="3"/>
          </w:tcPr>
          <w:p>
            <w:pPr>
              <w:ind w:left="380"/>
              <w:spacing w:after="0"/>
              <w:rPr>
                <w:sz w:val="20"/>
                <w:szCs w:val="20"/>
                <w:color w:val="auto"/>
              </w:rPr>
            </w:pPr>
            <w:r>
              <w:rPr>
                <w:rFonts w:ascii="Arial" w:cs="Arial" w:eastAsia="Arial" w:hAnsi="Arial"/>
                <w:sz w:val="14"/>
                <w:szCs w:val="14"/>
                <w:color w:val="auto"/>
              </w:rPr>
              <w:t>[*CTR]</w:t>
            </w:r>
          </w:p>
        </w:tc>
        <w:tc>
          <w:tcPr>
            <w:tcW w:w="96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[*CTR]</w:t>
            </w:r>
          </w:p>
        </w:tc>
        <w:tc>
          <w:tcPr>
            <w:tcW w:w="20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[*CTR]</w:t>
            </w:r>
          </w:p>
        </w:tc>
        <w:tc>
          <w:tcPr>
            <w:tcW w:w="24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0" w:type="dxa"/>
            <w:vAlign w:val="bottom"/>
          </w:tcPr>
          <w:p>
            <w:pPr>
              <w:spacing w:after="0"/>
              <w:rPr>
                <w:sz w:val="1"/>
                <w:szCs w:val="1"/>
                <w:color w:val="auto"/>
              </w:rPr>
            </w:pPr>
          </w:p>
        </w:tc>
      </w:tr>
      <w:tr>
        <w:trPr>
          <w:trHeight w:val="237"/>
        </w:trPr>
        <w:tc>
          <w:tcPr>
            <w:tcW w:w="1160" w:type="dxa"/>
            <w:vAlign w:val="bottom"/>
            <w:tcBorders>
              <w:left w:val="single" w:sz="8" w:color="auto"/>
              <w:bottom w:val="single" w:sz="8" w:color="auto"/>
              <w:right w:val="single" w:sz="8" w:color="auto"/>
            </w:tcBorders>
          </w:tcPr>
          <w:p>
            <w:pPr>
              <w:ind w:left="220"/>
              <w:spacing w:after="0"/>
              <w:rPr>
                <w:sz w:val="20"/>
                <w:szCs w:val="20"/>
                <w:color w:val="auto"/>
              </w:rPr>
            </w:pPr>
            <w:r>
              <w:rPr>
                <w:rFonts w:ascii="Arial" w:cs="Arial" w:eastAsia="Arial" w:hAnsi="Arial"/>
                <w:sz w:val="14"/>
                <w:szCs w:val="14"/>
                <w:color w:val="auto"/>
              </w:rPr>
              <w:t>[*CTR]-2017</w:t>
            </w: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jc w:val="right"/>
              <w:ind w:right="387"/>
              <w:spacing w:after="0"/>
              <w:rPr>
                <w:sz w:val="20"/>
                <w:szCs w:val="20"/>
                <w:color w:val="auto"/>
              </w:rPr>
            </w:pPr>
            <w:r>
              <w:rPr>
                <w:rFonts w:ascii="Arial" w:cs="Arial" w:eastAsia="Arial" w:hAnsi="Arial"/>
                <w:sz w:val="14"/>
                <w:szCs w:val="14"/>
                <w:color w:val="auto"/>
              </w:rPr>
              <w:t>1</w:t>
            </w:r>
          </w:p>
        </w:tc>
        <w:tc>
          <w:tcPr>
            <w:tcW w:w="104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4"/>
                <w:szCs w:val="14"/>
                <w:color w:val="auto"/>
              </w:rPr>
              <w:t>[*CTR]</w:t>
            </w:r>
          </w:p>
        </w:tc>
        <w:tc>
          <w:tcPr>
            <w:tcW w:w="900" w:type="dxa"/>
            <w:vAlign w:val="bottom"/>
            <w:tcBorders>
              <w:bottom w:val="single" w:sz="8" w:color="auto"/>
            </w:tcBorders>
          </w:tcPr>
          <w:p>
            <w:pPr>
              <w:ind w:left="340"/>
              <w:spacing w:after="0"/>
              <w:rPr>
                <w:sz w:val="20"/>
                <w:szCs w:val="20"/>
                <w:color w:val="auto"/>
              </w:rPr>
            </w:pPr>
            <w:r>
              <w:rPr>
                <w:rFonts w:ascii="Arial" w:cs="Arial" w:eastAsia="Arial" w:hAnsi="Arial"/>
                <w:sz w:val="14"/>
                <w:szCs w:val="14"/>
                <w:color w:val="auto"/>
              </w:rPr>
              <w:t>[*CTR]</w:t>
            </w: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shd w:val="clear" w:color="auto" w:fill="B2B2B2"/>
          </w:tcPr>
          <w:p>
            <w:pPr>
              <w:spacing w:after="0"/>
              <w:rPr>
                <w:sz w:val="20"/>
                <w:szCs w:val="20"/>
                <w:color w:val="auto"/>
              </w:rPr>
            </w:pPr>
          </w:p>
        </w:tc>
        <w:tc>
          <w:tcPr>
            <w:tcW w:w="60" w:type="dxa"/>
            <w:vAlign w:val="bottom"/>
            <w:tcBorders>
              <w:bottom w:val="single" w:sz="8" w:color="auto"/>
            </w:tcBorders>
            <w:shd w:val="clear" w:color="auto" w:fill="B2B2B2"/>
          </w:tcPr>
          <w:p>
            <w:pPr>
              <w:spacing w:after="0"/>
              <w:rPr>
                <w:sz w:val="20"/>
                <w:szCs w:val="20"/>
                <w:color w:val="auto"/>
              </w:rPr>
            </w:pPr>
          </w:p>
        </w:tc>
        <w:tc>
          <w:tcPr>
            <w:tcW w:w="220" w:type="dxa"/>
            <w:vAlign w:val="bottom"/>
            <w:tcBorders>
              <w:bottom w:val="single" w:sz="8" w:color="auto"/>
            </w:tcBorders>
            <w:shd w:val="clear" w:color="auto" w:fill="B2B2B2"/>
          </w:tcPr>
          <w:p>
            <w:pPr>
              <w:spacing w:after="0"/>
              <w:rPr>
                <w:sz w:val="20"/>
                <w:szCs w:val="20"/>
                <w:color w:val="auto"/>
              </w:rPr>
            </w:pPr>
          </w:p>
        </w:tc>
        <w:tc>
          <w:tcPr>
            <w:tcW w:w="780" w:type="dxa"/>
            <w:vAlign w:val="bottom"/>
            <w:tcBorders>
              <w:bottom w:val="single" w:sz="8" w:color="auto"/>
              <w:right w:val="single" w:sz="8" w:color="auto"/>
            </w:tcBorders>
            <w:gridSpan w:val="2"/>
            <w:shd w:val="clear" w:color="auto" w:fill="B2B2B2"/>
          </w:tcPr>
          <w:p>
            <w:pPr>
              <w:spacing w:after="0"/>
              <w:rPr>
                <w:sz w:val="20"/>
                <w:szCs w:val="20"/>
                <w:color w:val="auto"/>
              </w:rPr>
            </w:pPr>
            <w:r>
              <w:rPr>
                <w:rFonts w:ascii="Arial" w:cs="Arial" w:eastAsia="Arial" w:hAnsi="Arial"/>
                <w:sz w:val="14"/>
                <w:szCs w:val="14"/>
                <w:color w:val="auto"/>
              </w:rPr>
              <w:t>[*CTR]</w:t>
            </w: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[*CTR]</w:t>
            </w:r>
          </w:p>
        </w:tc>
        <w:tc>
          <w:tcPr>
            <w:tcW w:w="1140" w:type="dxa"/>
            <w:vAlign w:val="bottom"/>
            <w:tcBorders>
              <w:bottom w:val="single" w:sz="8" w:color="auto"/>
              <w:right w:val="single" w:sz="8" w:color="auto"/>
            </w:tcBorders>
            <w:gridSpan w:val="3"/>
          </w:tcPr>
          <w:p>
            <w:pPr>
              <w:ind w:left="380"/>
              <w:spacing w:after="0"/>
              <w:rPr>
                <w:sz w:val="20"/>
                <w:szCs w:val="20"/>
                <w:color w:val="auto"/>
              </w:rPr>
            </w:pPr>
            <w:r>
              <w:rPr>
                <w:rFonts w:ascii="Arial" w:cs="Arial" w:eastAsia="Arial" w:hAnsi="Arial"/>
                <w:sz w:val="14"/>
                <w:szCs w:val="14"/>
                <w:color w:val="auto"/>
              </w:rPr>
              <w:t>[*CTR]</w:t>
            </w:r>
          </w:p>
        </w:tc>
        <w:tc>
          <w:tcPr>
            <w:tcW w:w="96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[*CTR]</w:t>
            </w:r>
          </w:p>
        </w:tc>
        <w:tc>
          <w:tcPr>
            <w:tcW w:w="20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[*CTR]</w:t>
            </w:r>
          </w:p>
        </w:tc>
        <w:tc>
          <w:tcPr>
            <w:tcW w:w="24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[*CTR]</w:t>
            </w:r>
          </w:p>
        </w:tc>
        <w:tc>
          <w:tcPr>
            <w:tcW w:w="0" w:type="dxa"/>
            <w:vAlign w:val="bottom"/>
          </w:tcPr>
          <w:p>
            <w:pPr>
              <w:spacing w:after="0"/>
              <w:rPr>
                <w:sz w:val="1"/>
                <w:szCs w:val="1"/>
                <w:color w:val="auto"/>
              </w:rPr>
            </w:pPr>
          </w:p>
        </w:tc>
      </w:tr>
      <w:tr>
        <w:trPr>
          <w:trHeight w:val="301"/>
        </w:trPr>
        <w:tc>
          <w:tcPr>
            <w:tcW w:w="2220" w:type="dxa"/>
            <w:vAlign w:val="bottom"/>
            <w:gridSpan w:val="3"/>
          </w:tcPr>
          <w:p>
            <w:pPr>
              <w:spacing w:after="0"/>
              <w:rPr>
                <w:sz w:val="20"/>
                <w:szCs w:val="20"/>
                <w:color w:val="auto"/>
              </w:rPr>
            </w:pPr>
            <w:r>
              <w:rPr>
                <w:rFonts w:ascii="Arial" w:cs="Arial" w:eastAsia="Arial" w:hAnsi="Arial"/>
                <w:sz w:val="15"/>
                <w:szCs w:val="15"/>
                <w:color w:val="auto"/>
              </w:rPr>
              <w:t>AAL-PA-03219 105140-1F.txt</w:t>
            </w:r>
          </w:p>
        </w:tc>
        <w:tc>
          <w:tcPr>
            <w:tcW w:w="10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60" w:type="dxa"/>
            <w:vAlign w:val="bottom"/>
            <w:gridSpan w:val="4"/>
            <w:vMerge w:val="restart"/>
          </w:tcPr>
          <w:p>
            <w:pPr>
              <w:ind w:left="480"/>
              <w:spacing w:after="0"/>
              <w:rPr>
                <w:sz w:val="20"/>
                <w:szCs w:val="20"/>
                <w:color w:val="auto"/>
              </w:rPr>
            </w:pPr>
            <w:r>
              <w:rPr>
                <w:rFonts w:ascii="Arial" w:cs="Arial" w:eastAsia="Arial" w:hAnsi="Arial"/>
                <w:sz w:val="19"/>
                <w:szCs w:val="19"/>
                <w:b w:val="1"/>
                <w:bCs w:val="1"/>
                <w:color w:val="auto"/>
              </w:rPr>
              <w:t>Boeing Proprietary</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80" w:type="dxa"/>
            <w:vAlign w:val="bottom"/>
            <w:gridSpan w:val="2"/>
          </w:tcPr>
          <w:p>
            <w:pPr>
              <w:spacing w:after="0"/>
              <w:rPr>
                <w:sz w:val="20"/>
                <w:szCs w:val="20"/>
                <w:color w:val="auto"/>
              </w:rPr>
            </w:pPr>
            <w:r>
              <w:rPr>
                <w:rFonts w:ascii="Arial" w:cs="Arial" w:eastAsia="Arial" w:hAnsi="Arial"/>
                <w:sz w:val="15"/>
                <w:szCs w:val="15"/>
                <w:color w:val="auto"/>
                <w:w w:val="99"/>
              </w:rPr>
              <w:t>SA-9, Table 1(R6),</w:t>
            </w:r>
          </w:p>
        </w:tc>
        <w:tc>
          <w:tcPr>
            <w:tcW w:w="0" w:type="dxa"/>
            <w:vAlign w:val="bottom"/>
          </w:tcPr>
          <w:p>
            <w:pPr>
              <w:spacing w:after="0"/>
              <w:rPr>
                <w:sz w:val="1"/>
                <w:szCs w:val="1"/>
                <w:color w:val="auto"/>
              </w:rPr>
            </w:pPr>
          </w:p>
        </w:tc>
      </w:tr>
      <w:tr>
        <w:trPr>
          <w:trHeight w:val="181"/>
        </w:trPr>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60" w:type="dxa"/>
            <w:vAlign w:val="bottom"/>
            <w:gridSpan w:val="4"/>
            <w:vMerge w:val="continue"/>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ind w:left="540"/>
              <w:spacing w:after="0"/>
              <w:rPr>
                <w:sz w:val="20"/>
                <w:szCs w:val="20"/>
                <w:color w:val="auto"/>
              </w:rPr>
            </w:pPr>
            <w:r>
              <w:rPr>
                <w:rFonts w:ascii="Arial" w:cs="Arial" w:eastAsia="Arial" w:hAnsi="Arial"/>
                <w:sz w:val="15"/>
                <w:szCs w:val="15"/>
                <w:color w:val="auto"/>
                <w:w w:val="96"/>
              </w:rPr>
              <w:t>Page 1</w:t>
            </w:r>
          </w:p>
        </w:tc>
        <w:tc>
          <w:tcPr>
            <w:tcW w:w="0" w:type="dxa"/>
            <w:vAlign w:val="bottom"/>
          </w:tcPr>
          <w:p>
            <w:pPr>
              <w:spacing w:after="0"/>
              <w:rPr>
                <w:sz w:val="1"/>
                <w:szCs w:val="1"/>
                <w:color w:val="auto"/>
              </w:rPr>
            </w:pPr>
          </w:p>
        </w:tc>
      </w:tr>
    </w:tbl>
    <w:p>
      <w:pPr>
        <w:jc w:val="both"/>
        <w:ind w:right="20"/>
        <w:spacing w:after="0" w:line="260" w:lineRule="auto"/>
        <w:rPr>
          <w:sz w:val="20"/>
          <w:szCs w:val="20"/>
          <w:color w:val="auto"/>
        </w:rPr>
      </w:pPr>
      <w:r>
        <w:rPr>
          <w:rFonts w:ascii="Arial" w:cs="Arial" w:eastAsia="Arial" w:hAnsi="Arial"/>
          <w:sz w:val="16"/>
          <w:szCs w:val="16"/>
          <w:color w:val="auto"/>
        </w:rPr>
        <w:t>[*CTR]=[CONFIDENTIAL PORTION OMITTED AND FILED SEPARATELY WITH THE COMMISSION PURSUANT TO A REQUEST FOR CONFIDENTIAL TREATMENT]</w:t>
      </w:r>
    </w:p>
    <w:p>
      <w:pPr>
        <w:sectPr>
          <w:pgSz w:w="11900" w:h="16838" w:orient="portrait"/>
          <w:cols w:equalWidth="0" w:num="1">
            <w:col w:w="11440"/>
          </w:cols>
          <w:pgMar w:left="240" w:top="264" w:right="219" w:bottom="1440" w:gutter="0" w:footer="0" w:header="0"/>
        </w:sectPr>
      </w:pPr>
    </w:p>
    <w:bookmarkStart w:id="114" w:name="page115"/>
    <w:bookmarkEnd w:id="114"/>
    <w:p>
      <w:pPr>
        <w:jc w:val="center"/>
        <w:spacing w:after="0" w:line="275" w:lineRule="auto"/>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Table 1(R6) To Purchase Agreement No. PA-03219 787-9 Aircraft Delivery, Description, Price and Advance Payments [*CTR]</w:t>
      </w:r>
    </w:p>
    <w:p>
      <w:pPr>
        <w:spacing w:after="0" w:line="188"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1160" w:type="dxa"/>
            <w:vAlign w:val="bottom"/>
            <w:tcBorders>
              <w:top w:val="single" w:sz="8" w:color="auto"/>
              <w:left w:val="single" w:sz="8" w:color="auto"/>
              <w:right w:val="single" w:sz="8" w:color="auto"/>
            </w:tcBorders>
          </w:tcPr>
          <w:p>
            <w:pPr>
              <w:spacing w:after="0"/>
              <w:rPr>
                <w:sz w:val="16"/>
                <w:szCs w:val="16"/>
                <w:color w:val="auto"/>
              </w:rPr>
            </w:pPr>
          </w:p>
        </w:tc>
        <w:tc>
          <w:tcPr>
            <w:tcW w:w="1040" w:type="dxa"/>
            <w:vAlign w:val="bottom"/>
            <w:tcBorders>
              <w:top w:val="single" w:sz="8" w:color="auto"/>
              <w:right w:val="single" w:sz="8" w:color="auto"/>
            </w:tcBorders>
          </w:tcPr>
          <w:p>
            <w:pPr>
              <w:spacing w:after="0"/>
              <w:rPr>
                <w:sz w:val="16"/>
                <w:szCs w:val="16"/>
                <w:color w:val="auto"/>
              </w:rPr>
            </w:pPr>
          </w:p>
        </w:tc>
        <w:tc>
          <w:tcPr>
            <w:tcW w:w="1040" w:type="dxa"/>
            <w:vAlign w:val="bottom"/>
            <w:tcBorders>
              <w:top w:val="single" w:sz="8" w:color="auto"/>
              <w:bottom w:val="single" w:sz="8" w:color="auto"/>
              <w:right w:val="single" w:sz="8" w:color="auto"/>
            </w:tcBorders>
            <w:vMerge w:val="restart"/>
          </w:tcPr>
          <w:p>
            <w:pPr>
              <w:jc w:val="center"/>
              <w:spacing w:after="0"/>
              <w:rPr>
                <w:sz w:val="20"/>
                <w:szCs w:val="20"/>
                <w:color w:val="auto"/>
              </w:rPr>
            </w:pPr>
            <w:r>
              <w:rPr>
                <w:rFonts w:ascii="Arial" w:cs="Arial" w:eastAsia="Arial" w:hAnsi="Arial"/>
                <w:sz w:val="15"/>
                <w:szCs w:val="15"/>
                <w:b w:val="1"/>
                <w:bCs w:val="1"/>
                <w:color w:val="auto"/>
                <w:w w:val="90"/>
              </w:rPr>
              <w:t>Escalation</w:t>
            </w:r>
          </w:p>
        </w:tc>
        <w:tc>
          <w:tcPr>
            <w:tcW w:w="1040" w:type="dxa"/>
            <w:vAlign w:val="bottom"/>
            <w:tcBorders>
              <w:top w:val="single" w:sz="8" w:color="auto"/>
              <w:bottom w:val="single" w:sz="8" w:color="auto"/>
              <w:right w:val="single" w:sz="8" w:color="auto"/>
            </w:tcBorders>
            <w:vMerge w:val="restart"/>
          </w:tcPr>
          <w:p>
            <w:pPr>
              <w:jc w:val="center"/>
              <w:spacing w:after="0"/>
              <w:rPr>
                <w:sz w:val="20"/>
                <w:szCs w:val="20"/>
                <w:color w:val="auto"/>
              </w:rPr>
            </w:pPr>
            <w:r>
              <w:rPr>
                <w:rFonts w:ascii="Arial" w:cs="Arial" w:eastAsia="Arial" w:hAnsi="Arial"/>
                <w:sz w:val="15"/>
                <w:szCs w:val="15"/>
                <w:b w:val="1"/>
                <w:bCs w:val="1"/>
                <w:color w:val="auto"/>
                <w:w w:val="90"/>
              </w:rPr>
              <w:t>Escalation</w:t>
            </w:r>
          </w:p>
        </w:tc>
        <w:tc>
          <w:tcPr>
            <w:tcW w:w="100" w:type="dxa"/>
            <w:vAlign w:val="bottom"/>
            <w:tcBorders>
              <w:top w:val="single" w:sz="8" w:color="auto"/>
              <w:bottom w:val="single" w:sz="8" w:color="B2B2B2"/>
            </w:tcBorders>
            <w:shd w:val="clear" w:color="auto" w:fill="B2B2B2"/>
          </w:tcPr>
          <w:p>
            <w:pPr>
              <w:spacing w:after="0"/>
              <w:rPr>
                <w:sz w:val="16"/>
                <w:szCs w:val="16"/>
                <w:color w:val="auto"/>
              </w:rPr>
            </w:pPr>
          </w:p>
        </w:tc>
        <w:tc>
          <w:tcPr>
            <w:tcW w:w="1060" w:type="dxa"/>
            <w:vAlign w:val="bottom"/>
            <w:tcBorders>
              <w:top w:val="single" w:sz="8" w:color="auto"/>
              <w:bottom w:val="single" w:sz="8" w:color="B2B2B2"/>
              <w:right w:val="single" w:sz="8" w:color="auto"/>
            </w:tcBorders>
            <w:shd w:val="clear" w:color="auto" w:fill="B2B2B2"/>
          </w:tcPr>
          <w:p>
            <w:pPr>
              <w:spacing w:after="0"/>
              <w:rPr>
                <w:sz w:val="16"/>
                <w:szCs w:val="16"/>
                <w:color w:val="auto"/>
              </w:rPr>
            </w:pPr>
          </w:p>
        </w:tc>
        <w:tc>
          <w:tcPr>
            <w:tcW w:w="1480" w:type="dxa"/>
            <w:vAlign w:val="bottom"/>
            <w:tcBorders>
              <w:top w:val="single" w:sz="8" w:color="auto"/>
              <w:bottom w:val="single" w:sz="8" w:color="auto"/>
              <w:right w:val="single" w:sz="8" w:color="auto"/>
            </w:tcBorders>
            <w:vMerge w:val="restart"/>
          </w:tcPr>
          <w:p>
            <w:pPr>
              <w:jc w:val="center"/>
              <w:spacing w:after="0"/>
              <w:rPr>
                <w:sz w:val="20"/>
                <w:szCs w:val="20"/>
                <w:color w:val="auto"/>
              </w:rPr>
            </w:pPr>
            <w:r>
              <w:rPr>
                <w:rFonts w:ascii="Arial" w:cs="Arial" w:eastAsia="Arial" w:hAnsi="Arial"/>
                <w:sz w:val="15"/>
                <w:szCs w:val="15"/>
                <w:b w:val="1"/>
                <w:bCs w:val="1"/>
                <w:color w:val="auto"/>
                <w:w w:val="91"/>
              </w:rPr>
              <w:t>Escalation Estimate</w:t>
            </w:r>
          </w:p>
        </w:tc>
        <w:tc>
          <w:tcPr>
            <w:tcW w:w="4520" w:type="dxa"/>
            <w:vAlign w:val="bottom"/>
            <w:tcBorders>
              <w:top w:val="single" w:sz="8" w:color="auto"/>
              <w:bottom w:val="single" w:sz="8" w:color="auto"/>
              <w:right w:val="single" w:sz="8" w:color="auto"/>
            </w:tcBorders>
            <w:gridSpan w:val="5"/>
          </w:tcPr>
          <w:p>
            <w:pPr>
              <w:jc w:val="right"/>
              <w:spacing w:after="0"/>
              <w:rPr>
                <w:sz w:val="20"/>
                <w:szCs w:val="20"/>
                <w:color w:val="auto"/>
              </w:rPr>
            </w:pPr>
            <w:r>
              <w:rPr>
                <w:rFonts w:ascii="Arial" w:cs="Arial" w:eastAsia="Arial" w:hAnsi="Arial"/>
                <w:sz w:val="15"/>
                <w:szCs w:val="15"/>
                <w:b w:val="1"/>
                <w:bCs w:val="1"/>
                <w:color w:val="auto"/>
                <w:w w:val="95"/>
              </w:rPr>
              <w:t>Advance Payment Per Aircraft (Amts. Due/Mos. Prior to Delivery):</w:t>
            </w:r>
          </w:p>
        </w:tc>
        <w:tc>
          <w:tcPr>
            <w:tcW w:w="0" w:type="dxa"/>
            <w:vAlign w:val="bottom"/>
          </w:tcPr>
          <w:p>
            <w:pPr>
              <w:spacing w:after="0"/>
              <w:rPr>
                <w:sz w:val="1"/>
                <w:szCs w:val="1"/>
                <w:color w:val="auto"/>
              </w:rPr>
            </w:pPr>
          </w:p>
        </w:tc>
      </w:tr>
      <w:tr>
        <w:trPr>
          <w:trHeight w:val="94"/>
        </w:trPr>
        <w:tc>
          <w:tcPr>
            <w:tcW w:w="1160" w:type="dxa"/>
            <w:vAlign w:val="bottom"/>
            <w:tcBorders>
              <w:left w:val="single" w:sz="8" w:color="auto"/>
              <w:right w:val="single" w:sz="8" w:color="auto"/>
            </w:tcBorders>
          </w:tcPr>
          <w:p>
            <w:pPr>
              <w:spacing w:after="0"/>
              <w:rPr>
                <w:sz w:val="8"/>
                <w:szCs w:val="8"/>
                <w:color w:val="auto"/>
              </w:rPr>
            </w:pPr>
          </w:p>
        </w:tc>
        <w:tc>
          <w:tcPr>
            <w:tcW w:w="1040" w:type="dxa"/>
            <w:vAlign w:val="bottom"/>
            <w:tcBorders>
              <w:right w:val="single" w:sz="8" w:color="auto"/>
            </w:tcBorders>
          </w:tcPr>
          <w:p>
            <w:pPr>
              <w:spacing w:after="0"/>
              <w:rPr>
                <w:sz w:val="8"/>
                <w:szCs w:val="8"/>
                <w:color w:val="auto"/>
              </w:rPr>
            </w:pPr>
          </w:p>
        </w:tc>
        <w:tc>
          <w:tcPr>
            <w:tcW w:w="1040" w:type="dxa"/>
            <w:vAlign w:val="bottom"/>
            <w:tcBorders>
              <w:right w:val="single" w:sz="8" w:color="auto"/>
            </w:tcBorders>
            <w:vMerge w:val="continue"/>
          </w:tcPr>
          <w:p>
            <w:pPr>
              <w:spacing w:after="0"/>
              <w:rPr>
                <w:sz w:val="8"/>
                <w:szCs w:val="8"/>
                <w:color w:val="auto"/>
              </w:rPr>
            </w:pPr>
          </w:p>
        </w:tc>
        <w:tc>
          <w:tcPr>
            <w:tcW w:w="1040" w:type="dxa"/>
            <w:vAlign w:val="bottom"/>
            <w:tcBorders>
              <w:right w:val="single" w:sz="8" w:color="auto"/>
            </w:tcBorders>
            <w:vMerge w:val="continue"/>
          </w:tcPr>
          <w:p>
            <w:pPr>
              <w:spacing w:after="0"/>
              <w:rPr>
                <w:sz w:val="8"/>
                <w:szCs w:val="8"/>
                <w:color w:val="auto"/>
              </w:rPr>
            </w:pPr>
          </w:p>
        </w:tc>
        <w:tc>
          <w:tcPr>
            <w:tcW w:w="100" w:type="dxa"/>
            <w:vAlign w:val="bottom"/>
            <w:shd w:val="clear" w:color="auto" w:fill="B2B2B2"/>
          </w:tcPr>
          <w:p>
            <w:pPr>
              <w:spacing w:after="0"/>
              <w:rPr>
                <w:sz w:val="8"/>
                <w:szCs w:val="8"/>
                <w:color w:val="auto"/>
              </w:rPr>
            </w:pPr>
          </w:p>
        </w:tc>
        <w:tc>
          <w:tcPr>
            <w:tcW w:w="1060" w:type="dxa"/>
            <w:vAlign w:val="bottom"/>
            <w:tcBorders>
              <w:right w:val="single" w:sz="8" w:color="auto"/>
            </w:tcBorders>
            <w:shd w:val="clear" w:color="auto" w:fill="B2B2B2"/>
          </w:tcPr>
          <w:p>
            <w:pPr>
              <w:spacing w:after="0"/>
              <w:rPr>
                <w:sz w:val="8"/>
                <w:szCs w:val="8"/>
                <w:color w:val="auto"/>
              </w:rPr>
            </w:pPr>
          </w:p>
        </w:tc>
        <w:tc>
          <w:tcPr>
            <w:tcW w:w="1480" w:type="dxa"/>
            <w:vAlign w:val="bottom"/>
            <w:tcBorders>
              <w:right w:val="single" w:sz="8" w:color="auto"/>
            </w:tcBorders>
            <w:vMerge w:val="continue"/>
          </w:tcPr>
          <w:p>
            <w:pPr>
              <w:spacing w:after="0"/>
              <w:rPr>
                <w:sz w:val="8"/>
                <w:szCs w:val="8"/>
                <w:color w:val="auto"/>
              </w:rPr>
            </w:pP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b w:val="1"/>
                <w:bCs w:val="1"/>
                <w:color w:val="auto"/>
              </w:rPr>
              <w:t>[*CTR]</w:t>
            </w: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b w:val="1"/>
                <w:bCs w:val="1"/>
                <w:color w:val="auto"/>
              </w:rPr>
              <w:t>[*CTR]</w:t>
            </w:r>
          </w:p>
        </w:tc>
        <w:tc>
          <w:tcPr>
            <w:tcW w:w="900" w:type="dxa"/>
            <w:vAlign w:val="bottom"/>
            <w:vMerge w:val="restart"/>
          </w:tcPr>
          <w:p>
            <w:pPr>
              <w:jc w:val="center"/>
              <w:ind w:left="248"/>
              <w:spacing w:after="0"/>
              <w:rPr>
                <w:sz w:val="20"/>
                <w:szCs w:val="20"/>
                <w:color w:val="auto"/>
              </w:rPr>
            </w:pPr>
            <w:r>
              <w:rPr>
                <w:rFonts w:ascii="Arial" w:cs="Arial" w:eastAsia="Arial" w:hAnsi="Arial"/>
                <w:sz w:val="15"/>
                <w:szCs w:val="15"/>
                <w:b w:val="1"/>
                <w:bCs w:val="1"/>
                <w:color w:val="auto"/>
              </w:rPr>
              <w:t>[*CTR]</w:t>
            </w:r>
          </w:p>
        </w:tc>
        <w:tc>
          <w:tcPr>
            <w:tcW w:w="260" w:type="dxa"/>
            <w:vAlign w:val="bottom"/>
            <w:tcBorders>
              <w:right w:val="single" w:sz="8" w:color="auto"/>
            </w:tcBorders>
          </w:tcPr>
          <w:p>
            <w:pPr>
              <w:spacing w:after="0"/>
              <w:rPr>
                <w:sz w:val="8"/>
                <w:szCs w:val="8"/>
                <w:color w:val="auto"/>
              </w:rPr>
            </w:pPr>
          </w:p>
        </w:tc>
        <w:tc>
          <w:tcPr>
            <w:tcW w:w="1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b w:val="1"/>
                <w:bCs w:val="1"/>
                <w:color w:val="auto"/>
                <w:w w:val="94"/>
              </w:rPr>
              <w:t>Total</w:t>
            </w:r>
          </w:p>
        </w:tc>
        <w:tc>
          <w:tcPr>
            <w:tcW w:w="0" w:type="dxa"/>
            <w:vAlign w:val="bottom"/>
          </w:tcPr>
          <w:p>
            <w:pPr>
              <w:spacing w:after="0"/>
              <w:rPr>
                <w:sz w:val="1"/>
                <w:szCs w:val="1"/>
                <w:color w:val="auto"/>
              </w:rPr>
            </w:pPr>
          </w:p>
        </w:tc>
      </w:tr>
      <w:tr>
        <w:trPr>
          <w:trHeight w:val="85"/>
        </w:trPr>
        <w:tc>
          <w:tcPr>
            <w:tcW w:w="1160" w:type="dxa"/>
            <w:vAlign w:val="bottom"/>
            <w:tcBorders>
              <w:left w:val="single" w:sz="8" w:color="auto"/>
              <w:right w:val="single" w:sz="8" w:color="auto"/>
            </w:tcBorders>
          </w:tcPr>
          <w:p>
            <w:pPr>
              <w:spacing w:after="0"/>
              <w:rPr>
                <w:sz w:val="7"/>
                <w:szCs w:val="7"/>
                <w:color w:val="auto"/>
              </w:rPr>
            </w:pPr>
          </w:p>
        </w:tc>
        <w:tc>
          <w:tcPr>
            <w:tcW w:w="1040" w:type="dxa"/>
            <w:vAlign w:val="bottom"/>
            <w:tcBorders>
              <w:right w:val="single" w:sz="8" w:color="auto"/>
            </w:tcBorders>
          </w:tcPr>
          <w:p>
            <w:pPr>
              <w:spacing w:after="0"/>
              <w:rPr>
                <w:sz w:val="7"/>
                <w:szCs w:val="7"/>
                <w:color w:val="auto"/>
              </w:rPr>
            </w:pPr>
          </w:p>
        </w:tc>
        <w:tc>
          <w:tcPr>
            <w:tcW w:w="1040" w:type="dxa"/>
            <w:vAlign w:val="bottom"/>
            <w:tcBorders>
              <w:right w:val="single" w:sz="8" w:color="auto"/>
            </w:tcBorders>
          </w:tcPr>
          <w:p>
            <w:pPr>
              <w:spacing w:after="0"/>
              <w:rPr>
                <w:sz w:val="7"/>
                <w:szCs w:val="7"/>
                <w:color w:val="auto"/>
              </w:rPr>
            </w:pPr>
          </w:p>
        </w:tc>
        <w:tc>
          <w:tcPr>
            <w:tcW w:w="1040" w:type="dxa"/>
            <w:vAlign w:val="bottom"/>
            <w:tcBorders>
              <w:right w:val="single" w:sz="8" w:color="auto"/>
            </w:tcBorders>
          </w:tcPr>
          <w:p>
            <w:pPr>
              <w:spacing w:after="0"/>
              <w:rPr>
                <w:sz w:val="7"/>
                <w:szCs w:val="7"/>
                <w:color w:val="auto"/>
              </w:rPr>
            </w:pPr>
          </w:p>
        </w:tc>
        <w:tc>
          <w:tcPr>
            <w:tcW w:w="100" w:type="dxa"/>
            <w:vAlign w:val="bottom"/>
            <w:shd w:val="clear" w:color="auto" w:fill="B2B2B2"/>
          </w:tcPr>
          <w:p>
            <w:pPr>
              <w:spacing w:after="0"/>
              <w:rPr>
                <w:sz w:val="7"/>
                <w:szCs w:val="7"/>
                <w:color w:val="auto"/>
              </w:rPr>
            </w:pPr>
          </w:p>
        </w:tc>
        <w:tc>
          <w:tcPr>
            <w:tcW w:w="1060" w:type="dxa"/>
            <w:vAlign w:val="bottom"/>
            <w:tcBorders>
              <w:right w:val="single" w:sz="8" w:color="auto"/>
            </w:tcBorders>
            <w:shd w:val="clear" w:color="auto" w:fill="B2B2B2"/>
          </w:tcPr>
          <w:p>
            <w:pPr>
              <w:spacing w:after="0"/>
              <w:rPr>
                <w:sz w:val="7"/>
                <w:szCs w:val="7"/>
                <w:color w:val="auto"/>
              </w:rPr>
            </w:pPr>
          </w:p>
        </w:tc>
        <w:tc>
          <w:tcPr>
            <w:tcW w:w="1480" w:type="dxa"/>
            <w:vAlign w:val="bottom"/>
            <w:tcBorders>
              <w:right w:val="single" w:sz="8" w:color="auto"/>
            </w:tcBorders>
          </w:tcPr>
          <w:p>
            <w:pPr>
              <w:spacing w:after="0"/>
              <w:rPr>
                <w:sz w:val="7"/>
                <w:szCs w:val="7"/>
                <w:color w:val="auto"/>
              </w:rPr>
            </w:pPr>
          </w:p>
        </w:tc>
        <w:tc>
          <w:tcPr>
            <w:tcW w:w="1160" w:type="dxa"/>
            <w:vAlign w:val="bottom"/>
            <w:tcBorders>
              <w:right w:val="single" w:sz="8" w:color="auto"/>
            </w:tcBorders>
            <w:vMerge w:val="continue"/>
          </w:tcPr>
          <w:p>
            <w:pPr>
              <w:spacing w:after="0"/>
              <w:rPr>
                <w:sz w:val="7"/>
                <w:szCs w:val="7"/>
                <w:color w:val="auto"/>
              </w:rPr>
            </w:pPr>
          </w:p>
        </w:tc>
        <w:tc>
          <w:tcPr>
            <w:tcW w:w="1160" w:type="dxa"/>
            <w:vAlign w:val="bottom"/>
            <w:tcBorders>
              <w:right w:val="single" w:sz="8" w:color="auto"/>
            </w:tcBorders>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260" w:type="dxa"/>
            <w:vAlign w:val="bottom"/>
            <w:tcBorders>
              <w:right w:val="single" w:sz="8" w:color="auto"/>
            </w:tcBorders>
          </w:tcPr>
          <w:p>
            <w:pPr>
              <w:spacing w:after="0"/>
              <w:rPr>
                <w:sz w:val="7"/>
                <w:szCs w:val="7"/>
                <w:color w:val="auto"/>
              </w:rPr>
            </w:pPr>
          </w:p>
        </w:tc>
        <w:tc>
          <w:tcPr>
            <w:tcW w:w="10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1160" w:type="dxa"/>
            <w:vAlign w:val="bottom"/>
            <w:tcBorders>
              <w:left w:val="single" w:sz="8" w:color="auto"/>
              <w:right w:val="single" w:sz="8" w:color="auto"/>
            </w:tcBorders>
          </w:tcPr>
          <w:p>
            <w:pPr>
              <w:ind w:left="380"/>
              <w:spacing w:after="0"/>
              <w:rPr>
                <w:sz w:val="20"/>
                <w:szCs w:val="20"/>
                <w:color w:val="auto"/>
              </w:rPr>
            </w:pPr>
            <w:r>
              <w:rPr>
                <w:rFonts w:ascii="Arial" w:cs="Arial" w:eastAsia="Arial" w:hAnsi="Arial"/>
                <w:sz w:val="15"/>
                <w:szCs w:val="15"/>
                <w:b w:val="1"/>
                <w:bCs w:val="1"/>
                <w:color w:val="auto"/>
              </w:rPr>
              <w:t>Delivery</w:t>
            </w:r>
          </w:p>
        </w:tc>
        <w:tc>
          <w:tcPr>
            <w:tcW w:w="1040" w:type="dxa"/>
            <w:vAlign w:val="bottom"/>
            <w:tcBorders>
              <w:right w:val="single" w:sz="8" w:color="auto"/>
            </w:tcBorders>
          </w:tcPr>
          <w:p>
            <w:pPr>
              <w:jc w:val="right"/>
              <w:ind w:right="87"/>
              <w:spacing w:after="0"/>
              <w:rPr>
                <w:sz w:val="20"/>
                <w:szCs w:val="20"/>
                <w:color w:val="auto"/>
              </w:rPr>
            </w:pPr>
            <w:r>
              <w:rPr>
                <w:rFonts w:ascii="Arial" w:cs="Arial" w:eastAsia="Arial" w:hAnsi="Arial"/>
                <w:sz w:val="15"/>
                <w:szCs w:val="15"/>
                <w:b w:val="1"/>
                <w:bCs w:val="1"/>
                <w:color w:val="auto"/>
              </w:rPr>
              <w:t>Number of</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w w:val="95"/>
              </w:rPr>
              <w:t>Factor</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w w:val="95"/>
              </w:rPr>
              <w:t>Factor</w:t>
            </w:r>
          </w:p>
        </w:tc>
        <w:tc>
          <w:tcPr>
            <w:tcW w:w="100" w:type="dxa"/>
            <w:vAlign w:val="bottom"/>
            <w:shd w:val="clear" w:color="auto" w:fill="B2B2B2"/>
          </w:tcPr>
          <w:p>
            <w:pPr>
              <w:spacing w:after="0"/>
              <w:rPr>
                <w:sz w:val="17"/>
                <w:szCs w:val="17"/>
                <w:color w:val="auto"/>
              </w:rPr>
            </w:pPr>
          </w:p>
        </w:tc>
        <w:tc>
          <w:tcPr>
            <w:tcW w:w="1060" w:type="dxa"/>
            <w:vAlign w:val="bottom"/>
            <w:tcBorders>
              <w:right w:val="single" w:sz="8" w:color="auto"/>
            </w:tcBorders>
            <w:shd w:val="clear" w:color="auto" w:fill="B2B2B2"/>
          </w:tcPr>
          <w:p>
            <w:pPr>
              <w:ind w:left="20"/>
              <w:spacing w:after="0"/>
              <w:rPr>
                <w:sz w:val="20"/>
                <w:szCs w:val="20"/>
                <w:color w:val="auto"/>
              </w:rPr>
            </w:pPr>
            <w:r>
              <w:rPr>
                <w:rFonts w:ascii="Arial" w:cs="Arial" w:eastAsia="Arial" w:hAnsi="Arial"/>
                <w:sz w:val="15"/>
                <w:szCs w:val="15"/>
                <w:b w:val="1"/>
                <w:bCs w:val="1"/>
                <w:color w:val="auto"/>
              </w:rPr>
              <w:t>Manufacturer</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w w:val="90"/>
              </w:rPr>
              <w:t>Adv Payment Base</w:t>
            </w:r>
          </w:p>
        </w:tc>
        <w:tc>
          <w:tcPr>
            <w:tcW w:w="1160" w:type="dxa"/>
            <w:vAlign w:val="bottom"/>
            <w:tcBorders>
              <w:right w:val="single" w:sz="8" w:color="auto"/>
            </w:tcBorders>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78"/>
        </w:trPr>
        <w:tc>
          <w:tcPr>
            <w:tcW w:w="1160" w:type="dxa"/>
            <w:vAlign w:val="bottom"/>
            <w:tcBorders>
              <w:left w:val="single" w:sz="8" w:color="auto"/>
              <w:bottom w:val="single" w:sz="8" w:color="auto"/>
              <w:right w:val="single" w:sz="8" w:color="auto"/>
            </w:tcBorders>
          </w:tcPr>
          <w:p>
            <w:pPr>
              <w:ind w:left="500"/>
              <w:spacing w:after="0"/>
              <w:rPr>
                <w:sz w:val="20"/>
                <w:szCs w:val="20"/>
                <w:color w:val="auto"/>
              </w:rPr>
            </w:pPr>
            <w:r>
              <w:rPr>
                <w:rFonts w:ascii="Arial" w:cs="Arial" w:eastAsia="Arial" w:hAnsi="Arial"/>
                <w:sz w:val="15"/>
                <w:szCs w:val="15"/>
                <w:b w:val="1"/>
                <w:bCs w:val="1"/>
                <w:color w:val="auto"/>
              </w:rPr>
              <w:t>Date</w:t>
            </w:r>
          </w:p>
        </w:tc>
        <w:tc>
          <w:tcPr>
            <w:tcW w:w="1040" w:type="dxa"/>
            <w:vAlign w:val="bottom"/>
            <w:tcBorders>
              <w:bottom w:val="single" w:sz="8" w:color="auto"/>
              <w:right w:val="single" w:sz="8" w:color="auto"/>
            </w:tcBorders>
          </w:tcPr>
          <w:p>
            <w:pPr>
              <w:jc w:val="right"/>
              <w:ind w:right="187"/>
              <w:spacing w:after="0"/>
              <w:rPr>
                <w:sz w:val="20"/>
                <w:szCs w:val="20"/>
                <w:color w:val="auto"/>
              </w:rPr>
            </w:pPr>
            <w:r>
              <w:rPr>
                <w:rFonts w:ascii="Arial" w:cs="Arial" w:eastAsia="Arial" w:hAnsi="Arial"/>
                <w:sz w:val="15"/>
                <w:szCs w:val="15"/>
                <w:b w:val="1"/>
                <w:bCs w:val="1"/>
                <w:color w:val="auto"/>
              </w:rPr>
              <w:t>Aircraft</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rPr>
              <w:t>(Airframe)</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w w:val="93"/>
              </w:rPr>
              <w:t>(Engine)</w:t>
            </w:r>
          </w:p>
        </w:tc>
        <w:tc>
          <w:tcPr>
            <w:tcW w:w="100" w:type="dxa"/>
            <w:vAlign w:val="bottom"/>
            <w:tcBorders>
              <w:bottom w:val="single" w:sz="8" w:color="auto"/>
            </w:tcBorders>
            <w:shd w:val="clear" w:color="auto" w:fill="B2B2B2"/>
          </w:tcPr>
          <w:p>
            <w:pPr>
              <w:spacing w:after="0"/>
              <w:rPr>
                <w:sz w:val="24"/>
                <w:szCs w:val="24"/>
                <w:color w:val="auto"/>
              </w:rPr>
            </w:pPr>
          </w:p>
        </w:tc>
        <w:tc>
          <w:tcPr>
            <w:tcW w:w="1060" w:type="dxa"/>
            <w:vAlign w:val="bottom"/>
            <w:tcBorders>
              <w:bottom w:val="single" w:sz="8" w:color="auto"/>
              <w:right w:val="single" w:sz="8" w:color="auto"/>
            </w:tcBorders>
            <w:shd w:val="clear" w:color="auto" w:fill="B2B2B2"/>
          </w:tcPr>
          <w:p>
            <w:pPr>
              <w:spacing w:after="0"/>
              <w:rPr>
                <w:sz w:val="20"/>
                <w:szCs w:val="20"/>
                <w:color w:val="auto"/>
              </w:rPr>
            </w:pPr>
            <w:r>
              <w:rPr>
                <w:rFonts w:ascii="Arial" w:cs="Arial" w:eastAsia="Arial" w:hAnsi="Arial"/>
                <w:sz w:val="15"/>
                <w:szCs w:val="15"/>
                <w:b w:val="1"/>
                <w:bCs w:val="1"/>
                <w:color w:val="auto"/>
              </w:rPr>
              <w:t>Serial Number</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w w:val="93"/>
              </w:rPr>
              <w:t>Price Per A/P</w:t>
            </w:r>
          </w:p>
        </w:tc>
        <w:tc>
          <w:tcPr>
            <w:tcW w:w="116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rPr>
              <w:t>[*CTR]</w:t>
            </w:r>
          </w:p>
        </w:tc>
        <w:tc>
          <w:tcPr>
            <w:tcW w:w="0" w:type="dxa"/>
            <w:vAlign w:val="bottom"/>
          </w:tcPr>
          <w:p>
            <w:pPr>
              <w:spacing w:after="0"/>
              <w:rPr>
                <w:sz w:val="1"/>
                <w:szCs w:val="1"/>
                <w:color w:val="auto"/>
              </w:rPr>
            </w:pPr>
          </w:p>
        </w:tc>
      </w:tr>
      <w:tr>
        <w:trPr>
          <w:trHeight w:val="142"/>
        </w:trPr>
        <w:tc>
          <w:tcPr>
            <w:tcW w:w="1160" w:type="dxa"/>
            <w:vAlign w:val="bottom"/>
            <w:tcBorders>
              <w:left w:val="single" w:sz="8" w:color="auto"/>
              <w:bottom w:val="single" w:sz="8" w:color="auto"/>
              <w:right w:val="single" w:sz="8" w:color="auto"/>
            </w:tcBorders>
          </w:tcPr>
          <w:p>
            <w:pPr>
              <w:ind w:left="220"/>
              <w:spacing w:after="0" w:line="142" w:lineRule="exact"/>
              <w:rPr>
                <w:sz w:val="20"/>
                <w:szCs w:val="20"/>
                <w:color w:val="auto"/>
              </w:rPr>
            </w:pPr>
            <w:r>
              <w:rPr>
                <w:rFonts w:ascii="Arial" w:cs="Arial" w:eastAsia="Arial" w:hAnsi="Arial"/>
                <w:sz w:val="14"/>
                <w:szCs w:val="14"/>
                <w:color w:val="auto"/>
              </w:rPr>
              <w:t>[*CTR]-2017</w:t>
            </w:r>
          </w:p>
        </w:tc>
        <w:tc>
          <w:tcPr>
            <w:tcW w:w="1040" w:type="dxa"/>
            <w:vAlign w:val="bottom"/>
            <w:tcBorders>
              <w:bottom w:val="single" w:sz="8" w:color="auto"/>
              <w:right w:val="single" w:sz="8" w:color="auto"/>
            </w:tcBorders>
          </w:tcPr>
          <w:p>
            <w:pPr>
              <w:jc w:val="right"/>
              <w:ind w:right="367"/>
              <w:spacing w:after="0" w:line="142" w:lineRule="exact"/>
              <w:rPr>
                <w:sz w:val="20"/>
                <w:szCs w:val="20"/>
                <w:color w:val="auto"/>
              </w:rPr>
            </w:pPr>
            <w:r>
              <w:rPr>
                <w:rFonts w:ascii="Arial" w:cs="Arial" w:eastAsia="Arial" w:hAnsi="Arial"/>
                <w:sz w:val="14"/>
                <w:szCs w:val="14"/>
                <w:color w:val="auto"/>
              </w:rPr>
              <w:t>1</w:t>
            </w:r>
          </w:p>
        </w:tc>
        <w:tc>
          <w:tcPr>
            <w:tcW w:w="1040" w:type="dxa"/>
            <w:vAlign w:val="bottom"/>
            <w:tcBorders>
              <w:bottom w:val="single" w:sz="8" w:color="auto"/>
              <w:right w:val="single" w:sz="8" w:color="auto"/>
            </w:tcBorders>
          </w:tcPr>
          <w:p>
            <w:pPr>
              <w:ind w:left="340"/>
              <w:spacing w:after="0" w:line="142" w:lineRule="exact"/>
              <w:rPr>
                <w:sz w:val="20"/>
                <w:szCs w:val="20"/>
                <w:color w:val="auto"/>
              </w:rPr>
            </w:pPr>
            <w:r>
              <w:rPr>
                <w:rFonts w:ascii="Arial" w:cs="Arial" w:eastAsia="Arial" w:hAnsi="Arial"/>
                <w:sz w:val="14"/>
                <w:szCs w:val="14"/>
                <w:color w:val="auto"/>
              </w:rPr>
              <w:t>[*CTR]</w:t>
            </w:r>
          </w:p>
        </w:tc>
        <w:tc>
          <w:tcPr>
            <w:tcW w:w="1040" w:type="dxa"/>
            <w:vAlign w:val="bottom"/>
            <w:tcBorders>
              <w:bottom w:val="single" w:sz="8" w:color="auto"/>
              <w:right w:val="single" w:sz="8" w:color="auto"/>
            </w:tcBorders>
          </w:tcPr>
          <w:p>
            <w:pPr>
              <w:ind w:left="340"/>
              <w:spacing w:after="0" w:line="142" w:lineRule="exact"/>
              <w:rPr>
                <w:sz w:val="20"/>
                <w:szCs w:val="20"/>
                <w:color w:val="auto"/>
              </w:rPr>
            </w:pPr>
            <w:r>
              <w:rPr>
                <w:rFonts w:ascii="Arial" w:cs="Arial" w:eastAsia="Arial" w:hAnsi="Arial"/>
                <w:sz w:val="14"/>
                <w:szCs w:val="14"/>
                <w:color w:val="auto"/>
              </w:rPr>
              <w:t>[*CTR]</w:t>
            </w:r>
          </w:p>
        </w:tc>
        <w:tc>
          <w:tcPr>
            <w:tcW w:w="100" w:type="dxa"/>
            <w:vAlign w:val="bottom"/>
            <w:tcBorders>
              <w:bottom w:val="single" w:sz="8" w:color="auto"/>
            </w:tcBorders>
            <w:shd w:val="clear" w:color="auto" w:fill="B2B2B2"/>
          </w:tcPr>
          <w:p>
            <w:pPr>
              <w:spacing w:after="0"/>
              <w:rPr>
                <w:sz w:val="12"/>
                <w:szCs w:val="12"/>
                <w:color w:val="auto"/>
              </w:rPr>
            </w:pPr>
          </w:p>
        </w:tc>
        <w:tc>
          <w:tcPr>
            <w:tcW w:w="1060" w:type="dxa"/>
            <w:vAlign w:val="bottom"/>
            <w:tcBorders>
              <w:bottom w:val="single" w:sz="8" w:color="auto"/>
              <w:right w:val="single" w:sz="8" w:color="auto"/>
            </w:tcBorders>
            <w:shd w:val="clear" w:color="auto" w:fill="B2B2B2"/>
          </w:tcPr>
          <w:p>
            <w:pPr>
              <w:ind w:left="280"/>
              <w:spacing w:after="0" w:line="142" w:lineRule="exact"/>
              <w:rPr>
                <w:sz w:val="20"/>
                <w:szCs w:val="20"/>
                <w:color w:val="auto"/>
              </w:rPr>
            </w:pPr>
            <w:r>
              <w:rPr>
                <w:rFonts w:ascii="Arial" w:cs="Arial" w:eastAsia="Arial" w:hAnsi="Arial"/>
                <w:sz w:val="14"/>
                <w:szCs w:val="14"/>
                <w:color w:val="auto"/>
              </w:rPr>
              <w:t>[*CTR]</w:t>
            </w:r>
          </w:p>
        </w:tc>
        <w:tc>
          <w:tcPr>
            <w:tcW w:w="1480" w:type="dxa"/>
            <w:vAlign w:val="bottom"/>
            <w:tcBorders>
              <w:bottom w:val="single" w:sz="8" w:color="auto"/>
              <w:right w:val="single" w:sz="8" w:color="auto"/>
            </w:tcBorders>
          </w:tcPr>
          <w:p>
            <w:pPr>
              <w:ind w:left="540"/>
              <w:spacing w:after="0" w:line="142" w:lineRule="exact"/>
              <w:rPr>
                <w:sz w:val="20"/>
                <w:szCs w:val="20"/>
                <w:color w:val="auto"/>
              </w:rPr>
            </w:pPr>
            <w:r>
              <w:rPr>
                <w:rFonts w:ascii="Arial" w:cs="Arial" w:eastAsia="Arial" w:hAnsi="Arial"/>
                <w:sz w:val="14"/>
                <w:szCs w:val="14"/>
                <w:color w:val="auto"/>
              </w:rPr>
              <w:t>[*CTR]</w:t>
            </w:r>
          </w:p>
        </w:tc>
        <w:tc>
          <w:tcPr>
            <w:tcW w:w="11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rPr>
              <w:t>[*CTR]</w:t>
            </w:r>
          </w:p>
        </w:tc>
        <w:tc>
          <w:tcPr>
            <w:tcW w:w="11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rPr>
              <w:t>[*CTR]</w:t>
            </w:r>
          </w:p>
        </w:tc>
        <w:tc>
          <w:tcPr>
            <w:tcW w:w="900" w:type="dxa"/>
            <w:vAlign w:val="bottom"/>
            <w:tcBorders>
              <w:bottom w:val="single" w:sz="8" w:color="auto"/>
            </w:tcBorders>
          </w:tcPr>
          <w:p>
            <w:pPr>
              <w:jc w:val="center"/>
              <w:ind w:left="248"/>
              <w:spacing w:after="0" w:line="142" w:lineRule="exact"/>
              <w:rPr>
                <w:sz w:val="20"/>
                <w:szCs w:val="20"/>
                <w:color w:val="auto"/>
              </w:rPr>
            </w:pPr>
            <w:r>
              <w:rPr>
                <w:rFonts w:ascii="Arial" w:cs="Arial" w:eastAsia="Arial" w:hAnsi="Arial"/>
                <w:sz w:val="14"/>
                <w:szCs w:val="14"/>
                <w:color w:val="auto"/>
              </w:rPr>
              <w:t>[*CTR]</w:t>
            </w:r>
          </w:p>
        </w:tc>
        <w:tc>
          <w:tcPr>
            <w:tcW w:w="260" w:type="dxa"/>
            <w:vAlign w:val="bottom"/>
            <w:tcBorders>
              <w:bottom w:val="single" w:sz="8" w:color="auto"/>
              <w:right w:val="single" w:sz="8" w:color="auto"/>
            </w:tcBorders>
          </w:tcPr>
          <w:p>
            <w:pPr>
              <w:spacing w:after="0"/>
              <w:rPr>
                <w:sz w:val="12"/>
                <w:szCs w:val="12"/>
                <w:color w:val="auto"/>
              </w:rPr>
            </w:pPr>
          </w:p>
        </w:tc>
        <w:tc>
          <w:tcPr>
            <w:tcW w:w="10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rPr>
              <w:t>[*CTR]</w:t>
            </w:r>
          </w:p>
        </w:tc>
        <w:tc>
          <w:tcPr>
            <w:tcW w:w="0" w:type="dxa"/>
            <w:vAlign w:val="bottom"/>
          </w:tcPr>
          <w:p>
            <w:pPr>
              <w:spacing w:after="0"/>
              <w:rPr>
                <w:sz w:val="1"/>
                <w:szCs w:val="1"/>
                <w:color w:val="auto"/>
              </w:rPr>
            </w:pPr>
          </w:p>
        </w:tc>
      </w:tr>
      <w:tr>
        <w:trPr>
          <w:trHeight w:val="142"/>
        </w:trPr>
        <w:tc>
          <w:tcPr>
            <w:tcW w:w="1160" w:type="dxa"/>
            <w:vAlign w:val="bottom"/>
            <w:tcBorders>
              <w:left w:val="single" w:sz="8" w:color="auto"/>
              <w:bottom w:val="single" w:sz="8" w:color="auto"/>
              <w:right w:val="single" w:sz="8" w:color="auto"/>
            </w:tcBorders>
          </w:tcPr>
          <w:p>
            <w:pPr>
              <w:ind w:left="220"/>
              <w:spacing w:after="0" w:line="142" w:lineRule="exact"/>
              <w:rPr>
                <w:sz w:val="20"/>
                <w:szCs w:val="20"/>
                <w:color w:val="auto"/>
              </w:rPr>
            </w:pPr>
            <w:r>
              <w:rPr>
                <w:rFonts w:ascii="Arial" w:cs="Arial" w:eastAsia="Arial" w:hAnsi="Arial"/>
                <w:sz w:val="14"/>
                <w:szCs w:val="14"/>
                <w:color w:val="auto"/>
              </w:rPr>
              <w:t>[*CTR]-2018</w:t>
            </w:r>
          </w:p>
        </w:tc>
        <w:tc>
          <w:tcPr>
            <w:tcW w:w="1040" w:type="dxa"/>
            <w:vAlign w:val="bottom"/>
            <w:tcBorders>
              <w:bottom w:val="single" w:sz="8" w:color="auto"/>
              <w:right w:val="single" w:sz="8" w:color="auto"/>
            </w:tcBorders>
          </w:tcPr>
          <w:p>
            <w:pPr>
              <w:jc w:val="right"/>
              <w:ind w:right="367"/>
              <w:spacing w:after="0" w:line="142" w:lineRule="exact"/>
              <w:rPr>
                <w:sz w:val="20"/>
                <w:szCs w:val="20"/>
                <w:color w:val="auto"/>
              </w:rPr>
            </w:pPr>
            <w:r>
              <w:rPr>
                <w:rFonts w:ascii="Arial" w:cs="Arial" w:eastAsia="Arial" w:hAnsi="Arial"/>
                <w:sz w:val="14"/>
                <w:szCs w:val="14"/>
                <w:color w:val="auto"/>
              </w:rPr>
              <w:t>1</w:t>
            </w:r>
          </w:p>
        </w:tc>
        <w:tc>
          <w:tcPr>
            <w:tcW w:w="1040" w:type="dxa"/>
            <w:vAlign w:val="bottom"/>
            <w:tcBorders>
              <w:bottom w:val="single" w:sz="8" w:color="auto"/>
              <w:right w:val="single" w:sz="8" w:color="auto"/>
            </w:tcBorders>
          </w:tcPr>
          <w:p>
            <w:pPr>
              <w:ind w:left="340"/>
              <w:spacing w:after="0" w:line="142" w:lineRule="exact"/>
              <w:rPr>
                <w:sz w:val="20"/>
                <w:szCs w:val="20"/>
                <w:color w:val="auto"/>
              </w:rPr>
            </w:pPr>
            <w:r>
              <w:rPr>
                <w:rFonts w:ascii="Arial" w:cs="Arial" w:eastAsia="Arial" w:hAnsi="Arial"/>
                <w:sz w:val="14"/>
                <w:szCs w:val="14"/>
                <w:color w:val="auto"/>
              </w:rPr>
              <w:t>[*CTR]</w:t>
            </w:r>
          </w:p>
        </w:tc>
        <w:tc>
          <w:tcPr>
            <w:tcW w:w="1040" w:type="dxa"/>
            <w:vAlign w:val="bottom"/>
            <w:tcBorders>
              <w:bottom w:val="single" w:sz="8" w:color="auto"/>
              <w:right w:val="single" w:sz="8" w:color="auto"/>
            </w:tcBorders>
          </w:tcPr>
          <w:p>
            <w:pPr>
              <w:ind w:left="340"/>
              <w:spacing w:after="0" w:line="142" w:lineRule="exact"/>
              <w:rPr>
                <w:sz w:val="20"/>
                <w:szCs w:val="20"/>
                <w:color w:val="auto"/>
              </w:rPr>
            </w:pPr>
            <w:r>
              <w:rPr>
                <w:rFonts w:ascii="Arial" w:cs="Arial" w:eastAsia="Arial" w:hAnsi="Arial"/>
                <w:sz w:val="14"/>
                <w:szCs w:val="14"/>
                <w:color w:val="auto"/>
              </w:rPr>
              <w:t>[*CTR]</w:t>
            </w:r>
          </w:p>
        </w:tc>
        <w:tc>
          <w:tcPr>
            <w:tcW w:w="100" w:type="dxa"/>
            <w:vAlign w:val="bottom"/>
            <w:tcBorders>
              <w:bottom w:val="single" w:sz="8" w:color="auto"/>
            </w:tcBorders>
            <w:shd w:val="clear" w:color="auto" w:fill="B2B2B2"/>
          </w:tcPr>
          <w:p>
            <w:pPr>
              <w:spacing w:after="0"/>
              <w:rPr>
                <w:sz w:val="12"/>
                <w:szCs w:val="12"/>
                <w:color w:val="auto"/>
              </w:rPr>
            </w:pPr>
          </w:p>
        </w:tc>
        <w:tc>
          <w:tcPr>
            <w:tcW w:w="1060" w:type="dxa"/>
            <w:vAlign w:val="bottom"/>
            <w:tcBorders>
              <w:bottom w:val="single" w:sz="8" w:color="auto"/>
              <w:right w:val="single" w:sz="8" w:color="auto"/>
            </w:tcBorders>
            <w:shd w:val="clear" w:color="auto" w:fill="B2B2B2"/>
          </w:tcPr>
          <w:p>
            <w:pPr>
              <w:ind w:left="280"/>
              <w:spacing w:after="0" w:line="142" w:lineRule="exact"/>
              <w:rPr>
                <w:sz w:val="20"/>
                <w:szCs w:val="20"/>
                <w:color w:val="auto"/>
              </w:rPr>
            </w:pPr>
            <w:r>
              <w:rPr>
                <w:rFonts w:ascii="Arial" w:cs="Arial" w:eastAsia="Arial" w:hAnsi="Arial"/>
                <w:sz w:val="14"/>
                <w:szCs w:val="14"/>
                <w:color w:val="auto"/>
              </w:rPr>
              <w:t>[*CTR]</w:t>
            </w:r>
          </w:p>
        </w:tc>
        <w:tc>
          <w:tcPr>
            <w:tcW w:w="1480" w:type="dxa"/>
            <w:vAlign w:val="bottom"/>
            <w:tcBorders>
              <w:bottom w:val="single" w:sz="8" w:color="auto"/>
              <w:right w:val="single" w:sz="8" w:color="auto"/>
            </w:tcBorders>
          </w:tcPr>
          <w:p>
            <w:pPr>
              <w:ind w:left="540"/>
              <w:spacing w:after="0" w:line="142" w:lineRule="exact"/>
              <w:rPr>
                <w:sz w:val="20"/>
                <w:szCs w:val="20"/>
                <w:color w:val="auto"/>
              </w:rPr>
            </w:pPr>
            <w:r>
              <w:rPr>
                <w:rFonts w:ascii="Arial" w:cs="Arial" w:eastAsia="Arial" w:hAnsi="Arial"/>
                <w:sz w:val="14"/>
                <w:szCs w:val="14"/>
                <w:color w:val="auto"/>
              </w:rPr>
              <w:t>[*CTR]</w:t>
            </w:r>
          </w:p>
        </w:tc>
        <w:tc>
          <w:tcPr>
            <w:tcW w:w="11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rPr>
              <w:t>[*CTR]</w:t>
            </w:r>
          </w:p>
        </w:tc>
        <w:tc>
          <w:tcPr>
            <w:tcW w:w="11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rPr>
              <w:t>[*CTR]</w:t>
            </w:r>
          </w:p>
        </w:tc>
        <w:tc>
          <w:tcPr>
            <w:tcW w:w="900" w:type="dxa"/>
            <w:vAlign w:val="bottom"/>
            <w:tcBorders>
              <w:bottom w:val="single" w:sz="8" w:color="auto"/>
            </w:tcBorders>
          </w:tcPr>
          <w:p>
            <w:pPr>
              <w:jc w:val="center"/>
              <w:ind w:left="248"/>
              <w:spacing w:after="0" w:line="142" w:lineRule="exact"/>
              <w:rPr>
                <w:sz w:val="20"/>
                <w:szCs w:val="20"/>
                <w:color w:val="auto"/>
              </w:rPr>
            </w:pPr>
            <w:r>
              <w:rPr>
                <w:rFonts w:ascii="Arial" w:cs="Arial" w:eastAsia="Arial" w:hAnsi="Arial"/>
                <w:sz w:val="14"/>
                <w:szCs w:val="14"/>
                <w:color w:val="auto"/>
              </w:rPr>
              <w:t>[*CTR]</w:t>
            </w:r>
          </w:p>
        </w:tc>
        <w:tc>
          <w:tcPr>
            <w:tcW w:w="260" w:type="dxa"/>
            <w:vAlign w:val="bottom"/>
            <w:tcBorders>
              <w:bottom w:val="single" w:sz="8" w:color="auto"/>
              <w:right w:val="single" w:sz="8" w:color="auto"/>
            </w:tcBorders>
          </w:tcPr>
          <w:p>
            <w:pPr>
              <w:spacing w:after="0"/>
              <w:rPr>
                <w:sz w:val="12"/>
                <w:szCs w:val="12"/>
                <w:color w:val="auto"/>
              </w:rPr>
            </w:pPr>
          </w:p>
        </w:tc>
        <w:tc>
          <w:tcPr>
            <w:tcW w:w="10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rPr>
              <w:t>[*CTR]</w:t>
            </w:r>
          </w:p>
        </w:tc>
        <w:tc>
          <w:tcPr>
            <w:tcW w:w="0" w:type="dxa"/>
            <w:vAlign w:val="bottom"/>
          </w:tcPr>
          <w:p>
            <w:pPr>
              <w:spacing w:after="0"/>
              <w:rPr>
                <w:sz w:val="1"/>
                <w:szCs w:val="1"/>
                <w:color w:val="auto"/>
              </w:rPr>
            </w:pPr>
          </w:p>
        </w:tc>
      </w:tr>
      <w:tr>
        <w:trPr>
          <w:trHeight w:val="142"/>
        </w:trPr>
        <w:tc>
          <w:tcPr>
            <w:tcW w:w="1160" w:type="dxa"/>
            <w:vAlign w:val="bottom"/>
            <w:tcBorders>
              <w:left w:val="single" w:sz="8" w:color="auto"/>
              <w:bottom w:val="single" w:sz="8" w:color="auto"/>
              <w:right w:val="single" w:sz="8" w:color="auto"/>
            </w:tcBorders>
          </w:tcPr>
          <w:p>
            <w:pPr>
              <w:ind w:left="220"/>
              <w:spacing w:after="0" w:line="142" w:lineRule="exact"/>
              <w:rPr>
                <w:sz w:val="20"/>
                <w:szCs w:val="20"/>
                <w:color w:val="auto"/>
              </w:rPr>
            </w:pPr>
            <w:r>
              <w:rPr>
                <w:rFonts w:ascii="Arial" w:cs="Arial" w:eastAsia="Arial" w:hAnsi="Arial"/>
                <w:sz w:val="14"/>
                <w:szCs w:val="14"/>
                <w:color w:val="auto"/>
              </w:rPr>
              <w:t>[*CTR]-2018</w:t>
            </w:r>
          </w:p>
        </w:tc>
        <w:tc>
          <w:tcPr>
            <w:tcW w:w="1040" w:type="dxa"/>
            <w:vAlign w:val="bottom"/>
            <w:tcBorders>
              <w:bottom w:val="single" w:sz="8" w:color="auto"/>
              <w:right w:val="single" w:sz="8" w:color="auto"/>
            </w:tcBorders>
          </w:tcPr>
          <w:p>
            <w:pPr>
              <w:jc w:val="right"/>
              <w:ind w:right="367"/>
              <w:spacing w:after="0" w:line="142" w:lineRule="exact"/>
              <w:rPr>
                <w:sz w:val="20"/>
                <w:szCs w:val="20"/>
                <w:color w:val="auto"/>
              </w:rPr>
            </w:pPr>
            <w:r>
              <w:rPr>
                <w:rFonts w:ascii="Arial" w:cs="Arial" w:eastAsia="Arial" w:hAnsi="Arial"/>
                <w:sz w:val="14"/>
                <w:szCs w:val="14"/>
                <w:color w:val="auto"/>
              </w:rPr>
              <w:t>1</w:t>
            </w:r>
          </w:p>
        </w:tc>
        <w:tc>
          <w:tcPr>
            <w:tcW w:w="1040" w:type="dxa"/>
            <w:vAlign w:val="bottom"/>
            <w:tcBorders>
              <w:bottom w:val="single" w:sz="8" w:color="auto"/>
              <w:right w:val="single" w:sz="8" w:color="auto"/>
            </w:tcBorders>
          </w:tcPr>
          <w:p>
            <w:pPr>
              <w:ind w:left="340"/>
              <w:spacing w:after="0" w:line="142" w:lineRule="exact"/>
              <w:rPr>
                <w:sz w:val="20"/>
                <w:szCs w:val="20"/>
                <w:color w:val="auto"/>
              </w:rPr>
            </w:pPr>
            <w:r>
              <w:rPr>
                <w:rFonts w:ascii="Arial" w:cs="Arial" w:eastAsia="Arial" w:hAnsi="Arial"/>
                <w:sz w:val="14"/>
                <w:szCs w:val="14"/>
                <w:color w:val="auto"/>
              </w:rPr>
              <w:t>[*CTR]</w:t>
            </w:r>
          </w:p>
        </w:tc>
        <w:tc>
          <w:tcPr>
            <w:tcW w:w="1040" w:type="dxa"/>
            <w:vAlign w:val="bottom"/>
            <w:tcBorders>
              <w:bottom w:val="single" w:sz="8" w:color="auto"/>
              <w:right w:val="single" w:sz="8" w:color="auto"/>
            </w:tcBorders>
          </w:tcPr>
          <w:p>
            <w:pPr>
              <w:ind w:left="340"/>
              <w:spacing w:after="0" w:line="142" w:lineRule="exact"/>
              <w:rPr>
                <w:sz w:val="20"/>
                <w:szCs w:val="20"/>
                <w:color w:val="auto"/>
              </w:rPr>
            </w:pPr>
            <w:r>
              <w:rPr>
                <w:rFonts w:ascii="Arial" w:cs="Arial" w:eastAsia="Arial" w:hAnsi="Arial"/>
                <w:sz w:val="14"/>
                <w:szCs w:val="14"/>
                <w:color w:val="auto"/>
              </w:rPr>
              <w:t>[*CTR]</w:t>
            </w:r>
          </w:p>
        </w:tc>
        <w:tc>
          <w:tcPr>
            <w:tcW w:w="100" w:type="dxa"/>
            <w:vAlign w:val="bottom"/>
            <w:tcBorders>
              <w:bottom w:val="single" w:sz="8" w:color="auto"/>
            </w:tcBorders>
            <w:shd w:val="clear" w:color="auto" w:fill="B2B2B2"/>
          </w:tcPr>
          <w:p>
            <w:pPr>
              <w:spacing w:after="0"/>
              <w:rPr>
                <w:sz w:val="12"/>
                <w:szCs w:val="12"/>
                <w:color w:val="auto"/>
              </w:rPr>
            </w:pPr>
          </w:p>
        </w:tc>
        <w:tc>
          <w:tcPr>
            <w:tcW w:w="1060" w:type="dxa"/>
            <w:vAlign w:val="bottom"/>
            <w:tcBorders>
              <w:bottom w:val="single" w:sz="8" w:color="auto"/>
              <w:right w:val="single" w:sz="8" w:color="auto"/>
            </w:tcBorders>
            <w:shd w:val="clear" w:color="auto" w:fill="B2B2B2"/>
          </w:tcPr>
          <w:p>
            <w:pPr>
              <w:ind w:left="280"/>
              <w:spacing w:after="0" w:line="142" w:lineRule="exact"/>
              <w:rPr>
                <w:sz w:val="20"/>
                <w:szCs w:val="20"/>
                <w:color w:val="auto"/>
              </w:rPr>
            </w:pPr>
            <w:r>
              <w:rPr>
                <w:rFonts w:ascii="Arial" w:cs="Arial" w:eastAsia="Arial" w:hAnsi="Arial"/>
                <w:sz w:val="14"/>
                <w:szCs w:val="14"/>
                <w:color w:val="auto"/>
              </w:rPr>
              <w:t>[*CTR]</w:t>
            </w:r>
          </w:p>
        </w:tc>
        <w:tc>
          <w:tcPr>
            <w:tcW w:w="1480" w:type="dxa"/>
            <w:vAlign w:val="bottom"/>
            <w:tcBorders>
              <w:bottom w:val="single" w:sz="8" w:color="auto"/>
              <w:right w:val="single" w:sz="8" w:color="auto"/>
            </w:tcBorders>
          </w:tcPr>
          <w:p>
            <w:pPr>
              <w:ind w:left="540"/>
              <w:spacing w:after="0" w:line="142" w:lineRule="exact"/>
              <w:rPr>
                <w:sz w:val="20"/>
                <w:szCs w:val="20"/>
                <w:color w:val="auto"/>
              </w:rPr>
            </w:pPr>
            <w:r>
              <w:rPr>
                <w:rFonts w:ascii="Arial" w:cs="Arial" w:eastAsia="Arial" w:hAnsi="Arial"/>
                <w:sz w:val="14"/>
                <w:szCs w:val="14"/>
                <w:color w:val="auto"/>
              </w:rPr>
              <w:t>[*CTR]</w:t>
            </w:r>
          </w:p>
        </w:tc>
        <w:tc>
          <w:tcPr>
            <w:tcW w:w="11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rPr>
              <w:t>[*CTR]</w:t>
            </w:r>
          </w:p>
        </w:tc>
        <w:tc>
          <w:tcPr>
            <w:tcW w:w="11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rPr>
              <w:t>[*CTR]</w:t>
            </w:r>
          </w:p>
        </w:tc>
        <w:tc>
          <w:tcPr>
            <w:tcW w:w="900" w:type="dxa"/>
            <w:vAlign w:val="bottom"/>
            <w:tcBorders>
              <w:bottom w:val="single" w:sz="8" w:color="auto"/>
            </w:tcBorders>
          </w:tcPr>
          <w:p>
            <w:pPr>
              <w:jc w:val="center"/>
              <w:ind w:left="248"/>
              <w:spacing w:after="0" w:line="142" w:lineRule="exact"/>
              <w:rPr>
                <w:sz w:val="20"/>
                <w:szCs w:val="20"/>
                <w:color w:val="auto"/>
              </w:rPr>
            </w:pPr>
            <w:r>
              <w:rPr>
                <w:rFonts w:ascii="Arial" w:cs="Arial" w:eastAsia="Arial" w:hAnsi="Arial"/>
                <w:sz w:val="14"/>
                <w:szCs w:val="14"/>
                <w:color w:val="auto"/>
              </w:rPr>
              <w:t>[*CTR]</w:t>
            </w:r>
          </w:p>
        </w:tc>
        <w:tc>
          <w:tcPr>
            <w:tcW w:w="260" w:type="dxa"/>
            <w:vAlign w:val="bottom"/>
            <w:tcBorders>
              <w:bottom w:val="single" w:sz="8" w:color="auto"/>
              <w:right w:val="single" w:sz="8" w:color="auto"/>
            </w:tcBorders>
          </w:tcPr>
          <w:p>
            <w:pPr>
              <w:spacing w:after="0"/>
              <w:rPr>
                <w:sz w:val="12"/>
                <w:szCs w:val="12"/>
                <w:color w:val="auto"/>
              </w:rPr>
            </w:pPr>
          </w:p>
        </w:tc>
        <w:tc>
          <w:tcPr>
            <w:tcW w:w="10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rPr>
              <w:t>[*CTR]</w:t>
            </w:r>
          </w:p>
        </w:tc>
        <w:tc>
          <w:tcPr>
            <w:tcW w:w="0" w:type="dxa"/>
            <w:vAlign w:val="bottom"/>
          </w:tcPr>
          <w:p>
            <w:pPr>
              <w:spacing w:after="0"/>
              <w:rPr>
                <w:sz w:val="1"/>
                <w:szCs w:val="1"/>
                <w:color w:val="auto"/>
              </w:rPr>
            </w:pPr>
          </w:p>
        </w:tc>
      </w:tr>
      <w:tr>
        <w:trPr>
          <w:trHeight w:val="142"/>
        </w:trPr>
        <w:tc>
          <w:tcPr>
            <w:tcW w:w="1160" w:type="dxa"/>
            <w:vAlign w:val="bottom"/>
            <w:tcBorders>
              <w:left w:val="single" w:sz="8" w:color="auto"/>
              <w:bottom w:val="single" w:sz="8" w:color="auto"/>
              <w:right w:val="single" w:sz="8" w:color="auto"/>
            </w:tcBorders>
          </w:tcPr>
          <w:p>
            <w:pPr>
              <w:ind w:left="220"/>
              <w:spacing w:after="0" w:line="142" w:lineRule="exact"/>
              <w:rPr>
                <w:sz w:val="20"/>
                <w:szCs w:val="20"/>
                <w:color w:val="auto"/>
              </w:rPr>
            </w:pPr>
            <w:r>
              <w:rPr>
                <w:rFonts w:ascii="Arial" w:cs="Arial" w:eastAsia="Arial" w:hAnsi="Arial"/>
                <w:sz w:val="14"/>
                <w:szCs w:val="14"/>
                <w:color w:val="auto"/>
              </w:rPr>
              <w:t>[*CTR]-2018</w:t>
            </w:r>
          </w:p>
        </w:tc>
        <w:tc>
          <w:tcPr>
            <w:tcW w:w="1040" w:type="dxa"/>
            <w:vAlign w:val="bottom"/>
            <w:tcBorders>
              <w:bottom w:val="single" w:sz="8" w:color="auto"/>
              <w:right w:val="single" w:sz="8" w:color="auto"/>
            </w:tcBorders>
          </w:tcPr>
          <w:p>
            <w:pPr>
              <w:jc w:val="right"/>
              <w:ind w:right="367"/>
              <w:spacing w:after="0" w:line="142" w:lineRule="exact"/>
              <w:rPr>
                <w:sz w:val="20"/>
                <w:szCs w:val="20"/>
                <w:color w:val="auto"/>
              </w:rPr>
            </w:pPr>
            <w:r>
              <w:rPr>
                <w:rFonts w:ascii="Arial" w:cs="Arial" w:eastAsia="Arial" w:hAnsi="Arial"/>
                <w:sz w:val="14"/>
                <w:szCs w:val="14"/>
                <w:color w:val="auto"/>
              </w:rPr>
              <w:t>1</w:t>
            </w:r>
          </w:p>
        </w:tc>
        <w:tc>
          <w:tcPr>
            <w:tcW w:w="1040" w:type="dxa"/>
            <w:vAlign w:val="bottom"/>
            <w:tcBorders>
              <w:bottom w:val="single" w:sz="8" w:color="auto"/>
              <w:right w:val="single" w:sz="8" w:color="auto"/>
            </w:tcBorders>
          </w:tcPr>
          <w:p>
            <w:pPr>
              <w:ind w:left="340"/>
              <w:spacing w:after="0" w:line="142" w:lineRule="exact"/>
              <w:rPr>
                <w:sz w:val="20"/>
                <w:szCs w:val="20"/>
                <w:color w:val="auto"/>
              </w:rPr>
            </w:pPr>
            <w:r>
              <w:rPr>
                <w:rFonts w:ascii="Arial" w:cs="Arial" w:eastAsia="Arial" w:hAnsi="Arial"/>
                <w:sz w:val="14"/>
                <w:szCs w:val="14"/>
                <w:color w:val="auto"/>
              </w:rPr>
              <w:t>[*CTR]</w:t>
            </w:r>
          </w:p>
        </w:tc>
        <w:tc>
          <w:tcPr>
            <w:tcW w:w="1040" w:type="dxa"/>
            <w:vAlign w:val="bottom"/>
            <w:tcBorders>
              <w:bottom w:val="single" w:sz="8" w:color="auto"/>
              <w:right w:val="single" w:sz="8" w:color="auto"/>
            </w:tcBorders>
          </w:tcPr>
          <w:p>
            <w:pPr>
              <w:ind w:left="340"/>
              <w:spacing w:after="0" w:line="142" w:lineRule="exact"/>
              <w:rPr>
                <w:sz w:val="20"/>
                <w:szCs w:val="20"/>
                <w:color w:val="auto"/>
              </w:rPr>
            </w:pPr>
            <w:r>
              <w:rPr>
                <w:rFonts w:ascii="Arial" w:cs="Arial" w:eastAsia="Arial" w:hAnsi="Arial"/>
                <w:sz w:val="14"/>
                <w:szCs w:val="14"/>
                <w:color w:val="auto"/>
              </w:rPr>
              <w:t>[*CTR]</w:t>
            </w:r>
          </w:p>
        </w:tc>
        <w:tc>
          <w:tcPr>
            <w:tcW w:w="100" w:type="dxa"/>
            <w:vAlign w:val="bottom"/>
            <w:tcBorders>
              <w:bottom w:val="single" w:sz="8" w:color="auto"/>
            </w:tcBorders>
            <w:shd w:val="clear" w:color="auto" w:fill="B2B2B2"/>
          </w:tcPr>
          <w:p>
            <w:pPr>
              <w:spacing w:after="0"/>
              <w:rPr>
                <w:sz w:val="12"/>
                <w:szCs w:val="12"/>
                <w:color w:val="auto"/>
              </w:rPr>
            </w:pPr>
          </w:p>
        </w:tc>
        <w:tc>
          <w:tcPr>
            <w:tcW w:w="1060" w:type="dxa"/>
            <w:vAlign w:val="bottom"/>
            <w:tcBorders>
              <w:bottom w:val="single" w:sz="8" w:color="auto"/>
              <w:right w:val="single" w:sz="8" w:color="auto"/>
            </w:tcBorders>
            <w:shd w:val="clear" w:color="auto" w:fill="B2B2B2"/>
          </w:tcPr>
          <w:p>
            <w:pPr>
              <w:ind w:left="280"/>
              <w:spacing w:after="0" w:line="142" w:lineRule="exact"/>
              <w:rPr>
                <w:sz w:val="20"/>
                <w:szCs w:val="20"/>
                <w:color w:val="auto"/>
              </w:rPr>
            </w:pPr>
            <w:r>
              <w:rPr>
                <w:rFonts w:ascii="Arial" w:cs="Arial" w:eastAsia="Arial" w:hAnsi="Arial"/>
                <w:sz w:val="14"/>
                <w:szCs w:val="14"/>
                <w:color w:val="auto"/>
              </w:rPr>
              <w:t>[*CTR]</w:t>
            </w:r>
          </w:p>
        </w:tc>
        <w:tc>
          <w:tcPr>
            <w:tcW w:w="1480" w:type="dxa"/>
            <w:vAlign w:val="bottom"/>
            <w:tcBorders>
              <w:bottom w:val="single" w:sz="8" w:color="auto"/>
              <w:right w:val="single" w:sz="8" w:color="auto"/>
            </w:tcBorders>
          </w:tcPr>
          <w:p>
            <w:pPr>
              <w:ind w:left="540"/>
              <w:spacing w:after="0" w:line="142" w:lineRule="exact"/>
              <w:rPr>
                <w:sz w:val="20"/>
                <w:szCs w:val="20"/>
                <w:color w:val="auto"/>
              </w:rPr>
            </w:pPr>
            <w:r>
              <w:rPr>
                <w:rFonts w:ascii="Arial" w:cs="Arial" w:eastAsia="Arial" w:hAnsi="Arial"/>
                <w:sz w:val="14"/>
                <w:szCs w:val="14"/>
                <w:color w:val="auto"/>
              </w:rPr>
              <w:t>[*CTR]</w:t>
            </w:r>
          </w:p>
        </w:tc>
        <w:tc>
          <w:tcPr>
            <w:tcW w:w="11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rPr>
              <w:t>[*CTR]</w:t>
            </w:r>
          </w:p>
        </w:tc>
        <w:tc>
          <w:tcPr>
            <w:tcW w:w="11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rPr>
              <w:t>[*CTR]</w:t>
            </w:r>
          </w:p>
        </w:tc>
        <w:tc>
          <w:tcPr>
            <w:tcW w:w="900" w:type="dxa"/>
            <w:vAlign w:val="bottom"/>
            <w:tcBorders>
              <w:bottom w:val="single" w:sz="8" w:color="auto"/>
            </w:tcBorders>
          </w:tcPr>
          <w:p>
            <w:pPr>
              <w:jc w:val="center"/>
              <w:ind w:left="248"/>
              <w:spacing w:after="0" w:line="142" w:lineRule="exact"/>
              <w:rPr>
                <w:sz w:val="20"/>
                <w:szCs w:val="20"/>
                <w:color w:val="auto"/>
              </w:rPr>
            </w:pPr>
            <w:r>
              <w:rPr>
                <w:rFonts w:ascii="Arial" w:cs="Arial" w:eastAsia="Arial" w:hAnsi="Arial"/>
                <w:sz w:val="14"/>
                <w:szCs w:val="14"/>
                <w:color w:val="auto"/>
              </w:rPr>
              <w:t>[*CTR]</w:t>
            </w:r>
          </w:p>
        </w:tc>
        <w:tc>
          <w:tcPr>
            <w:tcW w:w="260" w:type="dxa"/>
            <w:vAlign w:val="bottom"/>
            <w:tcBorders>
              <w:bottom w:val="single" w:sz="8" w:color="auto"/>
              <w:right w:val="single" w:sz="8" w:color="auto"/>
            </w:tcBorders>
          </w:tcPr>
          <w:p>
            <w:pPr>
              <w:spacing w:after="0"/>
              <w:rPr>
                <w:sz w:val="12"/>
                <w:szCs w:val="12"/>
                <w:color w:val="auto"/>
              </w:rPr>
            </w:pPr>
          </w:p>
        </w:tc>
        <w:tc>
          <w:tcPr>
            <w:tcW w:w="10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rPr>
              <w:t>[*CTR]</w:t>
            </w:r>
          </w:p>
        </w:tc>
        <w:tc>
          <w:tcPr>
            <w:tcW w:w="0" w:type="dxa"/>
            <w:vAlign w:val="bottom"/>
          </w:tcPr>
          <w:p>
            <w:pPr>
              <w:spacing w:after="0"/>
              <w:rPr>
                <w:sz w:val="1"/>
                <w:szCs w:val="1"/>
                <w:color w:val="auto"/>
              </w:rPr>
            </w:pPr>
          </w:p>
        </w:tc>
      </w:tr>
      <w:tr>
        <w:trPr>
          <w:trHeight w:val="142"/>
        </w:trPr>
        <w:tc>
          <w:tcPr>
            <w:tcW w:w="1160" w:type="dxa"/>
            <w:vAlign w:val="bottom"/>
            <w:tcBorders>
              <w:left w:val="single" w:sz="8" w:color="auto"/>
              <w:bottom w:val="single" w:sz="8" w:color="auto"/>
              <w:right w:val="single" w:sz="8" w:color="auto"/>
            </w:tcBorders>
          </w:tcPr>
          <w:p>
            <w:pPr>
              <w:ind w:left="220"/>
              <w:spacing w:after="0" w:line="142" w:lineRule="exact"/>
              <w:rPr>
                <w:sz w:val="20"/>
                <w:szCs w:val="20"/>
                <w:color w:val="auto"/>
              </w:rPr>
            </w:pPr>
            <w:r>
              <w:rPr>
                <w:rFonts w:ascii="Arial" w:cs="Arial" w:eastAsia="Arial" w:hAnsi="Arial"/>
                <w:sz w:val="14"/>
                <w:szCs w:val="14"/>
                <w:color w:val="auto"/>
              </w:rPr>
              <w:t>[*CTR]-2018</w:t>
            </w:r>
          </w:p>
        </w:tc>
        <w:tc>
          <w:tcPr>
            <w:tcW w:w="1040" w:type="dxa"/>
            <w:vAlign w:val="bottom"/>
            <w:tcBorders>
              <w:bottom w:val="single" w:sz="8" w:color="auto"/>
              <w:right w:val="single" w:sz="8" w:color="auto"/>
            </w:tcBorders>
          </w:tcPr>
          <w:p>
            <w:pPr>
              <w:jc w:val="right"/>
              <w:ind w:right="367"/>
              <w:spacing w:after="0" w:line="142" w:lineRule="exact"/>
              <w:rPr>
                <w:sz w:val="20"/>
                <w:szCs w:val="20"/>
                <w:color w:val="auto"/>
              </w:rPr>
            </w:pPr>
            <w:r>
              <w:rPr>
                <w:rFonts w:ascii="Arial" w:cs="Arial" w:eastAsia="Arial" w:hAnsi="Arial"/>
                <w:sz w:val="14"/>
                <w:szCs w:val="14"/>
                <w:color w:val="auto"/>
              </w:rPr>
              <w:t>1</w:t>
            </w:r>
          </w:p>
        </w:tc>
        <w:tc>
          <w:tcPr>
            <w:tcW w:w="1040" w:type="dxa"/>
            <w:vAlign w:val="bottom"/>
            <w:tcBorders>
              <w:bottom w:val="single" w:sz="8" w:color="auto"/>
              <w:right w:val="single" w:sz="8" w:color="auto"/>
            </w:tcBorders>
          </w:tcPr>
          <w:p>
            <w:pPr>
              <w:ind w:left="340"/>
              <w:spacing w:after="0" w:line="142" w:lineRule="exact"/>
              <w:rPr>
                <w:sz w:val="20"/>
                <w:szCs w:val="20"/>
                <w:color w:val="auto"/>
              </w:rPr>
            </w:pPr>
            <w:r>
              <w:rPr>
                <w:rFonts w:ascii="Arial" w:cs="Arial" w:eastAsia="Arial" w:hAnsi="Arial"/>
                <w:sz w:val="14"/>
                <w:szCs w:val="14"/>
                <w:color w:val="auto"/>
              </w:rPr>
              <w:t>[*CTR]</w:t>
            </w:r>
          </w:p>
        </w:tc>
        <w:tc>
          <w:tcPr>
            <w:tcW w:w="1040" w:type="dxa"/>
            <w:vAlign w:val="bottom"/>
            <w:tcBorders>
              <w:bottom w:val="single" w:sz="8" w:color="auto"/>
              <w:right w:val="single" w:sz="8" w:color="auto"/>
            </w:tcBorders>
          </w:tcPr>
          <w:p>
            <w:pPr>
              <w:ind w:left="340"/>
              <w:spacing w:after="0" w:line="142" w:lineRule="exact"/>
              <w:rPr>
                <w:sz w:val="20"/>
                <w:szCs w:val="20"/>
                <w:color w:val="auto"/>
              </w:rPr>
            </w:pPr>
            <w:r>
              <w:rPr>
                <w:rFonts w:ascii="Arial" w:cs="Arial" w:eastAsia="Arial" w:hAnsi="Arial"/>
                <w:sz w:val="14"/>
                <w:szCs w:val="14"/>
                <w:color w:val="auto"/>
              </w:rPr>
              <w:t>[*CTR]</w:t>
            </w:r>
          </w:p>
        </w:tc>
        <w:tc>
          <w:tcPr>
            <w:tcW w:w="100" w:type="dxa"/>
            <w:vAlign w:val="bottom"/>
            <w:tcBorders>
              <w:bottom w:val="single" w:sz="8" w:color="auto"/>
            </w:tcBorders>
            <w:shd w:val="clear" w:color="auto" w:fill="B2B2B2"/>
          </w:tcPr>
          <w:p>
            <w:pPr>
              <w:spacing w:after="0"/>
              <w:rPr>
                <w:sz w:val="12"/>
                <w:szCs w:val="12"/>
                <w:color w:val="auto"/>
              </w:rPr>
            </w:pPr>
          </w:p>
        </w:tc>
        <w:tc>
          <w:tcPr>
            <w:tcW w:w="1060" w:type="dxa"/>
            <w:vAlign w:val="bottom"/>
            <w:tcBorders>
              <w:bottom w:val="single" w:sz="8" w:color="auto"/>
              <w:right w:val="single" w:sz="8" w:color="auto"/>
            </w:tcBorders>
            <w:shd w:val="clear" w:color="auto" w:fill="B2B2B2"/>
          </w:tcPr>
          <w:p>
            <w:pPr>
              <w:ind w:left="280"/>
              <w:spacing w:after="0" w:line="142" w:lineRule="exact"/>
              <w:rPr>
                <w:sz w:val="20"/>
                <w:szCs w:val="20"/>
                <w:color w:val="auto"/>
              </w:rPr>
            </w:pPr>
            <w:r>
              <w:rPr>
                <w:rFonts w:ascii="Arial" w:cs="Arial" w:eastAsia="Arial" w:hAnsi="Arial"/>
                <w:sz w:val="14"/>
                <w:szCs w:val="14"/>
                <w:color w:val="auto"/>
              </w:rPr>
              <w:t>[*CTR]</w:t>
            </w:r>
          </w:p>
        </w:tc>
        <w:tc>
          <w:tcPr>
            <w:tcW w:w="1480" w:type="dxa"/>
            <w:vAlign w:val="bottom"/>
            <w:tcBorders>
              <w:bottom w:val="single" w:sz="8" w:color="auto"/>
              <w:right w:val="single" w:sz="8" w:color="auto"/>
            </w:tcBorders>
          </w:tcPr>
          <w:p>
            <w:pPr>
              <w:ind w:left="540"/>
              <w:spacing w:after="0" w:line="142" w:lineRule="exact"/>
              <w:rPr>
                <w:sz w:val="20"/>
                <w:szCs w:val="20"/>
                <w:color w:val="auto"/>
              </w:rPr>
            </w:pPr>
            <w:r>
              <w:rPr>
                <w:rFonts w:ascii="Arial" w:cs="Arial" w:eastAsia="Arial" w:hAnsi="Arial"/>
                <w:sz w:val="14"/>
                <w:szCs w:val="14"/>
                <w:color w:val="auto"/>
              </w:rPr>
              <w:t>[*CTR]</w:t>
            </w:r>
          </w:p>
        </w:tc>
        <w:tc>
          <w:tcPr>
            <w:tcW w:w="11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rPr>
              <w:t>[*CTR]</w:t>
            </w:r>
          </w:p>
        </w:tc>
        <w:tc>
          <w:tcPr>
            <w:tcW w:w="11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rPr>
              <w:t>[*CTR]</w:t>
            </w:r>
          </w:p>
        </w:tc>
        <w:tc>
          <w:tcPr>
            <w:tcW w:w="900" w:type="dxa"/>
            <w:vAlign w:val="bottom"/>
            <w:tcBorders>
              <w:bottom w:val="single" w:sz="8" w:color="auto"/>
            </w:tcBorders>
          </w:tcPr>
          <w:p>
            <w:pPr>
              <w:jc w:val="center"/>
              <w:ind w:left="248"/>
              <w:spacing w:after="0" w:line="142" w:lineRule="exact"/>
              <w:rPr>
                <w:sz w:val="20"/>
                <w:szCs w:val="20"/>
                <w:color w:val="auto"/>
              </w:rPr>
            </w:pPr>
            <w:r>
              <w:rPr>
                <w:rFonts w:ascii="Arial" w:cs="Arial" w:eastAsia="Arial" w:hAnsi="Arial"/>
                <w:sz w:val="14"/>
                <w:szCs w:val="14"/>
                <w:color w:val="auto"/>
              </w:rPr>
              <w:t>[*CTR]</w:t>
            </w:r>
          </w:p>
        </w:tc>
        <w:tc>
          <w:tcPr>
            <w:tcW w:w="260" w:type="dxa"/>
            <w:vAlign w:val="bottom"/>
            <w:tcBorders>
              <w:bottom w:val="single" w:sz="8" w:color="auto"/>
              <w:right w:val="single" w:sz="8" w:color="auto"/>
            </w:tcBorders>
          </w:tcPr>
          <w:p>
            <w:pPr>
              <w:spacing w:after="0"/>
              <w:rPr>
                <w:sz w:val="12"/>
                <w:szCs w:val="12"/>
                <w:color w:val="auto"/>
              </w:rPr>
            </w:pPr>
          </w:p>
        </w:tc>
        <w:tc>
          <w:tcPr>
            <w:tcW w:w="10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rPr>
              <w:t>[*CTR]</w:t>
            </w:r>
          </w:p>
        </w:tc>
        <w:tc>
          <w:tcPr>
            <w:tcW w:w="0" w:type="dxa"/>
            <w:vAlign w:val="bottom"/>
          </w:tcPr>
          <w:p>
            <w:pPr>
              <w:spacing w:after="0"/>
              <w:rPr>
                <w:sz w:val="1"/>
                <w:szCs w:val="1"/>
                <w:color w:val="auto"/>
              </w:rPr>
            </w:pPr>
          </w:p>
        </w:tc>
      </w:tr>
      <w:tr>
        <w:trPr>
          <w:trHeight w:val="142"/>
        </w:trPr>
        <w:tc>
          <w:tcPr>
            <w:tcW w:w="1160" w:type="dxa"/>
            <w:vAlign w:val="bottom"/>
            <w:tcBorders>
              <w:left w:val="single" w:sz="8" w:color="auto"/>
              <w:bottom w:val="single" w:sz="8" w:color="auto"/>
              <w:right w:val="single" w:sz="8" w:color="auto"/>
            </w:tcBorders>
          </w:tcPr>
          <w:p>
            <w:pPr>
              <w:ind w:left="220"/>
              <w:spacing w:after="0" w:line="142" w:lineRule="exact"/>
              <w:rPr>
                <w:sz w:val="20"/>
                <w:szCs w:val="20"/>
                <w:color w:val="auto"/>
              </w:rPr>
            </w:pPr>
            <w:r>
              <w:rPr>
                <w:rFonts w:ascii="Arial" w:cs="Arial" w:eastAsia="Arial" w:hAnsi="Arial"/>
                <w:sz w:val="14"/>
                <w:szCs w:val="14"/>
                <w:color w:val="auto"/>
              </w:rPr>
              <w:t>[*CTR]-2018</w:t>
            </w:r>
          </w:p>
        </w:tc>
        <w:tc>
          <w:tcPr>
            <w:tcW w:w="1040" w:type="dxa"/>
            <w:vAlign w:val="bottom"/>
            <w:tcBorders>
              <w:bottom w:val="single" w:sz="8" w:color="auto"/>
              <w:right w:val="single" w:sz="8" w:color="auto"/>
            </w:tcBorders>
          </w:tcPr>
          <w:p>
            <w:pPr>
              <w:jc w:val="right"/>
              <w:ind w:right="367"/>
              <w:spacing w:after="0" w:line="142" w:lineRule="exact"/>
              <w:rPr>
                <w:sz w:val="20"/>
                <w:szCs w:val="20"/>
                <w:color w:val="auto"/>
              </w:rPr>
            </w:pPr>
            <w:r>
              <w:rPr>
                <w:rFonts w:ascii="Arial" w:cs="Arial" w:eastAsia="Arial" w:hAnsi="Arial"/>
                <w:sz w:val="14"/>
                <w:szCs w:val="14"/>
                <w:color w:val="auto"/>
              </w:rPr>
              <w:t>1</w:t>
            </w:r>
          </w:p>
        </w:tc>
        <w:tc>
          <w:tcPr>
            <w:tcW w:w="1040" w:type="dxa"/>
            <w:vAlign w:val="bottom"/>
            <w:tcBorders>
              <w:bottom w:val="single" w:sz="8" w:color="auto"/>
              <w:right w:val="single" w:sz="8" w:color="auto"/>
            </w:tcBorders>
          </w:tcPr>
          <w:p>
            <w:pPr>
              <w:ind w:left="340"/>
              <w:spacing w:after="0" w:line="142" w:lineRule="exact"/>
              <w:rPr>
                <w:sz w:val="20"/>
                <w:szCs w:val="20"/>
                <w:color w:val="auto"/>
              </w:rPr>
            </w:pPr>
            <w:r>
              <w:rPr>
                <w:rFonts w:ascii="Arial" w:cs="Arial" w:eastAsia="Arial" w:hAnsi="Arial"/>
                <w:sz w:val="14"/>
                <w:szCs w:val="14"/>
                <w:color w:val="auto"/>
              </w:rPr>
              <w:t>[*CTR]</w:t>
            </w:r>
          </w:p>
        </w:tc>
        <w:tc>
          <w:tcPr>
            <w:tcW w:w="1040" w:type="dxa"/>
            <w:vAlign w:val="bottom"/>
            <w:tcBorders>
              <w:bottom w:val="single" w:sz="8" w:color="auto"/>
              <w:right w:val="single" w:sz="8" w:color="auto"/>
            </w:tcBorders>
          </w:tcPr>
          <w:p>
            <w:pPr>
              <w:ind w:left="340"/>
              <w:spacing w:after="0" w:line="142" w:lineRule="exact"/>
              <w:rPr>
                <w:sz w:val="20"/>
                <w:szCs w:val="20"/>
                <w:color w:val="auto"/>
              </w:rPr>
            </w:pPr>
            <w:r>
              <w:rPr>
                <w:rFonts w:ascii="Arial" w:cs="Arial" w:eastAsia="Arial" w:hAnsi="Arial"/>
                <w:sz w:val="14"/>
                <w:szCs w:val="14"/>
                <w:color w:val="auto"/>
              </w:rPr>
              <w:t>[*CTR]</w:t>
            </w:r>
          </w:p>
        </w:tc>
        <w:tc>
          <w:tcPr>
            <w:tcW w:w="100" w:type="dxa"/>
            <w:vAlign w:val="bottom"/>
            <w:tcBorders>
              <w:bottom w:val="single" w:sz="8" w:color="auto"/>
            </w:tcBorders>
            <w:shd w:val="clear" w:color="auto" w:fill="B2B2B2"/>
          </w:tcPr>
          <w:p>
            <w:pPr>
              <w:spacing w:after="0"/>
              <w:rPr>
                <w:sz w:val="12"/>
                <w:szCs w:val="12"/>
                <w:color w:val="auto"/>
              </w:rPr>
            </w:pPr>
          </w:p>
        </w:tc>
        <w:tc>
          <w:tcPr>
            <w:tcW w:w="1060" w:type="dxa"/>
            <w:vAlign w:val="bottom"/>
            <w:tcBorders>
              <w:bottom w:val="single" w:sz="8" w:color="auto"/>
              <w:right w:val="single" w:sz="8" w:color="auto"/>
            </w:tcBorders>
            <w:shd w:val="clear" w:color="auto" w:fill="B2B2B2"/>
          </w:tcPr>
          <w:p>
            <w:pPr>
              <w:ind w:left="280"/>
              <w:spacing w:after="0" w:line="142" w:lineRule="exact"/>
              <w:rPr>
                <w:sz w:val="20"/>
                <w:szCs w:val="20"/>
                <w:color w:val="auto"/>
              </w:rPr>
            </w:pPr>
            <w:r>
              <w:rPr>
                <w:rFonts w:ascii="Arial" w:cs="Arial" w:eastAsia="Arial" w:hAnsi="Arial"/>
                <w:sz w:val="14"/>
                <w:szCs w:val="14"/>
                <w:color w:val="auto"/>
              </w:rPr>
              <w:t>[*CTR]</w:t>
            </w:r>
          </w:p>
        </w:tc>
        <w:tc>
          <w:tcPr>
            <w:tcW w:w="1480" w:type="dxa"/>
            <w:vAlign w:val="bottom"/>
            <w:tcBorders>
              <w:bottom w:val="single" w:sz="8" w:color="auto"/>
              <w:right w:val="single" w:sz="8" w:color="auto"/>
            </w:tcBorders>
          </w:tcPr>
          <w:p>
            <w:pPr>
              <w:ind w:left="540"/>
              <w:spacing w:after="0" w:line="142" w:lineRule="exact"/>
              <w:rPr>
                <w:sz w:val="20"/>
                <w:szCs w:val="20"/>
                <w:color w:val="auto"/>
              </w:rPr>
            </w:pPr>
            <w:r>
              <w:rPr>
                <w:rFonts w:ascii="Arial" w:cs="Arial" w:eastAsia="Arial" w:hAnsi="Arial"/>
                <w:sz w:val="14"/>
                <w:szCs w:val="14"/>
                <w:color w:val="auto"/>
              </w:rPr>
              <w:t>[*CTR]</w:t>
            </w:r>
          </w:p>
        </w:tc>
        <w:tc>
          <w:tcPr>
            <w:tcW w:w="11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rPr>
              <w:t>[*CTR]</w:t>
            </w:r>
          </w:p>
        </w:tc>
        <w:tc>
          <w:tcPr>
            <w:tcW w:w="11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rPr>
              <w:t>[*CTR]</w:t>
            </w:r>
          </w:p>
        </w:tc>
        <w:tc>
          <w:tcPr>
            <w:tcW w:w="900" w:type="dxa"/>
            <w:vAlign w:val="bottom"/>
            <w:tcBorders>
              <w:bottom w:val="single" w:sz="8" w:color="auto"/>
            </w:tcBorders>
          </w:tcPr>
          <w:p>
            <w:pPr>
              <w:jc w:val="center"/>
              <w:ind w:left="248"/>
              <w:spacing w:after="0" w:line="142" w:lineRule="exact"/>
              <w:rPr>
                <w:sz w:val="20"/>
                <w:szCs w:val="20"/>
                <w:color w:val="auto"/>
              </w:rPr>
            </w:pPr>
            <w:r>
              <w:rPr>
                <w:rFonts w:ascii="Arial" w:cs="Arial" w:eastAsia="Arial" w:hAnsi="Arial"/>
                <w:sz w:val="14"/>
                <w:szCs w:val="14"/>
                <w:color w:val="auto"/>
              </w:rPr>
              <w:t>[*CTR]</w:t>
            </w:r>
          </w:p>
        </w:tc>
        <w:tc>
          <w:tcPr>
            <w:tcW w:w="260" w:type="dxa"/>
            <w:vAlign w:val="bottom"/>
            <w:tcBorders>
              <w:bottom w:val="single" w:sz="8" w:color="auto"/>
              <w:right w:val="single" w:sz="8" w:color="auto"/>
            </w:tcBorders>
          </w:tcPr>
          <w:p>
            <w:pPr>
              <w:spacing w:after="0"/>
              <w:rPr>
                <w:sz w:val="12"/>
                <w:szCs w:val="12"/>
                <w:color w:val="auto"/>
              </w:rPr>
            </w:pPr>
          </w:p>
        </w:tc>
        <w:tc>
          <w:tcPr>
            <w:tcW w:w="10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rPr>
              <w:t>[*CTR]</w:t>
            </w:r>
          </w:p>
        </w:tc>
        <w:tc>
          <w:tcPr>
            <w:tcW w:w="0" w:type="dxa"/>
            <w:vAlign w:val="bottom"/>
          </w:tcPr>
          <w:p>
            <w:pPr>
              <w:spacing w:after="0"/>
              <w:rPr>
                <w:sz w:val="1"/>
                <w:szCs w:val="1"/>
                <w:color w:val="auto"/>
              </w:rPr>
            </w:pPr>
          </w:p>
        </w:tc>
      </w:tr>
      <w:tr>
        <w:trPr>
          <w:trHeight w:val="142"/>
        </w:trPr>
        <w:tc>
          <w:tcPr>
            <w:tcW w:w="1160" w:type="dxa"/>
            <w:vAlign w:val="bottom"/>
            <w:tcBorders>
              <w:left w:val="single" w:sz="8" w:color="auto"/>
              <w:bottom w:val="single" w:sz="8" w:color="auto"/>
              <w:right w:val="single" w:sz="8" w:color="auto"/>
            </w:tcBorders>
          </w:tcPr>
          <w:p>
            <w:pPr>
              <w:ind w:left="220"/>
              <w:spacing w:after="0" w:line="142" w:lineRule="exact"/>
              <w:rPr>
                <w:sz w:val="20"/>
                <w:szCs w:val="20"/>
                <w:color w:val="auto"/>
              </w:rPr>
            </w:pPr>
            <w:r>
              <w:rPr>
                <w:rFonts w:ascii="Arial" w:cs="Arial" w:eastAsia="Arial" w:hAnsi="Arial"/>
                <w:sz w:val="14"/>
                <w:szCs w:val="14"/>
                <w:color w:val="auto"/>
              </w:rPr>
              <w:t>[*CTR]-2018</w:t>
            </w:r>
          </w:p>
        </w:tc>
        <w:tc>
          <w:tcPr>
            <w:tcW w:w="1040" w:type="dxa"/>
            <w:vAlign w:val="bottom"/>
            <w:tcBorders>
              <w:bottom w:val="single" w:sz="8" w:color="auto"/>
              <w:right w:val="single" w:sz="8" w:color="auto"/>
            </w:tcBorders>
          </w:tcPr>
          <w:p>
            <w:pPr>
              <w:jc w:val="right"/>
              <w:ind w:right="367"/>
              <w:spacing w:after="0" w:line="142" w:lineRule="exact"/>
              <w:rPr>
                <w:sz w:val="20"/>
                <w:szCs w:val="20"/>
                <w:color w:val="auto"/>
              </w:rPr>
            </w:pPr>
            <w:r>
              <w:rPr>
                <w:rFonts w:ascii="Arial" w:cs="Arial" w:eastAsia="Arial" w:hAnsi="Arial"/>
                <w:sz w:val="14"/>
                <w:szCs w:val="14"/>
                <w:color w:val="auto"/>
              </w:rPr>
              <w:t>1</w:t>
            </w:r>
          </w:p>
        </w:tc>
        <w:tc>
          <w:tcPr>
            <w:tcW w:w="1040" w:type="dxa"/>
            <w:vAlign w:val="bottom"/>
            <w:tcBorders>
              <w:bottom w:val="single" w:sz="8" w:color="auto"/>
              <w:right w:val="single" w:sz="8" w:color="auto"/>
            </w:tcBorders>
          </w:tcPr>
          <w:p>
            <w:pPr>
              <w:ind w:left="340"/>
              <w:spacing w:after="0" w:line="142" w:lineRule="exact"/>
              <w:rPr>
                <w:sz w:val="20"/>
                <w:szCs w:val="20"/>
                <w:color w:val="auto"/>
              </w:rPr>
            </w:pPr>
            <w:r>
              <w:rPr>
                <w:rFonts w:ascii="Arial" w:cs="Arial" w:eastAsia="Arial" w:hAnsi="Arial"/>
                <w:sz w:val="14"/>
                <w:szCs w:val="14"/>
                <w:color w:val="auto"/>
              </w:rPr>
              <w:t>[*CTR]</w:t>
            </w:r>
          </w:p>
        </w:tc>
        <w:tc>
          <w:tcPr>
            <w:tcW w:w="1040" w:type="dxa"/>
            <w:vAlign w:val="bottom"/>
            <w:tcBorders>
              <w:bottom w:val="single" w:sz="8" w:color="auto"/>
              <w:right w:val="single" w:sz="8" w:color="auto"/>
            </w:tcBorders>
          </w:tcPr>
          <w:p>
            <w:pPr>
              <w:ind w:left="340"/>
              <w:spacing w:after="0" w:line="142" w:lineRule="exact"/>
              <w:rPr>
                <w:sz w:val="20"/>
                <w:szCs w:val="20"/>
                <w:color w:val="auto"/>
              </w:rPr>
            </w:pPr>
            <w:r>
              <w:rPr>
                <w:rFonts w:ascii="Arial" w:cs="Arial" w:eastAsia="Arial" w:hAnsi="Arial"/>
                <w:sz w:val="14"/>
                <w:szCs w:val="14"/>
                <w:color w:val="auto"/>
              </w:rPr>
              <w:t>[*CTR]</w:t>
            </w:r>
          </w:p>
        </w:tc>
        <w:tc>
          <w:tcPr>
            <w:tcW w:w="100" w:type="dxa"/>
            <w:vAlign w:val="bottom"/>
            <w:tcBorders>
              <w:bottom w:val="single" w:sz="8" w:color="auto"/>
            </w:tcBorders>
            <w:shd w:val="clear" w:color="auto" w:fill="B2B2B2"/>
          </w:tcPr>
          <w:p>
            <w:pPr>
              <w:spacing w:after="0"/>
              <w:rPr>
                <w:sz w:val="12"/>
                <w:szCs w:val="12"/>
                <w:color w:val="auto"/>
              </w:rPr>
            </w:pPr>
          </w:p>
        </w:tc>
        <w:tc>
          <w:tcPr>
            <w:tcW w:w="1060" w:type="dxa"/>
            <w:vAlign w:val="bottom"/>
            <w:tcBorders>
              <w:bottom w:val="single" w:sz="8" w:color="auto"/>
              <w:right w:val="single" w:sz="8" w:color="auto"/>
            </w:tcBorders>
            <w:shd w:val="clear" w:color="auto" w:fill="B2B2B2"/>
          </w:tcPr>
          <w:p>
            <w:pPr>
              <w:ind w:left="280"/>
              <w:spacing w:after="0" w:line="142" w:lineRule="exact"/>
              <w:rPr>
                <w:sz w:val="20"/>
                <w:szCs w:val="20"/>
                <w:color w:val="auto"/>
              </w:rPr>
            </w:pPr>
            <w:r>
              <w:rPr>
                <w:rFonts w:ascii="Arial" w:cs="Arial" w:eastAsia="Arial" w:hAnsi="Arial"/>
                <w:sz w:val="14"/>
                <w:szCs w:val="14"/>
                <w:color w:val="auto"/>
              </w:rPr>
              <w:t>[*CTR]</w:t>
            </w:r>
          </w:p>
        </w:tc>
        <w:tc>
          <w:tcPr>
            <w:tcW w:w="1480" w:type="dxa"/>
            <w:vAlign w:val="bottom"/>
            <w:tcBorders>
              <w:bottom w:val="single" w:sz="8" w:color="auto"/>
              <w:right w:val="single" w:sz="8" w:color="auto"/>
            </w:tcBorders>
          </w:tcPr>
          <w:p>
            <w:pPr>
              <w:ind w:left="540"/>
              <w:spacing w:after="0" w:line="142" w:lineRule="exact"/>
              <w:rPr>
                <w:sz w:val="20"/>
                <w:szCs w:val="20"/>
                <w:color w:val="auto"/>
              </w:rPr>
            </w:pPr>
            <w:r>
              <w:rPr>
                <w:rFonts w:ascii="Arial" w:cs="Arial" w:eastAsia="Arial" w:hAnsi="Arial"/>
                <w:sz w:val="14"/>
                <w:szCs w:val="14"/>
                <w:color w:val="auto"/>
              </w:rPr>
              <w:t>[*CTR]</w:t>
            </w:r>
          </w:p>
        </w:tc>
        <w:tc>
          <w:tcPr>
            <w:tcW w:w="11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rPr>
              <w:t>[*CTR]</w:t>
            </w:r>
          </w:p>
        </w:tc>
        <w:tc>
          <w:tcPr>
            <w:tcW w:w="11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rPr>
              <w:t>[*CTR]</w:t>
            </w:r>
          </w:p>
        </w:tc>
        <w:tc>
          <w:tcPr>
            <w:tcW w:w="900" w:type="dxa"/>
            <w:vAlign w:val="bottom"/>
            <w:tcBorders>
              <w:bottom w:val="single" w:sz="8" w:color="auto"/>
            </w:tcBorders>
          </w:tcPr>
          <w:p>
            <w:pPr>
              <w:jc w:val="center"/>
              <w:ind w:left="248"/>
              <w:spacing w:after="0" w:line="142" w:lineRule="exact"/>
              <w:rPr>
                <w:sz w:val="20"/>
                <w:szCs w:val="20"/>
                <w:color w:val="auto"/>
              </w:rPr>
            </w:pPr>
            <w:r>
              <w:rPr>
                <w:rFonts w:ascii="Arial" w:cs="Arial" w:eastAsia="Arial" w:hAnsi="Arial"/>
                <w:sz w:val="14"/>
                <w:szCs w:val="14"/>
                <w:color w:val="auto"/>
              </w:rPr>
              <w:t>[*CTR]</w:t>
            </w:r>
          </w:p>
        </w:tc>
        <w:tc>
          <w:tcPr>
            <w:tcW w:w="260" w:type="dxa"/>
            <w:vAlign w:val="bottom"/>
            <w:tcBorders>
              <w:bottom w:val="single" w:sz="8" w:color="auto"/>
              <w:right w:val="single" w:sz="8" w:color="auto"/>
            </w:tcBorders>
          </w:tcPr>
          <w:p>
            <w:pPr>
              <w:spacing w:after="0"/>
              <w:rPr>
                <w:sz w:val="12"/>
                <w:szCs w:val="12"/>
                <w:color w:val="auto"/>
              </w:rPr>
            </w:pPr>
          </w:p>
        </w:tc>
        <w:tc>
          <w:tcPr>
            <w:tcW w:w="10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rPr>
              <w:t>[*CTR]</w:t>
            </w:r>
          </w:p>
        </w:tc>
        <w:tc>
          <w:tcPr>
            <w:tcW w:w="0" w:type="dxa"/>
            <w:vAlign w:val="bottom"/>
          </w:tcPr>
          <w:p>
            <w:pPr>
              <w:spacing w:after="0"/>
              <w:rPr>
                <w:sz w:val="1"/>
                <w:szCs w:val="1"/>
                <w:color w:val="auto"/>
              </w:rPr>
            </w:pPr>
          </w:p>
        </w:tc>
      </w:tr>
      <w:tr>
        <w:trPr>
          <w:trHeight w:val="142"/>
        </w:trPr>
        <w:tc>
          <w:tcPr>
            <w:tcW w:w="1160" w:type="dxa"/>
            <w:vAlign w:val="bottom"/>
            <w:tcBorders>
              <w:left w:val="single" w:sz="8" w:color="auto"/>
              <w:bottom w:val="single" w:sz="8" w:color="auto"/>
              <w:right w:val="single" w:sz="8" w:color="auto"/>
            </w:tcBorders>
          </w:tcPr>
          <w:p>
            <w:pPr>
              <w:ind w:left="220"/>
              <w:spacing w:after="0" w:line="142" w:lineRule="exact"/>
              <w:rPr>
                <w:sz w:val="20"/>
                <w:szCs w:val="20"/>
                <w:color w:val="auto"/>
              </w:rPr>
            </w:pPr>
            <w:r>
              <w:rPr>
                <w:rFonts w:ascii="Arial" w:cs="Arial" w:eastAsia="Arial" w:hAnsi="Arial"/>
                <w:sz w:val="14"/>
                <w:szCs w:val="14"/>
                <w:color w:val="auto"/>
              </w:rPr>
              <w:t>[*CTR]-2019</w:t>
            </w:r>
          </w:p>
        </w:tc>
        <w:tc>
          <w:tcPr>
            <w:tcW w:w="1040" w:type="dxa"/>
            <w:vAlign w:val="bottom"/>
            <w:tcBorders>
              <w:bottom w:val="single" w:sz="8" w:color="auto"/>
              <w:right w:val="single" w:sz="8" w:color="auto"/>
            </w:tcBorders>
          </w:tcPr>
          <w:p>
            <w:pPr>
              <w:jc w:val="right"/>
              <w:ind w:right="367"/>
              <w:spacing w:after="0" w:line="142" w:lineRule="exact"/>
              <w:rPr>
                <w:sz w:val="20"/>
                <w:szCs w:val="20"/>
                <w:color w:val="auto"/>
              </w:rPr>
            </w:pPr>
            <w:r>
              <w:rPr>
                <w:rFonts w:ascii="Arial" w:cs="Arial" w:eastAsia="Arial" w:hAnsi="Arial"/>
                <w:sz w:val="14"/>
                <w:szCs w:val="14"/>
                <w:color w:val="auto"/>
              </w:rPr>
              <w:t>1</w:t>
            </w:r>
          </w:p>
        </w:tc>
        <w:tc>
          <w:tcPr>
            <w:tcW w:w="1040" w:type="dxa"/>
            <w:vAlign w:val="bottom"/>
            <w:tcBorders>
              <w:bottom w:val="single" w:sz="8" w:color="auto"/>
              <w:right w:val="single" w:sz="8" w:color="auto"/>
            </w:tcBorders>
          </w:tcPr>
          <w:p>
            <w:pPr>
              <w:ind w:left="340"/>
              <w:spacing w:after="0" w:line="142" w:lineRule="exact"/>
              <w:rPr>
                <w:sz w:val="20"/>
                <w:szCs w:val="20"/>
                <w:color w:val="auto"/>
              </w:rPr>
            </w:pPr>
            <w:r>
              <w:rPr>
                <w:rFonts w:ascii="Arial" w:cs="Arial" w:eastAsia="Arial" w:hAnsi="Arial"/>
                <w:sz w:val="14"/>
                <w:szCs w:val="14"/>
                <w:color w:val="auto"/>
              </w:rPr>
              <w:t>[*CTR]</w:t>
            </w:r>
          </w:p>
        </w:tc>
        <w:tc>
          <w:tcPr>
            <w:tcW w:w="1040" w:type="dxa"/>
            <w:vAlign w:val="bottom"/>
            <w:tcBorders>
              <w:bottom w:val="single" w:sz="8" w:color="auto"/>
              <w:right w:val="single" w:sz="8" w:color="auto"/>
            </w:tcBorders>
          </w:tcPr>
          <w:p>
            <w:pPr>
              <w:ind w:left="340"/>
              <w:spacing w:after="0" w:line="142" w:lineRule="exact"/>
              <w:rPr>
                <w:sz w:val="20"/>
                <w:szCs w:val="20"/>
                <w:color w:val="auto"/>
              </w:rPr>
            </w:pPr>
            <w:r>
              <w:rPr>
                <w:rFonts w:ascii="Arial" w:cs="Arial" w:eastAsia="Arial" w:hAnsi="Arial"/>
                <w:sz w:val="14"/>
                <w:szCs w:val="14"/>
                <w:color w:val="auto"/>
              </w:rPr>
              <w:t>[*CTR]</w:t>
            </w:r>
          </w:p>
        </w:tc>
        <w:tc>
          <w:tcPr>
            <w:tcW w:w="100" w:type="dxa"/>
            <w:vAlign w:val="bottom"/>
            <w:tcBorders>
              <w:bottom w:val="single" w:sz="8" w:color="auto"/>
            </w:tcBorders>
            <w:shd w:val="clear" w:color="auto" w:fill="B2B2B2"/>
          </w:tcPr>
          <w:p>
            <w:pPr>
              <w:spacing w:after="0"/>
              <w:rPr>
                <w:sz w:val="12"/>
                <w:szCs w:val="12"/>
                <w:color w:val="auto"/>
              </w:rPr>
            </w:pPr>
          </w:p>
        </w:tc>
        <w:tc>
          <w:tcPr>
            <w:tcW w:w="1060" w:type="dxa"/>
            <w:vAlign w:val="bottom"/>
            <w:tcBorders>
              <w:bottom w:val="single" w:sz="8" w:color="auto"/>
              <w:right w:val="single" w:sz="8" w:color="auto"/>
            </w:tcBorders>
            <w:shd w:val="clear" w:color="auto" w:fill="B2B2B2"/>
          </w:tcPr>
          <w:p>
            <w:pPr>
              <w:ind w:left="280"/>
              <w:spacing w:after="0" w:line="142" w:lineRule="exact"/>
              <w:rPr>
                <w:sz w:val="20"/>
                <w:szCs w:val="20"/>
                <w:color w:val="auto"/>
              </w:rPr>
            </w:pPr>
            <w:r>
              <w:rPr>
                <w:rFonts w:ascii="Arial" w:cs="Arial" w:eastAsia="Arial" w:hAnsi="Arial"/>
                <w:sz w:val="14"/>
                <w:szCs w:val="14"/>
                <w:color w:val="auto"/>
              </w:rPr>
              <w:t>[*CTR]</w:t>
            </w:r>
          </w:p>
        </w:tc>
        <w:tc>
          <w:tcPr>
            <w:tcW w:w="1480" w:type="dxa"/>
            <w:vAlign w:val="bottom"/>
            <w:tcBorders>
              <w:bottom w:val="single" w:sz="8" w:color="auto"/>
              <w:right w:val="single" w:sz="8" w:color="auto"/>
            </w:tcBorders>
          </w:tcPr>
          <w:p>
            <w:pPr>
              <w:ind w:left="540"/>
              <w:spacing w:after="0" w:line="142" w:lineRule="exact"/>
              <w:rPr>
                <w:sz w:val="20"/>
                <w:szCs w:val="20"/>
                <w:color w:val="auto"/>
              </w:rPr>
            </w:pPr>
            <w:r>
              <w:rPr>
                <w:rFonts w:ascii="Arial" w:cs="Arial" w:eastAsia="Arial" w:hAnsi="Arial"/>
                <w:sz w:val="14"/>
                <w:szCs w:val="14"/>
                <w:color w:val="auto"/>
              </w:rPr>
              <w:t>[*CTR]</w:t>
            </w:r>
          </w:p>
        </w:tc>
        <w:tc>
          <w:tcPr>
            <w:tcW w:w="11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rPr>
              <w:t>[*CTR]</w:t>
            </w:r>
          </w:p>
        </w:tc>
        <w:tc>
          <w:tcPr>
            <w:tcW w:w="11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rPr>
              <w:t>[*CTR]</w:t>
            </w:r>
          </w:p>
        </w:tc>
        <w:tc>
          <w:tcPr>
            <w:tcW w:w="900" w:type="dxa"/>
            <w:vAlign w:val="bottom"/>
            <w:tcBorders>
              <w:bottom w:val="single" w:sz="8" w:color="auto"/>
            </w:tcBorders>
          </w:tcPr>
          <w:p>
            <w:pPr>
              <w:jc w:val="center"/>
              <w:ind w:left="248"/>
              <w:spacing w:after="0" w:line="142" w:lineRule="exact"/>
              <w:rPr>
                <w:sz w:val="20"/>
                <w:szCs w:val="20"/>
                <w:color w:val="auto"/>
              </w:rPr>
            </w:pPr>
            <w:r>
              <w:rPr>
                <w:rFonts w:ascii="Arial" w:cs="Arial" w:eastAsia="Arial" w:hAnsi="Arial"/>
                <w:sz w:val="14"/>
                <w:szCs w:val="14"/>
                <w:color w:val="auto"/>
              </w:rPr>
              <w:t>[*CTR]</w:t>
            </w:r>
          </w:p>
        </w:tc>
        <w:tc>
          <w:tcPr>
            <w:tcW w:w="260" w:type="dxa"/>
            <w:vAlign w:val="bottom"/>
            <w:tcBorders>
              <w:bottom w:val="single" w:sz="8" w:color="auto"/>
              <w:right w:val="single" w:sz="8" w:color="auto"/>
            </w:tcBorders>
          </w:tcPr>
          <w:p>
            <w:pPr>
              <w:spacing w:after="0"/>
              <w:rPr>
                <w:sz w:val="12"/>
                <w:szCs w:val="12"/>
                <w:color w:val="auto"/>
              </w:rPr>
            </w:pPr>
          </w:p>
        </w:tc>
        <w:tc>
          <w:tcPr>
            <w:tcW w:w="10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rPr>
              <w:t>[*CTR]</w:t>
            </w:r>
          </w:p>
        </w:tc>
        <w:tc>
          <w:tcPr>
            <w:tcW w:w="0" w:type="dxa"/>
            <w:vAlign w:val="bottom"/>
          </w:tcPr>
          <w:p>
            <w:pPr>
              <w:spacing w:after="0"/>
              <w:rPr>
                <w:sz w:val="1"/>
                <w:szCs w:val="1"/>
                <w:color w:val="auto"/>
              </w:rPr>
            </w:pPr>
          </w:p>
        </w:tc>
      </w:tr>
      <w:tr>
        <w:trPr>
          <w:trHeight w:val="142"/>
        </w:trPr>
        <w:tc>
          <w:tcPr>
            <w:tcW w:w="1160" w:type="dxa"/>
            <w:vAlign w:val="bottom"/>
            <w:tcBorders>
              <w:left w:val="single" w:sz="8" w:color="auto"/>
              <w:bottom w:val="single" w:sz="8" w:color="auto"/>
              <w:right w:val="single" w:sz="8" w:color="auto"/>
            </w:tcBorders>
          </w:tcPr>
          <w:p>
            <w:pPr>
              <w:ind w:left="220"/>
              <w:spacing w:after="0" w:line="142" w:lineRule="exact"/>
              <w:rPr>
                <w:sz w:val="20"/>
                <w:szCs w:val="20"/>
                <w:color w:val="auto"/>
              </w:rPr>
            </w:pPr>
            <w:r>
              <w:rPr>
                <w:rFonts w:ascii="Arial" w:cs="Arial" w:eastAsia="Arial" w:hAnsi="Arial"/>
                <w:sz w:val="14"/>
                <w:szCs w:val="14"/>
                <w:color w:val="auto"/>
              </w:rPr>
              <w:t>[*CTR]-2019</w:t>
            </w:r>
          </w:p>
        </w:tc>
        <w:tc>
          <w:tcPr>
            <w:tcW w:w="1040" w:type="dxa"/>
            <w:vAlign w:val="bottom"/>
            <w:tcBorders>
              <w:bottom w:val="single" w:sz="8" w:color="auto"/>
              <w:right w:val="single" w:sz="8" w:color="auto"/>
            </w:tcBorders>
          </w:tcPr>
          <w:p>
            <w:pPr>
              <w:jc w:val="right"/>
              <w:ind w:right="367"/>
              <w:spacing w:after="0" w:line="142" w:lineRule="exact"/>
              <w:rPr>
                <w:sz w:val="20"/>
                <w:szCs w:val="20"/>
                <w:color w:val="auto"/>
              </w:rPr>
            </w:pPr>
            <w:r>
              <w:rPr>
                <w:rFonts w:ascii="Arial" w:cs="Arial" w:eastAsia="Arial" w:hAnsi="Arial"/>
                <w:sz w:val="14"/>
                <w:szCs w:val="14"/>
                <w:color w:val="auto"/>
              </w:rPr>
              <w:t>1</w:t>
            </w:r>
          </w:p>
        </w:tc>
        <w:tc>
          <w:tcPr>
            <w:tcW w:w="1040" w:type="dxa"/>
            <w:vAlign w:val="bottom"/>
            <w:tcBorders>
              <w:bottom w:val="single" w:sz="8" w:color="auto"/>
              <w:right w:val="single" w:sz="8" w:color="auto"/>
            </w:tcBorders>
          </w:tcPr>
          <w:p>
            <w:pPr>
              <w:ind w:left="340"/>
              <w:spacing w:after="0" w:line="142" w:lineRule="exact"/>
              <w:rPr>
                <w:sz w:val="20"/>
                <w:szCs w:val="20"/>
                <w:color w:val="auto"/>
              </w:rPr>
            </w:pPr>
            <w:r>
              <w:rPr>
                <w:rFonts w:ascii="Arial" w:cs="Arial" w:eastAsia="Arial" w:hAnsi="Arial"/>
                <w:sz w:val="14"/>
                <w:szCs w:val="14"/>
                <w:color w:val="auto"/>
              </w:rPr>
              <w:t>[*CTR]</w:t>
            </w:r>
          </w:p>
        </w:tc>
        <w:tc>
          <w:tcPr>
            <w:tcW w:w="1040" w:type="dxa"/>
            <w:vAlign w:val="bottom"/>
            <w:tcBorders>
              <w:bottom w:val="single" w:sz="8" w:color="auto"/>
              <w:right w:val="single" w:sz="8" w:color="auto"/>
            </w:tcBorders>
          </w:tcPr>
          <w:p>
            <w:pPr>
              <w:ind w:left="340"/>
              <w:spacing w:after="0" w:line="142" w:lineRule="exact"/>
              <w:rPr>
                <w:sz w:val="20"/>
                <w:szCs w:val="20"/>
                <w:color w:val="auto"/>
              </w:rPr>
            </w:pPr>
            <w:r>
              <w:rPr>
                <w:rFonts w:ascii="Arial" w:cs="Arial" w:eastAsia="Arial" w:hAnsi="Arial"/>
                <w:sz w:val="14"/>
                <w:szCs w:val="14"/>
                <w:color w:val="auto"/>
              </w:rPr>
              <w:t>[*CTR]</w:t>
            </w:r>
          </w:p>
        </w:tc>
        <w:tc>
          <w:tcPr>
            <w:tcW w:w="100" w:type="dxa"/>
            <w:vAlign w:val="bottom"/>
            <w:tcBorders>
              <w:bottom w:val="single" w:sz="8" w:color="auto"/>
            </w:tcBorders>
            <w:shd w:val="clear" w:color="auto" w:fill="B2B2B2"/>
          </w:tcPr>
          <w:p>
            <w:pPr>
              <w:spacing w:after="0"/>
              <w:rPr>
                <w:sz w:val="12"/>
                <w:szCs w:val="12"/>
                <w:color w:val="auto"/>
              </w:rPr>
            </w:pPr>
          </w:p>
        </w:tc>
        <w:tc>
          <w:tcPr>
            <w:tcW w:w="1060" w:type="dxa"/>
            <w:vAlign w:val="bottom"/>
            <w:tcBorders>
              <w:bottom w:val="single" w:sz="8" w:color="auto"/>
              <w:right w:val="single" w:sz="8" w:color="auto"/>
            </w:tcBorders>
            <w:shd w:val="clear" w:color="auto" w:fill="B2B2B2"/>
          </w:tcPr>
          <w:p>
            <w:pPr>
              <w:ind w:left="280"/>
              <w:spacing w:after="0" w:line="142" w:lineRule="exact"/>
              <w:rPr>
                <w:sz w:val="20"/>
                <w:szCs w:val="20"/>
                <w:color w:val="auto"/>
              </w:rPr>
            </w:pPr>
            <w:r>
              <w:rPr>
                <w:rFonts w:ascii="Arial" w:cs="Arial" w:eastAsia="Arial" w:hAnsi="Arial"/>
                <w:sz w:val="14"/>
                <w:szCs w:val="14"/>
                <w:color w:val="auto"/>
              </w:rPr>
              <w:t>[*CTR]</w:t>
            </w:r>
          </w:p>
        </w:tc>
        <w:tc>
          <w:tcPr>
            <w:tcW w:w="1480" w:type="dxa"/>
            <w:vAlign w:val="bottom"/>
            <w:tcBorders>
              <w:bottom w:val="single" w:sz="8" w:color="auto"/>
              <w:right w:val="single" w:sz="8" w:color="auto"/>
            </w:tcBorders>
          </w:tcPr>
          <w:p>
            <w:pPr>
              <w:ind w:left="540"/>
              <w:spacing w:after="0" w:line="142" w:lineRule="exact"/>
              <w:rPr>
                <w:sz w:val="20"/>
                <w:szCs w:val="20"/>
                <w:color w:val="auto"/>
              </w:rPr>
            </w:pPr>
            <w:r>
              <w:rPr>
                <w:rFonts w:ascii="Arial" w:cs="Arial" w:eastAsia="Arial" w:hAnsi="Arial"/>
                <w:sz w:val="14"/>
                <w:szCs w:val="14"/>
                <w:color w:val="auto"/>
              </w:rPr>
              <w:t>[*CTR]</w:t>
            </w:r>
          </w:p>
        </w:tc>
        <w:tc>
          <w:tcPr>
            <w:tcW w:w="11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rPr>
              <w:t>[*CTR]</w:t>
            </w:r>
          </w:p>
        </w:tc>
        <w:tc>
          <w:tcPr>
            <w:tcW w:w="11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rPr>
              <w:t>[*CTR]</w:t>
            </w:r>
          </w:p>
        </w:tc>
        <w:tc>
          <w:tcPr>
            <w:tcW w:w="900" w:type="dxa"/>
            <w:vAlign w:val="bottom"/>
            <w:tcBorders>
              <w:bottom w:val="single" w:sz="8" w:color="auto"/>
            </w:tcBorders>
          </w:tcPr>
          <w:p>
            <w:pPr>
              <w:jc w:val="center"/>
              <w:ind w:left="248"/>
              <w:spacing w:after="0" w:line="142" w:lineRule="exact"/>
              <w:rPr>
                <w:sz w:val="20"/>
                <w:szCs w:val="20"/>
                <w:color w:val="auto"/>
              </w:rPr>
            </w:pPr>
            <w:r>
              <w:rPr>
                <w:rFonts w:ascii="Arial" w:cs="Arial" w:eastAsia="Arial" w:hAnsi="Arial"/>
                <w:sz w:val="14"/>
                <w:szCs w:val="14"/>
                <w:color w:val="auto"/>
              </w:rPr>
              <w:t>[*CTR]</w:t>
            </w:r>
          </w:p>
        </w:tc>
        <w:tc>
          <w:tcPr>
            <w:tcW w:w="260" w:type="dxa"/>
            <w:vAlign w:val="bottom"/>
            <w:tcBorders>
              <w:bottom w:val="single" w:sz="8" w:color="auto"/>
              <w:right w:val="single" w:sz="8" w:color="auto"/>
            </w:tcBorders>
          </w:tcPr>
          <w:p>
            <w:pPr>
              <w:spacing w:after="0"/>
              <w:rPr>
                <w:sz w:val="12"/>
                <w:szCs w:val="12"/>
                <w:color w:val="auto"/>
              </w:rPr>
            </w:pPr>
          </w:p>
        </w:tc>
        <w:tc>
          <w:tcPr>
            <w:tcW w:w="10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rPr>
              <w:t>[*CTR]</w:t>
            </w:r>
          </w:p>
        </w:tc>
        <w:tc>
          <w:tcPr>
            <w:tcW w:w="0" w:type="dxa"/>
            <w:vAlign w:val="bottom"/>
          </w:tcPr>
          <w:p>
            <w:pPr>
              <w:spacing w:after="0"/>
              <w:rPr>
                <w:sz w:val="1"/>
                <w:szCs w:val="1"/>
                <w:color w:val="auto"/>
              </w:rPr>
            </w:pPr>
          </w:p>
        </w:tc>
      </w:tr>
      <w:tr>
        <w:trPr>
          <w:trHeight w:val="283"/>
        </w:trPr>
        <w:tc>
          <w:tcPr>
            <w:tcW w:w="1160" w:type="dxa"/>
            <w:vAlign w:val="bottom"/>
          </w:tcPr>
          <w:p>
            <w:pPr>
              <w:ind w:left="320"/>
              <w:spacing w:after="0"/>
              <w:rPr>
                <w:sz w:val="20"/>
                <w:szCs w:val="20"/>
                <w:color w:val="auto"/>
              </w:rPr>
            </w:pPr>
            <w:r>
              <w:rPr>
                <w:rFonts w:ascii="Arial" w:cs="Arial" w:eastAsia="Arial" w:hAnsi="Arial"/>
                <w:sz w:val="15"/>
                <w:szCs w:val="15"/>
                <w:color w:val="auto"/>
              </w:rPr>
              <w:t>Total:</w:t>
            </w:r>
          </w:p>
        </w:tc>
        <w:tc>
          <w:tcPr>
            <w:tcW w:w="1040" w:type="dxa"/>
            <w:vAlign w:val="bottom"/>
          </w:tcPr>
          <w:p>
            <w:pPr>
              <w:jc w:val="right"/>
              <w:ind w:right="507"/>
              <w:spacing w:after="0"/>
              <w:rPr>
                <w:sz w:val="20"/>
                <w:szCs w:val="20"/>
                <w:color w:val="auto"/>
              </w:rPr>
            </w:pPr>
            <w:r>
              <w:rPr>
                <w:rFonts w:ascii="Arial" w:cs="Arial" w:eastAsia="Arial" w:hAnsi="Arial"/>
                <w:sz w:val="15"/>
                <w:szCs w:val="15"/>
                <w:color w:val="auto"/>
              </w:rPr>
              <w:t>22</w:t>
            </w: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160" w:type="dxa"/>
            <w:vAlign w:val="bottom"/>
          </w:tcPr>
          <w:p>
            <w:pPr>
              <w:spacing w:after="0"/>
              <w:rPr>
                <w:sz w:val="20"/>
                <w:szCs w:val="20"/>
                <w:color w:val="auto"/>
              </w:rPr>
            </w:pPr>
            <w:r>
              <w:rPr>
                <w:rFonts w:ascii="Arial" w:cs="Arial" w:eastAsia="Arial" w:hAnsi="Arial"/>
                <w:sz w:val="15"/>
                <w:szCs w:val="15"/>
                <w:b w:val="1"/>
                <w:bCs w:val="1"/>
                <w:color w:val="auto"/>
              </w:rPr>
              <w:t>*Note: [*CTR]</w:t>
            </w:r>
          </w:p>
        </w:tc>
        <w:tc>
          <w:tcPr>
            <w:tcW w:w="10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8"/>
        </w:trPr>
        <w:tc>
          <w:tcPr>
            <w:tcW w:w="2200" w:type="dxa"/>
            <w:vAlign w:val="bottom"/>
            <w:gridSpan w:val="2"/>
          </w:tcPr>
          <w:p>
            <w:pPr>
              <w:jc w:val="right"/>
              <w:ind w:right="147"/>
              <w:spacing w:after="0"/>
              <w:rPr>
                <w:sz w:val="20"/>
                <w:szCs w:val="20"/>
                <w:color w:val="auto"/>
              </w:rPr>
            </w:pPr>
            <w:r>
              <w:rPr>
                <w:rFonts w:ascii="Arial" w:cs="Arial" w:eastAsia="Arial" w:hAnsi="Arial"/>
                <w:sz w:val="15"/>
                <w:szCs w:val="15"/>
                <w:color w:val="auto"/>
                <w:w w:val="99"/>
              </w:rPr>
              <w:t>AAL-PA-03219 105140-1F.txt</w:t>
            </w: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2"/>
            <w:vMerge w:val="restart"/>
          </w:tcPr>
          <w:p>
            <w:pPr>
              <w:ind w:left="800"/>
              <w:spacing w:after="0"/>
              <w:rPr>
                <w:sz w:val="20"/>
                <w:szCs w:val="20"/>
                <w:color w:val="auto"/>
              </w:rPr>
            </w:pPr>
            <w:r>
              <w:rPr>
                <w:rFonts w:ascii="Arial" w:cs="Arial" w:eastAsia="Arial" w:hAnsi="Arial"/>
                <w:sz w:val="19"/>
                <w:szCs w:val="19"/>
                <w:b w:val="1"/>
                <w:bCs w:val="1"/>
                <w:color w:val="auto"/>
                <w:w w:val="99"/>
              </w:rPr>
              <w:t>Boeing Proprietary</w:t>
            </w: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00" w:type="dxa"/>
            <w:vAlign w:val="bottom"/>
            <w:gridSpan w:val="2"/>
          </w:tcPr>
          <w:p>
            <w:pPr>
              <w:jc w:val="right"/>
              <w:spacing w:after="0"/>
              <w:rPr>
                <w:sz w:val="20"/>
                <w:szCs w:val="20"/>
                <w:color w:val="auto"/>
              </w:rPr>
            </w:pPr>
            <w:r>
              <w:rPr>
                <w:rFonts w:ascii="Arial" w:cs="Arial" w:eastAsia="Arial" w:hAnsi="Arial"/>
                <w:sz w:val="15"/>
                <w:szCs w:val="15"/>
                <w:color w:val="auto"/>
              </w:rPr>
              <w:t>SA-9, Table 1(R6),</w:t>
            </w:r>
          </w:p>
        </w:tc>
        <w:tc>
          <w:tcPr>
            <w:tcW w:w="0" w:type="dxa"/>
            <w:vAlign w:val="bottom"/>
          </w:tcPr>
          <w:p>
            <w:pPr>
              <w:spacing w:after="0"/>
              <w:rPr>
                <w:sz w:val="1"/>
                <w:szCs w:val="1"/>
                <w:color w:val="auto"/>
              </w:rPr>
            </w:pPr>
          </w:p>
        </w:tc>
      </w:tr>
      <w:tr>
        <w:trPr>
          <w:trHeight w:val="181"/>
        </w:trPr>
        <w:tc>
          <w:tcPr>
            <w:tcW w:w="1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40" w:type="dxa"/>
            <w:vAlign w:val="bottom"/>
            <w:gridSpan w:val="2"/>
            <w:vMerge w:val="continue"/>
          </w:tcPr>
          <w:p>
            <w:pPr>
              <w:spacing w:after="0"/>
              <w:rPr>
                <w:sz w:val="15"/>
                <w:szCs w:val="15"/>
                <w:color w:val="auto"/>
              </w:rPr>
            </w:pPr>
          </w:p>
        </w:tc>
        <w:tc>
          <w:tcPr>
            <w:tcW w:w="1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Page 2</w:t>
            </w:r>
          </w:p>
        </w:tc>
        <w:tc>
          <w:tcPr>
            <w:tcW w:w="0" w:type="dxa"/>
            <w:vAlign w:val="bottom"/>
          </w:tcPr>
          <w:p>
            <w:pPr>
              <w:spacing w:after="0"/>
              <w:rPr>
                <w:sz w:val="1"/>
                <w:szCs w:val="1"/>
                <w:color w:val="auto"/>
              </w:rPr>
            </w:pPr>
          </w:p>
        </w:tc>
      </w:tr>
    </w:tbl>
    <w:p>
      <w:pPr>
        <w:jc w:val="both"/>
        <w:ind w:right="20"/>
        <w:spacing w:after="0" w:line="260" w:lineRule="auto"/>
        <w:rPr>
          <w:sz w:val="20"/>
          <w:szCs w:val="20"/>
          <w:color w:val="auto"/>
        </w:rPr>
      </w:pPr>
      <w:r>
        <w:rPr>
          <w:rFonts w:ascii="Arial" w:cs="Arial" w:eastAsia="Arial" w:hAnsi="Arial"/>
          <w:sz w:val="16"/>
          <w:szCs w:val="16"/>
          <w:color w:val="auto"/>
        </w:rPr>
        <w:t>[*CTR]=[CONFIDENTIAL PORTION OMITTED AND FILED SEPARATELY WITH THE COMMISSION PURSUANT TO A REQUEST FOR CONFIDENTIAL TREATMENT]</w:t>
      </w:r>
    </w:p>
    <w:p>
      <w:pPr>
        <w:sectPr>
          <w:pgSz w:w="11900" w:h="16838" w:orient="portrait"/>
          <w:cols w:equalWidth="0" w:num="1">
            <w:col w:w="11440"/>
          </w:cols>
          <w:pgMar w:left="240" w:top="264" w:right="21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253"/>
        </w:trPr>
        <w:tc>
          <w:tcPr>
            <w:tcW w:w="3140" w:type="dxa"/>
            <w:vAlign w:val="bottom"/>
          </w:tcPr>
          <w:p>
            <w:pPr>
              <w:spacing w:after="0"/>
              <w:rPr>
                <w:sz w:val="21"/>
                <w:szCs w:val="21"/>
                <w:color w:val="auto"/>
              </w:rPr>
            </w:pPr>
          </w:p>
        </w:tc>
        <w:tc>
          <w:tcPr>
            <w:tcW w:w="5360" w:type="dxa"/>
            <w:vAlign w:val="bottom"/>
            <w:gridSpan w:val="6"/>
          </w:tcPr>
          <w:p>
            <w:pPr>
              <w:spacing w:after="0"/>
              <w:rPr>
                <w:sz w:val="20"/>
                <w:szCs w:val="20"/>
                <w:color w:val="auto"/>
              </w:rPr>
            </w:pPr>
            <w:r>
              <w:rPr>
                <w:rFonts w:ascii="Arial" w:cs="Arial" w:eastAsia="Arial" w:hAnsi="Arial"/>
                <w:sz w:val="22"/>
                <w:szCs w:val="22"/>
                <w:color w:val="auto"/>
                <w:w w:val="94"/>
              </w:rPr>
              <w:t>Attachment C(R1): Delivery Schedule for Covered Aircraft</w:t>
            </w:r>
          </w:p>
        </w:tc>
        <w:tc>
          <w:tcPr>
            <w:tcW w:w="2480" w:type="dxa"/>
            <w:vAlign w:val="bottom"/>
          </w:tcPr>
          <w:p>
            <w:pPr>
              <w:spacing w:after="0"/>
              <w:rPr>
                <w:sz w:val="21"/>
                <w:szCs w:val="21"/>
                <w:color w:val="auto"/>
              </w:rPr>
            </w:pPr>
          </w:p>
        </w:tc>
      </w:tr>
      <w:tr>
        <w:trPr>
          <w:trHeight w:val="385"/>
        </w:trPr>
        <w:tc>
          <w:tcPr>
            <w:tcW w:w="314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46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172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37"/>
        </w:trPr>
        <w:tc>
          <w:tcPr>
            <w:tcW w:w="3140" w:type="dxa"/>
            <w:vAlign w:val="bottom"/>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1460" w:type="dxa"/>
            <w:vAlign w:val="bottom"/>
            <w:tcBorders>
              <w:bottom w:val="single" w:sz="8" w:color="auto"/>
            </w:tcBorders>
          </w:tcPr>
          <w:p>
            <w:pPr>
              <w:ind w:left="580"/>
              <w:spacing w:after="0" w:line="237" w:lineRule="exact"/>
              <w:rPr>
                <w:sz w:val="20"/>
                <w:szCs w:val="20"/>
                <w:color w:val="auto"/>
              </w:rPr>
            </w:pPr>
            <w:r>
              <w:rPr>
                <w:rFonts w:ascii="Arial" w:cs="Arial" w:eastAsia="Arial" w:hAnsi="Arial"/>
                <w:sz w:val="22"/>
                <w:szCs w:val="22"/>
                <w:color w:val="auto"/>
              </w:rPr>
              <w:t>Aircraft</w:t>
            </w:r>
          </w:p>
        </w:tc>
        <w:tc>
          <w:tcPr>
            <w:tcW w:w="240" w:type="dxa"/>
            <w:vAlign w:val="bottom"/>
            <w:tcBorders>
              <w:bottom w:val="single" w:sz="8" w:color="auto"/>
              <w:right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2"/>
              </w:rPr>
              <w:t>Delivery Date</w:t>
            </w: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237"/>
        </w:trPr>
        <w:tc>
          <w:tcPr>
            <w:tcW w:w="3140" w:type="dxa"/>
            <w:vAlign w:val="bottom"/>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1460" w:type="dxa"/>
            <w:vAlign w:val="bottom"/>
            <w:tcBorders>
              <w:bottom w:val="single" w:sz="8" w:color="auto"/>
            </w:tcBorders>
          </w:tcPr>
          <w:p>
            <w:pPr>
              <w:ind w:left="580"/>
              <w:spacing w:after="0" w:line="237" w:lineRule="exact"/>
              <w:rPr>
                <w:sz w:val="20"/>
                <w:szCs w:val="20"/>
                <w:color w:val="auto"/>
              </w:rPr>
            </w:pPr>
            <w:r>
              <w:rPr>
                <w:rFonts w:ascii="Arial" w:cs="Arial" w:eastAsia="Arial" w:hAnsi="Arial"/>
                <w:sz w:val="22"/>
                <w:szCs w:val="22"/>
                <w:color w:val="auto"/>
              </w:rPr>
              <w:t>[*CTR]</w:t>
            </w:r>
          </w:p>
        </w:tc>
        <w:tc>
          <w:tcPr>
            <w:tcW w:w="240" w:type="dxa"/>
            <w:vAlign w:val="bottom"/>
            <w:tcBorders>
              <w:bottom w:val="single" w:sz="8" w:color="auto"/>
              <w:right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9"/>
              </w:rPr>
              <w:t>[*CTR]</w:t>
            </w: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237"/>
        </w:trPr>
        <w:tc>
          <w:tcPr>
            <w:tcW w:w="3140" w:type="dxa"/>
            <w:vAlign w:val="bottom"/>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1460" w:type="dxa"/>
            <w:vAlign w:val="bottom"/>
            <w:tcBorders>
              <w:bottom w:val="single" w:sz="8" w:color="auto"/>
            </w:tcBorders>
          </w:tcPr>
          <w:p>
            <w:pPr>
              <w:ind w:left="580"/>
              <w:spacing w:after="0" w:line="237" w:lineRule="exact"/>
              <w:rPr>
                <w:sz w:val="20"/>
                <w:szCs w:val="20"/>
                <w:color w:val="auto"/>
              </w:rPr>
            </w:pPr>
            <w:r>
              <w:rPr>
                <w:rFonts w:ascii="Arial" w:cs="Arial" w:eastAsia="Arial" w:hAnsi="Arial"/>
                <w:sz w:val="22"/>
                <w:szCs w:val="22"/>
                <w:color w:val="auto"/>
              </w:rPr>
              <w:t>[*CTR]</w:t>
            </w:r>
          </w:p>
        </w:tc>
        <w:tc>
          <w:tcPr>
            <w:tcW w:w="240" w:type="dxa"/>
            <w:vAlign w:val="bottom"/>
            <w:tcBorders>
              <w:bottom w:val="single" w:sz="8" w:color="auto"/>
              <w:right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9"/>
              </w:rPr>
              <w:t>[*CTR]</w:t>
            </w: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237"/>
        </w:trPr>
        <w:tc>
          <w:tcPr>
            <w:tcW w:w="3140" w:type="dxa"/>
            <w:vAlign w:val="bottom"/>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1460" w:type="dxa"/>
            <w:vAlign w:val="bottom"/>
            <w:tcBorders>
              <w:bottom w:val="single" w:sz="8" w:color="auto"/>
            </w:tcBorders>
          </w:tcPr>
          <w:p>
            <w:pPr>
              <w:ind w:left="580"/>
              <w:spacing w:after="0" w:line="237" w:lineRule="exact"/>
              <w:rPr>
                <w:sz w:val="20"/>
                <w:szCs w:val="20"/>
                <w:color w:val="auto"/>
              </w:rPr>
            </w:pPr>
            <w:r>
              <w:rPr>
                <w:rFonts w:ascii="Arial" w:cs="Arial" w:eastAsia="Arial" w:hAnsi="Arial"/>
                <w:sz w:val="22"/>
                <w:szCs w:val="22"/>
                <w:color w:val="auto"/>
              </w:rPr>
              <w:t>[*CTR]</w:t>
            </w:r>
          </w:p>
        </w:tc>
        <w:tc>
          <w:tcPr>
            <w:tcW w:w="240" w:type="dxa"/>
            <w:vAlign w:val="bottom"/>
            <w:tcBorders>
              <w:bottom w:val="single" w:sz="8" w:color="auto"/>
              <w:right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9"/>
              </w:rPr>
              <w:t>[*CTR]</w:t>
            </w: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237"/>
        </w:trPr>
        <w:tc>
          <w:tcPr>
            <w:tcW w:w="3140" w:type="dxa"/>
            <w:vAlign w:val="bottom"/>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1460" w:type="dxa"/>
            <w:vAlign w:val="bottom"/>
            <w:tcBorders>
              <w:bottom w:val="single" w:sz="8" w:color="auto"/>
            </w:tcBorders>
          </w:tcPr>
          <w:p>
            <w:pPr>
              <w:ind w:left="580"/>
              <w:spacing w:after="0" w:line="237" w:lineRule="exact"/>
              <w:rPr>
                <w:sz w:val="20"/>
                <w:szCs w:val="20"/>
                <w:color w:val="auto"/>
              </w:rPr>
            </w:pPr>
            <w:r>
              <w:rPr>
                <w:rFonts w:ascii="Arial" w:cs="Arial" w:eastAsia="Arial" w:hAnsi="Arial"/>
                <w:sz w:val="22"/>
                <w:szCs w:val="22"/>
                <w:color w:val="auto"/>
              </w:rPr>
              <w:t>[*CTR]</w:t>
            </w:r>
          </w:p>
        </w:tc>
        <w:tc>
          <w:tcPr>
            <w:tcW w:w="240" w:type="dxa"/>
            <w:vAlign w:val="bottom"/>
            <w:tcBorders>
              <w:bottom w:val="single" w:sz="8" w:color="auto"/>
              <w:right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9"/>
              </w:rPr>
              <w:t>[*CTR]</w:t>
            </w: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237"/>
        </w:trPr>
        <w:tc>
          <w:tcPr>
            <w:tcW w:w="3140" w:type="dxa"/>
            <w:vAlign w:val="bottom"/>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1460" w:type="dxa"/>
            <w:vAlign w:val="bottom"/>
            <w:tcBorders>
              <w:bottom w:val="single" w:sz="8" w:color="auto"/>
            </w:tcBorders>
          </w:tcPr>
          <w:p>
            <w:pPr>
              <w:ind w:left="580"/>
              <w:spacing w:after="0" w:line="237" w:lineRule="exact"/>
              <w:rPr>
                <w:sz w:val="20"/>
                <w:szCs w:val="20"/>
                <w:color w:val="auto"/>
              </w:rPr>
            </w:pPr>
            <w:r>
              <w:rPr>
                <w:rFonts w:ascii="Arial" w:cs="Arial" w:eastAsia="Arial" w:hAnsi="Arial"/>
                <w:sz w:val="22"/>
                <w:szCs w:val="22"/>
                <w:color w:val="auto"/>
              </w:rPr>
              <w:t>[*CTR]</w:t>
            </w:r>
          </w:p>
        </w:tc>
        <w:tc>
          <w:tcPr>
            <w:tcW w:w="240" w:type="dxa"/>
            <w:vAlign w:val="bottom"/>
            <w:tcBorders>
              <w:bottom w:val="single" w:sz="8" w:color="auto"/>
              <w:right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9"/>
              </w:rPr>
              <w:t>[*CTR]</w:t>
            </w: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237"/>
        </w:trPr>
        <w:tc>
          <w:tcPr>
            <w:tcW w:w="3140" w:type="dxa"/>
            <w:vAlign w:val="bottom"/>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1460" w:type="dxa"/>
            <w:vAlign w:val="bottom"/>
            <w:tcBorders>
              <w:bottom w:val="single" w:sz="8" w:color="auto"/>
            </w:tcBorders>
          </w:tcPr>
          <w:p>
            <w:pPr>
              <w:ind w:left="580"/>
              <w:spacing w:after="0" w:line="237" w:lineRule="exact"/>
              <w:rPr>
                <w:sz w:val="20"/>
                <w:szCs w:val="20"/>
                <w:color w:val="auto"/>
              </w:rPr>
            </w:pPr>
            <w:r>
              <w:rPr>
                <w:rFonts w:ascii="Arial" w:cs="Arial" w:eastAsia="Arial" w:hAnsi="Arial"/>
                <w:sz w:val="22"/>
                <w:szCs w:val="22"/>
                <w:color w:val="auto"/>
              </w:rPr>
              <w:t>[*CTR]</w:t>
            </w:r>
          </w:p>
        </w:tc>
        <w:tc>
          <w:tcPr>
            <w:tcW w:w="240" w:type="dxa"/>
            <w:vAlign w:val="bottom"/>
            <w:tcBorders>
              <w:bottom w:val="single" w:sz="8" w:color="auto"/>
              <w:right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9"/>
              </w:rPr>
              <w:t>[*CTR]</w:t>
            </w: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237"/>
        </w:trPr>
        <w:tc>
          <w:tcPr>
            <w:tcW w:w="3140" w:type="dxa"/>
            <w:vAlign w:val="bottom"/>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1460" w:type="dxa"/>
            <w:vAlign w:val="bottom"/>
            <w:tcBorders>
              <w:bottom w:val="single" w:sz="8" w:color="auto"/>
            </w:tcBorders>
          </w:tcPr>
          <w:p>
            <w:pPr>
              <w:ind w:left="580"/>
              <w:spacing w:after="0" w:line="237" w:lineRule="exact"/>
              <w:rPr>
                <w:sz w:val="20"/>
                <w:szCs w:val="20"/>
                <w:color w:val="auto"/>
              </w:rPr>
            </w:pPr>
            <w:r>
              <w:rPr>
                <w:rFonts w:ascii="Arial" w:cs="Arial" w:eastAsia="Arial" w:hAnsi="Arial"/>
                <w:sz w:val="22"/>
                <w:szCs w:val="22"/>
                <w:color w:val="auto"/>
              </w:rPr>
              <w:t>[*CTR]</w:t>
            </w:r>
          </w:p>
        </w:tc>
        <w:tc>
          <w:tcPr>
            <w:tcW w:w="240" w:type="dxa"/>
            <w:vAlign w:val="bottom"/>
            <w:tcBorders>
              <w:bottom w:val="single" w:sz="8" w:color="auto"/>
              <w:right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9"/>
              </w:rPr>
              <w:t>[*CTR]</w:t>
            </w: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237"/>
        </w:trPr>
        <w:tc>
          <w:tcPr>
            <w:tcW w:w="3140" w:type="dxa"/>
            <w:vAlign w:val="bottom"/>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1460" w:type="dxa"/>
            <w:vAlign w:val="bottom"/>
            <w:tcBorders>
              <w:bottom w:val="single" w:sz="8" w:color="auto"/>
            </w:tcBorders>
          </w:tcPr>
          <w:p>
            <w:pPr>
              <w:ind w:left="580"/>
              <w:spacing w:after="0" w:line="237" w:lineRule="exact"/>
              <w:rPr>
                <w:sz w:val="20"/>
                <w:szCs w:val="20"/>
                <w:color w:val="auto"/>
              </w:rPr>
            </w:pPr>
            <w:r>
              <w:rPr>
                <w:rFonts w:ascii="Arial" w:cs="Arial" w:eastAsia="Arial" w:hAnsi="Arial"/>
                <w:sz w:val="22"/>
                <w:szCs w:val="22"/>
                <w:color w:val="auto"/>
              </w:rPr>
              <w:t>[*CTR]</w:t>
            </w:r>
          </w:p>
        </w:tc>
        <w:tc>
          <w:tcPr>
            <w:tcW w:w="240" w:type="dxa"/>
            <w:vAlign w:val="bottom"/>
            <w:tcBorders>
              <w:bottom w:val="single" w:sz="8" w:color="auto"/>
              <w:right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9"/>
              </w:rPr>
              <w:t>[*CTR]</w:t>
            </w: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237"/>
        </w:trPr>
        <w:tc>
          <w:tcPr>
            <w:tcW w:w="3140" w:type="dxa"/>
            <w:vAlign w:val="bottom"/>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1460" w:type="dxa"/>
            <w:vAlign w:val="bottom"/>
            <w:tcBorders>
              <w:bottom w:val="single" w:sz="8" w:color="auto"/>
            </w:tcBorders>
          </w:tcPr>
          <w:p>
            <w:pPr>
              <w:ind w:left="580"/>
              <w:spacing w:after="0" w:line="237" w:lineRule="exact"/>
              <w:rPr>
                <w:sz w:val="20"/>
                <w:szCs w:val="20"/>
                <w:color w:val="auto"/>
              </w:rPr>
            </w:pPr>
            <w:r>
              <w:rPr>
                <w:rFonts w:ascii="Arial" w:cs="Arial" w:eastAsia="Arial" w:hAnsi="Arial"/>
                <w:sz w:val="22"/>
                <w:szCs w:val="22"/>
                <w:color w:val="auto"/>
              </w:rPr>
              <w:t>[*CTR]</w:t>
            </w:r>
          </w:p>
        </w:tc>
        <w:tc>
          <w:tcPr>
            <w:tcW w:w="240" w:type="dxa"/>
            <w:vAlign w:val="bottom"/>
            <w:tcBorders>
              <w:bottom w:val="single" w:sz="8" w:color="auto"/>
              <w:right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9"/>
              </w:rPr>
              <w:t>[*CTR]</w:t>
            </w: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237"/>
        </w:trPr>
        <w:tc>
          <w:tcPr>
            <w:tcW w:w="3140" w:type="dxa"/>
            <w:vAlign w:val="bottom"/>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1460" w:type="dxa"/>
            <w:vAlign w:val="bottom"/>
            <w:tcBorders>
              <w:bottom w:val="single" w:sz="8" w:color="auto"/>
            </w:tcBorders>
          </w:tcPr>
          <w:p>
            <w:pPr>
              <w:ind w:left="580"/>
              <w:spacing w:after="0" w:line="237" w:lineRule="exact"/>
              <w:rPr>
                <w:sz w:val="20"/>
                <w:szCs w:val="20"/>
                <w:color w:val="auto"/>
              </w:rPr>
            </w:pPr>
            <w:r>
              <w:rPr>
                <w:rFonts w:ascii="Arial" w:cs="Arial" w:eastAsia="Arial" w:hAnsi="Arial"/>
                <w:sz w:val="22"/>
                <w:szCs w:val="22"/>
                <w:color w:val="auto"/>
              </w:rPr>
              <w:t>[*CTR]</w:t>
            </w:r>
          </w:p>
        </w:tc>
        <w:tc>
          <w:tcPr>
            <w:tcW w:w="240" w:type="dxa"/>
            <w:vAlign w:val="bottom"/>
            <w:tcBorders>
              <w:bottom w:val="single" w:sz="8" w:color="auto"/>
              <w:right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9"/>
              </w:rPr>
              <w:t>[*CTR]</w:t>
            </w: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237"/>
        </w:trPr>
        <w:tc>
          <w:tcPr>
            <w:tcW w:w="3140" w:type="dxa"/>
            <w:vAlign w:val="bottom"/>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1460" w:type="dxa"/>
            <w:vAlign w:val="bottom"/>
            <w:tcBorders>
              <w:bottom w:val="single" w:sz="8" w:color="auto"/>
            </w:tcBorders>
          </w:tcPr>
          <w:p>
            <w:pPr>
              <w:ind w:left="580"/>
              <w:spacing w:after="0" w:line="237" w:lineRule="exact"/>
              <w:rPr>
                <w:sz w:val="20"/>
                <w:szCs w:val="20"/>
                <w:color w:val="auto"/>
              </w:rPr>
            </w:pPr>
            <w:r>
              <w:rPr>
                <w:rFonts w:ascii="Arial" w:cs="Arial" w:eastAsia="Arial" w:hAnsi="Arial"/>
                <w:sz w:val="22"/>
                <w:szCs w:val="22"/>
                <w:color w:val="auto"/>
              </w:rPr>
              <w:t>[*CTR]</w:t>
            </w:r>
          </w:p>
        </w:tc>
        <w:tc>
          <w:tcPr>
            <w:tcW w:w="240" w:type="dxa"/>
            <w:vAlign w:val="bottom"/>
            <w:tcBorders>
              <w:bottom w:val="single" w:sz="8" w:color="auto"/>
              <w:right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9"/>
              </w:rPr>
              <w:t>[*CTR]</w:t>
            </w: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237"/>
        </w:trPr>
        <w:tc>
          <w:tcPr>
            <w:tcW w:w="3140" w:type="dxa"/>
            <w:vAlign w:val="bottom"/>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1460" w:type="dxa"/>
            <w:vAlign w:val="bottom"/>
            <w:tcBorders>
              <w:bottom w:val="single" w:sz="8" w:color="auto"/>
            </w:tcBorders>
          </w:tcPr>
          <w:p>
            <w:pPr>
              <w:ind w:left="580"/>
              <w:spacing w:after="0" w:line="237" w:lineRule="exact"/>
              <w:rPr>
                <w:sz w:val="20"/>
                <w:szCs w:val="20"/>
                <w:color w:val="auto"/>
              </w:rPr>
            </w:pPr>
            <w:r>
              <w:rPr>
                <w:rFonts w:ascii="Arial" w:cs="Arial" w:eastAsia="Arial" w:hAnsi="Arial"/>
                <w:sz w:val="22"/>
                <w:szCs w:val="22"/>
                <w:color w:val="auto"/>
              </w:rPr>
              <w:t>[*CTR]</w:t>
            </w:r>
          </w:p>
        </w:tc>
        <w:tc>
          <w:tcPr>
            <w:tcW w:w="240" w:type="dxa"/>
            <w:vAlign w:val="bottom"/>
            <w:tcBorders>
              <w:bottom w:val="single" w:sz="8" w:color="auto"/>
              <w:right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9"/>
              </w:rPr>
              <w:t>[*CTR]</w:t>
            </w: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237"/>
        </w:trPr>
        <w:tc>
          <w:tcPr>
            <w:tcW w:w="3140" w:type="dxa"/>
            <w:vAlign w:val="bottom"/>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1460" w:type="dxa"/>
            <w:vAlign w:val="bottom"/>
            <w:tcBorders>
              <w:bottom w:val="single" w:sz="8" w:color="auto"/>
            </w:tcBorders>
          </w:tcPr>
          <w:p>
            <w:pPr>
              <w:ind w:left="580"/>
              <w:spacing w:after="0" w:line="237" w:lineRule="exact"/>
              <w:rPr>
                <w:sz w:val="20"/>
                <w:szCs w:val="20"/>
                <w:color w:val="auto"/>
              </w:rPr>
            </w:pPr>
            <w:r>
              <w:rPr>
                <w:rFonts w:ascii="Arial" w:cs="Arial" w:eastAsia="Arial" w:hAnsi="Arial"/>
                <w:sz w:val="22"/>
                <w:szCs w:val="22"/>
                <w:color w:val="auto"/>
              </w:rPr>
              <w:t>[*CTR]</w:t>
            </w:r>
          </w:p>
        </w:tc>
        <w:tc>
          <w:tcPr>
            <w:tcW w:w="240" w:type="dxa"/>
            <w:vAlign w:val="bottom"/>
            <w:tcBorders>
              <w:bottom w:val="single" w:sz="8" w:color="auto"/>
              <w:right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9"/>
              </w:rPr>
              <w:t>[*CTR]</w:t>
            </w: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237"/>
        </w:trPr>
        <w:tc>
          <w:tcPr>
            <w:tcW w:w="3140" w:type="dxa"/>
            <w:vAlign w:val="bottom"/>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1460" w:type="dxa"/>
            <w:vAlign w:val="bottom"/>
            <w:tcBorders>
              <w:bottom w:val="single" w:sz="8" w:color="auto"/>
            </w:tcBorders>
          </w:tcPr>
          <w:p>
            <w:pPr>
              <w:ind w:left="580"/>
              <w:spacing w:after="0" w:line="237" w:lineRule="exact"/>
              <w:rPr>
                <w:sz w:val="20"/>
                <w:szCs w:val="20"/>
                <w:color w:val="auto"/>
              </w:rPr>
            </w:pPr>
            <w:r>
              <w:rPr>
                <w:rFonts w:ascii="Arial" w:cs="Arial" w:eastAsia="Arial" w:hAnsi="Arial"/>
                <w:sz w:val="22"/>
                <w:szCs w:val="22"/>
                <w:color w:val="auto"/>
              </w:rPr>
              <w:t>[*CTR]</w:t>
            </w:r>
          </w:p>
        </w:tc>
        <w:tc>
          <w:tcPr>
            <w:tcW w:w="240" w:type="dxa"/>
            <w:vAlign w:val="bottom"/>
            <w:tcBorders>
              <w:bottom w:val="single" w:sz="8" w:color="auto"/>
              <w:right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9"/>
              </w:rPr>
              <w:t>[*CTR]</w:t>
            </w: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237"/>
        </w:trPr>
        <w:tc>
          <w:tcPr>
            <w:tcW w:w="3140" w:type="dxa"/>
            <w:vAlign w:val="bottom"/>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1460" w:type="dxa"/>
            <w:vAlign w:val="bottom"/>
            <w:tcBorders>
              <w:bottom w:val="single" w:sz="8" w:color="auto"/>
            </w:tcBorders>
          </w:tcPr>
          <w:p>
            <w:pPr>
              <w:ind w:left="580"/>
              <w:spacing w:after="0" w:line="237" w:lineRule="exact"/>
              <w:rPr>
                <w:sz w:val="20"/>
                <w:szCs w:val="20"/>
                <w:color w:val="auto"/>
              </w:rPr>
            </w:pPr>
            <w:r>
              <w:rPr>
                <w:rFonts w:ascii="Arial" w:cs="Arial" w:eastAsia="Arial" w:hAnsi="Arial"/>
                <w:sz w:val="22"/>
                <w:szCs w:val="22"/>
                <w:color w:val="auto"/>
              </w:rPr>
              <w:t>[*CTR]</w:t>
            </w:r>
          </w:p>
        </w:tc>
        <w:tc>
          <w:tcPr>
            <w:tcW w:w="240" w:type="dxa"/>
            <w:vAlign w:val="bottom"/>
            <w:tcBorders>
              <w:bottom w:val="single" w:sz="8" w:color="auto"/>
              <w:right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9"/>
              </w:rPr>
              <w:t>[*CTR]</w:t>
            </w: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237"/>
        </w:trPr>
        <w:tc>
          <w:tcPr>
            <w:tcW w:w="3140" w:type="dxa"/>
            <w:vAlign w:val="bottom"/>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1460" w:type="dxa"/>
            <w:vAlign w:val="bottom"/>
            <w:tcBorders>
              <w:bottom w:val="single" w:sz="8" w:color="auto"/>
            </w:tcBorders>
          </w:tcPr>
          <w:p>
            <w:pPr>
              <w:ind w:left="580"/>
              <w:spacing w:after="0" w:line="237" w:lineRule="exact"/>
              <w:rPr>
                <w:sz w:val="20"/>
                <w:szCs w:val="20"/>
                <w:color w:val="auto"/>
              </w:rPr>
            </w:pPr>
            <w:r>
              <w:rPr>
                <w:rFonts w:ascii="Arial" w:cs="Arial" w:eastAsia="Arial" w:hAnsi="Arial"/>
                <w:sz w:val="22"/>
                <w:szCs w:val="22"/>
                <w:color w:val="auto"/>
              </w:rPr>
              <w:t>[*CTR]</w:t>
            </w:r>
          </w:p>
        </w:tc>
        <w:tc>
          <w:tcPr>
            <w:tcW w:w="240" w:type="dxa"/>
            <w:vAlign w:val="bottom"/>
            <w:tcBorders>
              <w:bottom w:val="single" w:sz="8" w:color="auto"/>
              <w:right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9"/>
              </w:rPr>
              <w:t>[*CTR]</w:t>
            </w: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237"/>
        </w:trPr>
        <w:tc>
          <w:tcPr>
            <w:tcW w:w="3140" w:type="dxa"/>
            <w:vAlign w:val="bottom"/>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1460" w:type="dxa"/>
            <w:vAlign w:val="bottom"/>
            <w:tcBorders>
              <w:bottom w:val="single" w:sz="8" w:color="auto"/>
            </w:tcBorders>
          </w:tcPr>
          <w:p>
            <w:pPr>
              <w:ind w:left="580"/>
              <w:spacing w:after="0" w:line="237" w:lineRule="exact"/>
              <w:rPr>
                <w:sz w:val="20"/>
                <w:szCs w:val="20"/>
                <w:color w:val="auto"/>
              </w:rPr>
            </w:pPr>
            <w:r>
              <w:rPr>
                <w:rFonts w:ascii="Arial" w:cs="Arial" w:eastAsia="Arial" w:hAnsi="Arial"/>
                <w:sz w:val="22"/>
                <w:szCs w:val="22"/>
                <w:color w:val="auto"/>
              </w:rPr>
              <w:t>[*CTR]</w:t>
            </w:r>
          </w:p>
        </w:tc>
        <w:tc>
          <w:tcPr>
            <w:tcW w:w="240" w:type="dxa"/>
            <w:vAlign w:val="bottom"/>
            <w:tcBorders>
              <w:bottom w:val="single" w:sz="8" w:color="auto"/>
              <w:right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9"/>
              </w:rPr>
              <w:t>[*CTR]</w:t>
            </w: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237"/>
        </w:trPr>
        <w:tc>
          <w:tcPr>
            <w:tcW w:w="3140" w:type="dxa"/>
            <w:vAlign w:val="bottom"/>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1460" w:type="dxa"/>
            <w:vAlign w:val="bottom"/>
            <w:tcBorders>
              <w:bottom w:val="single" w:sz="8" w:color="auto"/>
            </w:tcBorders>
          </w:tcPr>
          <w:p>
            <w:pPr>
              <w:ind w:left="580"/>
              <w:spacing w:after="0" w:line="237" w:lineRule="exact"/>
              <w:rPr>
                <w:sz w:val="20"/>
                <w:szCs w:val="20"/>
                <w:color w:val="auto"/>
              </w:rPr>
            </w:pPr>
            <w:r>
              <w:rPr>
                <w:rFonts w:ascii="Arial" w:cs="Arial" w:eastAsia="Arial" w:hAnsi="Arial"/>
                <w:sz w:val="22"/>
                <w:szCs w:val="22"/>
                <w:color w:val="auto"/>
              </w:rPr>
              <w:t>[*CTR]</w:t>
            </w:r>
          </w:p>
        </w:tc>
        <w:tc>
          <w:tcPr>
            <w:tcW w:w="240" w:type="dxa"/>
            <w:vAlign w:val="bottom"/>
            <w:tcBorders>
              <w:bottom w:val="single" w:sz="8" w:color="auto"/>
              <w:right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9"/>
              </w:rPr>
              <w:t>[*CTR]</w:t>
            </w: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237"/>
        </w:trPr>
        <w:tc>
          <w:tcPr>
            <w:tcW w:w="3140" w:type="dxa"/>
            <w:vAlign w:val="bottom"/>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1460" w:type="dxa"/>
            <w:vAlign w:val="bottom"/>
            <w:tcBorders>
              <w:bottom w:val="single" w:sz="8" w:color="auto"/>
            </w:tcBorders>
          </w:tcPr>
          <w:p>
            <w:pPr>
              <w:ind w:left="580"/>
              <w:spacing w:after="0" w:line="237" w:lineRule="exact"/>
              <w:rPr>
                <w:sz w:val="20"/>
                <w:szCs w:val="20"/>
                <w:color w:val="auto"/>
              </w:rPr>
            </w:pPr>
            <w:r>
              <w:rPr>
                <w:rFonts w:ascii="Arial" w:cs="Arial" w:eastAsia="Arial" w:hAnsi="Arial"/>
                <w:sz w:val="22"/>
                <w:szCs w:val="22"/>
                <w:color w:val="auto"/>
              </w:rPr>
              <w:t>[*CTR]</w:t>
            </w:r>
          </w:p>
        </w:tc>
        <w:tc>
          <w:tcPr>
            <w:tcW w:w="240" w:type="dxa"/>
            <w:vAlign w:val="bottom"/>
            <w:tcBorders>
              <w:bottom w:val="single" w:sz="8" w:color="auto"/>
              <w:right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9"/>
              </w:rPr>
              <w:t>[*CTR]</w:t>
            </w: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237"/>
        </w:trPr>
        <w:tc>
          <w:tcPr>
            <w:tcW w:w="3140" w:type="dxa"/>
            <w:vAlign w:val="bottom"/>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1460" w:type="dxa"/>
            <w:vAlign w:val="bottom"/>
            <w:tcBorders>
              <w:bottom w:val="single" w:sz="8" w:color="auto"/>
            </w:tcBorders>
          </w:tcPr>
          <w:p>
            <w:pPr>
              <w:ind w:left="580"/>
              <w:spacing w:after="0" w:line="237" w:lineRule="exact"/>
              <w:rPr>
                <w:sz w:val="20"/>
                <w:szCs w:val="20"/>
                <w:color w:val="auto"/>
              </w:rPr>
            </w:pPr>
            <w:r>
              <w:rPr>
                <w:rFonts w:ascii="Arial" w:cs="Arial" w:eastAsia="Arial" w:hAnsi="Arial"/>
                <w:sz w:val="22"/>
                <w:szCs w:val="22"/>
                <w:color w:val="auto"/>
              </w:rPr>
              <w:t>[*CTR]</w:t>
            </w:r>
          </w:p>
        </w:tc>
        <w:tc>
          <w:tcPr>
            <w:tcW w:w="240" w:type="dxa"/>
            <w:vAlign w:val="bottom"/>
            <w:tcBorders>
              <w:bottom w:val="single" w:sz="8" w:color="auto"/>
              <w:right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9"/>
              </w:rPr>
              <w:t>[*CTR]</w:t>
            </w: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237"/>
        </w:trPr>
        <w:tc>
          <w:tcPr>
            <w:tcW w:w="3140" w:type="dxa"/>
            <w:vAlign w:val="bottom"/>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1460" w:type="dxa"/>
            <w:vAlign w:val="bottom"/>
            <w:tcBorders>
              <w:bottom w:val="single" w:sz="8" w:color="auto"/>
            </w:tcBorders>
          </w:tcPr>
          <w:p>
            <w:pPr>
              <w:ind w:left="580"/>
              <w:spacing w:after="0" w:line="237" w:lineRule="exact"/>
              <w:rPr>
                <w:sz w:val="20"/>
                <w:szCs w:val="20"/>
                <w:color w:val="auto"/>
              </w:rPr>
            </w:pPr>
            <w:r>
              <w:rPr>
                <w:rFonts w:ascii="Arial" w:cs="Arial" w:eastAsia="Arial" w:hAnsi="Arial"/>
                <w:sz w:val="22"/>
                <w:szCs w:val="22"/>
                <w:color w:val="auto"/>
              </w:rPr>
              <w:t>[*CTR]</w:t>
            </w:r>
          </w:p>
        </w:tc>
        <w:tc>
          <w:tcPr>
            <w:tcW w:w="240" w:type="dxa"/>
            <w:vAlign w:val="bottom"/>
            <w:tcBorders>
              <w:bottom w:val="single" w:sz="8" w:color="auto"/>
              <w:right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9"/>
              </w:rPr>
              <w:t>[*CTR]</w:t>
            </w: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237"/>
        </w:trPr>
        <w:tc>
          <w:tcPr>
            <w:tcW w:w="3140" w:type="dxa"/>
            <w:vAlign w:val="bottom"/>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1460" w:type="dxa"/>
            <w:vAlign w:val="bottom"/>
            <w:tcBorders>
              <w:bottom w:val="single" w:sz="8" w:color="auto"/>
            </w:tcBorders>
          </w:tcPr>
          <w:p>
            <w:pPr>
              <w:ind w:left="580"/>
              <w:spacing w:after="0" w:line="237" w:lineRule="exact"/>
              <w:rPr>
                <w:sz w:val="20"/>
                <w:szCs w:val="20"/>
                <w:color w:val="auto"/>
              </w:rPr>
            </w:pPr>
            <w:r>
              <w:rPr>
                <w:rFonts w:ascii="Arial" w:cs="Arial" w:eastAsia="Arial" w:hAnsi="Arial"/>
                <w:sz w:val="22"/>
                <w:szCs w:val="22"/>
                <w:color w:val="auto"/>
              </w:rPr>
              <w:t>[*CTR]</w:t>
            </w:r>
          </w:p>
        </w:tc>
        <w:tc>
          <w:tcPr>
            <w:tcW w:w="240" w:type="dxa"/>
            <w:vAlign w:val="bottom"/>
            <w:tcBorders>
              <w:bottom w:val="single" w:sz="8" w:color="auto"/>
              <w:right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9"/>
              </w:rPr>
              <w:t>[*CTR]</w:t>
            </w: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364"/>
        </w:trPr>
        <w:tc>
          <w:tcPr>
            <w:tcW w:w="5480" w:type="dxa"/>
            <w:vAlign w:val="bottom"/>
            <w:gridSpan w:val="3"/>
          </w:tcPr>
          <w:p>
            <w:pPr>
              <w:spacing w:after="0"/>
              <w:rPr>
                <w:sz w:val="20"/>
                <w:szCs w:val="20"/>
                <w:color w:val="auto"/>
              </w:rPr>
            </w:pPr>
            <w:r>
              <w:rPr>
                <w:rFonts w:ascii="Arial" w:cs="Arial" w:eastAsia="Arial" w:hAnsi="Arial"/>
                <w:sz w:val="22"/>
                <w:szCs w:val="22"/>
                <w:color w:val="auto"/>
              </w:rPr>
              <w:t>P.A. No. 3219</w:t>
            </w:r>
          </w:p>
        </w:tc>
        <w:tc>
          <w:tcPr>
            <w:tcW w:w="240" w:type="dxa"/>
            <w:vAlign w:val="bottom"/>
          </w:tcPr>
          <w:p>
            <w:pPr>
              <w:spacing w:after="0"/>
              <w:rPr>
                <w:sz w:val="24"/>
                <w:szCs w:val="24"/>
                <w:color w:val="auto"/>
              </w:rPr>
            </w:pPr>
          </w:p>
        </w:tc>
        <w:tc>
          <w:tcPr>
            <w:tcW w:w="2780" w:type="dxa"/>
            <w:vAlign w:val="bottom"/>
            <w:gridSpan w:val="3"/>
          </w:tcPr>
          <w:p>
            <w:pPr>
              <w:jc w:val="center"/>
              <w:ind w:right="2320"/>
              <w:spacing w:after="0"/>
              <w:rPr>
                <w:sz w:val="20"/>
                <w:szCs w:val="20"/>
                <w:color w:val="auto"/>
              </w:rPr>
            </w:pPr>
            <w:r>
              <w:rPr>
                <w:rFonts w:ascii="Arial" w:cs="Arial" w:eastAsia="Arial" w:hAnsi="Arial"/>
                <w:sz w:val="22"/>
                <w:szCs w:val="22"/>
                <w:color w:val="auto"/>
                <w:w w:val="93"/>
              </w:rPr>
              <w:t>SA-9</w:t>
            </w:r>
          </w:p>
        </w:tc>
        <w:tc>
          <w:tcPr>
            <w:tcW w:w="2480" w:type="dxa"/>
            <w:vAlign w:val="bottom"/>
          </w:tcPr>
          <w:p>
            <w:pPr>
              <w:ind w:left="200"/>
              <w:spacing w:after="0"/>
              <w:rPr>
                <w:sz w:val="20"/>
                <w:szCs w:val="20"/>
                <w:color w:val="auto"/>
              </w:rPr>
            </w:pPr>
            <w:r>
              <w:rPr>
                <w:rFonts w:ascii="Arial" w:cs="Arial" w:eastAsia="Arial" w:hAnsi="Arial"/>
                <w:sz w:val="22"/>
                <w:szCs w:val="22"/>
                <w:color w:val="auto"/>
                <w:w w:val="90"/>
              </w:rPr>
              <w:t>L.A.6-1162-TRW-0667R2</w:t>
            </w:r>
          </w:p>
        </w:tc>
      </w:tr>
      <w:tr>
        <w:trPr>
          <w:trHeight w:val="266"/>
        </w:trPr>
        <w:tc>
          <w:tcPr>
            <w:tcW w:w="5480" w:type="dxa"/>
            <w:vAlign w:val="bottom"/>
            <w:gridSpan w:val="3"/>
          </w:tcPr>
          <w:p>
            <w:pPr>
              <w:spacing w:after="0"/>
              <w:rPr>
                <w:sz w:val="20"/>
                <w:szCs w:val="20"/>
                <w:color w:val="auto"/>
              </w:rPr>
            </w:pPr>
            <w:r>
              <w:rPr>
                <w:rFonts w:ascii="Arial" w:cs="Arial" w:eastAsia="Arial" w:hAnsi="Arial"/>
                <w:sz w:val="22"/>
                <w:szCs w:val="22"/>
                <w:color w:val="auto"/>
              </w:rPr>
              <w:t>[*CTR]- Attachment C(R1)</w:t>
            </w:r>
          </w:p>
        </w:tc>
        <w:tc>
          <w:tcPr>
            <w:tcW w:w="3020" w:type="dxa"/>
            <w:vAlign w:val="bottom"/>
            <w:gridSpan w:val="4"/>
          </w:tcPr>
          <w:p>
            <w:pPr>
              <w:jc w:val="center"/>
              <w:ind w:right="2080"/>
              <w:spacing w:after="0"/>
              <w:rPr>
                <w:sz w:val="20"/>
                <w:szCs w:val="20"/>
                <w:color w:val="auto"/>
              </w:rPr>
            </w:pPr>
            <w:r>
              <w:rPr>
                <w:rFonts w:ascii="Arial" w:cs="Arial" w:eastAsia="Arial" w:hAnsi="Arial"/>
                <w:sz w:val="22"/>
                <w:szCs w:val="22"/>
                <w:color w:val="auto"/>
                <w:w w:val="83"/>
              </w:rPr>
              <w:t>Page 1</w:t>
            </w:r>
          </w:p>
        </w:tc>
        <w:tc>
          <w:tcPr>
            <w:tcW w:w="2480" w:type="dxa"/>
            <w:vAlign w:val="bottom"/>
          </w:tcPr>
          <w:p>
            <w:pPr>
              <w:spacing w:after="0"/>
              <w:rPr>
                <w:sz w:val="23"/>
                <w:szCs w:val="23"/>
                <w:color w:val="auto"/>
              </w:rPr>
            </w:pPr>
          </w:p>
        </w:tc>
      </w:tr>
    </w:tbl>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BOEING PROPRIETARY</w:t>
      </w:r>
    </w:p>
    <w:p>
      <w:pPr>
        <w:spacing w:after="0" w:line="214"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[*CTR]=[CONFIDENTIAL PORTION OMITTED AND FILED SEPARATELY WITH THE COMMISSION PURSUANT TO A REQUEST FOR CONFIDENTIAL TREATMENT]</w:t>
      </w:r>
    </w:p>
    <w:p>
      <w:pPr>
        <w:sectPr>
          <w:pgSz w:w="11900" w:h="16838" w:orient="portrait"/>
          <w:cols w:equalWidth="0" w:num="1">
            <w:col w:w="11420"/>
          </w:cols>
          <w:pgMar w:left="240" w:top="238" w:right="239" w:bottom="1440" w:gutter="0" w:footer="0" w:header="0"/>
        </w:sectPr>
      </w:pPr>
    </w:p>
    <w:bookmarkStart w:id="116" w:name="page117"/>
    <w:bookmarkEnd w:id="116"/>
    <w:p>
      <w:pPr>
        <w:jc w:val="right"/>
        <w:spacing w:after="0"/>
        <w:rPr>
          <w:sz w:val="20"/>
          <w:szCs w:val="20"/>
          <w:color w:val="auto"/>
        </w:rPr>
      </w:pPr>
      <w:r>
        <w:rPr>
          <w:rFonts w:ascii="Arial" w:cs="Arial" w:eastAsia="Arial" w:hAnsi="Arial"/>
          <w:sz w:val="22"/>
          <w:szCs w:val="22"/>
          <w:b w:val="1"/>
          <w:bCs w:val="1"/>
          <w:color w:val="auto"/>
        </w:rPr>
        <w:t>Exhibit 10.6</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SUPPLEMENTAL AGREEMENT NO. 10</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Purchase Agreement No. 3219</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between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BOEING COMPANY</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AMERICAN AIRLINES, INC.</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Relating to Boeing Model 787 Aircraft</w:t>
      </w:r>
    </w:p>
    <w:p>
      <w:pPr>
        <w:spacing w:after="0" w:line="200" w:lineRule="exact"/>
        <w:rPr>
          <w:sz w:val="20"/>
          <w:szCs w:val="20"/>
          <w:color w:val="auto"/>
        </w:rPr>
      </w:pPr>
    </w:p>
    <w:p>
      <w:pPr>
        <w:spacing w:after="0" w:line="228" w:lineRule="exact"/>
        <w:rPr>
          <w:sz w:val="20"/>
          <w:szCs w:val="20"/>
          <w:color w:val="auto"/>
        </w:rPr>
      </w:pPr>
    </w:p>
    <w:p>
      <w:pPr>
        <w:jc w:val="both"/>
        <w:ind w:firstLine="1141"/>
        <w:spacing w:after="0"/>
        <w:rPr>
          <w:sz w:val="20"/>
          <w:szCs w:val="20"/>
          <w:color w:val="auto"/>
        </w:rPr>
      </w:pPr>
      <w:r>
        <w:rPr>
          <w:rFonts w:ascii="Arial" w:cs="Arial" w:eastAsia="Arial" w:hAnsi="Arial"/>
          <w:sz w:val="22"/>
          <w:szCs w:val="22"/>
          <w:color w:val="auto"/>
        </w:rPr>
        <w:t>THIS SUPPLEMENTAL AGREEMENT No. 10 (</w:t>
      </w:r>
      <w:r>
        <w:rPr>
          <w:rFonts w:ascii="Arial" w:cs="Arial" w:eastAsia="Arial" w:hAnsi="Arial"/>
          <w:sz w:val="22"/>
          <w:szCs w:val="22"/>
          <w:b w:val="1"/>
          <w:bCs w:val="1"/>
          <w:i w:val="1"/>
          <w:iCs w:val="1"/>
          <w:color w:val="auto"/>
        </w:rPr>
        <w:t>SA-10</w:t>
      </w:r>
      <w:r>
        <w:rPr>
          <w:rFonts w:ascii="Arial" w:cs="Arial" w:eastAsia="Arial" w:hAnsi="Arial"/>
          <w:sz w:val="22"/>
          <w:szCs w:val="22"/>
          <w:color w:val="auto"/>
        </w:rPr>
        <w:t>) is made between THE BOEING COMPANY, a Delaware corporation with offices in Seattle, Washington (</w:t>
      </w:r>
      <w:r>
        <w:rPr>
          <w:rFonts w:ascii="Arial" w:cs="Arial" w:eastAsia="Arial" w:hAnsi="Arial"/>
          <w:sz w:val="22"/>
          <w:szCs w:val="22"/>
          <w:b w:val="1"/>
          <w:bCs w:val="1"/>
          <w:i w:val="1"/>
          <w:iCs w:val="1"/>
          <w:color w:val="auto"/>
        </w:rPr>
        <w:t>Boeing</w:t>
      </w:r>
      <w:r>
        <w:rPr>
          <w:rFonts w:ascii="Arial" w:cs="Arial" w:eastAsia="Arial" w:hAnsi="Arial"/>
          <w:sz w:val="22"/>
          <w:szCs w:val="22"/>
          <w:color w:val="auto"/>
        </w:rPr>
        <w:t>), and AMERICAN AIRLINES, INC, a Delaware corporation with offices in Fort Worth, Texas, together with its successors and permitted assigns (</w:t>
      </w:r>
      <w:r>
        <w:rPr>
          <w:rFonts w:ascii="Arial" w:cs="Arial" w:eastAsia="Arial" w:hAnsi="Arial"/>
          <w:sz w:val="22"/>
          <w:szCs w:val="22"/>
          <w:b w:val="1"/>
          <w:bCs w:val="1"/>
          <w:i w:val="1"/>
          <w:iCs w:val="1"/>
          <w:color w:val="auto"/>
        </w:rPr>
        <w:t>Customer</w:t>
      </w:r>
      <w:r>
        <w:rPr>
          <w:rFonts w:ascii="Arial" w:cs="Arial" w:eastAsia="Arial" w:hAnsi="Arial"/>
          <w:sz w:val="22"/>
          <w:szCs w:val="22"/>
          <w:color w:val="auto"/>
        </w:rPr>
        <w:t>);</w:t>
      </w:r>
    </w:p>
    <w:p>
      <w:pPr>
        <w:spacing w:after="0" w:line="186" w:lineRule="exact"/>
        <w:rPr>
          <w:sz w:val="20"/>
          <w:szCs w:val="20"/>
          <w:color w:val="auto"/>
        </w:rPr>
      </w:pPr>
    </w:p>
    <w:p>
      <w:pPr>
        <w:jc w:val="both"/>
        <w:ind w:right="20" w:firstLine="1141"/>
        <w:spacing w:after="0"/>
        <w:rPr>
          <w:sz w:val="20"/>
          <w:szCs w:val="20"/>
          <w:color w:val="auto"/>
        </w:rPr>
      </w:pPr>
      <w:r>
        <w:rPr>
          <w:rFonts w:ascii="Arial" w:cs="Arial" w:eastAsia="Arial" w:hAnsi="Arial"/>
          <w:sz w:val="22"/>
          <w:szCs w:val="22"/>
          <w:color w:val="auto"/>
        </w:rPr>
        <w:t>WHEREAS, Boeing and Customer entered into Purchase Agreement No. 3219 dated October 15, 2008, relating to Boeing Model 787 aircraft, as amended and supplemented (</w:t>
      </w:r>
      <w:r>
        <w:rPr>
          <w:rFonts w:ascii="Arial" w:cs="Arial" w:eastAsia="Arial" w:hAnsi="Arial"/>
          <w:sz w:val="22"/>
          <w:szCs w:val="22"/>
          <w:b w:val="1"/>
          <w:bCs w:val="1"/>
          <w:i w:val="1"/>
          <w:iCs w:val="1"/>
          <w:color w:val="auto"/>
        </w:rPr>
        <w:t>Purchase Agreement</w:t>
      </w:r>
      <w:r>
        <w:rPr>
          <w:rFonts w:ascii="Arial" w:cs="Arial" w:eastAsia="Arial" w:hAnsi="Arial"/>
          <w:sz w:val="22"/>
          <w:szCs w:val="22"/>
          <w:color w:val="auto"/>
        </w:rPr>
        <w:t>) and capitalized terms used herein without definitions shall have the meanings specified in such Purchase Agreement; and</w:t>
      </w:r>
    </w:p>
    <w:p>
      <w:pPr>
        <w:spacing w:after="0" w:line="186" w:lineRule="exact"/>
        <w:rPr>
          <w:sz w:val="20"/>
          <w:szCs w:val="20"/>
          <w:color w:val="auto"/>
        </w:rPr>
      </w:pPr>
    </w:p>
    <w:p>
      <w:pPr>
        <w:jc w:val="both"/>
        <w:ind w:firstLine="1141"/>
        <w:spacing w:after="0" w:line="251" w:lineRule="auto"/>
        <w:rPr>
          <w:sz w:val="20"/>
          <w:szCs w:val="20"/>
          <w:color w:val="auto"/>
        </w:rPr>
      </w:pPr>
      <w:r>
        <w:rPr>
          <w:rFonts w:ascii="Arial" w:cs="Arial" w:eastAsia="Arial" w:hAnsi="Arial"/>
          <w:sz w:val="22"/>
          <w:szCs w:val="22"/>
          <w:color w:val="auto"/>
        </w:rPr>
        <w:t>WHEREAS, Boeing and Customer desire to add Letter Agreement AAL-PA-03219-LA-1701988 entitled “[</w:t>
      </w:r>
      <w:r>
        <w:rPr>
          <w:rFonts w:ascii="Arial" w:cs="Arial" w:eastAsia="Arial" w:hAnsi="Arial"/>
          <w:sz w:val="22"/>
          <w:szCs w:val="22"/>
          <w:u w:val="single" w:color="auto"/>
          <w:color w:val="auto"/>
        </w:rPr>
        <w:t>*CTR]</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(New 787 [*CTR] Letter Agreement</w:t>
      </w:r>
      <w:r>
        <w:rPr>
          <w:rFonts w:ascii="Arial" w:cs="Arial" w:eastAsia="Arial" w:hAnsi="Arial"/>
          <w:sz w:val="22"/>
          <w:szCs w:val="22"/>
          <w:color w:val="auto"/>
        </w:rPr>
        <w:t>); and</w:t>
      </w:r>
    </w:p>
    <w:p>
      <w:pPr>
        <w:spacing w:after="0" w:line="173" w:lineRule="exact"/>
        <w:rPr>
          <w:sz w:val="20"/>
          <w:szCs w:val="20"/>
          <w:color w:val="auto"/>
        </w:rPr>
      </w:pPr>
    </w:p>
    <w:p>
      <w:pPr>
        <w:ind w:left="800"/>
        <w:spacing w:after="0"/>
        <w:rPr>
          <w:sz w:val="20"/>
          <w:szCs w:val="20"/>
          <w:color w:val="auto"/>
        </w:rPr>
      </w:pPr>
      <w:r>
        <w:rPr>
          <w:rFonts w:ascii="Arial" w:cs="Arial" w:eastAsia="Arial" w:hAnsi="Arial"/>
          <w:sz w:val="19"/>
          <w:szCs w:val="19"/>
          <w:color w:val="auto"/>
        </w:rPr>
        <w:t>NOW, THEREFORE, the parties agree that the Purchase Agreement is amended as set forth below and otherwise agree as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follows:</w:t>
      </w:r>
    </w:p>
    <w:p>
      <w:pPr>
        <w:spacing w:after="0" w:line="182" w:lineRule="exact"/>
        <w:rPr>
          <w:sz w:val="20"/>
          <w:szCs w:val="20"/>
          <w:color w:val="auto"/>
        </w:rPr>
      </w:pPr>
    </w:p>
    <w:p>
      <w:pPr>
        <w:ind w:left="1140" w:hanging="1132"/>
        <w:spacing w:after="0"/>
        <w:tabs>
          <w:tab w:leader="none" w:pos="1140" w:val="left"/>
        </w:tabs>
        <w:numPr>
          <w:ilvl w:val="0"/>
          <w:numId w:val="9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Table of Contents</w:t>
      </w:r>
      <w:r>
        <w:rPr>
          <w:rFonts w:ascii="Arial" w:cs="Arial" w:eastAsia="Arial" w:hAnsi="Arial"/>
          <w:sz w:val="22"/>
          <w:szCs w:val="22"/>
          <w:b w:val="1"/>
          <w:bCs w:val="1"/>
          <w:color w:val="auto"/>
        </w:rPr>
        <w:t>.</w:t>
      </w:r>
    </w:p>
    <w:p>
      <w:pPr>
        <w:spacing w:after="0" w:line="212" w:lineRule="exact"/>
        <w:rPr>
          <w:sz w:val="20"/>
          <w:szCs w:val="20"/>
          <w:color w:val="auto"/>
        </w:rPr>
      </w:pPr>
    </w:p>
    <w:p>
      <w:pPr>
        <w:jc w:val="both"/>
        <w:ind w:firstLine="799"/>
        <w:spacing w:after="0"/>
        <w:rPr>
          <w:sz w:val="20"/>
          <w:szCs w:val="20"/>
          <w:color w:val="auto"/>
        </w:rPr>
      </w:pPr>
      <w:r>
        <w:rPr>
          <w:rFonts w:ascii="Arial" w:cs="Arial" w:eastAsia="Arial" w:hAnsi="Arial"/>
          <w:sz w:val="22"/>
          <w:szCs w:val="22"/>
          <w:color w:val="auto"/>
        </w:rPr>
        <w:t>The Table of Contents referencing SA-9 in the footer is deleted in its entirety and is replaced with the new Table of Contents (attached hereto) referencing SA-10 in the footer. Such new Table of Contents is hereby incorporated into the Purchase Agreement in replacement of its predecessor.</w:t>
      </w:r>
    </w:p>
    <w:p>
      <w:pPr>
        <w:spacing w:after="0" w:line="180" w:lineRule="exact"/>
        <w:rPr>
          <w:sz w:val="20"/>
          <w:szCs w:val="20"/>
          <w:color w:val="auto"/>
        </w:rPr>
      </w:pPr>
    </w:p>
    <w:p>
      <w:pPr>
        <w:ind w:left="1140" w:hanging="1132"/>
        <w:spacing w:after="0"/>
        <w:tabs>
          <w:tab w:leader="none" w:pos="1140" w:val="left"/>
        </w:tabs>
        <w:numPr>
          <w:ilvl w:val="0"/>
          <w:numId w:val="9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Tables</w:t>
      </w:r>
      <w:r>
        <w:rPr>
          <w:rFonts w:ascii="Arial" w:cs="Arial" w:eastAsia="Arial" w:hAnsi="Arial"/>
          <w:sz w:val="22"/>
          <w:szCs w:val="22"/>
          <w:b w:val="1"/>
          <w:bCs w:val="1"/>
          <w:color w:val="auto"/>
        </w:rPr>
        <w:t>.</w:t>
      </w:r>
    </w:p>
    <w:p>
      <w:pPr>
        <w:spacing w:after="0" w:line="104" w:lineRule="exact"/>
        <w:rPr>
          <w:sz w:val="20"/>
          <w:szCs w:val="20"/>
          <w:color w:val="auto"/>
        </w:rPr>
      </w:pPr>
    </w:p>
    <w:p>
      <w:pPr>
        <w:ind w:firstLine="799"/>
        <w:spacing w:after="0" w:line="251" w:lineRule="auto"/>
        <w:rPr>
          <w:sz w:val="20"/>
          <w:szCs w:val="20"/>
          <w:color w:val="auto"/>
        </w:rPr>
      </w:pPr>
      <w:r>
        <w:rPr>
          <w:rFonts w:ascii="Arial" w:cs="Arial" w:eastAsia="Arial" w:hAnsi="Arial"/>
          <w:sz w:val="22"/>
          <w:szCs w:val="22"/>
          <w:u w:val="single" w:color="auto"/>
          <w:color w:val="auto"/>
        </w:rPr>
        <w:t>Table 1(R7)</w:t>
      </w:r>
      <w:r>
        <w:rPr>
          <w:rFonts w:ascii="Arial" w:cs="Arial" w:eastAsia="Arial" w:hAnsi="Arial"/>
          <w:sz w:val="22"/>
          <w:szCs w:val="22"/>
          <w:color w:val="auto"/>
        </w:rPr>
        <w:t>. Table 1(R6) entitled “</w:t>
      </w:r>
      <w:r>
        <w:rPr>
          <w:rFonts w:ascii="Arial" w:cs="Arial" w:eastAsia="Arial" w:hAnsi="Arial"/>
          <w:sz w:val="22"/>
          <w:szCs w:val="22"/>
          <w:u w:val="single" w:color="auto"/>
          <w:color w:val="auto"/>
        </w:rPr>
        <w:t>787-9 Aircraft – Delivery, Description, Price and Advance Payments</w:t>
      </w:r>
      <w:r>
        <w:rPr>
          <w:rFonts w:ascii="Arial" w:cs="Arial" w:eastAsia="Arial" w:hAnsi="Arial"/>
          <w:sz w:val="22"/>
          <w:szCs w:val="22"/>
          <w:color w:val="auto"/>
        </w:rPr>
        <w:t>” referencing SA-9 in the footer is deleted in its entirety and is replaced with</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620" w:type="dxa"/>
            <w:vAlign w:val="bottom"/>
          </w:tcPr>
          <w:p>
            <w:pPr>
              <w:spacing w:after="0"/>
              <w:rPr>
                <w:sz w:val="20"/>
                <w:szCs w:val="20"/>
                <w:color w:val="auto"/>
              </w:rPr>
            </w:pPr>
            <w:r>
              <w:rPr>
                <w:rFonts w:ascii="Arial" w:cs="Arial" w:eastAsia="Arial" w:hAnsi="Arial"/>
                <w:sz w:val="22"/>
                <w:szCs w:val="22"/>
                <w:color w:val="auto"/>
              </w:rPr>
              <w:t>PA 3219</w:t>
            </w:r>
          </w:p>
        </w:tc>
        <w:tc>
          <w:tcPr>
            <w:tcW w:w="6060" w:type="dxa"/>
            <w:vAlign w:val="bottom"/>
          </w:tcPr>
          <w:p>
            <w:pPr>
              <w:ind w:left="3060"/>
              <w:spacing w:after="0"/>
              <w:rPr>
                <w:sz w:val="20"/>
                <w:szCs w:val="20"/>
                <w:color w:val="auto"/>
              </w:rPr>
            </w:pPr>
            <w:r>
              <w:rPr>
                <w:rFonts w:ascii="Arial" w:cs="Arial" w:eastAsia="Arial" w:hAnsi="Arial"/>
                <w:sz w:val="22"/>
                <w:szCs w:val="22"/>
                <w:color w:val="auto"/>
              </w:rPr>
              <w:t>SA-10</w:t>
            </w:r>
          </w:p>
        </w:tc>
        <w:tc>
          <w:tcPr>
            <w:tcW w:w="2300" w:type="dxa"/>
            <w:vAlign w:val="bottom"/>
          </w:tcPr>
          <w:p>
            <w:pPr>
              <w:ind w:left="1720"/>
              <w:spacing w:after="0"/>
              <w:rPr>
                <w:sz w:val="20"/>
                <w:szCs w:val="20"/>
                <w:color w:val="auto"/>
              </w:rPr>
            </w:pPr>
            <w:r>
              <w:rPr>
                <w:rFonts w:ascii="Arial" w:cs="Arial" w:eastAsia="Arial" w:hAnsi="Arial"/>
                <w:sz w:val="22"/>
                <w:szCs w:val="22"/>
                <w:color w:val="auto"/>
                <w:w w:val="80"/>
              </w:rPr>
              <w:t>Page 1</w:t>
            </w:r>
          </w:p>
        </w:tc>
      </w:tr>
      <w:tr>
        <w:trPr>
          <w:trHeight w:val="281"/>
        </w:trPr>
        <w:tc>
          <w:tcPr>
            <w:tcW w:w="2620" w:type="dxa"/>
            <w:vAlign w:val="bottom"/>
          </w:tcPr>
          <w:p>
            <w:pPr>
              <w:spacing w:after="0"/>
              <w:rPr>
                <w:sz w:val="24"/>
                <w:szCs w:val="24"/>
                <w:color w:val="auto"/>
              </w:rPr>
            </w:pPr>
          </w:p>
        </w:tc>
        <w:tc>
          <w:tcPr>
            <w:tcW w:w="6060" w:type="dxa"/>
            <w:vAlign w:val="bottom"/>
          </w:tcPr>
          <w:p>
            <w:pPr>
              <w:ind w:left="1860"/>
              <w:spacing w:after="0"/>
              <w:rPr>
                <w:sz w:val="20"/>
                <w:szCs w:val="20"/>
                <w:color w:val="auto"/>
              </w:rPr>
            </w:pPr>
            <w:r>
              <w:rPr>
                <w:rFonts w:ascii="Arial" w:cs="Arial" w:eastAsia="Arial" w:hAnsi="Arial"/>
                <w:sz w:val="22"/>
                <w:szCs w:val="22"/>
                <w:b w:val="1"/>
                <w:bCs w:val="1"/>
                <w:color w:val="auto"/>
              </w:rPr>
              <w:t>BOEING PROPRIETARY</w:t>
            </w:r>
          </w:p>
        </w:tc>
        <w:tc>
          <w:tcPr>
            <w:tcW w:w="2300" w:type="dxa"/>
            <w:vAlign w:val="bottom"/>
          </w:tcPr>
          <w:p>
            <w:pPr>
              <w:spacing w:after="0"/>
              <w:rPr>
                <w:sz w:val="24"/>
                <w:szCs w:val="24"/>
                <w:color w:val="auto"/>
              </w:rPr>
            </w:pPr>
          </w:p>
        </w:tc>
      </w:tr>
    </w:tbl>
    <w:p>
      <w:pPr>
        <w:spacing w:after="0" w:line="208"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[*CTR]=[CONFIDENTIAL PORTION OMITTED AND FILED SEPARATELY WITH THE COMMISSION PURSUANT TO A REQUEST FOR CONFIDENTIAL TREATMENT]</w:t>
      </w:r>
    </w:p>
    <w:p>
      <w:pPr>
        <w:sectPr>
          <w:pgSz w:w="11900" w:h="16838" w:orient="portrait"/>
          <w:cols w:equalWidth="0" w:num="1">
            <w:col w:w="11420"/>
          </w:cols>
          <w:pgMar w:left="240" w:top="111" w:right="239" w:bottom="1440" w:gutter="0" w:footer="0" w:header="0"/>
        </w:sectPr>
      </w:pPr>
    </w:p>
    <w:bookmarkStart w:id="117" w:name="page118"/>
    <w:bookmarkEnd w:id="117"/>
    <w:p>
      <w:pPr>
        <w:spacing w:after="0" w:line="251"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similarly titled Table 1(R7) (attached hereto) referencing SA-10 in the footer. Table 1(R7) is hereby incorporated into the Purchase Agreement in replacement of Table 1(R6).</w:t>
      </w:r>
    </w:p>
    <w:p>
      <w:pPr>
        <w:spacing w:after="0" w:line="167" w:lineRule="exact"/>
        <w:rPr>
          <w:sz w:val="20"/>
          <w:szCs w:val="20"/>
          <w:color w:val="auto"/>
        </w:rPr>
      </w:pPr>
    </w:p>
    <w:p>
      <w:pPr>
        <w:ind w:left="1140" w:hanging="1132"/>
        <w:spacing w:after="0"/>
        <w:tabs>
          <w:tab w:leader="none" w:pos="1140" w:val="left"/>
        </w:tabs>
        <w:numPr>
          <w:ilvl w:val="0"/>
          <w:numId w:val="9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Letter Agreements</w:t>
      </w:r>
      <w:r>
        <w:rPr>
          <w:rFonts w:ascii="Arial" w:cs="Arial" w:eastAsia="Arial" w:hAnsi="Arial"/>
          <w:sz w:val="22"/>
          <w:szCs w:val="22"/>
          <w:b w:val="1"/>
          <w:bCs w:val="1"/>
          <w:color w:val="auto"/>
        </w:rPr>
        <w:t>.</w:t>
      </w:r>
    </w:p>
    <w:p>
      <w:pPr>
        <w:spacing w:after="0" w:line="212" w:lineRule="exact"/>
        <w:rPr>
          <w:sz w:val="20"/>
          <w:szCs w:val="20"/>
          <w:color w:val="auto"/>
        </w:rPr>
      </w:pPr>
    </w:p>
    <w:p>
      <w:pPr>
        <w:ind w:left="800"/>
        <w:spacing w:after="0"/>
        <w:tabs>
          <w:tab w:leader="none" w:pos="162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19"/>
          <w:szCs w:val="19"/>
          <w:u w:val="single" w:color="auto"/>
          <w:color w:val="auto"/>
        </w:rPr>
        <w:t>New [*CTR] Letter Agreement</w:t>
      </w:r>
      <w:r>
        <w:rPr>
          <w:rFonts w:ascii="Arial" w:cs="Arial" w:eastAsia="Arial" w:hAnsi="Arial"/>
          <w:sz w:val="19"/>
          <w:szCs w:val="19"/>
          <w:color w:val="auto"/>
        </w:rPr>
        <w:t>. The New 787 [*CTR] Letter Agreement is added to the Purchase Agreement.</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The New 787 [*CTR] Letter Agreement is hereby made a part of the Purchase Agreement.</w:t>
      </w:r>
    </w:p>
    <w:p>
      <w:pPr>
        <w:spacing w:after="0" w:line="182" w:lineRule="exact"/>
        <w:rPr>
          <w:sz w:val="20"/>
          <w:szCs w:val="20"/>
          <w:color w:val="auto"/>
        </w:rPr>
      </w:pPr>
    </w:p>
    <w:p>
      <w:pPr>
        <w:ind w:left="1140" w:hanging="1132"/>
        <w:spacing w:after="0"/>
        <w:tabs>
          <w:tab w:leader="none" w:pos="1140" w:val="left"/>
        </w:tabs>
        <w:numPr>
          <w:ilvl w:val="0"/>
          <w:numId w:val="9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Effect on Purchase Agreement</w:t>
      </w:r>
      <w:r>
        <w:rPr>
          <w:rFonts w:ascii="Arial" w:cs="Arial" w:eastAsia="Arial" w:hAnsi="Arial"/>
          <w:sz w:val="22"/>
          <w:szCs w:val="22"/>
          <w:color w:val="auto"/>
        </w:rPr>
        <w:t>.</w:t>
      </w:r>
    </w:p>
    <w:p>
      <w:pPr>
        <w:spacing w:after="0" w:line="104" w:lineRule="exact"/>
        <w:rPr>
          <w:sz w:val="20"/>
          <w:szCs w:val="20"/>
          <w:color w:val="auto"/>
        </w:rPr>
      </w:pPr>
    </w:p>
    <w:p>
      <w:pPr>
        <w:jc w:val="both"/>
        <w:ind w:firstLine="799"/>
        <w:spacing w:after="0"/>
        <w:rPr>
          <w:sz w:val="20"/>
          <w:szCs w:val="20"/>
          <w:color w:val="auto"/>
        </w:rPr>
      </w:pPr>
      <w:r>
        <w:rPr>
          <w:rFonts w:ascii="Arial" w:cs="Arial" w:eastAsia="Arial" w:hAnsi="Arial"/>
          <w:sz w:val="22"/>
          <w:szCs w:val="22"/>
          <w:color w:val="auto"/>
        </w:rPr>
        <w:t xml:space="preserve">4.1 </w:t>
      </w:r>
      <w:r>
        <w:rPr>
          <w:rFonts w:ascii="Arial" w:cs="Arial" w:eastAsia="Arial" w:hAnsi="Arial"/>
          <w:sz w:val="22"/>
          <w:szCs w:val="22"/>
          <w:u w:val="single" w:color="auto"/>
          <w:color w:val="auto"/>
        </w:rPr>
        <w:t>Table 1 Reference Clarifications</w:t>
      </w:r>
      <w:r>
        <w:rPr>
          <w:rFonts w:ascii="Arial" w:cs="Arial" w:eastAsia="Arial" w:hAnsi="Arial"/>
          <w:sz w:val="22"/>
          <w:szCs w:val="22"/>
          <w:color w:val="auto"/>
        </w:rPr>
        <w:t>. The following references in the Purchase Agreement and the associated exhibits, supplemental exhibits, and letter agreements to the Purchase Agreement to “Table 1(R6)” is now deemed to refer to “Table 1(R7)”. Specifically: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149225</wp:posOffset>
            </wp:positionV>
            <wp:extent cx="5076825" cy="23323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076825" cy="2332355"/>
                    </a:xfrm>
                    <a:prstGeom prst="rect">
                      <a:avLst/>
                    </a:prstGeom>
                    <a:noFill/>
                  </pic:spPr>
                </pic:pic>
              </a:graphicData>
            </a:graphic>
          </wp:anchor>
        </w:drawing>
      </w:r>
    </w:p>
    <w:p>
      <w:pPr>
        <w:spacing w:after="0" w:line="323" w:lineRule="exact"/>
        <w:rPr>
          <w:sz w:val="20"/>
          <w:szCs w:val="20"/>
          <w:color w:val="auto"/>
        </w:rPr>
      </w:pPr>
    </w:p>
    <w:p>
      <w:pPr>
        <w:ind w:left="4720"/>
        <w:spacing w:after="0"/>
        <w:rPr>
          <w:sz w:val="20"/>
          <w:szCs w:val="20"/>
          <w:color w:val="auto"/>
        </w:rPr>
      </w:pPr>
      <w:r>
        <w:rPr>
          <w:rFonts w:ascii="Arial" w:cs="Arial" w:eastAsia="Arial" w:hAnsi="Arial"/>
          <w:sz w:val="22"/>
          <w:szCs w:val="22"/>
          <w:b w:val="1"/>
          <w:bCs w:val="1"/>
          <w:u w:val="single" w:color="auto"/>
          <w:color w:val="auto"/>
        </w:rPr>
        <w:t>Location of References</w:t>
      </w:r>
    </w:p>
    <w:p>
      <w:pPr>
        <w:spacing w:after="0" w:line="185" w:lineRule="exact"/>
        <w:rPr>
          <w:sz w:val="20"/>
          <w:szCs w:val="20"/>
          <w:color w:val="auto"/>
        </w:rPr>
      </w:pPr>
    </w:p>
    <w:p>
      <w:pPr>
        <w:ind w:left="1880"/>
        <w:spacing w:after="0"/>
        <w:rPr>
          <w:sz w:val="20"/>
          <w:szCs w:val="20"/>
          <w:color w:val="auto"/>
        </w:rPr>
      </w:pPr>
      <w:r>
        <w:rPr>
          <w:rFonts w:ascii="Arial" w:cs="Arial" w:eastAsia="Arial" w:hAnsi="Arial"/>
          <w:sz w:val="21"/>
          <w:szCs w:val="21"/>
          <w:color w:val="auto"/>
        </w:rPr>
        <w:t>Articles 1, 2, 3 (all sections), 4 (all sections), and Section 5.1 of the Basic Articles</w:t>
      </w:r>
    </w:p>
    <w:p>
      <w:pPr>
        <w:spacing w:after="0" w:line="191" w:lineRule="exact"/>
        <w:rPr>
          <w:sz w:val="20"/>
          <w:szCs w:val="20"/>
          <w:color w:val="auto"/>
        </w:rPr>
      </w:pPr>
    </w:p>
    <w:p>
      <w:pPr>
        <w:ind w:left="1880"/>
        <w:spacing w:after="0"/>
        <w:rPr>
          <w:sz w:val="20"/>
          <w:szCs w:val="20"/>
          <w:color w:val="auto"/>
        </w:rPr>
      </w:pPr>
      <w:r>
        <w:rPr>
          <w:rFonts w:ascii="Arial" w:cs="Arial" w:eastAsia="Arial" w:hAnsi="Arial"/>
          <w:sz w:val="22"/>
          <w:szCs w:val="22"/>
          <w:color w:val="auto"/>
        </w:rPr>
        <w:t>Exhibit C(R1), Definitions of “Aircraft” and “Engine”</w:t>
      </w:r>
    </w:p>
    <w:p>
      <w:pPr>
        <w:spacing w:after="0" w:line="179" w:lineRule="exact"/>
        <w:rPr>
          <w:sz w:val="20"/>
          <w:szCs w:val="20"/>
          <w:color w:val="auto"/>
        </w:rPr>
      </w:pPr>
    </w:p>
    <w:p>
      <w:pPr>
        <w:ind w:left="1880"/>
        <w:spacing w:after="0"/>
        <w:rPr>
          <w:sz w:val="20"/>
          <w:szCs w:val="20"/>
          <w:color w:val="auto"/>
        </w:rPr>
      </w:pPr>
      <w:r>
        <w:rPr>
          <w:rFonts w:ascii="Arial" w:cs="Arial" w:eastAsia="Arial" w:hAnsi="Arial"/>
          <w:sz w:val="22"/>
          <w:szCs w:val="22"/>
          <w:color w:val="auto"/>
        </w:rPr>
        <w:t>Section 1 of Supplemental Exhibit AE1</w:t>
      </w:r>
    </w:p>
    <w:p>
      <w:pPr>
        <w:spacing w:after="0" w:line="179" w:lineRule="exact"/>
        <w:rPr>
          <w:sz w:val="20"/>
          <w:szCs w:val="20"/>
          <w:color w:val="auto"/>
        </w:rPr>
      </w:pPr>
    </w:p>
    <w:p>
      <w:pPr>
        <w:ind w:left="1880"/>
        <w:spacing w:after="0"/>
        <w:rPr>
          <w:sz w:val="20"/>
          <w:szCs w:val="20"/>
          <w:color w:val="auto"/>
        </w:rPr>
      </w:pPr>
      <w:r>
        <w:rPr>
          <w:rFonts w:ascii="Arial" w:cs="Arial" w:eastAsia="Arial" w:hAnsi="Arial"/>
          <w:sz w:val="22"/>
          <w:szCs w:val="22"/>
          <w:color w:val="auto"/>
        </w:rPr>
        <w:t>Section 1 of Supplemental Exhibit EE1</w:t>
      </w:r>
    </w:p>
    <w:p>
      <w:pPr>
        <w:spacing w:after="0" w:line="179" w:lineRule="exact"/>
        <w:rPr>
          <w:sz w:val="20"/>
          <w:szCs w:val="20"/>
          <w:color w:val="auto"/>
        </w:rPr>
      </w:pPr>
    </w:p>
    <w:p>
      <w:pPr>
        <w:ind w:left="3400" w:right="2300" w:hanging="1512"/>
        <w:spacing w:after="0" w:line="328" w:lineRule="auto"/>
        <w:rPr>
          <w:sz w:val="20"/>
          <w:szCs w:val="20"/>
          <w:color w:val="auto"/>
        </w:rPr>
      </w:pPr>
      <w:r>
        <w:rPr>
          <w:rFonts w:ascii="Arial" w:cs="Arial" w:eastAsia="Arial" w:hAnsi="Arial"/>
          <w:sz w:val="19"/>
          <w:szCs w:val="19"/>
          <w:color w:val="auto"/>
        </w:rPr>
        <w:t>Section 1 (definition of “Firm Aircraft”) of Letter Agreement 6-1162-TRW-0664R1 entitled “</w:t>
      </w:r>
      <w:r>
        <w:rPr>
          <w:rFonts w:ascii="Arial" w:cs="Arial" w:eastAsia="Arial" w:hAnsi="Arial"/>
          <w:sz w:val="19"/>
          <w:szCs w:val="19"/>
          <w:u w:val="single" w:color="auto"/>
          <w:color w:val="auto"/>
        </w:rPr>
        <w:t>Aircraft Purchase Rights and Substitution Rights</w:t>
      </w:r>
      <w:r>
        <w:rPr>
          <w:rFonts w:ascii="Arial" w:cs="Arial" w:eastAsia="Arial" w:hAnsi="Arial"/>
          <w:sz w:val="19"/>
          <w:szCs w:val="19"/>
          <w:color w:val="auto"/>
        </w:rPr>
        <w:t>”</w:t>
      </w:r>
    </w:p>
    <w:p>
      <w:pPr>
        <w:spacing w:after="0" w:line="78" w:lineRule="exact"/>
        <w:rPr>
          <w:sz w:val="20"/>
          <w:szCs w:val="20"/>
          <w:color w:val="auto"/>
        </w:rPr>
      </w:pPr>
    </w:p>
    <w:p>
      <w:pPr>
        <w:ind w:left="1880"/>
        <w:spacing w:after="0"/>
        <w:rPr>
          <w:sz w:val="20"/>
          <w:szCs w:val="20"/>
          <w:color w:val="auto"/>
        </w:rPr>
      </w:pPr>
      <w:r>
        <w:rPr>
          <w:rFonts w:ascii="Arial" w:cs="Arial" w:eastAsia="Arial" w:hAnsi="Arial"/>
          <w:sz w:val="22"/>
          <w:szCs w:val="22"/>
          <w:color w:val="auto"/>
        </w:rPr>
        <w:t>Section 1.1 of LA 6-1162-TRW-0672R1 entitled “[*CTR</w:t>
      </w:r>
      <w:r>
        <w:rPr>
          <w:rFonts w:ascii="Arial" w:cs="Arial" w:eastAsia="Arial" w:hAnsi="Arial"/>
          <w:sz w:val="22"/>
          <w:szCs w:val="22"/>
          <w:u w:val="single" w:color="auto"/>
          <w:color w:val="auto"/>
        </w:rPr>
        <w:t>]</w:t>
      </w:r>
      <w:r>
        <w:rPr>
          <w:rFonts w:ascii="Arial" w:cs="Arial" w:eastAsia="Arial" w:hAnsi="Arial"/>
          <w:sz w:val="22"/>
          <w:szCs w:val="22"/>
          <w:color w:val="auto"/>
        </w:rPr>
        <w:t>”</w:t>
      </w:r>
    </w:p>
    <w:p>
      <w:pPr>
        <w:spacing w:after="0" w:line="179" w:lineRule="exact"/>
        <w:rPr>
          <w:sz w:val="20"/>
          <w:szCs w:val="20"/>
          <w:color w:val="auto"/>
        </w:rPr>
      </w:pPr>
    </w:p>
    <w:p>
      <w:pPr>
        <w:ind w:left="1880"/>
        <w:spacing w:after="0"/>
        <w:rPr>
          <w:sz w:val="20"/>
          <w:szCs w:val="20"/>
          <w:color w:val="auto"/>
        </w:rPr>
      </w:pPr>
      <w:r>
        <w:rPr>
          <w:rFonts w:ascii="Arial" w:cs="Arial" w:eastAsia="Arial" w:hAnsi="Arial"/>
          <w:sz w:val="19"/>
          <w:szCs w:val="19"/>
          <w:color w:val="auto"/>
        </w:rPr>
        <w:t>Section 3 of Letter Agreement 6-1162-TRW-0674R3 entitled “</w:t>
      </w:r>
      <w:r>
        <w:rPr>
          <w:rFonts w:ascii="Arial" w:cs="Arial" w:eastAsia="Arial" w:hAnsi="Arial"/>
          <w:sz w:val="19"/>
          <w:szCs w:val="19"/>
          <w:u w:val="single" w:color="auto"/>
          <w:color w:val="auto"/>
        </w:rPr>
        <w:t>Business Considerations</w:t>
      </w:r>
      <w:r>
        <w:rPr>
          <w:rFonts w:ascii="Arial" w:cs="Arial" w:eastAsia="Arial" w:hAnsi="Arial"/>
          <w:sz w:val="19"/>
          <w:szCs w:val="19"/>
          <w:color w:val="auto"/>
        </w:rPr>
        <w:t>”</w:t>
      </w:r>
    </w:p>
    <w:p>
      <w:pPr>
        <w:spacing w:after="0" w:line="268" w:lineRule="exact"/>
        <w:rPr>
          <w:sz w:val="20"/>
          <w:szCs w:val="20"/>
          <w:color w:val="auto"/>
        </w:rPr>
      </w:pPr>
    </w:p>
    <w:p>
      <w:pPr>
        <w:jc w:val="both"/>
        <w:ind w:firstLine="799"/>
        <w:spacing w:after="0" w:line="236" w:lineRule="auto"/>
        <w:rPr>
          <w:sz w:val="20"/>
          <w:szCs w:val="20"/>
          <w:color w:val="auto"/>
        </w:rPr>
      </w:pPr>
      <w:r>
        <w:rPr>
          <w:rFonts w:ascii="Arial" w:cs="Arial" w:eastAsia="Arial" w:hAnsi="Arial"/>
          <w:sz w:val="22"/>
          <w:szCs w:val="22"/>
          <w:color w:val="auto"/>
        </w:rPr>
        <w:t>4.2 Except as expressly set forth herein, all terms and provisions contained in the Purchase Agreement shall remain in full force and effect. This Agreement contains the entire agreement between the parties with respect to the subject matter hereof and supersedes all previous proposals, and agreements, understandings, commitments or representations whatsoever, oral or written, with respect to the subject matter hereof and may be changed only in writing signed by authorized representatives of the parties.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620" w:type="dxa"/>
            <w:vAlign w:val="bottom"/>
          </w:tcPr>
          <w:p>
            <w:pPr>
              <w:spacing w:after="0"/>
              <w:rPr>
                <w:sz w:val="20"/>
                <w:szCs w:val="20"/>
                <w:color w:val="auto"/>
              </w:rPr>
            </w:pPr>
            <w:r>
              <w:rPr>
                <w:rFonts w:ascii="Arial" w:cs="Arial" w:eastAsia="Arial" w:hAnsi="Arial"/>
                <w:sz w:val="22"/>
                <w:szCs w:val="22"/>
                <w:color w:val="auto"/>
              </w:rPr>
              <w:t>PA 3219</w:t>
            </w:r>
          </w:p>
        </w:tc>
        <w:tc>
          <w:tcPr>
            <w:tcW w:w="6060" w:type="dxa"/>
            <w:vAlign w:val="bottom"/>
          </w:tcPr>
          <w:p>
            <w:pPr>
              <w:ind w:left="3060"/>
              <w:spacing w:after="0"/>
              <w:rPr>
                <w:sz w:val="20"/>
                <w:szCs w:val="20"/>
                <w:color w:val="auto"/>
              </w:rPr>
            </w:pPr>
            <w:r>
              <w:rPr>
                <w:rFonts w:ascii="Arial" w:cs="Arial" w:eastAsia="Arial" w:hAnsi="Arial"/>
                <w:sz w:val="22"/>
                <w:szCs w:val="22"/>
                <w:color w:val="auto"/>
              </w:rPr>
              <w:t>SA-10</w:t>
            </w:r>
          </w:p>
        </w:tc>
        <w:tc>
          <w:tcPr>
            <w:tcW w:w="2300" w:type="dxa"/>
            <w:vAlign w:val="bottom"/>
          </w:tcPr>
          <w:p>
            <w:pPr>
              <w:ind w:left="1720"/>
              <w:spacing w:after="0"/>
              <w:rPr>
                <w:sz w:val="20"/>
                <w:szCs w:val="20"/>
                <w:color w:val="auto"/>
              </w:rPr>
            </w:pPr>
            <w:r>
              <w:rPr>
                <w:rFonts w:ascii="Arial" w:cs="Arial" w:eastAsia="Arial" w:hAnsi="Arial"/>
                <w:sz w:val="22"/>
                <w:szCs w:val="22"/>
                <w:color w:val="auto"/>
                <w:w w:val="80"/>
              </w:rPr>
              <w:t>Page 2</w:t>
            </w:r>
          </w:p>
        </w:tc>
      </w:tr>
      <w:tr>
        <w:trPr>
          <w:trHeight w:val="281"/>
        </w:trPr>
        <w:tc>
          <w:tcPr>
            <w:tcW w:w="2620" w:type="dxa"/>
            <w:vAlign w:val="bottom"/>
          </w:tcPr>
          <w:p>
            <w:pPr>
              <w:spacing w:after="0"/>
              <w:rPr>
                <w:sz w:val="24"/>
                <w:szCs w:val="24"/>
                <w:color w:val="auto"/>
              </w:rPr>
            </w:pPr>
          </w:p>
        </w:tc>
        <w:tc>
          <w:tcPr>
            <w:tcW w:w="6060" w:type="dxa"/>
            <w:vAlign w:val="bottom"/>
          </w:tcPr>
          <w:p>
            <w:pPr>
              <w:ind w:left="1860"/>
              <w:spacing w:after="0"/>
              <w:rPr>
                <w:sz w:val="20"/>
                <w:szCs w:val="20"/>
                <w:color w:val="auto"/>
              </w:rPr>
            </w:pPr>
            <w:r>
              <w:rPr>
                <w:rFonts w:ascii="Arial" w:cs="Arial" w:eastAsia="Arial" w:hAnsi="Arial"/>
                <w:sz w:val="22"/>
                <w:szCs w:val="22"/>
                <w:b w:val="1"/>
                <w:bCs w:val="1"/>
                <w:color w:val="auto"/>
              </w:rPr>
              <w:t>BOEING PROPRIETARY</w:t>
            </w:r>
          </w:p>
        </w:tc>
        <w:tc>
          <w:tcPr>
            <w:tcW w:w="2300" w:type="dxa"/>
            <w:vAlign w:val="bottom"/>
          </w:tcPr>
          <w:p>
            <w:pPr>
              <w:spacing w:after="0"/>
              <w:rPr>
                <w:sz w:val="24"/>
                <w:szCs w:val="24"/>
                <w:color w:val="auto"/>
              </w:rPr>
            </w:pPr>
          </w:p>
        </w:tc>
      </w:tr>
    </w:tbl>
    <w:p>
      <w:pPr>
        <w:spacing w:after="0" w:line="208"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[*CTR]=[CONFIDENTIAL PORTION OMITTED AND FILED SEPARATELY WITH THE COMMISSION PURSUANT TO A REQUEST FOR CONFIDENTIAL TREATMENT]</w:t>
      </w:r>
    </w:p>
    <w:p>
      <w:pPr>
        <w:sectPr>
          <w:pgSz w:w="11900" w:h="16838" w:orient="portrait"/>
          <w:cols w:equalWidth="0" w:num="1">
            <w:col w:w="11420"/>
          </w:cols>
          <w:pgMar w:left="240" w:top="267" w:right="239" w:bottom="1440" w:gutter="0" w:footer="0" w:header="0"/>
        </w:sectPr>
      </w:pPr>
    </w:p>
    <w:bookmarkStart w:id="118" w:name="page119"/>
    <w:bookmarkEnd w:id="118"/>
    <w:p>
      <w:pPr>
        <w:ind w:left="10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AGREED AND ACCEPTED</w:t>
      </w:r>
    </w:p>
    <w:p>
      <w:pPr>
        <w:spacing w:after="0" w:line="206" w:lineRule="exact"/>
        <w:rPr>
          <w:sz w:val="20"/>
          <w:szCs w:val="20"/>
          <w:color w:val="auto"/>
        </w:rPr>
      </w:pPr>
    </w:p>
    <w:p>
      <w:pPr>
        <w:ind w:left="120"/>
        <w:spacing w:after="0"/>
        <w:rPr>
          <w:sz w:val="20"/>
          <w:szCs w:val="20"/>
          <w:color w:val="auto"/>
        </w:rPr>
      </w:pPr>
      <w:r>
        <w:rPr>
          <w:rFonts w:ascii="Arial" w:cs="Arial" w:eastAsia="Arial" w:hAnsi="Arial"/>
          <w:sz w:val="22"/>
          <w:szCs w:val="22"/>
          <w:color w:val="auto"/>
        </w:rPr>
        <w:t>May 11,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341312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2" w:lineRule="exact"/>
        <w:rPr>
          <w:sz w:val="20"/>
          <w:szCs w:val="20"/>
          <w:color w:val="auto"/>
        </w:rPr>
      </w:pPr>
    </w:p>
    <w:p>
      <w:pPr>
        <w:ind w:left="120"/>
        <w:spacing w:after="0"/>
        <w:rPr>
          <w:sz w:val="20"/>
          <w:szCs w:val="20"/>
          <w:color w:val="auto"/>
        </w:rPr>
      </w:pPr>
      <w:r>
        <w:rPr>
          <w:rFonts w:ascii="Arial" w:cs="Arial" w:eastAsia="Arial" w:hAnsi="Arial"/>
          <w:sz w:val="22"/>
          <w:szCs w:val="22"/>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20"/>
        <w:spacing w:after="0"/>
        <w:tabs>
          <w:tab w:leader="none" w:pos="6040" w:val="left"/>
        </w:tabs>
        <w:rPr>
          <w:sz w:val="20"/>
          <w:szCs w:val="20"/>
          <w:color w:val="auto"/>
        </w:rPr>
      </w:pPr>
      <w:r>
        <w:rPr>
          <w:rFonts w:ascii="Arial" w:cs="Arial" w:eastAsia="Arial" w:hAnsi="Arial"/>
          <w:sz w:val="22"/>
          <w:szCs w:val="22"/>
          <w:b w:val="1"/>
          <w:bCs w:val="1"/>
          <w:color w:val="auto"/>
        </w:rPr>
        <w:t>THE BOEING COMPANY</w:t>
      </w:r>
      <w:r>
        <w:rPr>
          <w:sz w:val="20"/>
          <w:szCs w:val="20"/>
          <w:color w:val="auto"/>
        </w:rPr>
        <w:tab/>
      </w:r>
      <w:r>
        <w:rPr>
          <w:rFonts w:ascii="Arial" w:cs="Arial" w:eastAsia="Arial" w:hAnsi="Arial"/>
          <w:sz w:val="22"/>
          <w:szCs w:val="22"/>
          <w:b w:val="1"/>
          <w:bCs w:val="1"/>
          <w:color w:val="auto"/>
        </w:rPr>
        <w:t>AMERICAN AIRLINES,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20" w:type="dxa"/>
            <w:vAlign w:val="bottom"/>
          </w:tcPr>
          <w:p>
            <w:pPr>
              <w:spacing w:after="0"/>
              <w:rPr>
                <w:sz w:val="23"/>
                <w:szCs w:val="23"/>
                <w:color w:val="auto"/>
              </w:rPr>
            </w:pPr>
          </w:p>
        </w:tc>
        <w:tc>
          <w:tcPr>
            <w:tcW w:w="336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/s/ The Boeing Company</w:t>
            </w:r>
          </w:p>
        </w:tc>
        <w:tc>
          <w:tcPr>
            <w:tcW w:w="2000" w:type="dxa"/>
            <w:vAlign w:val="bottom"/>
            <w:tcBorders>
              <w:bottom w:val="single" w:sz="8" w:color="auto"/>
            </w:tcBorders>
          </w:tcPr>
          <w:p>
            <w:pPr>
              <w:spacing w:after="0"/>
              <w:rPr>
                <w:sz w:val="23"/>
                <w:szCs w:val="23"/>
                <w:color w:val="auto"/>
              </w:rPr>
            </w:pPr>
          </w:p>
        </w:tc>
        <w:tc>
          <w:tcPr>
            <w:tcW w:w="580" w:type="dxa"/>
            <w:vAlign w:val="bottom"/>
          </w:tcPr>
          <w:p>
            <w:pPr>
              <w:spacing w:after="0"/>
              <w:rPr>
                <w:sz w:val="23"/>
                <w:szCs w:val="23"/>
                <w:color w:val="auto"/>
              </w:rPr>
            </w:pPr>
          </w:p>
        </w:tc>
        <w:tc>
          <w:tcPr>
            <w:tcW w:w="342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/s/ American Airlines, Inc.</w:t>
            </w:r>
          </w:p>
        </w:tc>
        <w:tc>
          <w:tcPr>
            <w:tcW w:w="2040" w:type="dxa"/>
            <w:vAlign w:val="bottom"/>
            <w:tcBorders>
              <w:bottom w:val="single" w:sz="8" w:color="auto"/>
            </w:tcBorders>
          </w:tcPr>
          <w:p>
            <w:pPr>
              <w:spacing w:after="0"/>
              <w:rPr>
                <w:sz w:val="23"/>
                <w:szCs w:val="23"/>
                <w:color w:val="auto"/>
              </w:rPr>
            </w:pPr>
          </w:p>
        </w:tc>
      </w:tr>
      <w:tr>
        <w:trPr>
          <w:trHeight w:val="268"/>
        </w:trPr>
        <w:tc>
          <w:tcPr>
            <w:tcW w:w="20" w:type="dxa"/>
            <w:vAlign w:val="bottom"/>
          </w:tcPr>
          <w:p>
            <w:pPr>
              <w:spacing w:after="0"/>
              <w:rPr>
                <w:sz w:val="23"/>
                <w:szCs w:val="23"/>
                <w:color w:val="auto"/>
              </w:rPr>
            </w:pPr>
          </w:p>
        </w:tc>
        <w:tc>
          <w:tcPr>
            <w:tcW w:w="3360" w:type="dxa"/>
            <w:vAlign w:val="bottom"/>
          </w:tcPr>
          <w:p>
            <w:pPr>
              <w:ind w:left="100"/>
              <w:spacing w:after="0"/>
              <w:rPr>
                <w:sz w:val="20"/>
                <w:szCs w:val="20"/>
                <w:color w:val="auto"/>
              </w:rPr>
            </w:pPr>
            <w:r>
              <w:rPr>
                <w:rFonts w:ascii="Arial" w:cs="Arial" w:eastAsia="Arial" w:hAnsi="Arial"/>
                <w:sz w:val="22"/>
                <w:szCs w:val="22"/>
                <w:color w:val="auto"/>
              </w:rPr>
              <w:t>Signature</w:t>
            </w:r>
          </w:p>
        </w:tc>
        <w:tc>
          <w:tcPr>
            <w:tcW w:w="20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420" w:type="dxa"/>
            <w:vAlign w:val="bottom"/>
          </w:tcPr>
          <w:p>
            <w:pPr>
              <w:ind w:left="100"/>
              <w:spacing w:after="0"/>
              <w:rPr>
                <w:sz w:val="20"/>
                <w:szCs w:val="20"/>
                <w:color w:val="auto"/>
              </w:rPr>
            </w:pPr>
            <w:r>
              <w:rPr>
                <w:rFonts w:ascii="Arial" w:cs="Arial" w:eastAsia="Arial" w:hAnsi="Arial"/>
                <w:sz w:val="22"/>
                <w:szCs w:val="22"/>
                <w:color w:val="auto"/>
              </w:rPr>
              <w:t>Signature</w:t>
            </w:r>
          </w:p>
        </w:tc>
        <w:tc>
          <w:tcPr>
            <w:tcW w:w="2040" w:type="dxa"/>
            <w:vAlign w:val="bottom"/>
          </w:tcPr>
          <w:p>
            <w:pPr>
              <w:spacing w:after="0"/>
              <w:rPr>
                <w:sz w:val="23"/>
                <w:szCs w:val="23"/>
                <w:color w:val="auto"/>
              </w:rPr>
            </w:pPr>
          </w:p>
        </w:tc>
      </w:tr>
      <w:tr>
        <w:trPr>
          <w:trHeight w:val="428"/>
        </w:trPr>
        <w:tc>
          <w:tcPr>
            <w:tcW w:w="20" w:type="dxa"/>
            <w:vAlign w:val="bottom"/>
          </w:tcPr>
          <w:p>
            <w:pPr>
              <w:spacing w:after="0"/>
              <w:rPr>
                <w:sz w:val="24"/>
                <w:szCs w:val="24"/>
                <w:color w:val="auto"/>
              </w:rPr>
            </w:pPr>
          </w:p>
        </w:tc>
        <w:tc>
          <w:tcPr>
            <w:tcW w:w="336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The Boeing Company</w:t>
            </w:r>
          </w:p>
        </w:tc>
        <w:tc>
          <w:tcPr>
            <w:tcW w:w="200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342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American Airlines, Inc.</w:t>
            </w:r>
          </w:p>
        </w:tc>
        <w:tc>
          <w:tcPr>
            <w:tcW w:w="2040" w:type="dxa"/>
            <w:vAlign w:val="bottom"/>
            <w:tcBorders>
              <w:bottom w:val="single" w:sz="8" w:color="auto"/>
            </w:tcBorders>
          </w:tcPr>
          <w:p>
            <w:pPr>
              <w:spacing w:after="0"/>
              <w:rPr>
                <w:sz w:val="24"/>
                <w:szCs w:val="24"/>
                <w:color w:val="auto"/>
              </w:rPr>
            </w:pPr>
          </w:p>
        </w:tc>
      </w:tr>
      <w:tr>
        <w:trPr>
          <w:trHeight w:val="268"/>
        </w:trPr>
        <w:tc>
          <w:tcPr>
            <w:tcW w:w="20" w:type="dxa"/>
            <w:vAlign w:val="bottom"/>
          </w:tcPr>
          <w:p>
            <w:pPr>
              <w:spacing w:after="0"/>
              <w:rPr>
                <w:sz w:val="23"/>
                <w:szCs w:val="23"/>
                <w:color w:val="auto"/>
              </w:rPr>
            </w:pPr>
          </w:p>
        </w:tc>
        <w:tc>
          <w:tcPr>
            <w:tcW w:w="3360" w:type="dxa"/>
            <w:vAlign w:val="bottom"/>
          </w:tcPr>
          <w:p>
            <w:pPr>
              <w:ind w:left="100"/>
              <w:spacing w:after="0"/>
              <w:rPr>
                <w:sz w:val="20"/>
                <w:szCs w:val="20"/>
                <w:color w:val="auto"/>
              </w:rPr>
            </w:pPr>
            <w:r>
              <w:rPr>
                <w:rFonts w:ascii="Arial" w:cs="Arial" w:eastAsia="Arial" w:hAnsi="Arial"/>
                <w:sz w:val="22"/>
                <w:szCs w:val="22"/>
                <w:color w:val="auto"/>
              </w:rPr>
              <w:t>Printed name</w:t>
            </w:r>
          </w:p>
        </w:tc>
        <w:tc>
          <w:tcPr>
            <w:tcW w:w="20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420" w:type="dxa"/>
            <w:vAlign w:val="bottom"/>
          </w:tcPr>
          <w:p>
            <w:pPr>
              <w:ind w:left="100"/>
              <w:spacing w:after="0"/>
              <w:rPr>
                <w:sz w:val="20"/>
                <w:szCs w:val="20"/>
                <w:color w:val="auto"/>
              </w:rPr>
            </w:pPr>
            <w:r>
              <w:rPr>
                <w:rFonts w:ascii="Arial" w:cs="Arial" w:eastAsia="Arial" w:hAnsi="Arial"/>
                <w:sz w:val="22"/>
                <w:szCs w:val="22"/>
                <w:color w:val="auto"/>
              </w:rPr>
              <w:t>Printed name</w:t>
            </w:r>
          </w:p>
        </w:tc>
        <w:tc>
          <w:tcPr>
            <w:tcW w:w="2040" w:type="dxa"/>
            <w:vAlign w:val="bottom"/>
          </w:tcPr>
          <w:p>
            <w:pPr>
              <w:spacing w:after="0"/>
              <w:rPr>
                <w:sz w:val="23"/>
                <w:szCs w:val="23"/>
                <w:color w:val="auto"/>
              </w:rPr>
            </w:pPr>
          </w:p>
        </w:tc>
      </w:tr>
      <w:tr>
        <w:trPr>
          <w:trHeight w:val="428"/>
        </w:trPr>
        <w:tc>
          <w:tcPr>
            <w:tcW w:w="20" w:type="dxa"/>
            <w:vAlign w:val="bottom"/>
          </w:tcPr>
          <w:p>
            <w:pPr>
              <w:spacing w:after="0"/>
              <w:rPr>
                <w:sz w:val="24"/>
                <w:szCs w:val="24"/>
                <w:color w:val="auto"/>
              </w:rPr>
            </w:pPr>
          </w:p>
        </w:tc>
        <w:tc>
          <w:tcPr>
            <w:tcW w:w="33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Attorney-in-Fact</w:t>
            </w:r>
          </w:p>
        </w:tc>
        <w:tc>
          <w:tcPr>
            <w:tcW w:w="200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342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VP and Treasurer</w:t>
            </w:r>
          </w:p>
        </w:tc>
        <w:tc>
          <w:tcPr>
            <w:tcW w:w="2040" w:type="dxa"/>
            <w:vAlign w:val="bottom"/>
            <w:tcBorders>
              <w:bottom w:val="single" w:sz="8" w:color="auto"/>
            </w:tcBorders>
          </w:tcPr>
          <w:p>
            <w:pPr>
              <w:spacing w:after="0"/>
              <w:rPr>
                <w:sz w:val="24"/>
                <w:szCs w:val="24"/>
                <w:color w:val="auto"/>
              </w:rPr>
            </w:pPr>
          </w:p>
        </w:tc>
      </w:tr>
      <w:tr>
        <w:trPr>
          <w:trHeight w:val="268"/>
        </w:trPr>
        <w:tc>
          <w:tcPr>
            <w:tcW w:w="20" w:type="dxa"/>
            <w:vAlign w:val="bottom"/>
          </w:tcPr>
          <w:p>
            <w:pPr>
              <w:spacing w:after="0"/>
              <w:rPr>
                <w:sz w:val="23"/>
                <w:szCs w:val="23"/>
                <w:color w:val="auto"/>
              </w:rPr>
            </w:pPr>
          </w:p>
        </w:tc>
        <w:tc>
          <w:tcPr>
            <w:tcW w:w="3360" w:type="dxa"/>
            <w:vAlign w:val="bottom"/>
          </w:tcPr>
          <w:p>
            <w:pPr>
              <w:ind w:left="100"/>
              <w:spacing w:after="0"/>
              <w:rPr>
                <w:sz w:val="20"/>
                <w:szCs w:val="20"/>
                <w:color w:val="auto"/>
              </w:rPr>
            </w:pPr>
            <w:r>
              <w:rPr>
                <w:rFonts w:ascii="Arial" w:cs="Arial" w:eastAsia="Arial" w:hAnsi="Arial"/>
                <w:sz w:val="22"/>
                <w:szCs w:val="22"/>
                <w:color w:val="auto"/>
              </w:rPr>
              <w:t>Title</w:t>
            </w:r>
          </w:p>
        </w:tc>
        <w:tc>
          <w:tcPr>
            <w:tcW w:w="20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420" w:type="dxa"/>
            <w:vAlign w:val="bottom"/>
          </w:tcPr>
          <w:p>
            <w:pPr>
              <w:ind w:left="100"/>
              <w:spacing w:after="0"/>
              <w:rPr>
                <w:sz w:val="20"/>
                <w:szCs w:val="20"/>
                <w:color w:val="auto"/>
              </w:rPr>
            </w:pPr>
            <w:r>
              <w:rPr>
                <w:rFonts w:ascii="Arial" w:cs="Arial" w:eastAsia="Arial" w:hAnsi="Arial"/>
                <w:sz w:val="22"/>
                <w:szCs w:val="22"/>
                <w:color w:val="auto"/>
              </w:rPr>
              <w:t>Title</w:t>
            </w:r>
          </w:p>
        </w:tc>
        <w:tc>
          <w:tcPr>
            <w:tcW w:w="2040" w:type="dxa"/>
            <w:vAlign w:val="bottom"/>
          </w:tcPr>
          <w:p>
            <w:pPr>
              <w:spacing w:after="0"/>
              <w:rPr>
                <w:sz w:val="23"/>
                <w:szCs w:val="23"/>
                <w:color w:val="auto"/>
              </w:rPr>
            </w:pPr>
          </w:p>
        </w:tc>
      </w:tr>
      <w:tr>
        <w:trPr>
          <w:trHeight w:val="333"/>
        </w:trPr>
        <w:tc>
          <w:tcPr>
            <w:tcW w:w="3380" w:type="dxa"/>
            <w:vAlign w:val="bottom"/>
            <w:gridSpan w:val="2"/>
          </w:tcPr>
          <w:p>
            <w:pPr>
              <w:spacing w:after="0"/>
              <w:rPr>
                <w:sz w:val="20"/>
                <w:szCs w:val="20"/>
                <w:color w:val="auto"/>
              </w:rPr>
            </w:pPr>
            <w:r>
              <w:rPr>
                <w:rFonts w:ascii="Arial" w:cs="Arial" w:eastAsia="Arial" w:hAnsi="Arial"/>
                <w:sz w:val="22"/>
                <w:szCs w:val="22"/>
                <w:color w:val="auto"/>
              </w:rPr>
              <w:t>PA 3219</w:t>
            </w:r>
          </w:p>
        </w:tc>
        <w:tc>
          <w:tcPr>
            <w:tcW w:w="2000" w:type="dxa"/>
            <w:vAlign w:val="bottom"/>
          </w:tcPr>
          <w:p>
            <w:pPr>
              <w:spacing w:after="0"/>
              <w:rPr>
                <w:sz w:val="24"/>
                <w:szCs w:val="24"/>
                <w:color w:val="auto"/>
              </w:rPr>
            </w:pPr>
          </w:p>
        </w:tc>
        <w:tc>
          <w:tcPr>
            <w:tcW w:w="4000" w:type="dxa"/>
            <w:vAlign w:val="bottom"/>
            <w:gridSpan w:val="2"/>
          </w:tcPr>
          <w:p>
            <w:pPr>
              <w:ind w:left="300"/>
              <w:spacing w:after="0"/>
              <w:rPr>
                <w:sz w:val="20"/>
                <w:szCs w:val="20"/>
                <w:color w:val="auto"/>
              </w:rPr>
            </w:pPr>
            <w:r>
              <w:rPr>
                <w:rFonts w:ascii="Arial" w:cs="Arial" w:eastAsia="Arial" w:hAnsi="Arial"/>
                <w:sz w:val="22"/>
                <w:szCs w:val="22"/>
                <w:color w:val="auto"/>
              </w:rPr>
              <w:t>SA-10</w:t>
            </w:r>
          </w:p>
        </w:tc>
        <w:tc>
          <w:tcPr>
            <w:tcW w:w="2040" w:type="dxa"/>
            <w:vAlign w:val="bottom"/>
          </w:tcPr>
          <w:p>
            <w:pPr>
              <w:ind w:left="1020"/>
              <w:spacing w:after="0"/>
              <w:rPr>
                <w:sz w:val="20"/>
                <w:szCs w:val="20"/>
                <w:color w:val="auto"/>
              </w:rPr>
            </w:pPr>
            <w:r>
              <w:rPr>
                <w:rFonts w:ascii="Arial" w:cs="Arial" w:eastAsia="Arial" w:hAnsi="Arial"/>
                <w:sz w:val="22"/>
                <w:szCs w:val="22"/>
                <w:color w:val="auto"/>
              </w:rPr>
              <w:t>Page 3</w:t>
            </w:r>
          </w:p>
        </w:tc>
      </w:tr>
      <w:tr>
        <w:trPr>
          <w:trHeight w:val="281"/>
        </w:trPr>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6000" w:type="dxa"/>
            <w:vAlign w:val="bottom"/>
            <w:gridSpan w:val="3"/>
          </w:tcPr>
          <w:p>
            <w:pPr>
              <w:ind w:left="1100"/>
              <w:spacing w:after="0"/>
              <w:rPr>
                <w:sz w:val="20"/>
                <w:szCs w:val="20"/>
                <w:color w:val="auto"/>
              </w:rPr>
            </w:pPr>
            <w:r>
              <w:rPr>
                <w:rFonts w:ascii="Arial" w:cs="Arial" w:eastAsia="Arial" w:hAnsi="Arial"/>
                <w:sz w:val="22"/>
                <w:szCs w:val="22"/>
                <w:b w:val="1"/>
                <w:bCs w:val="1"/>
                <w:color w:val="auto"/>
              </w:rPr>
              <w:t>BOEING PROPRIETARY</w:t>
            </w:r>
          </w:p>
        </w:tc>
        <w:tc>
          <w:tcPr>
            <w:tcW w:w="2040" w:type="dxa"/>
            <w:vAlign w:val="bottom"/>
          </w:tcPr>
          <w:p>
            <w:pPr>
              <w:spacing w:after="0"/>
              <w:rPr>
                <w:sz w:val="24"/>
                <w:szCs w:val="24"/>
                <w:color w:val="auto"/>
              </w:rPr>
            </w:pPr>
          </w:p>
        </w:tc>
      </w:tr>
    </w:tbl>
    <w:p>
      <w:pPr>
        <w:sectPr>
          <w:pgSz w:w="11900" w:h="16838" w:orient="portrait"/>
          <w:cols w:equalWidth="0" w:num="1">
            <w:col w:w="11420"/>
          </w:cols>
          <w:pgMar w:left="240" w:top="267" w:right="239" w:bottom="1440" w:gutter="0" w:footer="0" w:header="0"/>
        </w:sectPr>
      </w:pPr>
    </w:p>
    <w:bookmarkStart w:id="119" w:name="page120"/>
    <w:bookmarkEnd w:id="11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420" w:type="dxa"/>
        <w:tblCellMar>
          <w:top w:w="0" w:type="dxa"/>
          <w:left w:w="0" w:type="dxa"/>
          <w:bottom w:w="0" w:type="dxa"/>
          <w:right w:w="0" w:type="dxa"/>
        </w:tblCellMar>
      </w:tblPr>
      <w:tr>
        <w:trPr>
          <w:trHeight w:val="275"/>
        </w:trPr>
        <w:tc>
          <w:tcPr>
            <w:tcW w:w="1020" w:type="dxa"/>
            <w:vAlign w:val="bottom"/>
          </w:tcPr>
          <w:p>
            <w:pPr>
              <w:spacing w:after="0"/>
              <w:rPr>
                <w:sz w:val="23"/>
                <w:szCs w:val="23"/>
                <w:color w:val="auto"/>
              </w:rPr>
            </w:pPr>
          </w:p>
        </w:tc>
        <w:tc>
          <w:tcPr>
            <w:tcW w:w="7220" w:type="dxa"/>
            <w:vAlign w:val="bottom"/>
          </w:tcPr>
          <w:p>
            <w:pPr>
              <w:ind w:left="3180"/>
              <w:spacing w:after="0"/>
              <w:rPr>
                <w:sz w:val="20"/>
                <w:szCs w:val="20"/>
                <w:color w:val="auto"/>
              </w:rPr>
            </w:pPr>
            <w:r>
              <w:rPr>
                <w:rFonts w:ascii="Arial" w:cs="Arial" w:eastAsia="Arial" w:hAnsi="Arial"/>
                <w:sz w:val="22"/>
                <w:szCs w:val="22"/>
                <w:color w:val="auto"/>
              </w:rPr>
              <w:t>TABLE OF CONTENTS</w:t>
            </w:r>
          </w:p>
        </w:tc>
        <w:tc>
          <w:tcPr>
            <w:tcW w:w="184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455"/>
        </w:trPr>
        <w:tc>
          <w:tcPr>
            <w:tcW w:w="1020" w:type="dxa"/>
            <w:vAlign w:val="bottom"/>
          </w:tcPr>
          <w:p>
            <w:pPr>
              <w:spacing w:after="0"/>
              <w:rPr>
                <w:sz w:val="24"/>
                <w:szCs w:val="24"/>
                <w:color w:val="auto"/>
              </w:rPr>
            </w:pPr>
          </w:p>
        </w:tc>
        <w:tc>
          <w:tcPr>
            <w:tcW w:w="7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22"/>
                <w:szCs w:val="22"/>
                <w:color w:val="auto"/>
                <w:w w:val="95"/>
              </w:rPr>
              <w:t>SA</w:t>
            </w:r>
          </w:p>
        </w:tc>
      </w:tr>
      <w:tr>
        <w:trPr>
          <w:trHeight w:val="244"/>
        </w:trPr>
        <w:tc>
          <w:tcPr>
            <w:tcW w:w="1020" w:type="dxa"/>
            <w:vAlign w:val="bottom"/>
          </w:tcPr>
          <w:p>
            <w:pPr>
              <w:jc w:val="center"/>
              <w:spacing w:after="0" w:line="204" w:lineRule="exact"/>
              <w:rPr>
                <w:sz w:val="20"/>
                <w:szCs w:val="20"/>
                <w:color w:val="auto"/>
              </w:rPr>
            </w:pPr>
            <w:r>
              <w:rPr>
                <w:rFonts w:ascii="Arial" w:cs="Arial" w:eastAsia="Arial" w:hAnsi="Arial"/>
                <w:sz w:val="22"/>
                <w:szCs w:val="22"/>
                <w:color w:val="auto"/>
                <w:w w:val="94"/>
              </w:rPr>
              <w:t>ARTICLES</w:t>
            </w:r>
          </w:p>
        </w:tc>
        <w:tc>
          <w:tcPr>
            <w:tcW w:w="7220" w:type="dxa"/>
            <w:vAlign w:val="bottom"/>
          </w:tcPr>
          <w:p>
            <w:pPr>
              <w:spacing w:after="0"/>
              <w:rPr>
                <w:sz w:val="21"/>
                <w:szCs w:val="21"/>
                <w:color w:val="auto"/>
              </w:rPr>
            </w:pPr>
          </w:p>
        </w:tc>
        <w:tc>
          <w:tcPr>
            <w:tcW w:w="2760" w:type="dxa"/>
            <w:vAlign w:val="bottom"/>
            <w:gridSpan w:val="2"/>
          </w:tcPr>
          <w:p>
            <w:pPr>
              <w:jc w:val="center"/>
              <w:ind w:left="1732"/>
              <w:spacing w:after="0" w:line="204" w:lineRule="exact"/>
              <w:rPr>
                <w:sz w:val="20"/>
                <w:szCs w:val="20"/>
                <w:color w:val="auto"/>
              </w:rPr>
            </w:pPr>
            <w:r>
              <w:rPr>
                <w:rFonts w:ascii="Arial" w:cs="Arial" w:eastAsia="Arial" w:hAnsi="Arial"/>
                <w:sz w:val="22"/>
                <w:szCs w:val="22"/>
                <w:color w:val="auto"/>
                <w:w w:val="96"/>
              </w:rPr>
              <w:t>NUMBER</w:t>
            </w:r>
          </w:p>
        </w:tc>
      </w:tr>
      <w:tr>
        <w:trPr>
          <w:trHeight w:val="236"/>
        </w:trPr>
        <w:tc>
          <w:tcPr>
            <w:tcW w:w="1020" w:type="dxa"/>
            <w:vAlign w:val="bottom"/>
            <w:tcBorders>
              <w:top w:val="single" w:sz="8" w:color="auto"/>
            </w:tcBorders>
          </w:tcPr>
          <w:p>
            <w:pPr>
              <w:jc w:val="center"/>
              <w:spacing w:after="0" w:line="236" w:lineRule="exact"/>
              <w:rPr>
                <w:sz w:val="20"/>
                <w:szCs w:val="20"/>
                <w:color w:val="auto"/>
              </w:rPr>
            </w:pPr>
            <w:r>
              <w:rPr>
                <w:rFonts w:ascii="Arial" w:cs="Arial" w:eastAsia="Arial" w:hAnsi="Arial"/>
                <w:sz w:val="22"/>
                <w:szCs w:val="22"/>
                <w:color w:val="auto"/>
                <w:w w:val="86"/>
              </w:rPr>
              <w:t>1.</w:t>
            </w:r>
          </w:p>
        </w:tc>
        <w:tc>
          <w:tcPr>
            <w:tcW w:w="7220" w:type="dxa"/>
            <w:vAlign w:val="bottom"/>
          </w:tcPr>
          <w:p>
            <w:pPr>
              <w:ind w:left="740"/>
              <w:spacing w:after="0" w:line="236" w:lineRule="exact"/>
              <w:rPr>
                <w:sz w:val="20"/>
                <w:szCs w:val="20"/>
                <w:color w:val="auto"/>
              </w:rPr>
            </w:pPr>
            <w:r>
              <w:rPr>
                <w:rFonts w:ascii="Arial" w:cs="Arial" w:eastAsia="Arial" w:hAnsi="Arial"/>
                <w:sz w:val="22"/>
                <w:szCs w:val="22"/>
                <w:color w:val="auto"/>
              </w:rPr>
              <w:t>Quantity, Model and Description</w:t>
            </w:r>
          </w:p>
        </w:tc>
        <w:tc>
          <w:tcPr>
            <w:tcW w:w="1840" w:type="dxa"/>
            <w:vAlign w:val="bottom"/>
          </w:tcPr>
          <w:p>
            <w:pPr>
              <w:spacing w:after="0"/>
              <w:rPr>
                <w:sz w:val="20"/>
                <w:szCs w:val="20"/>
                <w:color w:val="auto"/>
              </w:rPr>
            </w:pPr>
          </w:p>
        </w:tc>
        <w:tc>
          <w:tcPr>
            <w:tcW w:w="920" w:type="dxa"/>
            <w:vAlign w:val="bottom"/>
            <w:tcBorders>
              <w:top w:val="single" w:sz="8" w:color="auto"/>
            </w:tcBorders>
          </w:tcPr>
          <w:p>
            <w:pPr>
              <w:jc w:val="center"/>
              <w:spacing w:after="0" w:line="236" w:lineRule="exact"/>
              <w:rPr>
                <w:sz w:val="20"/>
                <w:szCs w:val="20"/>
                <w:color w:val="auto"/>
              </w:rPr>
            </w:pPr>
            <w:r>
              <w:rPr>
                <w:rFonts w:ascii="Arial" w:cs="Arial" w:eastAsia="Arial" w:hAnsi="Arial"/>
                <w:sz w:val="22"/>
                <w:szCs w:val="22"/>
                <w:color w:val="auto"/>
                <w:w w:val="93"/>
              </w:rPr>
              <w:t>SA-3</w:t>
            </w:r>
          </w:p>
        </w:tc>
      </w:tr>
      <w:tr>
        <w:trPr>
          <w:trHeight w:val="243"/>
        </w:trPr>
        <w:tc>
          <w:tcPr>
            <w:tcW w:w="1020" w:type="dxa"/>
            <w:vAlign w:val="bottom"/>
          </w:tcPr>
          <w:p>
            <w:pPr>
              <w:jc w:val="center"/>
              <w:spacing w:after="0" w:line="243" w:lineRule="exact"/>
              <w:rPr>
                <w:sz w:val="20"/>
                <w:szCs w:val="20"/>
                <w:color w:val="auto"/>
              </w:rPr>
            </w:pPr>
            <w:r>
              <w:rPr>
                <w:rFonts w:ascii="Arial" w:cs="Arial" w:eastAsia="Arial" w:hAnsi="Arial"/>
                <w:sz w:val="22"/>
                <w:szCs w:val="22"/>
                <w:color w:val="auto"/>
                <w:w w:val="86"/>
              </w:rPr>
              <w:t>2.</w:t>
            </w:r>
          </w:p>
        </w:tc>
        <w:tc>
          <w:tcPr>
            <w:tcW w:w="7220" w:type="dxa"/>
            <w:vAlign w:val="bottom"/>
          </w:tcPr>
          <w:p>
            <w:pPr>
              <w:ind w:left="740"/>
              <w:spacing w:after="0" w:line="243" w:lineRule="exact"/>
              <w:rPr>
                <w:sz w:val="20"/>
                <w:szCs w:val="20"/>
                <w:color w:val="auto"/>
              </w:rPr>
            </w:pPr>
            <w:r>
              <w:rPr>
                <w:rFonts w:ascii="Arial" w:cs="Arial" w:eastAsia="Arial" w:hAnsi="Arial"/>
                <w:sz w:val="22"/>
                <w:szCs w:val="22"/>
                <w:color w:val="auto"/>
              </w:rPr>
              <w:t>Delivery Schedule</w:t>
            </w:r>
          </w:p>
        </w:tc>
        <w:tc>
          <w:tcPr>
            <w:tcW w:w="1840" w:type="dxa"/>
            <w:vAlign w:val="bottom"/>
          </w:tcPr>
          <w:p>
            <w:pPr>
              <w:spacing w:after="0"/>
              <w:rPr>
                <w:sz w:val="21"/>
                <w:szCs w:val="21"/>
                <w:color w:val="auto"/>
              </w:rPr>
            </w:pPr>
          </w:p>
        </w:tc>
        <w:tc>
          <w:tcPr>
            <w:tcW w:w="920" w:type="dxa"/>
            <w:vAlign w:val="bottom"/>
          </w:tcPr>
          <w:p>
            <w:pPr>
              <w:jc w:val="center"/>
              <w:spacing w:after="0" w:line="243" w:lineRule="exact"/>
              <w:rPr>
                <w:sz w:val="20"/>
                <w:szCs w:val="20"/>
                <w:color w:val="auto"/>
              </w:rPr>
            </w:pPr>
            <w:r>
              <w:rPr>
                <w:rFonts w:ascii="Arial" w:cs="Arial" w:eastAsia="Arial" w:hAnsi="Arial"/>
                <w:sz w:val="22"/>
                <w:szCs w:val="22"/>
                <w:color w:val="auto"/>
                <w:w w:val="93"/>
              </w:rPr>
              <w:t>SA-3</w:t>
            </w:r>
          </w:p>
        </w:tc>
      </w:tr>
      <w:tr>
        <w:trPr>
          <w:trHeight w:val="243"/>
        </w:trPr>
        <w:tc>
          <w:tcPr>
            <w:tcW w:w="1020" w:type="dxa"/>
            <w:vAlign w:val="bottom"/>
          </w:tcPr>
          <w:p>
            <w:pPr>
              <w:jc w:val="center"/>
              <w:spacing w:after="0" w:line="243" w:lineRule="exact"/>
              <w:rPr>
                <w:sz w:val="20"/>
                <w:szCs w:val="20"/>
                <w:color w:val="auto"/>
              </w:rPr>
            </w:pPr>
            <w:r>
              <w:rPr>
                <w:rFonts w:ascii="Arial" w:cs="Arial" w:eastAsia="Arial" w:hAnsi="Arial"/>
                <w:sz w:val="22"/>
                <w:szCs w:val="22"/>
                <w:color w:val="auto"/>
                <w:w w:val="86"/>
              </w:rPr>
              <w:t>3.</w:t>
            </w:r>
          </w:p>
        </w:tc>
        <w:tc>
          <w:tcPr>
            <w:tcW w:w="7220" w:type="dxa"/>
            <w:vAlign w:val="bottom"/>
          </w:tcPr>
          <w:p>
            <w:pPr>
              <w:ind w:left="740"/>
              <w:spacing w:after="0" w:line="243" w:lineRule="exact"/>
              <w:rPr>
                <w:sz w:val="20"/>
                <w:szCs w:val="20"/>
                <w:color w:val="auto"/>
              </w:rPr>
            </w:pPr>
            <w:r>
              <w:rPr>
                <w:rFonts w:ascii="Arial" w:cs="Arial" w:eastAsia="Arial" w:hAnsi="Arial"/>
                <w:sz w:val="22"/>
                <w:szCs w:val="22"/>
                <w:color w:val="auto"/>
              </w:rPr>
              <w:t>Price</w:t>
            </w:r>
          </w:p>
        </w:tc>
        <w:tc>
          <w:tcPr>
            <w:tcW w:w="1840" w:type="dxa"/>
            <w:vAlign w:val="bottom"/>
          </w:tcPr>
          <w:p>
            <w:pPr>
              <w:spacing w:after="0"/>
              <w:rPr>
                <w:sz w:val="21"/>
                <w:szCs w:val="21"/>
                <w:color w:val="auto"/>
              </w:rPr>
            </w:pPr>
          </w:p>
        </w:tc>
        <w:tc>
          <w:tcPr>
            <w:tcW w:w="920" w:type="dxa"/>
            <w:vAlign w:val="bottom"/>
          </w:tcPr>
          <w:p>
            <w:pPr>
              <w:jc w:val="center"/>
              <w:spacing w:after="0" w:line="243" w:lineRule="exact"/>
              <w:rPr>
                <w:sz w:val="20"/>
                <w:szCs w:val="20"/>
                <w:color w:val="auto"/>
              </w:rPr>
            </w:pPr>
            <w:r>
              <w:rPr>
                <w:rFonts w:ascii="Arial" w:cs="Arial" w:eastAsia="Arial" w:hAnsi="Arial"/>
                <w:sz w:val="22"/>
                <w:szCs w:val="22"/>
                <w:color w:val="auto"/>
                <w:w w:val="93"/>
              </w:rPr>
              <w:t>SA-3</w:t>
            </w:r>
          </w:p>
        </w:tc>
      </w:tr>
      <w:tr>
        <w:trPr>
          <w:trHeight w:val="243"/>
        </w:trPr>
        <w:tc>
          <w:tcPr>
            <w:tcW w:w="1020" w:type="dxa"/>
            <w:vAlign w:val="bottom"/>
          </w:tcPr>
          <w:p>
            <w:pPr>
              <w:jc w:val="center"/>
              <w:spacing w:after="0" w:line="243" w:lineRule="exact"/>
              <w:rPr>
                <w:sz w:val="20"/>
                <w:szCs w:val="20"/>
                <w:color w:val="auto"/>
              </w:rPr>
            </w:pPr>
            <w:r>
              <w:rPr>
                <w:rFonts w:ascii="Arial" w:cs="Arial" w:eastAsia="Arial" w:hAnsi="Arial"/>
                <w:sz w:val="22"/>
                <w:szCs w:val="22"/>
                <w:color w:val="auto"/>
                <w:w w:val="86"/>
              </w:rPr>
              <w:t>4.</w:t>
            </w:r>
          </w:p>
        </w:tc>
        <w:tc>
          <w:tcPr>
            <w:tcW w:w="7220" w:type="dxa"/>
            <w:vAlign w:val="bottom"/>
          </w:tcPr>
          <w:p>
            <w:pPr>
              <w:ind w:left="740"/>
              <w:spacing w:after="0" w:line="243" w:lineRule="exact"/>
              <w:rPr>
                <w:sz w:val="20"/>
                <w:szCs w:val="20"/>
                <w:color w:val="auto"/>
              </w:rPr>
            </w:pPr>
            <w:r>
              <w:rPr>
                <w:rFonts w:ascii="Arial" w:cs="Arial" w:eastAsia="Arial" w:hAnsi="Arial"/>
                <w:sz w:val="22"/>
                <w:szCs w:val="22"/>
                <w:color w:val="auto"/>
              </w:rPr>
              <w:t>Payment</w:t>
            </w:r>
          </w:p>
        </w:tc>
        <w:tc>
          <w:tcPr>
            <w:tcW w:w="1840" w:type="dxa"/>
            <w:vAlign w:val="bottom"/>
          </w:tcPr>
          <w:p>
            <w:pPr>
              <w:spacing w:after="0"/>
              <w:rPr>
                <w:sz w:val="21"/>
                <w:szCs w:val="21"/>
                <w:color w:val="auto"/>
              </w:rPr>
            </w:pPr>
          </w:p>
        </w:tc>
        <w:tc>
          <w:tcPr>
            <w:tcW w:w="920" w:type="dxa"/>
            <w:vAlign w:val="bottom"/>
          </w:tcPr>
          <w:p>
            <w:pPr>
              <w:jc w:val="center"/>
              <w:spacing w:after="0" w:line="243" w:lineRule="exact"/>
              <w:rPr>
                <w:sz w:val="20"/>
                <w:szCs w:val="20"/>
                <w:color w:val="auto"/>
              </w:rPr>
            </w:pPr>
            <w:r>
              <w:rPr>
                <w:rFonts w:ascii="Arial" w:cs="Arial" w:eastAsia="Arial" w:hAnsi="Arial"/>
                <w:sz w:val="22"/>
                <w:szCs w:val="22"/>
                <w:color w:val="auto"/>
                <w:w w:val="93"/>
              </w:rPr>
              <w:t>SA-3</w:t>
            </w:r>
          </w:p>
        </w:tc>
      </w:tr>
      <w:tr>
        <w:trPr>
          <w:trHeight w:val="261"/>
        </w:trPr>
        <w:tc>
          <w:tcPr>
            <w:tcW w:w="1020" w:type="dxa"/>
            <w:vAlign w:val="bottom"/>
          </w:tcPr>
          <w:p>
            <w:pPr>
              <w:jc w:val="center"/>
              <w:spacing w:after="0"/>
              <w:rPr>
                <w:sz w:val="20"/>
                <w:szCs w:val="20"/>
                <w:color w:val="auto"/>
              </w:rPr>
            </w:pPr>
            <w:r>
              <w:rPr>
                <w:rFonts w:ascii="Arial" w:cs="Arial" w:eastAsia="Arial" w:hAnsi="Arial"/>
                <w:sz w:val="22"/>
                <w:szCs w:val="22"/>
                <w:color w:val="auto"/>
                <w:w w:val="86"/>
              </w:rPr>
              <w:t>5.</w:t>
            </w:r>
          </w:p>
        </w:tc>
        <w:tc>
          <w:tcPr>
            <w:tcW w:w="7220" w:type="dxa"/>
            <w:vAlign w:val="bottom"/>
          </w:tcPr>
          <w:p>
            <w:pPr>
              <w:ind w:left="740"/>
              <w:spacing w:after="0"/>
              <w:rPr>
                <w:sz w:val="20"/>
                <w:szCs w:val="20"/>
                <w:color w:val="auto"/>
              </w:rPr>
            </w:pPr>
            <w:r>
              <w:rPr>
                <w:rFonts w:ascii="Arial" w:cs="Arial" w:eastAsia="Arial" w:hAnsi="Arial"/>
                <w:sz w:val="22"/>
                <w:szCs w:val="22"/>
                <w:color w:val="auto"/>
              </w:rPr>
              <w:t>Miscellaneous</w:t>
            </w:r>
          </w:p>
        </w:tc>
        <w:tc>
          <w:tcPr>
            <w:tcW w:w="184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22"/>
                <w:szCs w:val="22"/>
                <w:color w:val="auto"/>
                <w:w w:val="93"/>
              </w:rPr>
              <w:t>SA-3</w:t>
            </w:r>
          </w:p>
        </w:tc>
      </w:tr>
    </w:tbl>
    <w:p>
      <w:pPr>
        <w:ind w:left="2180" w:hanging="1335"/>
        <w:spacing w:after="0"/>
        <w:tabs>
          <w:tab w:leader="none" w:pos="2180" w:val="left"/>
        </w:tabs>
        <w:numPr>
          <w:ilvl w:val="0"/>
          <w:numId w:val="100"/>
        </w:numPr>
        <w:rPr>
          <w:rFonts w:ascii="Arial" w:cs="Arial" w:eastAsia="Arial" w:hAnsi="Arial"/>
          <w:sz w:val="22"/>
          <w:szCs w:val="22"/>
          <w:color w:val="auto"/>
        </w:rPr>
      </w:pPr>
      <w:r>
        <w:rPr>
          <w:rFonts w:ascii="Arial" w:cs="Arial" w:eastAsia="Arial" w:hAnsi="Arial"/>
          <w:sz w:val="22"/>
          <w:szCs w:val="22"/>
          <w:color w:val="auto"/>
        </w:rPr>
        <w:t>Confidential Treatment</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0" w:type="dxa"/>
            <w:vAlign w:val="bottom"/>
            <w:gridSpan w:val="6"/>
          </w:tcPr>
          <w:p>
            <w:pPr>
              <w:jc w:val="center"/>
              <w:ind w:right="823"/>
              <w:spacing w:after="0"/>
              <w:rPr>
                <w:sz w:val="20"/>
                <w:szCs w:val="20"/>
                <w:color w:val="auto"/>
              </w:rPr>
            </w:pPr>
            <w:r>
              <w:rPr>
                <w:rFonts w:ascii="Arial" w:cs="Arial" w:eastAsia="Arial" w:hAnsi="Arial"/>
                <w:sz w:val="22"/>
                <w:szCs w:val="22"/>
                <w:color w:val="auto"/>
                <w:w w:val="97"/>
              </w:rPr>
              <w:t>TABLE</w:t>
            </w: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6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160" w:type="dxa"/>
            <w:vAlign w:val="bottom"/>
            <w:tcBorders>
              <w:top w:val="single" w:sz="8" w:color="auto"/>
            </w:tcBorders>
          </w:tcPr>
          <w:p>
            <w:pPr>
              <w:jc w:val="center"/>
              <w:spacing w:after="0"/>
              <w:rPr>
                <w:sz w:val="20"/>
                <w:szCs w:val="20"/>
                <w:color w:val="auto"/>
              </w:rPr>
            </w:pPr>
            <w:r>
              <w:rPr>
                <w:rFonts w:ascii="Arial" w:cs="Arial" w:eastAsia="Arial" w:hAnsi="Arial"/>
                <w:sz w:val="22"/>
                <w:szCs w:val="22"/>
                <w:color w:val="auto"/>
                <w:strike w:val="1"/>
                <w:w w:val="86"/>
              </w:rPr>
              <w:t>1.</w:t>
            </w:r>
          </w:p>
        </w:tc>
        <w:tc>
          <w:tcPr>
            <w:tcW w:w="2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340" w:type="dxa"/>
            <w:vAlign w:val="bottom"/>
            <w:gridSpan w:val="3"/>
          </w:tcPr>
          <w:p>
            <w:pPr>
              <w:spacing w:after="0"/>
              <w:rPr>
                <w:sz w:val="20"/>
                <w:szCs w:val="20"/>
                <w:color w:val="auto"/>
              </w:rPr>
            </w:pPr>
            <w:r>
              <w:rPr>
                <w:rFonts w:ascii="Arial" w:cs="Arial" w:eastAsia="Arial" w:hAnsi="Arial"/>
                <w:sz w:val="22"/>
                <w:szCs w:val="22"/>
                <w:color w:val="auto"/>
                <w:strike w:val="1"/>
              </w:rPr>
              <w:t>Aircraft Information Table – TRENT</w:t>
            </w:r>
          </w:p>
        </w:tc>
        <w:tc>
          <w:tcPr>
            <w:tcW w:w="980" w:type="dxa"/>
            <w:vAlign w:val="bottom"/>
          </w:tcPr>
          <w:p>
            <w:pPr>
              <w:spacing w:after="0"/>
              <w:rPr>
                <w:sz w:val="23"/>
                <w:szCs w:val="23"/>
                <w:color w:val="auto"/>
              </w:rPr>
            </w:pPr>
          </w:p>
        </w:tc>
        <w:tc>
          <w:tcPr>
            <w:tcW w:w="920" w:type="dxa"/>
            <w:vAlign w:val="bottom"/>
          </w:tcPr>
          <w:p>
            <w:pPr>
              <w:jc w:val="center"/>
              <w:spacing w:after="0"/>
              <w:rPr>
                <w:sz w:val="20"/>
                <w:szCs w:val="20"/>
                <w:color w:val="auto"/>
              </w:rPr>
            </w:pPr>
            <w:r>
              <w:rPr>
                <w:rFonts w:ascii="Arial" w:cs="Arial" w:eastAsia="Arial" w:hAnsi="Arial"/>
                <w:sz w:val="22"/>
                <w:szCs w:val="22"/>
                <w:color w:val="auto"/>
                <w:w w:val="93"/>
              </w:rPr>
              <w:t>SA-2</w:t>
            </w:r>
          </w:p>
        </w:tc>
        <w:tc>
          <w:tcPr>
            <w:tcW w:w="0" w:type="dxa"/>
            <w:vAlign w:val="bottom"/>
          </w:tcPr>
          <w:p>
            <w:pPr>
              <w:spacing w:after="0"/>
              <w:rPr>
                <w:sz w:val="1"/>
                <w:szCs w:val="1"/>
                <w:color w:val="auto"/>
              </w:rPr>
            </w:pPr>
          </w:p>
        </w:tc>
      </w:tr>
      <w:tr>
        <w:trPr>
          <w:trHeight w:val="311"/>
        </w:trPr>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gridSpan w:val="6"/>
          </w:tcPr>
          <w:p>
            <w:pPr>
              <w:jc w:val="center"/>
              <w:ind w:right="823"/>
              <w:spacing w:after="0"/>
              <w:rPr>
                <w:sz w:val="20"/>
                <w:szCs w:val="20"/>
                <w:color w:val="auto"/>
              </w:rPr>
            </w:pPr>
            <w:r>
              <w:rPr>
                <w:rFonts w:ascii="Arial" w:cs="Arial" w:eastAsia="Arial" w:hAnsi="Arial"/>
                <w:sz w:val="22"/>
                <w:szCs w:val="22"/>
                <w:b w:val="1"/>
                <w:bCs w:val="1"/>
                <w:color w:val="auto"/>
                <w:w w:val="94"/>
              </w:rPr>
              <w:t>1(R7)</w:t>
            </w:r>
          </w:p>
        </w:tc>
        <w:tc>
          <w:tcPr>
            <w:tcW w:w="7340" w:type="dxa"/>
            <w:vAlign w:val="bottom"/>
            <w:gridSpan w:val="3"/>
          </w:tcPr>
          <w:p>
            <w:pPr>
              <w:spacing w:after="0"/>
              <w:rPr>
                <w:sz w:val="20"/>
                <w:szCs w:val="20"/>
                <w:color w:val="auto"/>
              </w:rPr>
            </w:pPr>
            <w:r>
              <w:rPr>
                <w:rFonts w:ascii="Arial" w:cs="Arial" w:eastAsia="Arial" w:hAnsi="Arial"/>
                <w:sz w:val="22"/>
                <w:szCs w:val="22"/>
                <w:b w:val="1"/>
                <w:bCs w:val="1"/>
                <w:color w:val="auto"/>
              </w:rPr>
              <w:t>787-9 Aircraft Information Table – GENX</w:t>
            </w:r>
          </w:p>
        </w:tc>
        <w:tc>
          <w:tcPr>
            <w:tcW w:w="98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22"/>
                <w:szCs w:val="22"/>
                <w:b w:val="1"/>
                <w:bCs w:val="1"/>
                <w:color w:val="auto"/>
                <w:w w:val="89"/>
              </w:rPr>
              <w:t>SA-10</w:t>
            </w:r>
          </w:p>
        </w:tc>
        <w:tc>
          <w:tcPr>
            <w:tcW w:w="0" w:type="dxa"/>
            <w:vAlign w:val="bottom"/>
          </w:tcPr>
          <w:p>
            <w:pPr>
              <w:spacing w:after="0"/>
              <w:rPr>
                <w:sz w:val="1"/>
                <w:szCs w:val="1"/>
                <w:color w:val="auto"/>
              </w:rPr>
            </w:pPr>
          </w:p>
        </w:tc>
      </w:tr>
      <w:tr>
        <w:trPr>
          <w:trHeight w:val="279"/>
        </w:trPr>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gridSpan w:val="6"/>
          </w:tcPr>
          <w:p>
            <w:pPr>
              <w:jc w:val="center"/>
              <w:ind w:right="803"/>
              <w:spacing w:after="0"/>
              <w:rPr>
                <w:sz w:val="20"/>
                <w:szCs w:val="20"/>
                <w:color w:val="auto"/>
              </w:rPr>
            </w:pPr>
            <w:r>
              <w:rPr>
                <w:rFonts w:ascii="Arial" w:cs="Arial" w:eastAsia="Arial" w:hAnsi="Arial"/>
                <w:sz w:val="22"/>
                <w:szCs w:val="22"/>
                <w:color w:val="auto"/>
                <w:w w:val="90"/>
              </w:rPr>
              <w:t>2(R1)</w:t>
            </w:r>
          </w:p>
        </w:tc>
        <w:tc>
          <w:tcPr>
            <w:tcW w:w="7340" w:type="dxa"/>
            <w:vAlign w:val="bottom"/>
            <w:gridSpan w:val="3"/>
          </w:tcPr>
          <w:p>
            <w:pPr>
              <w:spacing w:after="0"/>
              <w:rPr>
                <w:sz w:val="20"/>
                <w:szCs w:val="20"/>
                <w:color w:val="auto"/>
              </w:rPr>
            </w:pPr>
            <w:r>
              <w:rPr>
                <w:rFonts w:ascii="Arial" w:cs="Arial" w:eastAsia="Arial" w:hAnsi="Arial"/>
                <w:sz w:val="22"/>
                <w:szCs w:val="22"/>
                <w:color w:val="auto"/>
              </w:rPr>
              <w:t>787-8 Aircraft Information Table – GENX</w:t>
            </w:r>
          </w:p>
        </w:tc>
        <w:tc>
          <w:tcPr>
            <w:tcW w:w="98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22"/>
                <w:szCs w:val="22"/>
                <w:color w:val="auto"/>
                <w:w w:val="93"/>
              </w:rPr>
              <w:t>SA-5</w:t>
            </w:r>
          </w:p>
        </w:tc>
        <w:tc>
          <w:tcPr>
            <w:tcW w:w="0" w:type="dxa"/>
            <w:vAlign w:val="bottom"/>
          </w:tcPr>
          <w:p>
            <w:pPr>
              <w:spacing w:after="0"/>
              <w:rPr>
                <w:sz w:val="1"/>
                <w:szCs w:val="1"/>
                <w:color w:val="auto"/>
              </w:rPr>
            </w:pPr>
          </w:p>
        </w:tc>
      </w:tr>
      <w:tr>
        <w:trPr>
          <w:trHeight w:val="275"/>
        </w:trPr>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0" w:type="dxa"/>
            <w:vAlign w:val="bottom"/>
            <w:gridSpan w:val="2"/>
          </w:tcPr>
          <w:p>
            <w:pPr>
              <w:ind w:left="80"/>
              <w:spacing w:after="0"/>
              <w:rPr>
                <w:sz w:val="20"/>
                <w:szCs w:val="20"/>
                <w:color w:val="auto"/>
              </w:rPr>
            </w:pPr>
            <w:r>
              <w:rPr>
                <w:rFonts w:ascii="Arial" w:cs="Arial" w:eastAsia="Arial" w:hAnsi="Arial"/>
                <w:sz w:val="22"/>
                <w:szCs w:val="22"/>
                <w:color w:val="auto"/>
              </w:rPr>
              <w:t>([*CTR] (12) 787-8 Aircraft)</w:t>
            </w:r>
          </w:p>
        </w:tc>
        <w:tc>
          <w:tcPr>
            <w:tcW w:w="9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3"/>
        </w:trPr>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gridSpan w:val="6"/>
          </w:tcPr>
          <w:p>
            <w:pPr>
              <w:jc w:val="center"/>
              <w:ind w:right="803"/>
              <w:spacing w:after="0"/>
              <w:rPr>
                <w:sz w:val="20"/>
                <w:szCs w:val="20"/>
                <w:color w:val="auto"/>
              </w:rPr>
            </w:pPr>
            <w:r>
              <w:rPr>
                <w:rFonts w:ascii="Arial" w:cs="Arial" w:eastAsia="Arial" w:hAnsi="Arial"/>
                <w:sz w:val="22"/>
                <w:szCs w:val="22"/>
                <w:color w:val="auto"/>
                <w:w w:val="90"/>
              </w:rPr>
              <w:t>3(R1)</w:t>
            </w:r>
          </w:p>
        </w:tc>
        <w:tc>
          <w:tcPr>
            <w:tcW w:w="7340" w:type="dxa"/>
            <w:vAlign w:val="bottom"/>
            <w:gridSpan w:val="3"/>
          </w:tcPr>
          <w:p>
            <w:pPr>
              <w:spacing w:after="0"/>
              <w:rPr>
                <w:sz w:val="20"/>
                <w:szCs w:val="20"/>
                <w:color w:val="auto"/>
              </w:rPr>
            </w:pPr>
            <w:r>
              <w:rPr>
                <w:rFonts w:ascii="Arial" w:cs="Arial" w:eastAsia="Arial" w:hAnsi="Arial"/>
                <w:sz w:val="22"/>
                <w:szCs w:val="22"/>
                <w:color w:val="auto"/>
              </w:rPr>
              <w:t>787-8 Aircraft Information Table – GENX</w:t>
            </w:r>
          </w:p>
        </w:tc>
        <w:tc>
          <w:tcPr>
            <w:tcW w:w="98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22"/>
                <w:szCs w:val="22"/>
                <w:color w:val="auto"/>
                <w:w w:val="93"/>
              </w:rPr>
              <w:t>SA-5</w:t>
            </w:r>
          </w:p>
        </w:tc>
        <w:tc>
          <w:tcPr>
            <w:tcW w:w="0" w:type="dxa"/>
            <w:vAlign w:val="bottom"/>
          </w:tcPr>
          <w:p>
            <w:pPr>
              <w:spacing w:after="0"/>
              <w:rPr>
                <w:sz w:val="1"/>
                <w:szCs w:val="1"/>
                <w:color w:val="auto"/>
              </w:rPr>
            </w:pPr>
          </w:p>
        </w:tc>
      </w:tr>
      <w:tr>
        <w:trPr>
          <w:trHeight w:val="275"/>
        </w:trPr>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0" w:type="dxa"/>
            <w:vAlign w:val="bottom"/>
            <w:gridSpan w:val="2"/>
          </w:tcPr>
          <w:p>
            <w:pPr>
              <w:ind w:left="80"/>
              <w:spacing w:after="0"/>
              <w:rPr>
                <w:sz w:val="20"/>
                <w:szCs w:val="20"/>
                <w:color w:val="auto"/>
              </w:rPr>
            </w:pPr>
            <w:r>
              <w:rPr>
                <w:rFonts w:ascii="Arial" w:cs="Arial" w:eastAsia="Arial" w:hAnsi="Arial"/>
                <w:sz w:val="22"/>
                <w:szCs w:val="22"/>
                <w:color w:val="auto"/>
              </w:rPr>
              <w:t>([*CTR] Eight (8) 787-8 Aircraft, yielding Twenty (20) 787-8 Aircraft)</w:t>
            </w:r>
          </w:p>
        </w:tc>
        <w:tc>
          <w:tcPr>
            <w:tcW w:w="9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4"/>
        </w:trPr>
        <w:tc>
          <w:tcPr>
            <w:tcW w:w="1000" w:type="dxa"/>
            <w:vAlign w:val="bottom"/>
            <w:gridSpan w:val="5"/>
          </w:tcPr>
          <w:p>
            <w:pPr>
              <w:jc w:val="center"/>
              <w:ind w:left="752"/>
              <w:spacing w:after="0"/>
              <w:rPr>
                <w:sz w:val="20"/>
                <w:szCs w:val="20"/>
                <w:color w:val="auto"/>
              </w:rPr>
            </w:pPr>
            <w:r>
              <w:rPr>
                <w:rFonts w:ascii="Arial" w:cs="Arial" w:eastAsia="Arial" w:hAnsi="Arial"/>
                <w:sz w:val="22"/>
                <w:szCs w:val="22"/>
                <w:color w:val="auto"/>
                <w:w w:val="81"/>
              </w:rPr>
              <w:t>4</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340" w:type="dxa"/>
            <w:vAlign w:val="bottom"/>
            <w:gridSpan w:val="3"/>
          </w:tcPr>
          <w:p>
            <w:pPr>
              <w:spacing w:after="0"/>
              <w:rPr>
                <w:sz w:val="20"/>
                <w:szCs w:val="20"/>
                <w:color w:val="auto"/>
              </w:rPr>
            </w:pPr>
            <w:r>
              <w:rPr>
                <w:rFonts w:ascii="Arial" w:cs="Arial" w:eastAsia="Arial" w:hAnsi="Arial"/>
                <w:sz w:val="22"/>
                <w:szCs w:val="22"/>
                <w:color w:val="auto"/>
              </w:rPr>
              <w:t>WITHDRAWN</w:t>
            </w:r>
          </w:p>
        </w:tc>
        <w:tc>
          <w:tcPr>
            <w:tcW w:w="98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22"/>
                <w:szCs w:val="22"/>
                <w:color w:val="auto"/>
                <w:w w:val="93"/>
              </w:rPr>
              <w:t>SA-6</w:t>
            </w:r>
          </w:p>
        </w:tc>
        <w:tc>
          <w:tcPr>
            <w:tcW w:w="0" w:type="dxa"/>
            <w:vAlign w:val="bottom"/>
          </w:tcPr>
          <w:p>
            <w:pPr>
              <w:spacing w:after="0"/>
              <w:rPr>
                <w:sz w:val="1"/>
                <w:szCs w:val="1"/>
                <w:color w:val="auto"/>
              </w:rPr>
            </w:pPr>
          </w:p>
        </w:tc>
      </w:tr>
      <w:tr>
        <w:trPr>
          <w:trHeight w:val="301"/>
        </w:trPr>
        <w:tc>
          <w:tcPr>
            <w:tcW w:w="200" w:type="dxa"/>
            <w:vAlign w:val="bottom"/>
          </w:tcPr>
          <w:p>
            <w:pPr>
              <w:spacing w:after="0"/>
              <w:rPr>
                <w:sz w:val="24"/>
                <w:szCs w:val="24"/>
                <w:color w:val="auto"/>
              </w:rPr>
            </w:pPr>
          </w:p>
        </w:tc>
        <w:tc>
          <w:tcPr>
            <w:tcW w:w="1980" w:type="dxa"/>
            <w:vAlign w:val="bottom"/>
            <w:gridSpan w:val="8"/>
          </w:tcPr>
          <w:p>
            <w:pPr>
              <w:jc w:val="center"/>
              <w:ind w:right="423"/>
              <w:spacing w:after="0"/>
              <w:rPr>
                <w:sz w:val="20"/>
                <w:szCs w:val="20"/>
                <w:color w:val="auto"/>
              </w:rPr>
            </w:pPr>
            <w:r>
              <w:rPr>
                <w:rFonts w:ascii="Arial" w:cs="Arial" w:eastAsia="Arial" w:hAnsi="Arial"/>
                <w:sz w:val="22"/>
                <w:szCs w:val="22"/>
                <w:color w:val="auto"/>
              </w:rPr>
              <w:t>EXHIBIT</w:t>
            </w:r>
          </w:p>
        </w:tc>
        <w:tc>
          <w:tcPr>
            <w:tcW w:w="7340" w:type="dxa"/>
            <w:vAlign w:val="bottom"/>
            <w:gridSpan w:val="3"/>
            <w:vMerge w:val="restart"/>
          </w:tcPr>
          <w:p>
            <w:pPr>
              <w:spacing w:after="0"/>
              <w:rPr>
                <w:sz w:val="20"/>
                <w:szCs w:val="20"/>
                <w:color w:val="auto"/>
              </w:rPr>
            </w:pPr>
            <w:r>
              <w:rPr>
                <w:rFonts w:ascii="Arial" w:cs="Arial" w:eastAsia="Arial" w:hAnsi="Arial"/>
                <w:sz w:val="22"/>
                <w:szCs w:val="22"/>
                <w:color w:val="auto"/>
              </w:rPr>
              <w:t>Aircraft Configuration for [*CTR] Aircraft</w:t>
            </w:r>
          </w:p>
        </w:tc>
        <w:tc>
          <w:tcPr>
            <w:tcW w:w="980" w:type="dxa"/>
            <w:vAlign w:val="bottom"/>
          </w:tcPr>
          <w:p>
            <w:pPr>
              <w:spacing w:after="0"/>
              <w:rPr>
                <w:sz w:val="24"/>
                <w:szCs w:val="24"/>
                <w:color w:val="auto"/>
              </w:rPr>
            </w:pPr>
          </w:p>
        </w:tc>
        <w:tc>
          <w:tcPr>
            <w:tcW w:w="920" w:type="dxa"/>
            <w:vAlign w:val="bottom"/>
            <w:vMerge w:val="restart"/>
          </w:tcPr>
          <w:p>
            <w:pPr>
              <w:jc w:val="center"/>
              <w:spacing w:after="0"/>
              <w:rPr>
                <w:sz w:val="20"/>
                <w:szCs w:val="20"/>
                <w:color w:val="auto"/>
              </w:rPr>
            </w:pPr>
            <w:r>
              <w:rPr>
                <w:rFonts w:ascii="Arial" w:cs="Arial" w:eastAsia="Arial" w:hAnsi="Arial"/>
                <w:sz w:val="22"/>
                <w:szCs w:val="22"/>
                <w:color w:val="auto"/>
                <w:w w:val="93"/>
              </w:rPr>
              <w:t>SA-7</w:t>
            </w:r>
          </w:p>
        </w:tc>
        <w:tc>
          <w:tcPr>
            <w:tcW w:w="0" w:type="dxa"/>
            <w:vAlign w:val="bottom"/>
          </w:tcPr>
          <w:p>
            <w:pPr>
              <w:spacing w:after="0"/>
              <w:rPr>
                <w:sz w:val="1"/>
                <w:szCs w:val="1"/>
                <w:color w:val="auto"/>
              </w:rPr>
            </w:pPr>
          </w:p>
        </w:tc>
      </w:tr>
      <w:tr>
        <w:trPr>
          <w:trHeight w:val="242"/>
        </w:trPr>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gridSpan w:val="4"/>
          </w:tcPr>
          <w:p>
            <w:pPr>
              <w:jc w:val="center"/>
              <w:spacing w:after="0" w:line="242" w:lineRule="exact"/>
              <w:rPr>
                <w:sz w:val="20"/>
                <w:szCs w:val="20"/>
                <w:color w:val="auto"/>
              </w:rPr>
            </w:pPr>
            <w:r>
              <w:rPr>
                <w:rFonts w:ascii="Arial" w:cs="Arial" w:eastAsia="Arial" w:hAnsi="Arial"/>
                <w:sz w:val="22"/>
                <w:szCs w:val="22"/>
                <w:color w:val="auto"/>
                <w:w w:val="94"/>
              </w:rPr>
              <w:t>A(R2).</w:t>
            </w:r>
          </w:p>
        </w:tc>
        <w:tc>
          <w:tcPr>
            <w:tcW w:w="820" w:type="dxa"/>
            <w:vAlign w:val="bottom"/>
            <w:gridSpan w:val="2"/>
          </w:tcPr>
          <w:p>
            <w:pPr>
              <w:spacing w:after="0"/>
              <w:rPr>
                <w:sz w:val="21"/>
                <w:szCs w:val="21"/>
                <w:color w:val="auto"/>
              </w:rPr>
            </w:pPr>
          </w:p>
        </w:tc>
        <w:tc>
          <w:tcPr>
            <w:tcW w:w="7340" w:type="dxa"/>
            <w:vAlign w:val="bottom"/>
            <w:gridSpan w:val="3"/>
            <w:vMerge w:val="continue"/>
          </w:tcPr>
          <w:p>
            <w:pPr>
              <w:spacing w:after="0"/>
              <w:rPr>
                <w:sz w:val="21"/>
                <w:szCs w:val="21"/>
                <w:color w:val="auto"/>
              </w:rPr>
            </w:pPr>
          </w:p>
        </w:tc>
        <w:tc>
          <w:tcPr>
            <w:tcW w:w="980" w:type="dxa"/>
            <w:vAlign w:val="bottom"/>
          </w:tcPr>
          <w:p>
            <w:pPr>
              <w:spacing w:after="0"/>
              <w:rPr>
                <w:sz w:val="21"/>
                <w:szCs w:val="21"/>
                <w:color w:val="auto"/>
              </w:rPr>
            </w:pPr>
          </w:p>
        </w:tc>
        <w:tc>
          <w:tcPr>
            <w:tcW w:w="9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0" w:type="dxa"/>
            <w:vAlign w:val="bottom"/>
            <w:gridSpan w:val="6"/>
          </w:tcPr>
          <w:p>
            <w:pPr>
              <w:jc w:val="center"/>
              <w:ind w:right="803"/>
              <w:spacing w:after="0" w:line="243" w:lineRule="exact"/>
              <w:rPr>
                <w:sz w:val="20"/>
                <w:szCs w:val="20"/>
                <w:color w:val="auto"/>
              </w:rPr>
            </w:pPr>
            <w:r>
              <w:rPr>
                <w:rFonts w:ascii="Arial" w:cs="Arial" w:eastAsia="Arial" w:hAnsi="Arial"/>
                <w:sz w:val="22"/>
                <w:szCs w:val="22"/>
                <w:color w:val="auto"/>
                <w:w w:val="94"/>
              </w:rPr>
              <w:t>A2(R3)</w:t>
            </w:r>
          </w:p>
        </w:tc>
        <w:tc>
          <w:tcPr>
            <w:tcW w:w="7340" w:type="dxa"/>
            <w:vAlign w:val="bottom"/>
            <w:gridSpan w:val="3"/>
          </w:tcPr>
          <w:p>
            <w:pPr>
              <w:spacing w:after="0" w:line="243" w:lineRule="exact"/>
              <w:rPr>
                <w:sz w:val="20"/>
                <w:szCs w:val="20"/>
                <w:color w:val="auto"/>
              </w:rPr>
            </w:pPr>
            <w:r>
              <w:rPr>
                <w:rFonts w:ascii="Arial" w:cs="Arial" w:eastAsia="Arial" w:hAnsi="Arial"/>
                <w:sz w:val="22"/>
                <w:szCs w:val="22"/>
                <w:color w:val="auto"/>
              </w:rPr>
              <w:t>Aircraft Configuration for [*CTR] Aircraft</w:t>
            </w:r>
          </w:p>
        </w:tc>
        <w:tc>
          <w:tcPr>
            <w:tcW w:w="980" w:type="dxa"/>
            <w:vAlign w:val="bottom"/>
          </w:tcPr>
          <w:p>
            <w:pPr>
              <w:spacing w:after="0"/>
              <w:rPr>
                <w:sz w:val="21"/>
                <w:szCs w:val="21"/>
                <w:color w:val="auto"/>
              </w:rPr>
            </w:pPr>
          </w:p>
        </w:tc>
        <w:tc>
          <w:tcPr>
            <w:tcW w:w="920" w:type="dxa"/>
            <w:vAlign w:val="bottom"/>
          </w:tcPr>
          <w:p>
            <w:pPr>
              <w:jc w:val="center"/>
              <w:spacing w:after="0" w:line="243" w:lineRule="exact"/>
              <w:rPr>
                <w:sz w:val="20"/>
                <w:szCs w:val="20"/>
                <w:color w:val="auto"/>
              </w:rPr>
            </w:pPr>
            <w:r>
              <w:rPr>
                <w:rFonts w:ascii="Arial" w:cs="Arial" w:eastAsia="Arial" w:hAnsi="Arial"/>
                <w:sz w:val="22"/>
                <w:szCs w:val="22"/>
                <w:color w:val="auto"/>
                <w:w w:val="93"/>
              </w:rPr>
              <w:t>SA-6</w:t>
            </w:r>
          </w:p>
        </w:tc>
        <w:tc>
          <w:tcPr>
            <w:tcW w:w="0" w:type="dxa"/>
            <w:vAlign w:val="bottom"/>
          </w:tcPr>
          <w:p>
            <w:pPr>
              <w:spacing w:after="0"/>
              <w:rPr>
                <w:sz w:val="1"/>
                <w:szCs w:val="1"/>
                <w:color w:val="auto"/>
              </w:rPr>
            </w:pPr>
          </w:p>
        </w:tc>
      </w:tr>
      <w:tr>
        <w:trPr>
          <w:trHeight w:val="243"/>
        </w:trPr>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0" w:type="dxa"/>
            <w:vAlign w:val="bottom"/>
            <w:gridSpan w:val="6"/>
          </w:tcPr>
          <w:p>
            <w:pPr>
              <w:jc w:val="center"/>
              <w:ind w:right="823"/>
              <w:spacing w:after="0" w:line="243" w:lineRule="exact"/>
              <w:rPr>
                <w:sz w:val="20"/>
                <w:szCs w:val="20"/>
                <w:color w:val="auto"/>
              </w:rPr>
            </w:pPr>
            <w:r>
              <w:rPr>
                <w:rFonts w:ascii="Arial" w:cs="Arial" w:eastAsia="Arial" w:hAnsi="Arial"/>
                <w:sz w:val="22"/>
                <w:szCs w:val="22"/>
                <w:color w:val="auto"/>
                <w:w w:val="94"/>
              </w:rPr>
              <w:t>B(R1).</w:t>
            </w:r>
          </w:p>
        </w:tc>
        <w:tc>
          <w:tcPr>
            <w:tcW w:w="7340" w:type="dxa"/>
            <w:vAlign w:val="bottom"/>
            <w:gridSpan w:val="3"/>
          </w:tcPr>
          <w:p>
            <w:pPr>
              <w:spacing w:after="0" w:line="243" w:lineRule="exact"/>
              <w:rPr>
                <w:sz w:val="20"/>
                <w:szCs w:val="20"/>
                <w:color w:val="auto"/>
              </w:rPr>
            </w:pPr>
            <w:r>
              <w:rPr>
                <w:rFonts w:ascii="Arial" w:cs="Arial" w:eastAsia="Arial" w:hAnsi="Arial"/>
                <w:sz w:val="22"/>
                <w:szCs w:val="22"/>
                <w:color w:val="auto"/>
              </w:rPr>
              <w:t>Aircraft Delivery Requirements and Responsibilities</w:t>
            </w:r>
          </w:p>
        </w:tc>
        <w:tc>
          <w:tcPr>
            <w:tcW w:w="980" w:type="dxa"/>
            <w:vAlign w:val="bottom"/>
          </w:tcPr>
          <w:p>
            <w:pPr>
              <w:spacing w:after="0"/>
              <w:rPr>
                <w:sz w:val="21"/>
                <w:szCs w:val="21"/>
                <w:color w:val="auto"/>
              </w:rPr>
            </w:pPr>
          </w:p>
        </w:tc>
        <w:tc>
          <w:tcPr>
            <w:tcW w:w="920" w:type="dxa"/>
            <w:vAlign w:val="bottom"/>
          </w:tcPr>
          <w:p>
            <w:pPr>
              <w:jc w:val="center"/>
              <w:spacing w:after="0" w:line="243" w:lineRule="exact"/>
              <w:rPr>
                <w:sz w:val="20"/>
                <w:szCs w:val="20"/>
                <w:color w:val="auto"/>
              </w:rPr>
            </w:pPr>
            <w:r>
              <w:rPr>
                <w:rFonts w:ascii="Arial" w:cs="Arial" w:eastAsia="Arial" w:hAnsi="Arial"/>
                <w:sz w:val="22"/>
                <w:szCs w:val="22"/>
                <w:color w:val="auto"/>
                <w:w w:val="93"/>
              </w:rPr>
              <w:t>SA-3</w:t>
            </w:r>
          </w:p>
        </w:tc>
        <w:tc>
          <w:tcPr>
            <w:tcW w:w="0" w:type="dxa"/>
            <w:vAlign w:val="bottom"/>
          </w:tcPr>
          <w:p>
            <w:pPr>
              <w:spacing w:after="0"/>
              <w:rPr>
                <w:sz w:val="1"/>
                <w:szCs w:val="1"/>
                <w:color w:val="auto"/>
              </w:rPr>
            </w:pPr>
          </w:p>
        </w:tc>
      </w:tr>
      <w:tr>
        <w:trPr>
          <w:trHeight w:val="275"/>
        </w:trPr>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0" w:type="dxa"/>
            <w:vAlign w:val="bottom"/>
            <w:gridSpan w:val="6"/>
          </w:tcPr>
          <w:p>
            <w:pPr>
              <w:jc w:val="center"/>
              <w:ind w:right="823"/>
              <w:spacing w:after="0"/>
              <w:rPr>
                <w:sz w:val="20"/>
                <w:szCs w:val="20"/>
                <w:color w:val="auto"/>
              </w:rPr>
            </w:pPr>
            <w:r>
              <w:rPr>
                <w:rFonts w:ascii="Arial" w:cs="Arial" w:eastAsia="Arial" w:hAnsi="Arial"/>
                <w:sz w:val="22"/>
                <w:szCs w:val="22"/>
                <w:color w:val="auto"/>
                <w:w w:val="92"/>
              </w:rPr>
              <w:t>C(R1).</w:t>
            </w:r>
          </w:p>
        </w:tc>
        <w:tc>
          <w:tcPr>
            <w:tcW w:w="7340" w:type="dxa"/>
            <w:vAlign w:val="bottom"/>
            <w:gridSpan w:val="3"/>
          </w:tcPr>
          <w:p>
            <w:pPr>
              <w:spacing w:after="0"/>
              <w:rPr>
                <w:sz w:val="20"/>
                <w:szCs w:val="20"/>
                <w:color w:val="auto"/>
              </w:rPr>
            </w:pPr>
            <w:r>
              <w:rPr>
                <w:rFonts w:ascii="Arial" w:cs="Arial" w:eastAsia="Arial" w:hAnsi="Arial"/>
                <w:sz w:val="22"/>
                <w:szCs w:val="22"/>
                <w:color w:val="auto"/>
              </w:rPr>
              <w:t>Defined Terms</w:t>
            </w:r>
          </w:p>
        </w:tc>
        <w:tc>
          <w:tcPr>
            <w:tcW w:w="980" w:type="dxa"/>
            <w:vAlign w:val="bottom"/>
          </w:tcPr>
          <w:p>
            <w:pPr>
              <w:spacing w:after="0"/>
              <w:rPr>
                <w:sz w:val="23"/>
                <w:szCs w:val="23"/>
                <w:color w:val="auto"/>
              </w:rPr>
            </w:pPr>
          </w:p>
        </w:tc>
        <w:tc>
          <w:tcPr>
            <w:tcW w:w="920" w:type="dxa"/>
            <w:vAlign w:val="bottom"/>
          </w:tcPr>
          <w:p>
            <w:pPr>
              <w:jc w:val="center"/>
              <w:spacing w:after="0"/>
              <w:rPr>
                <w:sz w:val="20"/>
                <w:szCs w:val="20"/>
                <w:color w:val="auto"/>
              </w:rPr>
            </w:pPr>
            <w:r>
              <w:rPr>
                <w:rFonts w:ascii="Arial" w:cs="Arial" w:eastAsia="Arial" w:hAnsi="Arial"/>
                <w:sz w:val="22"/>
                <w:szCs w:val="22"/>
                <w:color w:val="auto"/>
                <w:w w:val="93"/>
              </w:rPr>
              <w:t>SA-3</w:t>
            </w:r>
          </w:p>
        </w:tc>
        <w:tc>
          <w:tcPr>
            <w:tcW w:w="0" w:type="dxa"/>
            <w:vAlign w:val="bottom"/>
          </w:tcPr>
          <w:p>
            <w:pPr>
              <w:spacing w:after="0"/>
              <w:rPr>
                <w:sz w:val="1"/>
                <w:szCs w:val="1"/>
                <w:color w:val="auto"/>
              </w:rPr>
            </w:pPr>
          </w:p>
        </w:tc>
      </w:tr>
      <w:tr>
        <w:trPr>
          <w:trHeight w:val="368"/>
        </w:trPr>
        <w:tc>
          <w:tcPr>
            <w:tcW w:w="200" w:type="dxa"/>
            <w:vAlign w:val="bottom"/>
          </w:tcPr>
          <w:p>
            <w:pPr>
              <w:spacing w:after="0"/>
              <w:rPr>
                <w:sz w:val="24"/>
                <w:szCs w:val="24"/>
                <w:color w:val="auto"/>
              </w:rPr>
            </w:pPr>
          </w:p>
        </w:tc>
        <w:tc>
          <w:tcPr>
            <w:tcW w:w="9320" w:type="dxa"/>
            <w:vAlign w:val="bottom"/>
            <w:gridSpan w:val="11"/>
          </w:tcPr>
          <w:p>
            <w:pPr>
              <w:jc w:val="center"/>
              <w:ind w:right="6512"/>
              <w:spacing w:after="0"/>
              <w:rPr>
                <w:sz w:val="20"/>
                <w:szCs w:val="20"/>
                <w:color w:val="auto"/>
              </w:rPr>
            </w:pPr>
            <w:r>
              <w:rPr>
                <w:rFonts w:ascii="Arial" w:cs="Arial" w:eastAsia="Arial" w:hAnsi="Arial"/>
                <w:sz w:val="22"/>
                <w:szCs w:val="22"/>
                <w:color w:val="auto"/>
                <w:w w:val="95"/>
              </w:rPr>
              <w:t>SUPPLEMENTAL EXHIBITS</w:t>
            </w:r>
          </w:p>
        </w:tc>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20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gridSpan w:val="3"/>
          </w:tcPr>
          <w:p>
            <w:pPr>
              <w:jc w:val="center"/>
              <w:ind w:right="243"/>
              <w:spacing w:after="0"/>
              <w:rPr>
                <w:sz w:val="20"/>
                <w:szCs w:val="20"/>
                <w:color w:val="auto"/>
              </w:rPr>
            </w:pPr>
            <w:r>
              <w:rPr>
                <w:rFonts w:ascii="Arial" w:cs="Arial" w:eastAsia="Arial" w:hAnsi="Arial"/>
                <w:sz w:val="22"/>
                <w:szCs w:val="22"/>
                <w:color w:val="auto"/>
                <w:w w:val="96"/>
              </w:rPr>
              <w:t>AE1.</w:t>
            </w:r>
          </w:p>
        </w:tc>
        <w:tc>
          <w:tcPr>
            <w:tcW w:w="140" w:type="dxa"/>
            <w:vAlign w:val="bottom"/>
            <w:tcBorders>
              <w:top w:val="single" w:sz="8" w:color="auto"/>
            </w:tcBorders>
          </w:tcPr>
          <w:p>
            <w:pPr>
              <w:spacing w:after="0"/>
              <w:rPr>
                <w:sz w:val="23"/>
                <w:szCs w:val="23"/>
                <w:color w:val="auto"/>
              </w:rPr>
            </w:pPr>
          </w:p>
        </w:tc>
        <w:tc>
          <w:tcPr>
            <w:tcW w:w="580" w:type="dxa"/>
            <w:vAlign w:val="bottom"/>
            <w:tcBorders>
              <w:top w:val="single" w:sz="8" w:color="auto"/>
            </w:tcBorders>
          </w:tcPr>
          <w:p>
            <w:pPr>
              <w:spacing w:after="0"/>
              <w:rPr>
                <w:sz w:val="23"/>
                <w:szCs w:val="23"/>
                <w:color w:val="auto"/>
              </w:rPr>
            </w:pPr>
          </w:p>
        </w:tc>
        <w:tc>
          <w:tcPr>
            <w:tcW w:w="6620" w:type="dxa"/>
            <w:vAlign w:val="bottom"/>
          </w:tcPr>
          <w:p>
            <w:pPr>
              <w:ind w:left="520"/>
              <w:spacing w:after="0"/>
              <w:rPr>
                <w:sz w:val="20"/>
                <w:szCs w:val="20"/>
                <w:color w:val="auto"/>
              </w:rPr>
            </w:pPr>
            <w:r>
              <w:rPr>
                <w:rFonts w:ascii="Arial" w:cs="Arial" w:eastAsia="Arial" w:hAnsi="Arial"/>
                <w:sz w:val="22"/>
                <w:szCs w:val="22"/>
                <w:color w:val="auto"/>
              </w:rPr>
              <w:t>[*CTR]</w:t>
            </w:r>
          </w:p>
        </w:tc>
        <w:tc>
          <w:tcPr>
            <w:tcW w:w="9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1"/>
        </w:trPr>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4"/>
          </w:tcPr>
          <w:p>
            <w:pPr>
              <w:jc w:val="center"/>
              <w:spacing w:after="0"/>
              <w:rPr>
                <w:sz w:val="20"/>
                <w:szCs w:val="20"/>
                <w:color w:val="auto"/>
              </w:rPr>
            </w:pPr>
            <w:r>
              <w:rPr>
                <w:rFonts w:ascii="Arial" w:cs="Arial" w:eastAsia="Arial" w:hAnsi="Arial"/>
                <w:sz w:val="22"/>
                <w:szCs w:val="22"/>
                <w:color w:val="auto"/>
                <w:w w:val="90"/>
              </w:rPr>
              <w:t>BFE1(R1).</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20" w:type="dxa"/>
            <w:vAlign w:val="bottom"/>
          </w:tcPr>
          <w:p>
            <w:pPr>
              <w:ind w:left="520"/>
              <w:spacing w:after="0"/>
              <w:rPr>
                <w:sz w:val="20"/>
                <w:szCs w:val="20"/>
                <w:color w:val="auto"/>
              </w:rPr>
            </w:pPr>
            <w:r>
              <w:rPr>
                <w:rFonts w:ascii="Arial" w:cs="Arial" w:eastAsia="Arial" w:hAnsi="Arial"/>
                <w:sz w:val="22"/>
                <w:szCs w:val="22"/>
                <w:color w:val="auto"/>
              </w:rPr>
              <w:t>Buyer Furnished Equipment Variables 787-9</w:t>
            </w:r>
          </w:p>
        </w:tc>
        <w:tc>
          <w:tcPr>
            <w:tcW w:w="98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22"/>
                <w:szCs w:val="22"/>
                <w:color w:val="auto"/>
                <w:w w:val="93"/>
              </w:rPr>
              <w:t>SA-3</w:t>
            </w:r>
          </w:p>
        </w:tc>
        <w:tc>
          <w:tcPr>
            <w:tcW w:w="0" w:type="dxa"/>
            <w:vAlign w:val="bottom"/>
          </w:tcPr>
          <w:p>
            <w:pPr>
              <w:spacing w:after="0"/>
              <w:rPr>
                <w:sz w:val="1"/>
                <w:szCs w:val="1"/>
                <w:color w:val="auto"/>
              </w:rPr>
            </w:pPr>
          </w:p>
        </w:tc>
      </w:tr>
      <w:tr>
        <w:trPr>
          <w:trHeight w:val="311"/>
        </w:trPr>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gridSpan w:val="3"/>
          </w:tcPr>
          <w:p>
            <w:pPr>
              <w:jc w:val="center"/>
              <w:ind w:right="263"/>
              <w:spacing w:after="0"/>
              <w:rPr>
                <w:sz w:val="20"/>
                <w:szCs w:val="20"/>
                <w:color w:val="auto"/>
              </w:rPr>
            </w:pPr>
            <w:r>
              <w:rPr>
                <w:rFonts w:ascii="Arial" w:cs="Arial" w:eastAsia="Arial" w:hAnsi="Arial"/>
                <w:sz w:val="22"/>
                <w:szCs w:val="22"/>
                <w:color w:val="auto"/>
                <w:w w:val="91"/>
              </w:rPr>
              <w:t>BFE2.</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20" w:type="dxa"/>
            <w:vAlign w:val="bottom"/>
          </w:tcPr>
          <w:p>
            <w:pPr>
              <w:ind w:left="520"/>
              <w:spacing w:after="0"/>
              <w:rPr>
                <w:sz w:val="20"/>
                <w:szCs w:val="20"/>
                <w:color w:val="auto"/>
              </w:rPr>
            </w:pPr>
            <w:r>
              <w:rPr>
                <w:rFonts w:ascii="Arial" w:cs="Arial" w:eastAsia="Arial" w:hAnsi="Arial"/>
                <w:sz w:val="22"/>
                <w:szCs w:val="22"/>
                <w:color w:val="auto"/>
              </w:rPr>
              <w:t>Buyer Furnished Equipment Variables 787-8</w:t>
            </w:r>
          </w:p>
        </w:tc>
        <w:tc>
          <w:tcPr>
            <w:tcW w:w="98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22"/>
                <w:szCs w:val="22"/>
                <w:color w:val="auto"/>
                <w:w w:val="93"/>
              </w:rPr>
              <w:t>SA-3</w:t>
            </w:r>
          </w:p>
        </w:tc>
        <w:tc>
          <w:tcPr>
            <w:tcW w:w="0" w:type="dxa"/>
            <w:vAlign w:val="bottom"/>
          </w:tcPr>
          <w:p>
            <w:pPr>
              <w:spacing w:after="0"/>
              <w:rPr>
                <w:sz w:val="1"/>
                <w:szCs w:val="1"/>
                <w:color w:val="auto"/>
              </w:rPr>
            </w:pPr>
          </w:p>
        </w:tc>
      </w:tr>
      <w:tr>
        <w:trPr>
          <w:trHeight w:val="311"/>
        </w:trPr>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gridSpan w:val="3"/>
          </w:tcPr>
          <w:p>
            <w:pPr>
              <w:jc w:val="center"/>
              <w:ind w:right="243"/>
              <w:spacing w:after="0"/>
              <w:rPr>
                <w:sz w:val="20"/>
                <w:szCs w:val="20"/>
                <w:color w:val="auto"/>
              </w:rPr>
            </w:pPr>
            <w:r>
              <w:rPr>
                <w:rFonts w:ascii="Arial" w:cs="Arial" w:eastAsia="Arial" w:hAnsi="Arial"/>
                <w:sz w:val="22"/>
                <w:szCs w:val="22"/>
                <w:color w:val="auto"/>
                <w:w w:val="85"/>
              </w:rPr>
              <w:t>CS1.</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20" w:type="dxa"/>
            <w:vAlign w:val="bottom"/>
          </w:tcPr>
          <w:p>
            <w:pPr>
              <w:ind w:left="520"/>
              <w:spacing w:after="0"/>
              <w:rPr>
                <w:sz w:val="20"/>
                <w:szCs w:val="20"/>
                <w:color w:val="auto"/>
              </w:rPr>
            </w:pPr>
            <w:r>
              <w:rPr>
                <w:rFonts w:ascii="Arial" w:cs="Arial" w:eastAsia="Arial" w:hAnsi="Arial"/>
                <w:sz w:val="22"/>
                <w:szCs w:val="22"/>
                <w:color w:val="auto"/>
              </w:rPr>
              <w:t>787 Customer Support Document</w:t>
            </w:r>
          </w:p>
        </w:tc>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gridSpan w:val="3"/>
          </w:tcPr>
          <w:p>
            <w:pPr>
              <w:jc w:val="center"/>
              <w:ind w:right="243"/>
              <w:spacing w:after="0"/>
              <w:rPr>
                <w:sz w:val="20"/>
                <w:szCs w:val="20"/>
                <w:color w:val="auto"/>
              </w:rPr>
            </w:pPr>
            <w:r>
              <w:rPr>
                <w:rFonts w:ascii="Arial" w:cs="Arial" w:eastAsia="Arial" w:hAnsi="Arial"/>
                <w:sz w:val="22"/>
                <w:szCs w:val="22"/>
                <w:color w:val="auto"/>
                <w:w w:val="87"/>
              </w:rPr>
              <w:t>EE1.</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20" w:type="dxa"/>
            <w:vAlign w:val="bottom"/>
          </w:tcPr>
          <w:p>
            <w:pPr>
              <w:ind w:left="520"/>
              <w:spacing w:after="0"/>
              <w:rPr>
                <w:sz w:val="20"/>
                <w:szCs w:val="20"/>
                <w:color w:val="auto"/>
              </w:rPr>
            </w:pPr>
            <w:r>
              <w:rPr>
                <w:rFonts w:ascii="Arial" w:cs="Arial" w:eastAsia="Arial" w:hAnsi="Arial"/>
                <w:sz w:val="22"/>
                <w:szCs w:val="22"/>
                <w:color w:val="auto"/>
              </w:rPr>
              <w:t>[*CTR]</w:t>
            </w:r>
          </w:p>
        </w:tc>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gridSpan w:val="2"/>
          </w:tcPr>
          <w:p>
            <w:pPr>
              <w:jc w:val="center"/>
              <w:spacing w:after="0"/>
              <w:rPr>
                <w:sz w:val="20"/>
                <w:szCs w:val="20"/>
                <w:color w:val="auto"/>
              </w:rPr>
            </w:pPr>
            <w:r>
              <w:rPr>
                <w:rFonts w:ascii="Arial" w:cs="Arial" w:eastAsia="Arial" w:hAnsi="Arial"/>
                <w:sz w:val="22"/>
                <w:szCs w:val="22"/>
                <w:color w:val="auto"/>
                <w:strike w:val="1"/>
                <w:w w:val="86"/>
              </w:rPr>
              <w:t>EE1</w:t>
            </w:r>
          </w:p>
        </w:tc>
        <w:tc>
          <w:tcPr>
            <w:tcW w:w="480" w:type="dxa"/>
            <w:vAlign w:val="bottom"/>
          </w:tcPr>
          <w:p>
            <w:pPr>
              <w:jc w:val="right"/>
              <w:ind w:right="323"/>
              <w:spacing w:after="0"/>
              <w:rPr>
                <w:sz w:val="20"/>
                <w:szCs w:val="20"/>
                <w:color w:val="auto"/>
              </w:rPr>
            </w:pPr>
            <w:r>
              <w:rPr>
                <w:rFonts w:ascii="Arial" w:cs="Arial" w:eastAsia="Arial" w:hAnsi="Arial"/>
                <w:sz w:val="19"/>
                <w:szCs w:val="19"/>
                <w:color w:val="auto"/>
                <w:w w:val="74"/>
              </w:rPr>
              <w:t>.</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20" w:type="dxa"/>
            <w:vAlign w:val="bottom"/>
          </w:tcPr>
          <w:p>
            <w:pPr>
              <w:ind w:left="520"/>
              <w:spacing w:after="0"/>
              <w:rPr>
                <w:sz w:val="20"/>
                <w:szCs w:val="20"/>
                <w:color w:val="auto"/>
              </w:rPr>
            </w:pPr>
            <w:r>
              <w:rPr>
                <w:rFonts w:ascii="Arial" w:cs="Arial" w:eastAsia="Arial" w:hAnsi="Arial"/>
                <w:sz w:val="22"/>
                <w:szCs w:val="22"/>
                <w:color w:val="auto"/>
              </w:rPr>
              <w:t>[*CTR]</w:t>
            </w:r>
          </w:p>
        </w:tc>
        <w:tc>
          <w:tcPr>
            <w:tcW w:w="98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22"/>
                <w:szCs w:val="22"/>
                <w:color w:val="auto"/>
                <w:w w:val="93"/>
              </w:rPr>
              <w:t>SA-2</w:t>
            </w:r>
          </w:p>
        </w:tc>
        <w:tc>
          <w:tcPr>
            <w:tcW w:w="0" w:type="dxa"/>
            <w:vAlign w:val="bottom"/>
          </w:tcPr>
          <w:p>
            <w:pPr>
              <w:spacing w:after="0"/>
              <w:rPr>
                <w:sz w:val="1"/>
                <w:szCs w:val="1"/>
                <w:color w:val="auto"/>
              </w:rPr>
            </w:pPr>
          </w:p>
        </w:tc>
      </w:tr>
      <w:tr>
        <w:trPr>
          <w:trHeight w:val="311"/>
        </w:trPr>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gridSpan w:val="3"/>
          </w:tcPr>
          <w:p>
            <w:pPr>
              <w:jc w:val="center"/>
              <w:ind w:right="243"/>
              <w:spacing w:after="0"/>
              <w:rPr>
                <w:sz w:val="20"/>
                <w:szCs w:val="20"/>
                <w:color w:val="auto"/>
              </w:rPr>
            </w:pPr>
            <w:r>
              <w:rPr>
                <w:rFonts w:ascii="Arial" w:cs="Arial" w:eastAsia="Arial" w:hAnsi="Arial"/>
                <w:sz w:val="22"/>
                <w:szCs w:val="22"/>
                <w:color w:val="auto"/>
                <w:w w:val="87"/>
              </w:rPr>
              <w:t>EE2.</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20" w:type="dxa"/>
            <w:vAlign w:val="bottom"/>
          </w:tcPr>
          <w:p>
            <w:pPr>
              <w:ind w:left="520"/>
              <w:spacing w:after="0"/>
              <w:rPr>
                <w:sz w:val="20"/>
                <w:szCs w:val="20"/>
                <w:color w:val="auto"/>
              </w:rPr>
            </w:pPr>
            <w:r>
              <w:rPr>
                <w:rFonts w:ascii="Arial" w:cs="Arial" w:eastAsia="Arial" w:hAnsi="Arial"/>
                <w:sz w:val="22"/>
                <w:szCs w:val="22"/>
                <w:color w:val="auto"/>
              </w:rPr>
              <w:t>[*CTR]</w:t>
            </w:r>
          </w:p>
        </w:tc>
        <w:tc>
          <w:tcPr>
            <w:tcW w:w="98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22"/>
                <w:szCs w:val="22"/>
                <w:color w:val="auto"/>
                <w:w w:val="93"/>
              </w:rPr>
              <w:t>SA-4</w:t>
            </w:r>
          </w:p>
        </w:tc>
        <w:tc>
          <w:tcPr>
            <w:tcW w:w="0" w:type="dxa"/>
            <w:vAlign w:val="bottom"/>
          </w:tcPr>
          <w:p>
            <w:pPr>
              <w:spacing w:after="0"/>
              <w:rPr>
                <w:sz w:val="1"/>
                <w:szCs w:val="1"/>
                <w:color w:val="auto"/>
              </w:rPr>
            </w:pPr>
          </w:p>
        </w:tc>
      </w:tr>
      <w:tr>
        <w:trPr>
          <w:trHeight w:val="311"/>
        </w:trPr>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gridSpan w:val="3"/>
          </w:tcPr>
          <w:p>
            <w:pPr>
              <w:jc w:val="center"/>
              <w:ind w:right="243"/>
              <w:spacing w:after="0"/>
              <w:rPr>
                <w:sz w:val="20"/>
                <w:szCs w:val="20"/>
                <w:color w:val="auto"/>
              </w:rPr>
            </w:pPr>
            <w:r>
              <w:rPr>
                <w:rFonts w:ascii="Arial" w:cs="Arial" w:eastAsia="Arial" w:hAnsi="Arial"/>
                <w:sz w:val="22"/>
                <w:szCs w:val="22"/>
                <w:color w:val="auto"/>
                <w:w w:val="90"/>
              </w:rPr>
              <w:t>SLP1.</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20" w:type="dxa"/>
            <w:vAlign w:val="bottom"/>
          </w:tcPr>
          <w:p>
            <w:pPr>
              <w:ind w:left="520"/>
              <w:spacing w:after="0"/>
              <w:rPr>
                <w:sz w:val="20"/>
                <w:szCs w:val="20"/>
                <w:color w:val="auto"/>
              </w:rPr>
            </w:pPr>
            <w:r>
              <w:rPr>
                <w:rFonts w:ascii="Arial" w:cs="Arial" w:eastAsia="Arial" w:hAnsi="Arial"/>
                <w:sz w:val="22"/>
                <w:szCs w:val="22"/>
                <w:color w:val="auto"/>
              </w:rPr>
              <w:t>Service Life Policy Components</w:t>
            </w:r>
          </w:p>
        </w:tc>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22"/>
                <w:szCs w:val="22"/>
                <w:color w:val="auto"/>
                <w:w w:val="95"/>
              </w:rPr>
              <w:t>SA</w:t>
            </w:r>
          </w:p>
        </w:tc>
        <w:tc>
          <w:tcPr>
            <w:tcW w:w="0" w:type="dxa"/>
            <w:vAlign w:val="bottom"/>
          </w:tcPr>
          <w:p>
            <w:pPr>
              <w:spacing w:after="0"/>
              <w:rPr>
                <w:sz w:val="1"/>
                <w:szCs w:val="1"/>
                <w:color w:val="auto"/>
              </w:rPr>
            </w:pPr>
          </w:p>
        </w:tc>
      </w:tr>
      <w:tr>
        <w:trPr>
          <w:trHeight w:val="224"/>
        </w:trPr>
        <w:tc>
          <w:tcPr>
            <w:tcW w:w="9520" w:type="dxa"/>
            <w:vAlign w:val="bottom"/>
            <w:gridSpan w:val="12"/>
          </w:tcPr>
          <w:p>
            <w:pPr>
              <w:spacing w:after="0" w:line="224" w:lineRule="exact"/>
              <w:rPr>
                <w:sz w:val="20"/>
                <w:szCs w:val="20"/>
                <w:color w:val="auto"/>
              </w:rPr>
            </w:pPr>
            <w:r>
              <w:rPr>
                <w:rFonts w:ascii="Arial" w:cs="Arial" w:eastAsia="Arial" w:hAnsi="Arial"/>
                <w:sz w:val="22"/>
                <w:szCs w:val="22"/>
                <w:color w:val="auto"/>
              </w:rPr>
              <w:t>LETTER AGREEMENTS</w:t>
            </w:r>
          </w:p>
        </w:tc>
        <w:tc>
          <w:tcPr>
            <w:tcW w:w="1900" w:type="dxa"/>
            <w:vAlign w:val="bottom"/>
            <w:gridSpan w:val="2"/>
          </w:tcPr>
          <w:p>
            <w:pPr>
              <w:jc w:val="center"/>
              <w:ind w:left="872"/>
              <w:spacing w:after="0" w:line="224" w:lineRule="exact"/>
              <w:rPr>
                <w:sz w:val="20"/>
                <w:szCs w:val="20"/>
                <w:color w:val="auto"/>
              </w:rPr>
            </w:pPr>
            <w:r>
              <w:rPr>
                <w:rFonts w:ascii="Arial" w:cs="Arial" w:eastAsia="Arial" w:hAnsi="Arial"/>
                <w:sz w:val="22"/>
                <w:szCs w:val="22"/>
                <w:color w:val="auto"/>
                <w:w w:val="96"/>
              </w:rPr>
              <w:t>NUMBER</w:t>
            </w:r>
          </w:p>
        </w:tc>
        <w:tc>
          <w:tcPr>
            <w:tcW w:w="0" w:type="dxa"/>
            <w:vAlign w:val="bottom"/>
          </w:tcPr>
          <w:p>
            <w:pPr>
              <w:spacing w:after="0"/>
              <w:rPr>
                <w:sz w:val="1"/>
                <w:szCs w:val="1"/>
                <w:color w:val="auto"/>
              </w:rPr>
            </w:pPr>
          </w:p>
        </w:tc>
      </w:tr>
      <w:tr>
        <w:trPr>
          <w:trHeight w:val="274"/>
        </w:trPr>
        <w:tc>
          <w:tcPr>
            <w:tcW w:w="840" w:type="dxa"/>
            <w:vAlign w:val="bottom"/>
            <w:tcBorders>
              <w:top w:val="single" w:sz="8" w:color="auto"/>
            </w:tcBorders>
            <w:gridSpan w:val="4"/>
          </w:tcPr>
          <w:p>
            <w:pPr>
              <w:spacing w:after="0"/>
              <w:rPr>
                <w:sz w:val="20"/>
                <w:szCs w:val="20"/>
                <w:color w:val="auto"/>
              </w:rPr>
            </w:pPr>
            <w:r>
              <w:rPr>
                <w:rFonts w:ascii="Arial" w:cs="Arial" w:eastAsia="Arial" w:hAnsi="Arial"/>
                <w:sz w:val="22"/>
                <w:szCs w:val="22"/>
                <w:color w:val="auto"/>
              </w:rPr>
              <w:t>3219-01</w:t>
            </w:r>
          </w:p>
        </w:tc>
        <w:tc>
          <w:tcPr>
            <w:tcW w:w="160" w:type="dxa"/>
            <w:vAlign w:val="bottom"/>
            <w:tcBorders>
              <w:top w:val="single" w:sz="8" w:color="auto"/>
            </w:tcBorders>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580" w:type="dxa"/>
            <w:vAlign w:val="bottom"/>
          </w:tcPr>
          <w:p>
            <w:pPr>
              <w:spacing w:after="0"/>
              <w:rPr>
                <w:sz w:val="23"/>
                <w:szCs w:val="23"/>
                <w:color w:val="auto"/>
              </w:rPr>
            </w:pPr>
          </w:p>
        </w:tc>
        <w:tc>
          <w:tcPr>
            <w:tcW w:w="6620" w:type="dxa"/>
            <w:vAlign w:val="bottom"/>
          </w:tcPr>
          <w:p>
            <w:pPr>
              <w:ind w:left="520"/>
              <w:spacing w:after="0"/>
              <w:rPr>
                <w:sz w:val="20"/>
                <w:szCs w:val="20"/>
                <w:color w:val="auto"/>
              </w:rPr>
            </w:pPr>
            <w:r>
              <w:rPr>
                <w:rFonts w:ascii="Arial" w:cs="Arial" w:eastAsia="Arial" w:hAnsi="Arial"/>
                <w:sz w:val="22"/>
                <w:szCs w:val="22"/>
                <w:color w:val="auto"/>
              </w:rPr>
              <w:t>[*CTR]</w:t>
            </w:r>
          </w:p>
        </w:tc>
        <w:tc>
          <w:tcPr>
            <w:tcW w:w="980" w:type="dxa"/>
            <w:vAlign w:val="bottom"/>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51"/>
        </w:trPr>
        <w:tc>
          <w:tcPr>
            <w:tcW w:w="840" w:type="dxa"/>
            <w:vAlign w:val="bottom"/>
            <w:gridSpan w:val="4"/>
          </w:tcPr>
          <w:p>
            <w:pPr>
              <w:spacing w:after="0"/>
              <w:rPr>
                <w:sz w:val="20"/>
                <w:szCs w:val="20"/>
                <w:color w:val="auto"/>
              </w:rPr>
            </w:pPr>
            <w:r>
              <w:rPr>
                <w:rFonts w:ascii="Arial" w:cs="Arial" w:eastAsia="Arial" w:hAnsi="Arial"/>
                <w:sz w:val="22"/>
                <w:szCs w:val="22"/>
                <w:color w:val="auto"/>
              </w:rPr>
              <w:t>3219-02</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20" w:type="dxa"/>
            <w:vAlign w:val="bottom"/>
          </w:tcPr>
          <w:p>
            <w:pPr>
              <w:ind w:left="520"/>
              <w:spacing w:after="0"/>
              <w:rPr>
                <w:sz w:val="20"/>
                <w:szCs w:val="20"/>
                <w:color w:val="auto"/>
              </w:rPr>
            </w:pPr>
            <w:r>
              <w:rPr>
                <w:rFonts w:ascii="Arial" w:cs="Arial" w:eastAsia="Arial" w:hAnsi="Arial"/>
                <w:sz w:val="22"/>
                <w:szCs w:val="22"/>
                <w:color w:val="auto"/>
              </w:rPr>
              <w:t>Special Terms – Seats and In-Flight Entertainment</w:t>
            </w:r>
          </w:p>
        </w:tc>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20" w:type="dxa"/>
            <w:vAlign w:val="bottom"/>
          </w:tcPr>
          <w:p>
            <w:pPr>
              <w:ind w:left="2440"/>
              <w:spacing w:after="0"/>
              <w:rPr>
                <w:sz w:val="20"/>
                <w:szCs w:val="20"/>
                <w:color w:val="auto"/>
              </w:rPr>
            </w:pPr>
            <w:r>
              <w:rPr>
                <w:rFonts w:ascii="Arial" w:cs="Arial" w:eastAsia="Arial" w:hAnsi="Arial"/>
                <w:sz w:val="22"/>
                <w:szCs w:val="22"/>
                <w:color w:val="auto"/>
              </w:rPr>
              <w:t>P.A. No. 3219</w:t>
            </w:r>
          </w:p>
        </w:tc>
        <w:tc>
          <w:tcPr>
            <w:tcW w:w="9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2"/>
                <w:szCs w:val="22"/>
                <w:color w:val="auto"/>
              </w:rPr>
              <w:t>SA-10</w:t>
            </w:r>
          </w:p>
        </w:tc>
        <w:tc>
          <w:tcPr>
            <w:tcW w:w="0" w:type="dxa"/>
            <w:vAlign w:val="bottom"/>
          </w:tcPr>
          <w:p>
            <w:pPr>
              <w:spacing w:after="0"/>
              <w:rPr>
                <w:sz w:val="1"/>
                <w:szCs w:val="1"/>
                <w:color w:val="auto"/>
              </w:rPr>
            </w:pPr>
          </w:p>
        </w:tc>
      </w:tr>
      <w:tr>
        <w:trPr>
          <w:trHeight w:val="275"/>
        </w:trPr>
        <w:tc>
          <w:tcPr>
            <w:tcW w:w="2180" w:type="dxa"/>
            <w:vAlign w:val="bottom"/>
            <w:gridSpan w:val="9"/>
          </w:tcPr>
          <w:p>
            <w:pPr>
              <w:spacing w:after="0"/>
              <w:rPr>
                <w:sz w:val="20"/>
                <w:szCs w:val="20"/>
                <w:color w:val="auto"/>
              </w:rPr>
            </w:pPr>
            <w:r>
              <w:rPr>
                <w:rFonts w:ascii="Arial" w:cs="Arial" w:eastAsia="Arial" w:hAnsi="Arial"/>
                <w:sz w:val="22"/>
                <w:szCs w:val="22"/>
                <w:color w:val="auto"/>
              </w:rPr>
              <w:t>Table of Contents</w:t>
            </w:r>
          </w:p>
        </w:tc>
        <w:tc>
          <w:tcPr>
            <w:tcW w:w="1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6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22"/>
                <w:szCs w:val="22"/>
                <w:color w:val="auto"/>
              </w:rPr>
              <w:t>Page 1</w:t>
            </w:r>
          </w:p>
        </w:tc>
        <w:tc>
          <w:tcPr>
            <w:tcW w:w="0" w:type="dxa"/>
            <w:vAlign w:val="bottom"/>
          </w:tcPr>
          <w:p>
            <w:pPr>
              <w:spacing w:after="0"/>
              <w:rPr>
                <w:sz w:val="1"/>
                <w:szCs w:val="1"/>
                <w:color w:val="auto"/>
              </w:rPr>
            </w:pPr>
          </w:p>
        </w:tc>
      </w:tr>
    </w:tbl>
    <w:p>
      <w:pPr>
        <w:spacing w:after="0" w:line="19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BOEING PROPRIETARY</w:t>
      </w:r>
    </w:p>
    <w:p>
      <w:pPr>
        <w:spacing w:after="0" w:line="1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[*CTR]=[CONFIDENTIAL PORTION OMITTED AND FILED SEPARATELY WITH THE COMMISSION PURSUANT TO A REQUEST FOR CONFIDENTIAL TREATMENT]</w:t>
      </w:r>
    </w:p>
    <w:p>
      <w:pPr>
        <w:sectPr>
          <w:pgSz w:w="11900" w:h="16838" w:orient="portrait"/>
          <w:cols w:equalWidth="0" w:num="1">
            <w:col w:w="11420"/>
          </w:cols>
          <w:pgMar w:left="240" w:top="267" w:right="239" w:bottom="1440" w:gutter="0" w:footer="0" w:header="0"/>
        </w:sectPr>
      </w:pPr>
    </w:p>
    <w:bookmarkStart w:id="120" w:name="page121"/>
    <w:bookmarkEnd w:id="120"/>
    <w:tbl>
      <w:tblPr>
        <w:tblLayout w:type="fixed"/>
        <w:tblInd w:w="0" w:type="dxa"/>
        <w:tblCellMar>
          <w:top w:w="0" w:type="dxa"/>
          <w:left w:w="0" w:type="dxa"/>
          <w:bottom w:w="0" w:type="dxa"/>
          <w:right w:w="0" w:type="dxa"/>
        </w:tblCellMar>
      </w:tblPr>
      <w:tr>
        <w:trPr>
          <w:trHeight w:val="275"/>
        </w:trPr>
        <w:tc>
          <w:tcPr>
            <w:tcW w:w="2680" w:type="dxa"/>
            <w:vAlign w:val="bottom"/>
          </w:tcPr>
          <w:p>
            <w:pPr>
              <w:spacing w:after="0"/>
              <w:rPr>
                <w:sz w:val="23"/>
                <w:szCs w:val="23"/>
                <w:color w:val="auto"/>
              </w:rPr>
            </w:pPr>
          </w:p>
        </w:tc>
        <w:tc>
          <w:tcPr>
            <w:tcW w:w="6780" w:type="dxa"/>
            <w:vAlign w:val="bottom"/>
            <w:gridSpan w:val="4"/>
          </w:tcPr>
          <w:p>
            <w:pPr>
              <w:ind w:left="1460"/>
              <w:spacing w:after="0"/>
              <w:rPr>
                <w:sz w:val="20"/>
                <w:szCs w:val="20"/>
                <w:color w:val="auto"/>
              </w:rPr>
            </w:pPr>
            <w:r>
              <w:rPr>
                <w:rFonts w:ascii="Arial" w:cs="Arial" w:eastAsia="Arial" w:hAnsi="Arial"/>
                <w:sz w:val="22"/>
                <w:szCs w:val="22"/>
                <w:color w:val="auto"/>
              </w:rPr>
              <w:t>TABLE OF CONTENTS, continued</w:t>
            </w:r>
          </w:p>
        </w:tc>
        <w:tc>
          <w:tcPr>
            <w:tcW w:w="1960" w:type="dxa"/>
            <w:vAlign w:val="bottom"/>
          </w:tcPr>
          <w:p>
            <w:pPr>
              <w:spacing w:after="0"/>
              <w:rPr>
                <w:sz w:val="23"/>
                <w:szCs w:val="23"/>
                <w:color w:val="auto"/>
              </w:rPr>
            </w:pPr>
          </w:p>
        </w:tc>
      </w:tr>
      <w:tr>
        <w:trPr>
          <w:trHeight w:val="500"/>
        </w:trPr>
        <w:tc>
          <w:tcPr>
            <w:tcW w:w="2680" w:type="dxa"/>
            <w:vAlign w:val="bottom"/>
          </w:tcPr>
          <w:p>
            <w:pPr>
              <w:spacing w:after="0"/>
              <w:rPr>
                <w:sz w:val="20"/>
                <w:szCs w:val="20"/>
                <w:color w:val="auto"/>
              </w:rPr>
            </w:pPr>
            <w:r>
              <w:rPr>
                <w:rFonts w:ascii="Arial" w:cs="Arial" w:eastAsia="Arial" w:hAnsi="Arial"/>
                <w:sz w:val="22"/>
                <w:szCs w:val="22"/>
                <w:color w:val="auto"/>
              </w:rPr>
              <w:t>3219-04</w:t>
            </w:r>
          </w:p>
        </w:tc>
        <w:tc>
          <w:tcPr>
            <w:tcW w:w="6780" w:type="dxa"/>
            <w:vAlign w:val="bottom"/>
            <w:gridSpan w:val="4"/>
          </w:tcPr>
          <w:p>
            <w:pPr>
              <w:ind w:left="780"/>
              <w:spacing w:after="0"/>
              <w:rPr>
                <w:sz w:val="20"/>
                <w:szCs w:val="20"/>
                <w:color w:val="auto"/>
              </w:rPr>
            </w:pPr>
            <w:r>
              <w:rPr>
                <w:rFonts w:ascii="Arial" w:cs="Arial" w:eastAsia="Arial" w:hAnsi="Arial"/>
                <w:sz w:val="22"/>
                <w:szCs w:val="22"/>
                <w:color w:val="auto"/>
              </w:rPr>
              <w:t>[*CTR]</w:t>
            </w:r>
          </w:p>
        </w:tc>
        <w:tc>
          <w:tcPr>
            <w:tcW w:w="1960" w:type="dxa"/>
            <w:vAlign w:val="bottom"/>
          </w:tcPr>
          <w:p>
            <w:pPr>
              <w:spacing w:after="0"/>
              <w:rPr>
                <w:sz w:val="24"/>
                <w:szCs w:val="24"/>
                <w:color w:val="auto"/>
              </w:rPr>
            </w:pPr>
          </w:p>
        </w:tc>
      </w:tr>
      <w:tr>
        <w:trPr>
          <w:trHeight w:val="351"/>
        </w:trPr>
        <w:tc>
          <w:tcPr>
            <w:tcW w:w="2680" w:type="dxa"/>
            <w:vAlign w:val="bottom"/>
          </w:tcPr>
          <w:p>
            <w:pPr>
              <w:spacing w:after="0"/>
              <w:rPr>
                <w:sz w:val="20"/>
                <w:szCs w:val="20"/>
                <w:color w:val="auto"/>
              </w:rPr>
            </w:pPr>
            <w:r>
              <w:rPr>
                <w:rFonts w:ascii="Arial" w:cs="Arial" w:eastAsia="Arial" w:hAnsi="Arial"/>
                <w:sz w:val="22"/>
                <w:szCs w:val="22"/>
                <w:color w:val="auto"/>
              </w:rPr>
              <w:t>3219-05R1</w:t>
            </w:r>
          </w:p>
        </w:tc>
        <w:tc>
          <w:tcPr>
            <w:tcW w:w="6780" w:type="dxa"/>
            <w:vAlign w:val="bottom"/>
            <w:gridSpan w:val="4"/>
          </w:tcPr>
          <w:p>
            <w:pPr>
              <w:ind w:left="780"/>
              <w:spacing w:after="0"/>
              <w:rPr>
                <w:sz w:val="20"/>
                <w:szCs w:val="20"/>
                <w:color w:val="auto"/>
              </w:rPr>
            </w:pPr>
            <w:r>
              <w:rPr>
                <w:rFonts w:ascii="Arial" w:cs="Arial" w:eastAsia="Arial" w:hAnsi="Arial"/>
                <w:sz w:val="22"/>
                <w:szCs w:val="22"/>
                <w:color w:val="auto"/>
              </w:rPr>
              <w:t>Spare Parts Commitments</w:t>
            </w:r>
          </w:p>
        </w:tc>
        <w:tc>
          <w:tcPr>
            <w:tcW w:w="1960" w:type="dxa"/>
            <w:vAlign w:val="bottom"/>
          </w:tcPr>
          <w:p>
            <w:pPr>
              <w:ind w:left="1280"/>
              <w:spacing w:after="0"/>
              <w:rPr>
                <w:sz w:val="20"/>
                <w:szCs w:val="20"/>
                <w:color w:val="auto"/>
              </w:rPr>
            </w:pPr>
            <w:r>
              <w:rPr>
                <w:rFonts w:ascii="Arial" w:cs="Arial" w:eastAsia="Arial" w:hAnsi="Arial"/>
                <w:sz w:val="22"/>
                <w:szCs w:val="22"/>
                <w:color w:val="auto"/>
              </w:rPr>
              <w:t>SA-3</w:t>
            </w:r>
          </w:p>
        </w:tc>
      </w:tr>
      <w:tr>
        <w:trPr>
          <w:trHeight w:val="351"/>
        </w:trPr>
        <w:tc>
          <w:tcPr>
            <w:tcW w:w="2680" w:type="dxa"/>
            <w:vAlign w:val="bottom"/>
          </w:tcPr>
          <w:p>
            <w:pPr>
              <w:spacing w:after="0"/>
              <w:rPr>
                <w:sz w:val="20"/>
                <w:szCs w:val="20"/>
                <w:color w:val="auto"/>
              </w:rPr>
            </w:pPr>
            <w:r>
              <w:rPr>
                <w:rFonts w:ascii="Arial" w:cs="Arial" w:eastAsia="Arial" w:hAnsi="Arial"/>
                <w:sz w:val="22"/>
                <w:szCs w:val="22"/>
                <w:color w:val="auto"/>
              </w:rPr>
              <w:t>3219-06R1</w:t>
            </w:r>
          </w:p>
        </w:tc>
        <w:tc>
          <w:tcPr>
            <w:tcW w:w="6780" w:type="dxa"/>
            <w:vAlign w:val="bottom"/>
            <w:gridSpan w:val="4"/>
          </w:tcPr>
          <w:p>
            <w:pPr>
              <w:ind w:left="780"/>
              <w:spacing w:after="0"/>
              <w:rPr>
                <w:sz w:val="20"/>
                <w:szCs w:val="20"/>
                <w:color w:val="auto"/>
              </w:rPr>
            </w:pPr>
            <w:r>
              <w:rPr>
                <w:rFonts w:ascii="Arial" w:cs="Arial" w:eastAsia="Arial" w:hAnsi="Arial"/>
                <w:sz w:val="22"/>
                <w:szCs w:val="22"/>
                <w:color w:val="auto"/>
              </w:rPr>
              <w:t>Spare Parts Initial Provisioning</w:t>
            </w:r>
          </w:p>
        </w:tc>
        <w:tc>
          <w:tcPr>
            <w:tcW w:w="1960" w:type="dxa"/>
            <w:vAlign w:val="bottom"/>
          </w:tcPr>
          <w:p>
            <w:pPr>
              <w:ind w:left="1280"/>
              <w:spacing w:after="0"/>
              <w:rPr>
                <w:sz w:val="20"/>
                <w:szCs w:val="20"/>
                <w:color w:val="auto"/>
              </w:rPr>
            </w:pPr>
            <w:r>
              <w:rPr>
                <w:rFonts w:ascii="Arial" w:cs="Arial" w:eastAsia="Arial" w:hAnsi="Arial"/>
                <w:sz w:val="22"/>
                <w:szCs w:val="22"/>
                <w:color w:val="auto"/>
              </w:rPr>
              <w:t>SA-3</w:t>
            </w:r>
          </w:p>
        </w:tc>
      </w:tr>
      <w:tr>
        <w:trPr>
          <w:trHeight w:val="351"/>
        </w:trPr>
        <w:tc>
          <w:tcPr>
            <w:tcW w:w="2680" w:type="dxa"/>
            <w:vAlign w:val="bottom"/>
          </w:tcPr>
          <w:p>
            <w:pPr>
              <w:spacing w:after="0"/>
              <w:rPr>
                <w:sz w:val="20"/>
                <w:szCs w:val="20"/>
                <w:color w:val="auto"/>
              </w:rPr>
            </w:pPr>
            <w:r>
              <w:rPr>
                <w:rFonts w:ascii="Arial" w:cs="Arial" w:eastAsia="Arial" w:hAnsi="Arial"/>
                <w:sz w:val="22"/>
                <w:szCs w:val="22"/>
                <w:color w:val="auto"/>
                <w:strike w:val="1"/>
              </w:rPr>
              <w:t>3219-08R2</w:t>
            </w:r>
          </w:p>
        </w:tc>
        <w:tc>
          <w:tcPr>
            <w:tcW w:w="3220" w:type="dxa"/>
            <w:vAlign w:val="bottom"/>
            <w:gridSpan w:val="2"/>
          </w:tcPr>
          <w:p>
            <w:pPr>
              <w:ind w:left="780"/>
              <w:spacing w:after="0"/>
              <w:rPr>
                <w:sz w:val="20"/>
                <w:szCs w:val="20"/>
                <w:color w:val="auto"/>
              </w:rPr>
            </w:pPr>
            <w:r>
              <w:rPr>
                <w:rFonts w:ascii="Arial" w:cs="Arial" w:eastAsia="Arial" w:hAnsi="Arial"/>
                <w:sz w:val="22"/>
                <w:szCs w:val="22"/>
                <w:color w:val="auto"/>
                <w:strike w:val="1"/>
                <w:w w:val="89"/>
              </w:rPr>
              <w:t>Open Configuration Matters</w:t>
            </w:r>
          </w:p>
        </w:tc>
        <w:tc>
          <w:tcPr>
            <w:tcW w:w="3560" w:type="dxa"/>
            <w:vAlign w:val="bottom"/>
            <w:gridSpan w:val="2"/>
          </w:tcPr>
          <w:p>
            <w:pPr>
              <w:ind w:left="60"/>
              <w:spacing w:after="0"/>
              <w:rPr>
                <w:sz w:val="20"/>
                <w:szCs w:val="20"/>
                <w:color w:val="auto"/>
              </w:rPr>
            </w:pPr>
            <w:r>
              <w:rPr>
                <w:rFonts w:ascii="Arial" w:cs="Arial" w:eastAsia="Arial" w:hAnsi="Arial"/>
                <w:sz w:val="22"/>
                <w:szCs w:val="22"/>
                <w:color w:val="auto"/>
              </w:rPr>
              <w:t>Withdrawn</w:t>
            </w:r>
          </w:p>
        </w:tc>
        <w:tc>
          <w:tcPr>
            <w:tcW w:w="1960" w:type="dxa"/>
            <w:vAlign w:val="bottom"/>
          </w:tcPr>
          <w:p>
            <w:pPr>
              <w:ind w:left="1280"/>
              <w:spacing w:after="0"/>
              <w:rPr>
                <w:sz w:val="20"/>
                <w:szCs w:val="20"/>
                <w:color w:val="auto"/>
              </w:rPr>
            </w:pPr>
            <w:r>
              <w:rPr>
                <w:rFonts w:ascii="Arial" w:cs="Arial" w:eastAsia="Arial" w:hAnsi="Arial"/>
                <w:sz w:val="22"/>
                <w:szCs w:val="22"/>
                <w:color w:val="auto"/>
              </w:rPr>
              <w:t>SA-8</w:t>
            </w:r>
          </w:p>
        </w:tc>
      </w:tr>
      <w:tr>
        <w:trPr>
          <w:trHeight w:val="320"/>
        </w:trPr>
        <w:tc>
          <w:tcPr>
            <w:tcW w:w="2680" w:type="dxa"/>
            <w:vAlign w:val="bottom"/>
          </w:tcPr>
          <w:p>
            <w:pPr>
              <w:spacing w:after="0"/>
              <w:rPr>
                <w:sz w:val="20"/>
                <w:szCs w:val="20"/>
                <w:color w:val="auto"/>
              </w:rPr>
            </w:pPr>
            <w:r>
              <w:rPr>
                <w:rFonts w:ascii="Arial" w:cs="Arial" w:eastAsia="Arial" w:hAnsi="Arial"/>
                <w:sz w:val="22"/>
                <w:szCs w:val="22"/>
                <w:color w:val="auto"/>
                <w:strike w:val="1"/>
              </w:rPr>
              <w:t>6-1162-AKP-071R1</w:t>
            </w:r>
          </w:p>
        </w:tc>
        <w:tc>
          <w:tcPr>
            <w:tcW w:w="6780" w:type="dxa"/>
            <w:vAlign w:val="bottom"/>
            <w:gridSpan w:val="4"/>
          </w:tcPr>
          <w:p>
            <w:pPr>
              <w:ind w:left="780"/>
              <w:spacing w:after="0"/>
              <w:rPr>
                <w:sz w:val="20"/>
                <w:szCs w:val="20"/>
                <w:color w:val="auto"/>
              </w:rPr>
            </w:pPr>
            <w:r>
              <w:rPr>
                <w:rFonts w:ascii="Arial" w:cs="Arial" w:eastAsia="Arial" w:hAnsi="Arial"/>
                <w:sz w:val="22"/>
                <w:szCs w:val="22"/>
                <w:color w:val="auto"/>
              </w:rPr>
              <w:t>[*CTR]</w:t>
            </w:r>
          </w:p>
        </w:tc>
        <w:tc>
          <w:tcPr>
            <w:tcW w:w="1960" w:type="dxa"/>
            <w:vAlign w:val="bottom"/>
          </w:tcPr>
          <w:p>
            <w:pPr>
              <w:spacing w:after="0"/>
              <w:rPr>
                <w:sz w:val="24"/>
                <w:szCs w:val="24"/>
                <w:color w:val="auto"/>
              </w:rPr>
            </w:pPr>
          </w:p>
        </w:tc>
      </w:tr>
      <w:tr>
        <w:trPr>
          <w:trHeight w:val="275"/>
        </w:trPr>
        <w:tc>
          <w:tcPr>
            <w:tcW w:w="2680" w:type="dxa"/>
            <w:vAlign w:val="bottom"/>
          </w:tcPr>
          <w:p>
            <w:pPr>
              <w:spacing w:after="0"/>
              <w:rPr>
                <w:sz w:val="23"/>
                <w:szCs w:val="23"/>
                <w:color w:val="auto"/>
              </w:rPr>
            </w:pPr>
          </w:p>
        </w:tc>
        <w:tc>
          <w:tcPr>
            <w:tcW w:w="6780" w:type="dxa"/>
            <w:vAlign w:val="bottom"/>
            <w:gridSpan w:val="4"/>
          </w:tcPr>
          <w:p>
            <w:pPr>
              <w:ind w:left="980"/>
              <w:spacing w:after="0"/>
              <w:rPr>
                <w:sz w:val="20"/>
                <w:szCs w:val="20"/>
                <w:color w:val="auto"/>
              </w:rPr>
            </w:pPr>
            <w:r>
              <w:rPr>
                <w:rFonts w:ascii="Arial" w:cs="Arial" w:eastAsia="Arial" w:hAnsi="Arial"/>
                <w:sz w:val="22"/>
                <w:szCs w:val="22"/>
                <w:color w:val="auto"/>
              </w:rPr>
              <w:t>Terminated per AAL-PA-1977-LA-1105595</w:t>
            </w:r>
          </w:p>
        </w:tc>
        <w:tc>
          <w:tcPr>
            <w:tcW w:w="1960" w:type="dxa"/>
            <w:vAlign w:val="bottom"/>
          </w:tcPr>
          <w:p>
            <w:pPr>
              <w:spacing w:after="0"/>
              <w:rPr>
                <w:sz w:val="23"/>
                <w:szCs w:val="23"/>
                <w:color w:val="auto"/>
              </w:rPr>
            </w:pPr>
          </w:p>
        </w:tc>
      </w:tr>
      <w:tr>
        <w:trPr>
          <w:trHeight w:val="320"/>
        </w:trPr>
        <w:tc>
          <w:tcPr>
            <w:tcW w:w="2680" w:type="dxa"/>
            <w:vAlign w:val="bottom"/>
          </w:tcPr>
          <w:p>
            <w:pPr>
              <w:spacing w:after="0"/>
              <w:rPr>
                <w:sz w:val="20"/>
                <w:szCs w:val="20"/>
                <w:color w:val="auto"/>
              </w:rPr>
            </w:pPr>
            <w:r>
              <w:rPr>
                <w:rFonts w:ascii="Arial" w:cs="Arial" w:eastAsia="Arial" w:hAnsi="Arial"/>
                <w:sz w:val="22"/>
                <w:szCs w:val="22"/>
                <w:color w:val="auto"/>
                <w:strike w:val="1"/>
              </w:rPr>
              <w:t>6-1162-AKP-072R2</w:t>
            </w:r>
          </w:p>
        </w:tc>
        <w:tc>
          <w:tcPr>
            <w:tcW w:w="6780" w:type="dxa"/>
            <w:vAlign w:val="bottom"/>
            <w:gridSpan w:val="4"/>
          </w:tcPr>
          <w:p>
            <w:pPr>
              <w:ind w:left="780"/>
              <w:spacing w:after="0"/>
              <w:rPr>
                <w:sz w:val="20"/>
                <w:szCs w:val="20"/>
                <w:color w:val="auto"/>
              </w:rPr>
            </w:pPr>
            <w:r>
              <w:rPr>
                <w:rFonts w:ascii="Arial" w:cs="Arial" w:eastAsia="Arial" w:hAnsi="Arial"/>
                <w:sz w:val="22"/>
                <w:szCs w:val="22"/>
                <w:color w:val="auto"/>
              </w:rPr>
              <w:t>[*CTR]</w:t>
            </w:r>
          </w:p>
        </w:tc>
        <w:tc>
          <w:tcPr>
            <w:tcW w:w="1960" w:type="dxa"/>
            <w:vAlign w:val="bottom"/>
          </w:tcPr>
          <w:p>
            <w:pPr>
              <w:spacing w:after="0"/>
              <w:rPr>
                <w:sz w:val="24"/>
                <w:szCs w:val="24"/>
                <w:color w:val="auto"/>
              </w:rPr>
            </w:pPr>
          </w:p>
        </w:tc>
      </w:tr>
      <w:tr>
        <w:trPr>
          <w:trHeight w:val="275"/>
        </w:trPr>
        <w:tc>
          <w:tcPr>
            <w:tcW w:w="2680" w:type="dxa"/>
            <w:vAlign w:val="bottom"/>
          </w:tcPr>
          <w:p>
            <w:pPr>
              <w:spacing w:after="0"/>
              <w:rPr>
                <w:sz w:val="23"/>
                <w:szCs w:val="23"/>
                <w:color w:val="auto"/>
              </w:rPr>
            </w:pPr>
          </w:p>
        </w:tc>
        <w:tc>
          <w:tcPr>
            <w:tcW w:w="6780" w:type="dxa"/>
            <w:vAlign w:val="bottom"/>
            <w:gridSpan w:val="4"/>
          </w:tcPr>
          <w:p>
            <w:pPr>
              <w:ind w:left="980"/>
              <w:spacing w:after="0"/>
              <w:rPr>
                <w:sz w:val="20"/>
                <w:szCs w:val="20"/>
                <w:color w:val="auto"/>
              </w:rPr>
            </w:pPr>
            <w:r>
              <w:rPr>
                <w:rFonts w:ascii="Arial" w:cs="Arial" w:eastAsia="Arial" w:hAnsi="Arial"/>
                <w:sz w:val="22"/>
                <w:szCs w:val="22"/>
                <w:color w:val="auto"/>
              </w:rPr>
              <w:t>Terminated per AAL-PA-1977-LA-1105595</w:t>
            </w:r>
          </w:p>
        </w:tc>
        <w:tc>
          <w:tcPr>
            <w:tcW w:w="1960" w:type="dxa"/>
            <w:vAlign w:val="bottom"/>
          </w:tcPr>
          <w:p>
            <w:pPr>
              <w:spacing w:after="0"/>
              <w:rPr>
                <w:sz w:val="23"/>
                <w:szCs w:val="23"/>
                <w:color w:val="auto"/>
              </w:rPr>
            </w:pPr>
          </w:p>
        </w:tc>
      </w:tr>
      <w:tr>
        <w:trPr>
          <w:trHeight w:val="365"/>
        </w:trPr>
        <w:tc>
          <w:tcPr>
            <w:tcW w:w="2680" w:type="dxa"/>
            <w:vAlign w:val="bottom"/>
          </w:tcPr>
          <w:p>
            <w:pPr>
              <w:spacing w:after="0"/>
              <w:rPr>
                <w:sz w:val="20"/>
                <w:szCs w:val="20"/>
                <w:color w:val="auto"/>
              </w:rPr>
            </w:pPr>
            <w:r>
              <w:rPr>
                <w:rFonts w:ascii="Arial" w:cs="Arial" w:eastAsia="Arial" w:hAnsi="Arial"/>
                <w:sz w:val="22"/>
                <w:szCs w:val="22"/>
                <w:color w:val="auto"/>
              </w:rPr>
              <w:t>6-1162-AKP-073R1</w:t>
            </w:r>
          </w:p>
        </w:tc>
        <w:tc>
          <w:tcPr>
            <w:tcW w:w="6780" w:type="dxa"/>
            <w:vAlign w:val="bottom"/>
            <w:gridSpan w:val="4"/>
          </w:tcPr>
          <w:p>
            <w:pPr>
              <w:ind w:left="780"/>
              <w:spacing w:after="0"/>
              <w:rPr>
                <w:sz w:val="20"/>
                <w:szCs w:val="20"/>
                <w:color w:val="auto"/>
              </w:rPr>
            </w:pPr>
            <w:r>
              <w:rPr>
                <w:rFonts w:ascii="Arial" w:cs="Arial" w:eastAsia="Arial" w:hAnsi="Arial"/>
                <w:sz w:val="22"/>
                <w:szCs w:val="22"/>
                <w:color w:val="auto"/>
              </w:rPr>
              <w:t>Accident Claims and Litigation</w:t>
            </w:r>
          </w:p>
        </w:tc>
        <w:tc>
          <w:tcPr>
            <w:tcW w:w="1960" w:type="dxa"/>
            <w:vAlign w:val="bottom"/>
          </w:tcPr>
          <w:p>
            <w:pPr>
              <w:spacing w:after="0"/>
              <w:rPr>
                <w:sz w:val="24"/>
                <w:szCs w:val="24"/>
                <w:color w:val="auto"/>
              </w:rPr>
            </w:pPr>
          </w:p>
        </w:tc>
      </w:tr>
      <w:tr>
        <w:trPr>
          <w:trHeight w:val="320"/>
        </w:trPr>
        <w:tc>
          <w:tcPr>
            <w:tcW w:w="2680" w:type="dxa"/>
            <w:vAlign w:val="bottom"/>
          </w:tcPr>
          <w:p>
            <w:pPr>
              <w:spacing w:after="0"/>
              <w:rPr>
                <w:sz w:val="20"/>
                <w:szCs w:val="20"/>
                <w:color w:val="auto"/>
              </w:rPr>
            </w:pPr>
            <w:r>
              <w:rPr>
                <w:rFonts w:ascii="Arial" w:cs="Arial" w:eastAsia="Arial" w:hAnsi="Arial"/>
                <w:sz w:val="22"/>
                <w:szCs w:val="22"/>
                <w:color w:val="auto"/>
                <w:strike w:val="1"/>
              </w:rPr>
              <w:t>6-1162-CLO-1031R1</w:t>
            </w:r>
          </w:p>
        </w:tc>
        <w:tc>
          <w:tcPr>
            <w:tcW w:w="6780" w:type="dxa"/>
            <w:vAlign w:val="bottom"/>
            <w:gridSpan w:val="4"/>
          </w:tcPr>
          <w:p>
            <w:pPr>
              <w:ind w:left="780"/>
              <w:spacing w:after="0"/>
              <w:rPr>
                <w:sz w:val="20"/>
                <w:szCs w:val="20"/>
                <w:color w:val="auto"/>
              </w:rPr>
            </w:pPr>
            <w:r>
              <w:rPr>
                <w:rFonts w:ascii="Arial" w:cs="Arial" w:eastAsia="Arial" w:hAnsi="Arial"/>
                <w:sz w:val="22"/>
                <w:szCs w:val="22"/>
                <w:color w:val="auto"/>
              </w:rPr>
              <w:t>[*CTR]</w:t>
            </w:r>
          </w:p>
        </w:tc>
        <w:tc>
          <w:tcPr>
            <w:tcW w:w="1960" w:type="dxa"/>
            <w:vAlign w:val="bottom"/>
          </w:tcPr>
          <w:p>
            <w:pPr>
              <w:ind w:left="1280"/>
              <w:spacing w:after="0"/>
              <w:rPr>
                <w:sz w:val="20"/>
                <w:szCs w:val="20"/>
                <w:color w:val="auto"/>
              </w:rPr>
            </w:pPr>
            <w:r>
              <w:rPr>
                <w:rFonts w:ascii="Arial" w:cs="Arial" w:eastAsia="Arial" w:hAnsi="Arial"/>
                <w:sz w:val="22"/>
                <w:szCs w:val="22"/>
                <w:color w:val="auto"/>
              </w:rPr>
              <w:t>SA-2</w:t>
            </w:r>
          </w:p>
        </w:tc>
      </w:tr>
      <w:tr>
        <w:trPr>
          <w:trHeight w:val="275"/>
        </w:trPr>
        <w:tc>
          <w:tcPr>
            <w:tcW w:w="2680" w:type="dxa"/>
            <w:vAlign w:val="bottom"/>
          </w:tcPr>
          <w:p>
            <w:pPr>
              <w:spacing w:after="0"/>
              <w:rPr>
                <w:sz w:val="23"/>
                <w:szCs w:val="23"/>
                <w:color w:val="auto"/>
              </w:rPr>
            </w:pPr>
          </w:p>
        </w:tc>
        <w:tc>
          <w:tcPr>
            <w:tcW w:w="6780" w:type="dxa"/>
            <w:vAlign w:val="bottom"/>
            <w:gridSpan w:val="4"/>
          </w:tcPr>
          <w:p>
            <w:pPr>
              <w:ind w:left="780"/>
              <w:spacing w:after="0"/>
              <w:rPr>
                <w:sz w:val="20"/>
                <w:szCs w:val="20"/>
                <w:color w:val="auto"/>
              </w:rPr>
            </w:pPr>
            <w:r>
              <w:rPr>
                <w:rFonts w:ascii="Arial" w:cs="Arial" w:eastAsia="Arial" w:hAnsi="Arial"/>
                <w:sz w:val="22"/>
                <w:szCs w:val="22"/>
                <w:color w:val="auto"/>
              </w:rPr>
              <w:t>WITHDRAWN</w:t>
            </w:r>
          </w:p>
        </w:tc>
        <w:tc>
          <w:tcPr>
            <w:tcW w:w="1960" w:type="dxa"/>
            <w:vAlign w:val="bottom"/>
          </w:tcPr>
          <w:p>
            <w:pPr>
              <w:ind w:left="1280"/>
              <w:spacing w:after="0"/>
              <w:rPr>
                <w:sz w:val="20"/>
                <w:szCs w:val="20"/>
                <w:color w:val="auto"/>
              </w:rPr>
            </w:pPr>
            <w:r>
              <w:rPr>
                <w:rFonts w:ascii="Arial" w:cs="Arial" w:eastAsia="Arial" w:hAnsi="Arial"/>
                <w:sz w:val="22"/>
                <w:szCs w:val="22"/>
                <w:color w:val="auto"/>
              </w:rPr>
              <w:t>SA-3</w:t>
            </w:r>
          </w:p>
        </w:tc>
      </w:tr>
      <w:tr>
        <w:trPr>
          <w:trHeight w:val="333"/>
        </w:trPr>
        <w:tc>
          <w:tcPr>
            <w:tcW w:w="2680" w:type="dxa"/>
            <w:vAlign w:val="bottom"/>
          </w:tcPr>
          <w:p>
            <w:pPr>
              <w:spacing w:after="0"/>
              <w:rPr>
                <w:sz w:val="20"/>
                <w:szCs w:val="20"/>
                <w:color w:val="auto"/>
              </w:rPr>
            </w:pPr>
            <w:r>
              <w:rPr>
                <w:rFonts w:ascii="Arial" w:cs="Arial" w:eastAsia="Arial" w:hAnsi="Arial"/>
                <w:sz w:val="22"/>
                <w:szCs w:val="22"/>
                <w:color w:val="auto"/>
                <w:strike w:val="1"/>
              </w:rPr>
              <w:t>6-1162-CLO-1032R1</w:t>
            </w:r>
          </w:p>
        </w:tc>
        <w:tc>
          <w:tcPr>
            <w:tcW w:w="6780" w:type="dxa"/>
            <w:vAlign w:val="bottom"/>
            <w:gridSpan w:val="4"/>
          </w:tcPr>
          <w:p>
            <w:pPr>
              <w:ind w:left="780"/>
              <w:spacing w:after="0"/>
              <w:rPr>
                <w:sz w:val="20"/>
                <w:szCs w:val="20"/>
                <w:color w:val="auto"/>
              </w:rPr>
            </w:pPr>
            <w:r>
              <w:rPr>
                <w:rFonts w:ascii="Arial" w:cs="Arial" w:eastAsia="Arial" w:hAnsi="Arial"/>
                <w:sz w:val="22"/>
                <w:szCs w:val="22"/>
                <w:color w:val="auto"/>
              </w:rPr>
              <w:t>[*CTR]</w:t>
            </w:r>
          </w:p>
        </w:tc>
        <w:tc>
          <w:tcPr>
            <w:tcW w:w="1960" w:type="dxa"/>
            <w:vAlign w:val="bottom"/>
          </w:tcPr>
          <w:p>
            <w:pPr>
              <w:spacing w:after="0"/>
              <w:rPr>
                <w:sz w:val="24"/>
                <w:szCs w:val="24"/>
                <w:color w:val="auto"/>
              </w:rPr>
            </w:pPr>
          </w:p>
        </w:tc>
      </w:tr>
      <w:tr>
        <w:trPr>
          <w:trHeight w:val="288"/>
        </w:trPr>
        <w:tc>
          <w:tcPr>
            <w:tcW w:w="2680" w:type="dxa"/>
            <w:vAlign w:val="bottom"/>
          </w:tcPr>
          <w:p>
            <w:pPr>
              <w:spacing w:after="0"/>
              <w:rPr>
                <w:sz w:val="24"/>
                <w:szCs w:val="24"/>
                <w:color w:val="auto"/>
              </w:rPr>
            </w:pPr>
          </w:p>
        </w:tc>
        <w:tc>
          <w:tcPr>
            <w:tcW w:w="6780" w:type="dxa"/>
            <w:vAlign w:val="bottom"/>
            <w:gridSpan w:val="4"/>
          </w:tcPr>
          <w:p>
            <w:pPr>
              <w:ind w:left="980"/>
              <w:spacing w:after="0"/>
              <w:rPr>
                <w:sz w:val="20"/>
                <w:szCs w:val="20"/>
                <w:color w:val="auto"/>
              </w:rPr>
            </w:pPr>
            <w:r>
              <w:rPr>
                <w:rFonts w:ascii="Arial" w:cs="Arial" w:eastAsia="Arial" w:hAnsi="Arial"/>
                <w:sz w:val="22"/>
                <w:szCs w:val="22"/>
                <w:color w:val="auto"/>
              </w:rPr>
              <w:t>Terminated</w:t>
            </w:r>
          </w:p>
        </w:tc>
        <w:tc>
          <w:tcPr>
            <w:tcW w:w="1960" w:type="dxa"/>
            <w:vAlign w:val="bottom"/>
          </w:tcPr>
          <w:p>
            <w:pPr>
              <w:ind w:left="1280"/>
              <w:spacing w:after="0"/>
              <w:rPr>
                <w:sz w:val="20"/>
                <w:szCs w:val="20"/>
                <w:color w:val="auto"/>
              </w:rPr>
            </w:pPr>
            <w:r>
              <w:rPr>
                <w:rFonts w:ascii="Arial" w:cs="Arial" w:eastAsia="Arial" w:hAnsi="Arial"/>
                <w:sz w:val="22"/>
                <w:szCs w:val="22"/>
                <w:color w:val="auto"/>
              </w:rPr>
              <w:t>SA-3</w:t>
            </w:r>
          </w:p>
        </w:tc>
      </w:tr>
      <w:tr>
        <w:trPr>
          <w:trHeight w:val="351"/>
        </w:trPr>
        <w:tc>
          <w:tcPr>
            <w:tcW w:w="2680" w:type="dxa"/>
            <w:vAlign w:val="bottom"/>
          </w:tcPr>
          <w:p>
            <w:pPr>
              <w:spacing w:after="0"/>
              <w:rPr>
                <w:sz w:val="20"/>
                <w:szCs w:val="20"/>
                <w:color w:val="auto"/>
              </w:rPr>
            </w:pPr>
            <w:r>
              <w:rPr>
                <w:rFonts w:ascii="Arial" w:cs="Arial" w:eastAsia="Arial" w:hAnsi="Arial"/>
                <w:sz w:val="22"/>
                <w:szCs w:val="22"/>
                <w:color w:val="auto"/>
              </w:rPr>
              <w:t>6-1162-CLO-1039</w:t>
            </w:r>
          </w:p>
        </w:tc>
        <w:tc>
          <w:tcPr>
            <w:tcW w:w="6780" w:type="dxa"/>
            <w:vAlign w:val="bottom"/>
            <w:gridSpan w:val="4"/>
          </w:tcPr>
          <w:p>
            <w:pPr>
              <w:ind w:left="780"/>
              <w:spacing w:after="0"/>
              <w:rPr>
                <w:sz w:val="20"/>
                <w:szCs w:val="20"/>
                <w:color w:val="auto"/>
              </w:rPr>
            </w:pPr>
            <w:r>
              <w:rPr>
                <w:rFonts w:ascii="Arial" w:cs="Arial" w:eastAsia="Arial" w:hAnsi="Arial"/>
                <w:sz w:val="22"/>
                <w:szCs w:val="22"/>
                <w:color w:val="auto"/>
              </w:rPr>
              <w:t>[*CTR]</w:t>
            </w:r>
          </w:p>
        </w:tc>
        <w:tc>
          <w:tcPr>
            <w:tcW w:w="1960" w:type="dxa"/>
            <w:vAlign w:val="bottom"/>
          </w:tcPr>
          <w:p>
            <w:pPr>
              <w:spacing w:after="0"/>
              <w:rPr>
                <w:sz w:val="24"/>
                <w:szCs w:val="24"/>
                <w:color w:val="auto"/>
              </w:rPr>
            </w:pPr>
          </w:p>
        </w:tc>
      </w:tr>
      <w:tr>
        <w:trPr>
          <w:trHeight w:val="351"/>
        </w:trPr>
        <w:tc>
          <w:tcPr>
            <w:tcW w:w="2680" w:type="dxa"/>
            <w:vAlign w:val="bottom"/>
          </w:tcPr>
          <w:p>
            <w:pPr>
              <w:spacing w:after="0"/>
              <w:rPr>
                <w:sz w:val="20"/>
                <w:szCs w:val="20"/>
                <w:color w:val="auto"/>
              </w:rPr>
            </w:pPr>
            <w:r>
              <w:rPr>
                <w:rFonts w:ascii="Arial" w:cs="Arial" w:eastAsia="Arial" w:hAnsi="Arial"/>
                <w:sz w:val="22"/>
                <w:szCs w:val="22"/>
                <w:color w:val="auto"/>
              </w:rPr>
              <w:t>6-1162-CLO-1042</w:t>
            </w:r>
          </w:p>
        </w:tc>
        <w:tc>
          <w:tcPr>
            <w:tcW w:w="6780" w:type="dxa"/>
            <w:vAlign w:val="bottom"/>
            <w:gridSpan w:val="4"/>
          </w:tcPr>
          <w:p>
            <w:pPr>
              <w:ind w:left="780"/>
              <w:spacing w:after="0"/>
              <w:rPr>
                <w:sz w:val="20"/>
                <w:szCs w:val="20"/>
                <w:color w:val="auto"/>
              </w:rPr>
            </w:pPr>
            <w:r>
              <w:rPr>
                <w:rFonts w:ascii="Arial" w:cs="Arial" w:eastAsia="Arial" w:hAnsi="Arial"/>
                <w:sz w:val="22"/>
                <w:szCs w:val="22"/>
                <w:color w:val="auto"/>
              </w:rPr>
              <w:t>[*CTR]</w:t>
            </w:r>
          </w:p>
        </w:tc>
        <w:tc>
          <w:tcPr>
            <w:tcW w:w="1960" w:type="dxa"/>
            <w:vAlign w:val="bottom"/>
          </w:tcPr>
          <w:p>
            <w:pPr>
              <w:spacing w:after="0"/>
              <w:rPr>
                <w:sz w:val="24"/>
                <w:szCs w:val="24"/>
                <w:color w:val="auto"/>
              </w:rPr>
            </w:pPr>
          </w:p>
        </w:tc>
      </w:tr>
      <w:tr>
        <w:trPr>
          <w:trHeight w:val="351"/>
        </w:trPr>
        <w:tc>
          <w:tcPr>
            <w:tcW w:w="2680" w:type="dxa"/>
            <w:vAlign w:val="bottom"/>
          </w:tcPr>
          <w:p>
            <w:pPr>
              <w:spacing w:after="0"/>
              <w:rPr>
                <w:sz w:val="20"/>
                <w:szCs w:val="20"/>
                <w:color w:val="auto"/>
              </w:rPr>
            </w:pPr>
            <w:r>
              <w:rPr>
                <w:rFonts w:ascii="Arial" w:cs="Arial" w:eastAsia="Arial" w:hAnsi="Arial"/>
                <w:sz w:val="22"/>
                <w:szCs w:val="22"/>
                <w:color w:val="auto"/>
              </w:rPr>
              <w:t>6-1162-CLO-1043R1</w:t>
            </w:r>
          </w:p>
        </w:tc>
        <w:tc>
          <w:tcPr>
            <w:tcW w:w="6780" w:type="dxa"/>
            <w:vAlign w:val="bottom"/>
            <w:gridSpan w:val="4"/>
          </w:tcPr>
          <w:p>
            <w:pPr>
              <w:ind w:left="780"/>
              <w:spacing w:after="0"/>
              <w:rPr>
                <w:sz w:val="20"/>
                <w:szCs w:val="20"/>
                <w:color w:val="auto"/>
              </w:rPr>
            </w:pPr>
            <w:r>
              <w:rPr>
                <w:rFonts w:ascii="Arial" w:cs="Arial" w:eastAsia="Arial" w:hAnsi="Arial"/>
                <w:sz w:val="22"/>
                <w:szCs w:val="22"/>
                <w:color w:val="auto"/>
              </w:rPr>
              <w:t>787 Inspection Process</w:t>
            </w:r>
          </w:p>
        </w:tc>
        <w:tc>
          <w:tcPr>
            <w:tcW w:w="1960" w:type="dxa"/>
            <w:vAlign w:val="bottom"/>
          </w:tcPr>
          <w:p>
            <w:pPr>
              <w:ind w:left="1280"/>
              <w:spacing w:after="0"/>
              <w:rPr>
                <w:sz w:val="20"/>
                <w:szCs w:val="20"/>
                <w:color w:val="auto"/>
              </w:rPr>
            </w:pPr>
            <w:r>
              <w:rPr>
                <w:rFonts w:ascii="Arial" w:cs="Arial" w:eastAsia="Arial" w:hAnsi="Arial"/>
                <w:sz w:val="22"/>
                <w:szCs w:val="22"/>
                <w:color w:val="auto"/>
              </w:rPr>
              <w:t>SA-3</w:t>
            </w:r>
          </w:p>
        </w:tc>
      </w:tr>
      <w:tr>
        <w:trPr>
          <w:trHeight w:val="351"/>
        </w:trPr>
        <w:tc>
          <w:tcPr>
            <w:tcW w:w="2680" w:type="dxa"/>
            <w:vAlign w:val="bottom"/>
          </w:tcPr>
          <w:p>
            <w:pPr>
              <w:spacing w:after="0"/>
              <w:rPr>
                <w:sz w:val="20"/>
                <w:szCs w:val="20"/>
                <w:color w:val="auto"/>
              </w:rPr>
            </w:pPr>
            <w:r>
              <w:rPr>
                <w:rFonts w:ascii="Arial" w:cs="Arial" w:eastAsia="Arial" w:hAnsi="Arial"/>
                <w:sz w:val="22"/>
                <w:szCs w:val="22"/>
                <w:color w:val="auto"/>
              </w:rPr>
              <w:t>6-1162-CLO-1045R1</w:t>
            </w:r>
          </w:p>
        </w:tc>
        <w:tc>
          <w:tcPr>
            <w:tcW w:w="6780" w:type="dxa"/>
            <w:vAlign w:val="bottom"/>
            <w:gridSpan w:val="4"/>
          </w:tcPr>
          <w:p>
            <w:pPr>
              <w:ind w:left="780"/>
              <w:spacing w:after="0"/>
              <w:rPr>
                <w:sz w:val="20"/>
                <w:szCs w:val="20"/>
                <w:color w:val="auto"/>
              </w:rPr>
            </w:pPr>
            <w:r>
              <w:rPr>
                <w:rFonts w:ascii="Arial" w:cs="Arial" w:eastAsia="Arial" w:hAnsi="Arial"/>
                <w:sz w:val="22"/>
                <w:szCs w:val="22"/>
                <w:color w:val="auto"/>
              </w:rPr>
              <w:t>[*CTR]</w:t>
            </w:r>
          </w:p>
        </w:tc>
        <w:tc>
          <w:tcPr>
            <w:tcW w:w="1960" w:type="dxa"/>
            <w:vAlign w:val="bottom"/>
          </w:tcPr>
          <w:p>
            <w:pPr>
              <w:ind w:left="1280"/>
              <w:spacing w:after="0"/>
              <w:rPr>
                <w:sz w:val="20"/>
                <w:szCs w:val="20"/>
                <w:color w:val="auto"/>
              </w:rPr>
            </w:pPr>
            <w:r>
              <w:rPr>
                <w:rFonts w:ascii="Arial" w:cs="Arial" w:eastAsia="Arial" w:hAnsi="Arial"/>
                <w:sz w:val="22"/>
                <w:szCs w:val="22"/>
                <w:color w:val="auto"/>
              </w:rPr>
              <w:t>SA-2</w:t>
            </w:r>
          </w:p>
        </w:tc>
      </w:tr>
      <w:tr>
        <w:trPr>
          <w:trHeight w:val="320"/>
        </w:trPr>
        <w:tc>
          <w:tcPr>
            <w:tcW w:w="2680" w:type="dxa"/>
            <w:vAlign w:val="bottom"/>
          </w:tcPr>
          <w:p>
            <w:pPr>
              <w:spacing w:after="0"/>
              <w:rPr>
                <w:sz w:val="20"/>
                <w:szCs w:val="20"/>
                <w:color w:val="auto"/>
              </w:rPr>
            </w:pPr>
            <w:r>
              <w:rPr>
                <w:rFonts w:ascii="Arial" w:cs="Arial" w:eastAsia="Arial" w:hAnsi="Arial"/>
                <w:sz w:val="22"/>
                <w:szCs w:val="22"/>
                <w:color w:val="auto"/>
                <w:strike w:val="1"/>
              </w:rPr>
              <w:t>6-1162-CLO-1046</w:t>
            </w:r>
          </w:p>
        </w:tc>
        <w:tc>
          <w:tcPr>
            <w:tcW w:w="6780" w:type="dxa"/>
            <w:vAlign w:val="bottom"/>
            <w:gridSpan w:val="4"/>
          </w:tcPr>
          <w:p>
            <w:pPr>
              <w:ind w:left="780"/>
              <w:spacing w:after="0"/>
              <w:rPr>
                <w:sz w:val="20"/>
                <w:szCs w:val="20"/>
                <w:color w:val="auto"/>
              </w:rPr>
            </w:pPr>
            <w:r>
              <w:rPr>
                <w:rFonts w:ascii="Arial" w:cs="Arial" w:eastAsia="Arial" w:hAnsi="Arial"/>
                <w:sz w:val="22"/>
                <w:szCs w:val="22"/>
                <w:color w:val="auto"/>
                <w:strike w:val="1"/>
              </w:rPr>
              <w:t>SA-eE, COTS Software and End User License Matters</w:t>
            </w:r>
          </w:p>
        </w:tc>
        <w:tc>
          <w:tcPr>
            <w:tcW w:w="1960" w:type="dxa"/>
            <w:vAlign w:val="bottom"/>
          </w:tcPr>
          <w:p>
            <w:pPr>
              <w:spacing w:after="0"/>
              <w:rPr>
                <w:sz w:val="24"/>
                <w:szCs w:val="24"/>
                <w:color w:val="auto"/>
              </w:rPr>
            </w:pPr>
          </w:p>
        </w:tc>
      </w:tr>
      <w:tr>
        <w:trPr>
          <w:trHeight w:val="288"/>
        </w:trPr>
        <w:tc>
          <w:tcPr>
            <w:tcW w:w="2680" w:type="dxa"/>
            <w:vAlign w:val="bottom"/>
          </w:tcPr>
          <w:p>
            <w:pPr>
              <w:spacing w:after="0"/>
              <w:rPr>
                <w:sz w:val="24"/>
                <w:szCs w:val="24"/>
                <w:color w:val="auto"/>
              </w:rPr>
            </w:pPr>
          </w:p>
        </w:tc>
        <w:tc>
          <w:tcPr>
            <w:tcW w:w="6780" w:type="dxa"/>
            <w:vAlign w:val="bottom"/>
            <w:gridSpan w:val="4"/>
          </w:tcPr>
          <w:p>
            <w:pPr>
              <w:ind w:left="980"/>
              <w:spacing w:after="0"/>
              <w:rPr>
                <w:sz w:val="20"/>
                <w:szCs w:val="20"/>
                <w:color w:val="auto"/>
              </w:rPr>
            </w:pPr>
            <w:r>
              <w:rPr>
                <w:rFonts w:ascii="Arial" w:cs="Arial" w:eastAsia="Arial" w:hAnsi="Arial"/>
                <w:sz w:val="22"/>
                <w:szCs w:val="22"/>
                <w:color w:val="auto"/>
              </w:rPr>
              <w:t>WITHDRAWN</w:t>
            </w:r>
          </w:p>
        </w:tc>
        <w:tc>
          <w:tcPr>
            <w:tcW w:w="1960" w:type="dxa"/>
            <w:vAlign w:val="bottom"/>
          </w:tcPr>
          <w:p>
            <w:pPr>
              <w:ind w:left="1280"/>
              <w:spacing w:after="0"/>
              <w:rPr>
                <w:sz w:val="20"/>
                <w:szCs w:val="20"/>
                <w:color w:val="auto"/>
              </w:rPr>
            </w:pPr>
            <w:r>
              <w:rPr>
                <w:rFonts w:ascii="Arial" w:cs="Arial" w:eastAsia="Arial" w:hAnsi="Arial"/>
                <w:sz w:val="22"/>
                <w:szCs w:val="22"/>
                <w:color w:val="auto"/>
              </w:rPr>
              <w:t>SA-3</w:t>
            </w:r>
          </w:p>
        </w:tc>
      </w:tr>
      <w:tr>
        <w:trPr>
          <w:trHeight w:val="351"/>
        </w:trPr>
        <w:tc>
          <w:tcPr>
            <w:tcW w:w="2680" w:type="dxa"/>
            <w:vAlign w:val="bottom"/>
          </w:tcPr>
          <w:p>
            <w:pPr>
              <w:spacing w:after="0"/>
              <w:rPr>
                <w:sz w:val="20"/>
                <w:szCs w:val="20"/>
                <w:color w:val="auto"/>
              </w:rPr>
            </w:pPr>
            <w:r>
              <w:rPr>
                <w:rFonts w:ascii="Arial" w:cs="Arial" w:eastAsia="Arial" w:hAnsi="Arial"/>
                <w:sz w:val="22"/>
                <w:szCs w:val="22"/>
                <w:color w:val="auto"/>
              </w:rPr>
              <w:t>6-1162-CLO-1047R2</w:t>
            </w:r>
          </w:p>
        </w:tc>
        <w:tc>
          <w:tcPr>
            <w:tcW w:w="6780" w:type="dxa"/>
            <w:vAlign w:val="bottom"/>
            <w:gridSpan w:val="4"/>
          </w:tcPr>
          <w:p>
            <w:pPr>
              <w:ind w:left="780"/>
              <w:spacing w:after="0"/>
              <w:rPr>
                <w:sz w:val="20"/>
                <w:szCs w:val="20"/>
                <w:color w:val="auto"/>
              </w:rPr>
            </w:pPr>
            <w:r>
              <w:rPr>
                <w:rFonts w:ascii="Arial" w:cs="Arial" w:eastAsia="Arial" w:hAnsi="Arial"/>
                <w:sz w:val="22"/>
                <w:szCs w:val="22"/>
                <w:color w:val="auto"/>
              </w:rPr>
              <w:t>[*CTR]</w:t>
            </w:r>
          </w:p>
        </w:tc>
        <w:tc>
          <w:tcPr>
            <w:tcW w:w="1960" w:type="dxa"/>
            <w:vAlign w:val="bottom"/>
          </w:tcPr>
          <w:p>
            <w:pPr>
              <w:ind w:left="1280"/>
              <w:spacing w:after="0"/>
              <w:rPr>
                <w:sz w:val="20"/>
                <w:szCs w:val="20"/>
                <w:color w:val="auto"/>
              </w:rPr>
            </w:pPr>
            <w:r>
              <w:rPr>
                <w:rFonts w:ascii="Arial" w:cs="Arial" w:eastAsia="Arial" w:hAnsi="Arial"/>
                <w:sz w:val="22"/>
                <w:szCs w:val="22"/>
                <w:color w:val="auto"/>
              </w:rPr>
              <w:t>SA-6</w:t>
            </w:r>
          </w:p>
        </w:tc>
      </w:tr>
      <w:tr>
        <w:trPr>
          <w:trHeight w:val="351"/>
        </w:trPr>
        <w:tc>
          <w:tcPr>
            <w:tcW w:w="2680" w:type="dxa"/>
            <w:vAlign w:val="bottom"/>
          </w:tcPr>
          <w:p>
            <w:pPr>
              <w:spacing w:after="0"/>
              <w:rPr>
                <w:sz w:val="20"/>
                <w:szCs w:val="20"/>
                <w:color w:val="auto"/>
              </w:rPr>
            </w:pPr>
            <w:r>
              <w:rPr>
                <w:rFonts w:ascii="Arial" w:cs="Arial" w:eastAsia="Arial" w:hAnsi="Arial"/>
                <w:sz w:val="22"/>
                <w:szCs w:val="22"/>
                <w:color w:val="auto"/>
                <w:strike w:val="1"/>
              </w:rPr>
              <w:t>6-1162-CLO-1048</w:t>
            </w:r>
          </w:p>
        </w:tc>
        <w:tc>
          <w:tcPr>
            <w:tcW w:w="1940" w:type="dxa"/>
            <w:vAlign w:val="bottom"/>
          </w:tcPr>
          <w:p>
            <w:pPr>
              <w:ind w:left="780"/>
              <w:spacing w:after="0"/>
              <w:rPr>
                <w:sz w:val="20"/>
                <w:szCs w:val="20"/>
                <w:color w:val="auto"/>
              </w:rPr>
            </w:pPr>
            <w:r>
              <w:rPr>
                <w:rFonts w:ascii="Arial" w:cs="Arial" w:eastAsia="Arial" w:hAnsi="Arial"/>
                <w:sz w:val="22"/>
                <w:szCs w:val="22"/>
                <w:color w:val="auto"/>
                <w:strike w:val="1"/>
                <w:w w:val="89"/>
              </w:rPr>
              <w:t>Final Matters</w:t>
            </w:r>
          </w:p>
        </w:tc>
        <w:tc>
          <w:tcPr>
            <w:tcW w:w="1920" w:type="dxa"/>
            <w:vAlign w:val="bottom"/>
            <w:gridSpan w:val="2"/>
          </w:tcPr>
          <w:p>
            <w:pPr>
              <w:spacing w:after="0"/>
              <w:rPr>
                <w:sz w:val="24"/>
                <w:szCs w:val="24"/>
                <w:color w:val="auto"/>
              </w:rPr>
            </w:pPr>
          </w:p>
        </w:tc>
        <w:tc>
          <w:tcPr>
            <w:tcW w:w="2920" w:type="dxa"/>
            <w:vAlign w:val="bottom"/>
          </w:tcPr>
          <w:p>
            <w:pPr>
              <w:spacing w:after="0"/>
              <w:rPr>
                <w:sz w:val="24"/>
                <w:szCs w:val="24"/>
                <w:color w:val="auto"/>
              </w:rPr>
            </w:pPr>
          </w:p>
        </w:tc>
        <w:tc>
          <w:tcPr>
            <w:tcW w:w="1960" w:type="dxa"/>
            <w:vAlign w:val="bottom"/>
          </w:tcPr>
          <w:p>
            <w:pPr>
              <w:ind w:left="1280"/>
              <w:spacing w:after="0"/>
              <w:rPr>
                <w:sz w:val="20"/>
                <w:szCs w:val="20"/>
                <w:color w:val="auto"/>
              </w:rPr>
            </w:pPr>
            <w:r>
              <w:rPr>
                <w:rFonts w:ascii="Arial" w:cs="Arial" w:eastAsia="Arial" w:hAnsi="Arial"/>
                <w:sz w:val="22"/>
                <w:szCs w:val="22"/>
                <w:color w:val="auto"/>
              </w:rPr>
              <w:t>SA-2</w:t>
            </w:r>
          </w:p>
        </w:tc>
      </w:tr>
      <w:tr>
        <w:trPr>
          <w:trHeight w:val="351"/>
        </w:trPr>
        <w:tc>
          <w:tcPr>
            <w:tcW w:w="2680" w:type="dxa"/>
            <w:vAlign w:val="bottom"/>
          </w:tcPr>
          <w:p>
            <w:pPr>
              <w:spacing w:after="0"/>
              <w:rPr>
                <w:sz w:val="20"/>
                <w:szCs w:val="20"/>
                <w:color w:val="auto"/>
              </w:rPr>
            </w:pPr>
            <w:r>
              <w:rPr>
                <w:rFonts w:ascii="Arial" w:cs="Arial" w:eastAsia="Arial" w:hAnsi="Arial"/>
                <w:sz w:val="22"/>
                <w:szCs w:val="22"/>
                <w:color w:val="auto"/>
              </w:rPr>
              <w:t>6-1162-CLO-1049R2</w:t>
            </w:r>
          </w:p>
        </w:tc>
        <w:tc>
          <w:tcPr>
            <w:tcW w:w="6780" w:type="dxa"/>
            <w:vAlign w:val="bottom"/>
            <w:gridSpan w:val="4"/>
          </w:tcPr>
          <w:p>
            <w:pPr>
              <w:ind w:left="780"/>
              <w:spacing w:after="0"/>
              <w:rPr>
                <w:sz w:val="20"/>
                <w:szCs w:val="20"/>
                <w:color w:val="auto"/>
              </w:rPr>
            </w:pPr>
            <w:r>
              <w:rPr>
                <w:rFonts w:ascii="Arial" w:cs="Arial" w:eastAsia="Arial" w:hAnsi="Arial"/>
                <w:sz w:val="22"/>
                <w:szCs w:val="22"/>
                <w:color w:val="auto"/>
              </w:rPr>
              <w:t>CS1 Matters</w:t>
            </w:r>
          </w:p>
        </w:tc>
        <w:tc>
          <w:tcPr>
            <w:tcW w:w="1960" w:type="dxa"/>
            <w:vAlign w:val="bottom"/>
          </w:tcPr>
          <w:p>
            <w:pPr>
              <w:ind w:left="1280"/>
              <w:spacing w:after="0"/>
              <w:rPr>
                <w:sz w:val="20"/>
                <w:szCs w:val="20"/>
                <w:color w:val="auto"/>
              </w:rPr>
            </w:pPr>
            <w:r>
              <w:rPr>
                <w:rFonts w:ascii="Arial" w:cs="Arial" w:eastAsia="Arial" w:hAnsi="Arial"/>
                <w:sz w:val="22"/>
                <w:szCs w:val="22"/>
                <w:color w:val="auto"/>
              </w:rPr>
              <w:t>SA-6</w:t>
            </w:r>
          </w:p>
        </w:tc>
      </w:tr>
      <w:tr>
        <w:trPr>
          <w:trHeight w:val="320"/>
        </w:trPr>
        <w:tc>
          <w:tcPr>
            <w:tcW w:w="2680" w:type="dxa"/>
            <w:vAlign w:val="bottom"/>
          </w:tcPr>
          <w:p>
            <w:pPr>
              <w:spacing w:after="0"/>
              <w:rPr>
                <w:sz w:val="20"/>
                <w:szCs w:val="20"/>
                <w:color w:val="auto"/>
              </w:rPr>
            </w:pPr>
            <w:r>
              <w:rPr>
                <w:rFonts w:ascii="Arial" w:cs="Arial" w:eastAsia="Arial" w:hAnsi="Arial"/>
                <w:sz w:val="22"/>
                <w:szCs w:val="22"/>
                <w:color w:val="auto"/>
              </w:rPr>
              <w:t>6-1162-TRW-0664R1</w:t>
            </w:r>
          </w:p>
        </w:tc>
        <w:tc>
          <w:tcPr>
            <w:tcW w:w="6780" w:type="dxa"/>
            <w:vAlign w:val="bottom"/>
            <w:gridSpan w:val="4"/>
          </w:tcPr>
          <w:p>
            <w:pPr>
              <w:ind w:left="780"/>
              <w:spacing w:after="0"/>
              <w:rPr>
                <w:sz w:val="20"/>
                <w:szCs w:val="20"/>
                <w:color w:val="auto"/>
              </w:rPr>
            </w:pPr>
            <w:r>
              <w:rPr>
                <w:rFonts w:ascii="Arial" w:cs="Arial" w:eastAsia="Arial" w:hAnsi="Arial"/>
                <w:sz w:val="22"/>
                <w:szCs w:val="22"/>
                <w:color w:val="auto"/>
              </w:rPr>
              <w:t>Aircraft Purchase Rights and Substitution Rights</w:t>
            </w:r>
          </w:p>
        </w:tc>
        <w:tc>
          <w:tcPr>
            <w:tcW w:w="1960" w:type="dxa"/>
            <w:vAlign w:val="bottom"/>
          </w:tcPr>
          <w:p>
            <w:pPr>
              <w:ind w:left="1280"/>
              <w:spacing w:after="0"/>
              <w:rPr>
                <w:sz w:val="20"/>
                <w:szCs w:val="20"/>
                <w:color w:val="auto"/>
              </w:rPr>
            </w:pPr>
            <w:r>
              <w:rPr>
                <w:rFonts w:ascii="Arial" w:cs="Arial" w:eastAsia="Arial" w:hAnsi="Arial"/>
                <w:sz w:val="22"/>
                <w:szCs w:val="22"/>
                <w:color w:val="auto"/>
              </w:rPr>
              <w:t>SA-4</w:t>
            </w:r>
          </w:p>
        </w:tc>
      </w:tr>
      <w:tr>
        <w:trPr>
          <w:trHeight w:val="243"/>
        </w:trPr>
        <w:tc>
          <w:tcPr>
            <w:tcW w:w="2680" w:type="dxa"/>
            <w:vAlign w:val="bottom"/>
          </w:tcPr>
          <w:p>
            <w:pPr>
              <w:spacing w:after="0"/>
              <w:rPr>
                <w:sz w:val="21"/>
                <w:szCs w:val="21"/>
                <w:color w:val="auto"/>
              </w:rPr>
            </w:pPr>
          </w:p>
        </w:tc>
        <w:tc>
          <w:tcPr>
            <w:tcW w:w="6780" w:type="dxa"/>
            <w:vAlign w:val="bottom"/>
            <w:gridSpan w:val="4"/>
          </w:tcPr>
          <w:p>
            <w:pPr>
              <w:ind w:left="780"/>
              <w:spacing w:after="0" w:line="243" w:lineRule="exact"/>
              <w:rPr>
                <w:sz w:val="20"/>
                <w:szCs w:val="20"/>
                <w:color w:val="auto"/>
              </w:rPr>
            </w:pPr>
            <w:r>
              <w:rPr>
                <w:rFonts w:ascii="Arial" w:cs="Arial" w:eastAsia="Arial" w:hAnsi="Arial"/>
                <w:sz w:val="22"/>
                <w:szCs w:val="22"/>
                <w:color w:val="auto"/>
              </w:rPr>
              <w:t>Attachment A(R2) – MADP Exercise Dates</w:t>
            </w:r>
          </w:p>
        </w:tc>
        <w:tc>
          <w:tcPr>
            <w:tcW w:w="1960" w:type="dxa"/>
            <w:vAlign w:val="bottom"/>
          </w:tcPr>
          <w:p>
            <w:pPr>
              <w:ind w:left="1280"/>
              <w:spacing w:after="0" w:line="243" w:lineRule="exact"/>
              <w:rPr>
                <w:sz w:val="20"/>
                <w:szCs w:val="20"/>
                <w:color w:val="auto"/>
              </w:rPr>
            </w:pPr>
            <w:r>
              <w:rPr>
                <w:rFonts w:ascii="Arial" w:cs="Arial" w:eastAsia="Arial" w:hAnsi="Arial"/>
                <w:sz w:val="22"/>
                <w:szCs w:val="22"/>
                <w:color w:val="auto"/>
              </w:rPr>
              <w:t>SA-6</w:t>
            </w:r>
          </w:p>
        </w:tc>
      </w:tr>
      <w:tr>
        <w:trPr>
          <w:trHeight w:val="243"/>
        </w:trPr>
        <w:tc>
          <w:tcPr>
            <w:tcW w:w="2680" w:type="dxa"/>
            <w:vAlign w:val="bottom"/>
          </w:tcPr>
          <w:p>
            <w:pPr>
              <w:spacing w:after="0"/>
              <w:rPr>
                <w:sz w:val="21"/>
                <w:szCs w:val="21"/>
                <w:color w:val="auto"/>
              </w:rPr>
            </w:pPr>
          </w:p>
        </w:tc>
        <w:tc>
          <w:tcPr>
            <w:tcW w:w="6780" w:type="dxa"/>
            <w:vAlign w:val="bottom"/>
            <w:gridSpan w:val="4"/>
          </w:tcPr>
          <w:p>
            <w:pPr>
              <w:ind w:left="780"/>
              <w:spacing w:after="0" w:line="243" w:lineRule="exact"/>
              <w:rPr>
                <w:sz w:val="20"/>
                <w:szCs w:val="20"/>
                <w:color w:val="auto"/>
              </w:rPr>
            </w:pPr>
            <w:r>
              <w:rPr>
                <w:rFonts w:ascii="Arial" w:cs="Arial" w:eastAsia="Arial" w:hAnsi="Arial"/>
                <w:sz w:val="22"/>
                <w:szCs w:val="22"/>
                <w:color w:val="auto"/>
              </w:rPr>
              <w:t>Attachment B(R2) – QADP Exercise Dates</w:t>
            </w:r>
          </w:p>
        </w:tc>
        <w:tc>
          <w:tcPr>
            <w:tcW w:w="1960" w:type="dxa"/>
            <w:vAlign w:val="bottom"/>
          </w:tcPr>
          <w:p>
            <w:pPr>
              <w:ind w:left="1280"/>
              <w:spacing w:after="0" w:line="243" w:lineRule="exact"/>
              <w:rPr>
                <w:sz w:val="20"/>
                <w:szCs w:val="20"/>
                <w:color w:val="auto"/>
              </w:rPr>
            </w:pPr>
            <w:r>
              <w:rPr>
                <w:rFonts w:ascii="Arial" w:cs="Arial" w:eastAsia="Arial" w:hAnsi="Arial"/>
                <w:sz w:val="22"/>
                <w:szCs w:val="22"/>
                <w:color w:val="auto"/>
              </w:rPr>
              <w:t>SA-6</w:t>
            </w:r>
          </w:p>
        </w:tc>
      </w:tr>
      <w:tr>
        <w:trPr>
          <w:trHeight w:val="243"/>
        </w:trPr>
        <w:tc>
          <w:tcPr>
            <w:tcW w:w="2680" w:type="dxa"/>
            <w:vAlign w:val="bottom"/>
          </w:tcPr>
          <w:p>
            <w:pPr>
              <w:spacing w:after="0"/>
              <w:rPr>
                <w:sz w:val="21"/>
                <w:szCs w:val="21"/>
                <w:color w:val="auto"/>
              </w:rPr>
            </w:pPr>
          </w:p>
        </w:tc>
        <w:tc>
          <w:tcPr>
            <w:tcW w:w="6780" w:type="dxa"/>
            <w:vAlign w:val="bottom"/>
            <w:gridSpan w:val="4"/>
          </w:tcPr>
          <w:p>
            <w:pPr>
              <w:ind w:left="780"/>
              <w:spacing w:after="0" w:line="243" w:lineRule="exact"/>
              <w:rPr>
                <w:sz w:val="20"/>
                <w:szCs w:val="20"/>
                <w:color w:val="auto"/>
              </w:rPr>
            </w:pPr>
            <w:r>
              <w:rPr>
                <w:rFonts w:ascii="Arial" w:cs="Arial" w:eastAsia="Arial" w:hAnsi="Arial"/>
                <w:sz w:val="22"/>
                <w:szCs w:val="22"/>
                <w:color w:val="auto"/>
              </w:rPr>
              <w:t>Attachment C(R3) – MADP &amp; QADP Rights Aircraft:</w:t>
            </w:r>
          </w:p>
        </w:tc>
        <w:tc>
          <w:tcPr>
            <w:tcW w:w="1960" w:type="dxa"/>
            <w:vAlign w:val="bottom"/>
          </w:tcPr>
          <w:p>
            <w:pPr>
              <w:spacing w:after="0"/>
              <w:rPr>
                <w:sz w:val="21"/>
                <w:szCs w:val="21"/>
                <w:color w:val="auto"/>
              </w:rPr>
            </w:pPr>
          </w:p>
        </w:tc>
      </w:tr>
      <w:tr>
        <w:trPr>
          <w:trHeight w:val="257"/>
        </w:trPr>
        <w:tc>
          <w:tcPr>
            <w:tcW w:w="2680" w:type="dxa"/>
            <w:vAlign w:val="bottom"/>
          </w:tcPr>
          <w:p>
            <w:pPr>
              <w:spacing w:after="0"/>
              <w:rPr>
                <w:sz w:val="22"/>
                <w:szCs w:val="22"/>
                <w:color w:val="auto"/>
              </w:rPr>
            </w:pPr>
          </w:p>
        </w:tc>
        <w:tc>
          <w:tcPr>
            <w:tcW w:w="6780" w:type="dxa"/>
            <w:vAlign w:val="bottom"/>
            <w:gridSpan w:val="4"/>
          </w:tcPr>
          <w:p>
            <w:pPr>
              <w:ind w:left="980"/>
              <w:spacing w:after="0"/>
              <w:rPr>
                <w:sz w:val="20"/>
                <w:szCs w:val="20"/>
                <w:color w:val="auto"/>
              </w:rPr>
            </w:pPr>
            <w:r>
              <w:rPr>
                <w:rFonts w:ascii="Arial" w:cs="Arial" w:eastAsia="Arial" w:hAnsi="Arial"/>
                <w:sz w:val="22"/>
                <w:szCs w:val="22"/>
                <w:color w:val="auto"/>
              </w:rPr>
              <w:t>Description/Price Data</w:t>
            </w:r>
          </w:p>
        </w:tc>
        <w:tc>
          <w:tcPr>
            <w:tcW w:w="1960" w:type="dxa"/>
            <w:vAlign w:val="bottom"/>
          </w:tcPr>
          <w:p>
            <w:pPr>
              <w:ind w:left="1280"/>
              <w:spacing w:after="0"/>
              <w:rPr>
                <w:sz w:val="20"/>
                <w:szCs w:val="20"/>
                <w:color w:val="auto"/>
              </w:rPr>
            </w:pPr>
            <w:r>
              <w:rPr>
                <w:rFonts w:ascii="Arial" w:cs="Arial" w:eastAsia="Arial" w:hAnsi="Arial"/>
                <w:sz w:val="22"/>
                <w:szCs w:val="22"/>
                <w:color w:val="auto"/>
              </w:rPr>
              <w:t>SA-8</w:t>
            </w:r>
          </w:p>
        </w:tc>
      </w:tr>
      <w:tr>
        <w:trPr>
          <w:trHeight w:val="243"/>
        </w:trPr>
        <w:tc>
          <w:tcPr>
            <w:tcW w:w="2680" w:type="dxa"/>
            <w:vAlign w:val="bottom"/>
          </w:tcPr>
          <w:p>
            <w:pPr>
              <w:spacing w:after="0"/>
              <w:rPr>
                <w:sz w:val="21"/>
                <w:szCs w:val="21"/>
                <w:color w:val="auto"/>
              </w:rPr>
            </w:pPr>
          </w:p>
        </w:tc>
        <w:tc>
          <w:tcPr>
            <w:tcW w:w="6780" w:type="dxa"/>
            <w:vAlign w:val="bottom"/>
            <w:gridSpan w:val="4"/>
          </w:tcPr>
          <w:p>
            <w:pPr>
              <w:ind w:left="780"/>
              <w:spacing w:after="0" w:line="243" w:lineRule="exact"/>
              <w:rPr>
                <w:sz w:val="20"/>
                <w:szCs w:val="20"/>
                <w:color w:val="auto"/>
              </w:rPr>
            </w:pPr>
            <w:r>
              <w:rPr>
                <w:rFonts w:ascii="Arial" w:cs="Arial" w:eastAsia="Arial" w:hAnsi="Arial"/>
                <w:sz w:val="22"/>
                <w:szCs w:val="22"/>
                <w:color w:val="auto"/>
              </w:rPr>
              <w:t>Attachment D – Form of Purchase Agreement</w:t>
            </w:r>
          </w:p>
        </w:tc>
        <w:tc>
          <w:tcPr>
            <w:tcW w:w="1960" w:type="dxa"/>
            <w:vAlign w:val="bottom"/>
          </w:tcPr>
          <w:p>
            <w:pPr>
              <w:spacing w:after="0"/>
              <w:rPr>
                <w:sz w:val="21"/>
                <w:szCs w:val="21"/>
                <w:color w:val="auto"/>
              </w:rPr>
            </w:pPr>
          </w:p>
        </w:tc>
      </w:tr>
      <w:tr>
        <w:trPr>
          <w:trHeight w:val="243"/>
        </w:trPr>
        <w:tc>
          <w:tcPr>
            <w:tcW w:w="2680" w:type="dxa"/>
            <w:vAlign w:val="bottom"/>
          </w:tcPr>
          <w:p>
            <w:pPr>
              <w:spacing w:after="0"/>
              <w:rPr>
                <w:sz w:val="21"/>
                <w:szCs w:val="21"/>
                <w:color w:val="auto"/>
              </w:rPr>
            </w:pPr>
          </w:p>
        </w:tc>
        <w:tc>
          <w:tcPr>
            <w:tcW w:w="6780" w:type="dxa"/>
            <w:vAlign w:val="bottom"/>
            <w:gridSpan w:val="4"/>
          </w:tcPr>
          <w:p>
            <w:pPr>
              <w:ind w:left="980"/>
              <w:spacing w:after="0" w:line="243" w:lineRule="exact"/>
              <w:rPr>
                <w:sz w:val="20"/>
                <w:szCs w:val="20"/>
                <w:color w:val="auto"/>
              </w:rPr>
            </w:pPr>
            <w:r>
              <w:rPr>
                <w:rFonts w:ascii="Arial" w:cs="Arial" w:eastAsia="Arial" w:hAnsi="Arial"/>
                <w:sz w:val="22"/>
                <w:szCs w:val="22"/>
                <w:color w:val="auto"/>
              </w:rPr>
              <w:t>Supplement</w:t>
            </w:r>
          </w:p>
        </w:tc>
        <w:tc>
          <w:tcPr>
            <w:tcW w:w="1960" w:type="dxa"/>
            <w:vAlign w:val="bottom"/>
          </w:tcPr>
          <w:p>
            <w:pPr>
              <w:ind w:left="1280"/>
              <w:spacing w:after="0" w:line="243" w:lineRule="exact"/>
              <w:rPr>
                <w:sz w:val="20"/>
                <w:szCs w:val="20"/>
                <w:color w:val="auto"/>
              </w:rPr>
            </w:pPr>
            <w:r>
              <w:rPr>
                <w:rFonts w:ascii="Arial" w:cs="Arial" w:eastAsia="Arial" w:hAnsi="Arial"/>
                <w:sz w:val="22"/>
                <w:szCs w:val="22"/>
                <w:color w:val="auto"/>
              </w:rPr>
              <w:t>SA-3</w:t>
            </w:r>
          </w:p>
        </w:tc>
      </w:tr>
      <w:tr>
        <w:trPr>
          <w:trHeight w:val="243"/>
        </w:trPr>
        <w:tc>
          <w:tcPr>
            <w:tcW w:w="2680" w:type="dxa"/>
            <w:vAlign w:val="bottom"/>
          </w:tcPr>
          <w:p>
            <w:pPr>
              <w:spacing w:after="0"/>
              <w:rPr>
                <w:sz w:val="21"/>
                <w:szCs w:val="21"/>
                <w:color w:val="auto"/>
              </w:rPr>
            </w:pPr>
          </w:p>
        </w:tc>
        <w:tc>
          <w:tcPr>
            <w:tcW w:w="6780" w:type="dxa"/>
            <w:vAlign w:val="bottom"/>
            <w:gridSpan w:val="4"/>
          </w:tcPr>
          <w:p>
            <w:pPr>
              <w:ind w:left="780"/>
              <w:spacing w:after="0" w:line="243" w:lineRule="exact"/>
              <w:rPr>
                <w:sz w:val="20"/>
                <w:szCs w:val="20"/>
                <w:color w:val="auto"/>
              </w:rPr>
            </w:pPr>
            <w:r>
              <w:rPr>
                <w:rFonts w:ascii="Arial" w:cs="Arial" w:eastAsia="Arial" w:hAnsi="Arial"/>
                <w:sz w:val="22"/>
                <w:szCs w:val="22"/>
                <w:color w:val="auto"/>
                <w:strike w:val="1"/>
              </w:rPr>
              <w:t>Attachment E – Letter Agreements To Be Included In</w:t>
            </w:r>
          </w:p>
        </w:tc>
        <w:tc>
          <w:tcPr>
            <w:tcW w:w="1960" w:type="dxa"/>
            <w:vAlign w:val="bottom"/>
          </w:tcPr>
          <w:p>
            <w:pPr>
              <w:spacing w:after="0"/>
              <w:rPr>
                <w:sz w:val="21"/>
                <w:szCs w:val="21"/>
                <w:color w:val="auto"/>
              </w:rPr>
            </w:pPr>
          </w:p>
        </w:tc>
      </w:tr>
      <w:tr>
        <w:trPr>
          <w:trHeight w:val="275"/>
        </w:trPr>
        <w:tc>
          <w:tcPr>
            <w:tcW w:w="2680" w:type="dxa"/>
            <w:vAlign w:val="bottom"/>
          </w:tcPr>
          <w:p>
            <w:pPr>
              <w:spacing w:after="0"/>
              <w:rPr>
                <w:sz w:val="23"/>
                <w:szCs w:val="23"/>
                <w:color w:val="auto"/>
              </w:rPr>
            </w:pPr>
          </w:p>
        </w:tc>
        <w:tc>
          <w:tcPr>
            <w:tcW w:w="3860" w:type="dxa"/>
            <w:vAlign w:val="bottom"/>
            <w:gridSpan w:val="3"/>
          </w:tcPr>
          <w:p>
            <w:pPr>
              <w:ind w:left="980"/>
              <w:spacing w:after="0"/>
              <w:rPr>
                <w:sz w:val="20"/>
                <w:szCs w:val="20"/>
                <w:color w:val="auto"/>
              </w:rPr>
            </w:pPr>
            <w:r>
              <w:rPr>
                <w:rFonts w:ascii="Arial" w:cs="Arial" w:eastAsia="Arial" w:hAnsi="Arial"/>
                <w:sz w:val="22"/>
                <w:szCs w:val="22"/>
                <w:color w:val="auto"/>
                <w:strike w:val="1"/>
                <w:w w:val="86"/>
              </w:rPr>
              <w:t>Purchase Agreement Supplement</w:t>
            </w:r>
          </w:p>
        </w:tc>
        <w:tc>
          <w:tcPr>
            <w:tcW w:w="2920" w:type="dxa"/>
            <w:vAlign w:val="bottom"/>
          </w:tcPr>
          <w:p>
            <w:pPr>
              <w:spacing w:after="0"/>
              <w:rPr>
                <w:sz w:val="20"/>
                <w:szCs w:val="20"/>
                <w:color w:val="auto"/>
              </w:rPr>
            </w:pPr>
            <w:r>
              <w:rPr>
                <w:rFonts w:ascii="Arial" w:cs="Arial" w:eastAsia="Arial" w:hAnsi="Arial"/>
                <w:sz w:val="22"/>
                <w:szCs w:val="22"/>
                <w:color w:val="auto"/>
              </w:rPr>
              <w:t>: WITHDRAWN</w:t>
            </w:r>
          </w:p>
        </w:tc>
        <w:tc>
          <w:tcPr>
            <w:tcW w:w="1960" w:type="dxa"/>
            <w:vAlign w:val="bottom"/>
          </w:tcPr>
          <w:p>
            <w:pPr>
              <w:ind w:left="1280"/>
              <w:spacing w:after="0"/>
              <w:rPr>
                <w:sz w:val="20"/>
                <w:szCs w:val="20"/>
                <w:color w:val="auto"/>
              </w:rPr>
            </w:pPr>
            <w:r>
              <w:rPr>
                <w:rFonts w:ascii="Arial" w:cs="Arial" w:eastAsia="Arial" w:hAnsi="Arial"/>
                <w:sz w:val="22"/>
                <w:szCs w:val="22"/>
                <w:color w:val="auto"/>
              </w:rPr>
              <w:t>SA-6</w:t>
            </w:r>
          </w:p>
        </w:tc>
      </w:tr>
      <w:tr>
        <w:trPr>
          <w:trHeight w:val="360"/>
        </w:trPr>
        <w:tc>
          <w:tcPr>
            <w:tcW w:w="26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840" w:type="dxa"/>
            <w:vAlign w:val="bottom"/>
            <w:gridSpan w:val="3"/>
          </w:tcPr>
          <w:p>
            <w:pPr>
              <w:ind w:left="720"/>
              <w:spacing w:after="0"/>
              <w:rPr>
                <w:sz w:val="20"/>
                <w:szCs w:val="20"/>
                <w:color w:val="auto"/>
              </w:rPr>
            </w:pPr>
            <w:r>
              <w:rPr>
                <w:rFonts w:ascii="Arial" w:cs="Arial" w:eastAsia="Arial" w:hAnsi="Arial"/>
                <w:sz w:val="22"/>
                <w:szCs w:val="22"/>
                <w:color w:val="auto"/>
              </w:rPr>
              <w:t>P.A. No. 3219</w:t>
            </w:r>
          </w:p>
        </w:tc>
        <w:tc>
          <w:tcPr>
            <w:tcW w:w="1960" w:type="dxa"/>
            <w:vAlign w:val="bottom"/>
          </w:tcPr>
          <w:p>
            <w:pPr>
              <w:ind w:left="1400"/>
              <w:spacing w:after="0"/>
              <w:rPr>
                <w:sz w:val="20"/>
                <w:szCs w:val="20"/>
                <w:color w:val="auto"/>
              </w:rPr>
            </w:pPr>
            <w:r>
              <w:rPr>
                <w:rFonts w:ascii="Arial" w:cs="Arial" w:eastAsia="Arial" w:hAnsi="Arial"/>
                <w:sz w:val="22"/>
                <w:szCs w:val="22"/>
                <w:color w:val="auto"/>
                <w:w w:val="88"/>
              </w:rPr>
              <w:t>SA-10</w:t>
            </w:r>
          </w:p>
        </w:tc>
      </w:tr>
      <w:tr>
        <w:trPr>
          <w:trHeight w:val="275"/>
        </w:trPr>
        <w:tc>
          <w:tcPr>
            <w:tcW w:w="2680" w:type="dxa"/>
            <w:vAlign w:val="bottom"/>
          </w:tcPr>
          <w:p>
            <w:pPr>
              <w:spacing w:after="0"/>
              <w:rPr>
                <w:sz w:val="20"/>
                <w:szCs w:val="20"/>
                <w:color w:val="auto"/>
              </w:rPr>
            </w:pPr>
            <w:r>
              <w:rPr>
                <w:rFonts w:ascii="Arial" w:cs="Arial" w:eastAsia="Arial" w:hAnsi="Arial"/>
                <w:sz w:val="22"/>
                <w:szCs w:val="22"/>
                <w:color w:val="auto"/>
              </w:rPr>
              <w:t>Table of Contents</w:t>
            </w:r>
          </w:p>
        </w:tc>
        <w:tc>
          <w:tcPr>
            <w:tcW w:w="19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920" w:type="dxa"/>
            <w:vAlign w:val="bottom"/>
          </w:tcPr>
          <w:p>
            <w:pPr>
              <w:spacing w:after="0"/>
              <w:rPr>
                <w:sz w:val="23"/>
                <w:szCs w:val="23"/>
                <w:color w:val="auto"/>
              </w:rPr>
            </w:pPr>
          </w:p>
        </w:tc>
        <w:tc>
          <w:tcPr>
            <w:tcW w:w="1960" w:type="dxa"/>
            <w:vAlign w:val="bottom"/>
          </w:tcPr>
          <w:p>
            <w:pPr>
              <w:ind w:left="1380"/>
              <w:spacing w:after="0"/>
              <w:rPr>
                <w:sz w:val="20"/>
                <w:szCs w:val="20"/>
                <w:color w:val="auto"/>
              </w:rPr>
            </w:pPr>
            <w:r>
              <w:rPr>
                <w:rFonts w:ascii="Arial" w:cs="Arial" w:eastAsia="Arial" w:hAnsi="Arial"/>
                <w:sz w:val="22"/>
                <w:szCs w:val="22"/>
                <w:color w:val="auto"/>
                <w:w w:val="80"/>
              </w:rPr>
              <w:t>Page 2</w:t>
            </w:r>
          </w:p>
        </w:tc>
      </w:tr>
    </w:tbl>
    <w:p>
      <w:pPr>
        <w:spacing w:after="0" w:line="19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2"/>
          <w:szCs w:val="22"/>
          <w:b w:val="1"/>
          <w:bCs w:val="1"/>
          <w:color w:val="auto"/>
        </w:rPr>
        <w:t>BOEING PROPRIETARY</w:t>
      </w:r>
    </w:p>
    <w:p>
      <w:pPr>
        <w:spacing w:after="0" w:line="1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[*CTR]=[CONFIDENTIAL PORTION OMITTED AND FILED SEPARATELY WITH THE COMMISSION PURSUANT TO A REQUEST FOR CONFIDENTIAL TREATMENT]</w:t>
      </w:r>
    </w:p>
    <w:p>
      <w:pPr>
        <w:sectPr>
          <w:pgSz w:w="11900" w:h="16838" w:orient="portrait"/>
          <w:cols w:equalWidth="0" w:num="1">
            <w:col w:w="11420"/>
          </w:cols>
          <w:pgMar w:left="240" w:top="267" w:right="239" w:bottom="1440" w:gutter="0" w:footer="0" w:header="0"/>
        </w:sectPr>
      </w:pPr>
    </w:p>
    <w:bookmarkStart w:id="121" w:name="page122"/>
    <w:bookmarkEnd w:id="121"/>
    <w:tbl>
      <w:tblPr>
        <w:tblLayout w:type="fixed"/>
        <w:tblInd w:w="0" w:type="dxa"/>
        <w:tblCellMar>
          <w:top w:w="0" w:type="dxa"/>
          <w:left w:w="0" w:type="dxa"/>
          <w:bottom w:w="0" w:type="dxa"/>
          <w:right w:w="0" w:type="dxa"/>
        </w:tblCellMar>
      </w:tblPr>
      <w:tr>
        <w:trPr>
          <w:trHeight w:val="275"/>
        </w:trPr>
        <w:tc>
          <w:tcPr>
            <w:tcW w:w="23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180" w:type="dxa"/>
            <w:vAlign w:val="bottom"/>
          </w:tcPr>
          <w:p>
            <w:pPr>
              <w:ind w:left="960"/>
              <w:spacing w:after="0"/>
              <w:rPr>
                <w:sz w:val="20"/>
                <w:szCs w:val="20"/>
                <w:color w:val="auto"/>
              </w:rPr>
            </w:pPr>
            <w:r>
              <w:rPr>
                <w:rFonts w:ascii="Arial" w:cs="Arial" w:eastAsia="Arial" w:hAnsi="Arial"/>
                <w:sz w:val="22"/>
                <w:szCs w:val="22"/>
                <w:color w:val="auto"/>
              </w:rPr>
              <w:t>TABLE OF CONTENTS, continued</w:t>
            </w:r>
          </w:p>
        </w:tc>
        <w:tc>
          <w:tcPr>
            <w:tcW w:w="114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455"/>
        </w:trPr>
        <w:tc>
          <w:tcPr>
            <w:tcW w:w="2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22"/>
                <w:szCs w:val="22"/>
                <w:color w:val="auto"/>
                <w:w w:val="95"/>
              </w:rPr>
              <w:t>SA</w:t>
            </w:r>
          </w:p>
        </w:tc>
      </w:tr>
      <w:tr>
        <w:trPr>
          <w:trHeight w:val="224"/>
        </w:trPr>
        <w:tc>
          <w:tcPr>
            <w:tcW w:w="3180" w:type="dxa"/>
            <w:vAlign w:val="bottom"/>
            <w:gridSpan w:val="2"/>
          </w:tcPr>
          <w:p>
            <w:pPr>
              <w:spacing w:after="0" w:line="224" w:lineRule="exact"/>
              <w:rPr>
                <w:sz w:val="20"/>
                <w:szCs w:val="20"/>
                <w:color w:val="auto"/>
              </w:rPr>
            </w:pPr>
            <w:r>
              <w:rPr>
                <w:rFonts w:ascii="Arial" w:cs="Arial" w:eastAsia="Arial" w:hAnsi="Arial"/>
                <w:sz w:val="22"/>
                <w:szCs w:val="22"/>
                <w:color w:val="auto"/>
              </w:rPr>
              <w:t>LETTER AGREEMENTS</w:t>
            </w:r>
          </w:p>
        </w:tc>
        <w:tc>
          <w:tcPr>
            <w:tcW w:w="6180" w:type="dxa"/>
            <w:vAlign w:val="bottom"/>
          </w:tcPr>
          <w:p>
            <w:pPr>
              <w:spacing w:after="0"/>
              <w:rPr>
                <w:sz w:val="19"/>
                <w:szCs w:val="19"/>
                <w:color w:val="auto"/>
              </w:rPr>
            </w:pPr>
          </w:p>
        </w:tc>
        <w:tc>
          <w:tcPr>
            <w:tcW w:w="2060" w:type="dxa"/>
            <w:vAlign w:val="bottom"/>
            <w:gridSpan w:val="2"/>
          </w:tcPr>
          <w:p>
            <w:pPr>
              <w:jc w:val="center"/>
              <w:ind w:left="1032"/>
              <w:spacing w:after="0" w:line="224" w:lineRule="exact"/>
              <w:rPr>
                <w:sz w:val="20"/>
                <w:szCs w:val="20"/>
                <w:color w:val="auto"/>
              </w:rPr>
            </w:pPr>
            <w:r>
              <w:rPr>
                <w:rFonts w:ascii="Arial" w:cs="Arial" w:eastAsia="Arial" w:hAnsi="Arial"/>
                <w:sz w:val="22"/>
                <w:szCs w:val="22"/>
                <w:color w:val="auto"/>
                <w:w w:val="96"/>
              </w:rPr>
              <w:t>NUMBER</w:t>
            </w:r>
          </w:p>
        </w:tc>
      </w:tr>
      <w:tr>
        <w:trPr>
          <w:trHeight w:val="382"/>
        </w:trPr>
        <w:tc>
          <w:tcPr>
            <w:tcW w:w="2320" w:type="dxa"/>
            <w:vAlign w:val="bottom"/>
            <w:tcBorders>
              <w:top w:val="single" w:sz="8" w:color="auto"/>
            </w:tcBorders>
          </w:tcPr>
          <w:p>
            <w:pPr>
              <w:spacing w:after="0"/>
              <w:rPr>
                <w:sz w:val="20"/>
                <w:szCs w:val="20"/>
                <w:color w:val="auto"/>
              </w:rPr>
            </w:pPr>
            <w:r>
              <w:rPr>
                <w:rFonts w:ascii="Arial" w:cs="Arial" w:eastAsia="Arial" w:hAnsi="Arial"/>
                <w:sz w:val="22"/>
                <w:szCs w:val="22"/>
                <w:color w:val="auto"/>
                <w:strike w:val="1"/>
              </w:rPr>
              <w:t>6-1162-TRW-0665</w:t>
            </w:r>
          </w:p>
        </w:tc>
        <w:tc>
          <w:tcPr>
            <w:tcW w:w="860" w:type="dxa"/>
            <w:vAlign w:val="bottom"/>
          </w:tcPr>
          <w:p>
            <w:pPr>
              <w:spacing w:after="0"/>
              <w:rPr>
                <w:sz w:val="24"/>
                <w:szCs w:val="24"/>
                <w:color w:val="auto"/>
              </w:rPr>
            </w:pPr>
          </w:p>
        </w:tc>
        <w:tc>
          <w:tcPr>
            <w:tcW w:w="6180" w:type="dxa"/>
            <w:vAlign w:val="bottom"/>
          </w:tcPr>
          <w:p>
            <w:pPr>
              <w:ind w:left="480"/>
              <w:spacing w:after="0"/>
              <w:rPr>
                <w:sz w:val="20"/>
                <w:szCs w:val="20"/>
                <w:color w:val="auto"/>
              </w:rPr>
            </w:pPr>
            <w:r>
              <w:rPr>
                <w:rFonts w:ascii="Arial" w:cs="Arial" w:eastAsia="Arial" w:hAnsi="Arial"/>
                <w:sz w:val="22"/>
                <w:szCs w:val="22"/>
                <w:color w:val="auto"/>
              </w:rPr>
              <w:t>[*CTR]</w:t>
            </w:r>
          </w:p>
        </w:tc>
        <w:tc>
          <w:tcPr>
            <w:tcW w:w="1140" w:type="dxa"/>
            <w:vAlign w:val="bottom"/>
          </w:tcPr>
          <w:p>
            <w:pPr>
              <w:spacing w:after="0"/>
              <w:rPr>
                <w:sz w:val="24"/>
                <w:szCs w:val="24"/>
                <w:color w:val="auto"/>
              </w:rPr>
            </w:pPr>
          </w:p>
        </w:tc>
        <w:tc>
          <w:tcPr>
            <w:tcW w:w="920" w:type="dxa"/>
            <w:vAlign w:val="bottom"/>
            <w:tcBorders>
              <w:top w:val="single" w:sz="8" w:color="auto"/>
            </w:tcBorders>
          </w:tcPr>
          <w:p>
            <w:pPr>
              <w:jc w:val="center"/>
              <w:spacing w:after="0"/>
              <w:rPr>
                <w:sz w:val="20"/>
                <w:szCs w:val="20"/>
                <w:color w:val="auto"/>
              </w:rPr>
            </w:pPr>
            <w:r>
              <w:rPr>
                <w:rFonts w:ascii="Arial" w:cs="Arial" w:eastAsia="Arial" w:hAnsi="Arial"/>
                <w:sz w:val="22"/>
                <w:szCs w:val="22"/>
                <w:color w:val="auto"/>
                <w:w w:val="93"/>
              </w:rPr>
              <w:t>SA-3</w:t>
            </w:r>
          </w:p>
        </w:tc>
      </w:tr>
      <w:tr>
        <w:trPr>
          <w:trHeight w:val="351"/>
        </w:trPr>
        <w:tc>
          <w:tcPr>
            <w:tcW w:w="2320" w:type="dxa"/>
            <w:vAlign w:val="bottom"/>
          </w:tcPr>
          <w:p>
            <w:pPr>
              <w:spacing w:after="0"/>
              <w:rPr>
                <w:sz w:val="20"/>
                <w:szCs w:val="20"/>
                <w:color w:val="auto"/>
              </w:rPr>
            </w:pPr>
            <w:r>
              <w:rPr>
                <w:rFonts w:ascii="Arial" w:cs="Arial" w:eastAsia="Arial" w:hAnsi="Arial"/>
                <w:sz w:val="22"/>
                <w:szCs w:val="22"/>
                <w:color w:val="auto"/>
                <w:strike w:val="1"/>
              </w:rPr>
              <w:t>6-1162-TRW-0666</w:t>
            </w:r>
          </w:p>
        </w:tc>
        <w:tc>
          <w:tcPr>
            <w:tcW w:w="860" w:type="dxa"/>
            <w:vAlign w:val="bottom"/>
          </w:tcPr>
          <w:p>
            <w:pPr>
              <w:spacing w:after="0"/>
              <w:rPr>
                <w:sz w:val="24"/>
                <w:szCs w:val="24"/>
                <w:color w:val="auto"/>
              </w:rPr>
            </w:pPr>
          </w:p>
        </w:tc>
        <w:tc>
          <w:tcPr>
            <w:tcW w:w="6180" w:type="dxa"/>
            <w:vAlign w:val="bottom"/>
          </w:tcPr>
          <w:p>
            <w:pPr>
              <w:ind w:left="480"/>
              <w:spacing w:after="0"/>
              <w:rPr>
                <w:sz w:val="20"/>
                <w:szCs w:val="20"/>
                <w:color w:val="auto"/>
              </w:rPr>
            </w:pPr>
            <w:r>
              <w:rPr>
                <w:rFonts w:ascii="Arial" w:cs="Arial" w:eastAsia="Arial" w:hAnsi="Arial"/>
                <w:sz w:val="22"/>
                <w:szCs w:val="22"/>
                <w:color w:val="auto"/>
              </w:rPr>
              <w:t>[*CTR]</w:t>
            </w:r>
          </w:p>
        </w:tc>
        <w:tc>
          <w:tcPr>
            <w:tcW w:w="114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22"/>
                <w:szCs w:val="22"/>
                <w:color w:val="auto"/>
                <w:w w:val="93"/>
              </w:rPr>
              <w:t>SA-3</w:t>
            </w:r>
          </w:p>
        </w:tc>
      </w:tr>
      <w:tr>
        <w:trPr>
          <w:trHeight w:val="351"/>
        </w:trPr>
        <w:tc>
          <w:tcPr>
            <w:tcW w:w="3180" w:type="dxa"/>
            <w:vAlign w:val="bottom"/>
            <w:gridSpan w:val="2"/>
          </w:tcPr>
          <w:p>
            <w:pPr>
              <w:spacing w:after="0"/>
              <w:rPr>
                <w:sz w:val="20"/>
                <w:szCs w:val="20"/>
                <w:color w:val="auto"/>
              </w:rPr>
            </w:pPr>
            <w:r>
              <w:rPr>
                <w:rFonts w:ascii="Arial" w:cs="Arial" w:eastAsia="Arial" w:hAnsi="Arial"/>
                <w:sz w:val="22"/>
                <w:szCs w:val="22"/>
                <w:color w:val="auto"/>
              </w:rPr>
              <w:t>6-1162-TRW-0667R2</w:t>
            </w:r>
          </w:p>
        </w:tc>
        <w:tc>
          <w:tcPr>
            <w:tcW w:w="6180" w:type="dxa"/>
            <w:vAlign w:val="bottom"/>
          </w:tcPr>
          <w:p>
            <w:pPr>
              <w:ind w:left="480"/>
              <w:spacing w:after="0"/>
              <w:rPr>
                <w:sz w:val="20"/>
                <w:szCs w:val="20"/>
                <w:color w:val="auto"/>
              </w:rPr>
            </w:pPr>
            <w:r>
              <w:rPr>
                <w:rFonts w:ascii="Arial" w:cs="Arial" w:eastAsia="Arial" w:hAnsi="Arial"/>
                <w:sz w:val="22"/>
                <w:szCs w:val="22"/>
                <w:color w:val="auto"/>
              </w:rPr>
              <w:t>[*CTR]</w:t>
            </w:r>
          </w:p>
        </w:tc>
        <w:tc>
          <w:tcPr>
            <w:tcW w:w="114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22"/>
                <w:szCs w:val="22"/>
                <w:color w:val="auto"/>
                <w:w w:val="93"/>
              </w:rPr>
              <w:t>SA-6</w:t>
            </w:r>
          </w:p>
        </w:tc>
      </w:tr>
      <w:tr>
        <w:trPr>
          <w:trHeight w:val="320"/>
        </w:trPr>
        <w:tc>
          <w:tcPr>
            <w:tcW w:w="3180" w:type="dxa"/>
            <w:vAlign w:val="bottom"/>
            <w:gridSpan w:val="2"/>
          </w:tcPr>
          <w:p>
            <w:pPr>
              <w:spacing w:after="0"/>
              <w:rPr>
                <w:sz w:val="20"/>
                <w:szCs w:val="20"/>
                <w:color w:val="auto"/>
              </w:rPr>
            </w:pPr>
            <w:r>
              <w:rPr>
                <w:rFonts w:ascii="Arial" w:cs="Arial" w:eastAsia="Arial" w:hAnsi="Arial"/>
                <w:sz w:val="22"/>
                <w:szCs w:val="22"/>
                <w:color w:val="auto"/>
              </w:rPr>
              <w:t>6-1162-TRW-0668R1</w:t>
            </w:r>
          </w:p>
        </w:tc>
        <w:tc>
          <w:tcPr>
            <w:tcW w:w="6180" w:type="dxa"/>
            <w:vAlign w:val="bottom"/>
          </w:tcPr>
          <w:p>
            <w:pPr>
              <w:ind w:left="480"/>
              <w:spacing w:after="0"/>
              <w:rPr>
                <w:sz w:val="20"/>
                <w:szCs w:val="20"/>
                <w:color w:val="auto"/>
              </w:rPr>
            </w:pPr>
            <w:r>
              <w:rPr>
                <w:rFonts w:ascii="Arial" w:cs="Arial" w:eastAsia="Arial" w:hAnsi="Arial"/>
                <w:sz w:val="22"/>
                <w:szCs w:val="22"/>
                <w:color w:val="auto"/>
              </w:rPr>
              <w:t>Special Matters Relating to COTS Software and End</w:t>
            </w:r>
          </w:p>
        </w:tc>
        <w:tc>
          <w:tcPr>
            <w:tcW w:w="114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22"/>
                <w:szCs w:val="22"/>
                <w:color w:val="auto"/>
                <w:w w:val="93"/>
              </w:rPr>
              <w:t>SA-3</w:t>
            </w:r>
          </w:p>
        </w:tc>
      </w:tr>
      <w:tr>
        <w:trPr>
          <w:trHeight w:val="275"/>
        </w:trPr>
        <w:tc>
          <w:tcPr>
            <w:tcW w:w="23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180" w:type="dxa"/>
            <w:vAlign w:val="bottom"/>
          </w:tcPr>
          <w:p>
            <w:pPr>
              <w:ind w:left="700"/>
              <w:spacing w:after="0"/>
              <w:rPr>
                <w:sz w:val="20"/>
                <w:szCs w:val="20"/>
                <w:color w:val="auto"/>
              </w:rPr>
            </w:pPr>
            <w:r>
              <w:rPr>
                <w:rFonts w:ascii="Arial" w:cs="Arial" w:eastAsia="Arial" w:hAnsi="Arial"/>
                <w:sz w:val="22"/>
                <w:szCs w:val="22"/>
                <w:color w:val="auto"/>
              </w:rPr>
              <w:t>User License Agreements</w:t>
            </w:r>
          </w:p>
        </w:tc>
        <w:tc>
          <w:tcPr>
            <w:tcW w:w="114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365"/>
        </w:trPr>
        <w:tc>
          <w:tcPr>
            <w:tcW w:w="3180" w:type="dxa"/>
            <w:vAlign w:val="bottom"/>
            <w:gridSpan w:val="2"/>
          </w:tcPr>
          <w:p>
            <w:pPr>
              <w:spacing w:after="0"/>
              <w:rPr>
                <w:sz w:val="20"/>
                <w:szCs w:val="20"/>
                <w:color w:val="auto"/>
              </w:rPr>
            </w:pPr>
            <w:r>
              <w:rPr>
                <w:rFonts w:ascii="Arial" w:cs="Arial" w:eastAsia="Arial" w:hAnsi="Arial"/>
                <w:sz w:val="22"/>
                <w:szCs w:val="22"/>
                <w:color w:val="auto"/>
              </w:rPr>
              <w:t>6-1162-TRW-0670R1</w:t>
            </w:r>
          </w:p>
        </w:tc>
        <w:tc>
          <w:tcPr>
            <w:tcW w:w="6180" w:type="dxa"/>
            <w:vAlign w:val="bottom"/>
          </w:tcPr>
          <w:p>
            <w:pPr>
              <w:ind w:left="480"/>
              <w:spacing w:after="0"/>
              <w:rPr>
                <w:sz w:val="20"/>
                <w:szCs w:val="20"/>
                <w:color w:val="auto"/>
              </w:rPr>
            </w:pPr>
            <w:r>
              <w:rPr>
                <w:rFonts w:ascii="Arial" w:cs="Arial" w:eastAsia="Arial" w:hAnsi="Arial"/>
                <w:sz w:val="22"/>
                <w:szCs w:val="22"/>
                <w:color w:val="auto"/>
              </w:rPr>
              <w:t>Miscellaneous Commitments for Model 787 Aircraft</w:t>
            </w:r>
          </w:p>
        </w:tc>
        <w:tc>
          <w:tcPr>
            <w:tcW w:w="114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22"/>
                <w:szCs w:val="22"/>
                <w:color w:val="auto"/>
                <w:w w:val="93"/>
              </w:rPr>
              <w:t>SA-3</w:t>
            </w:r>
          </w:p>
        </w:tc>
      </w:tr>
      <w:tr>
        <w:trPr>
          <w:trHeight w:val="320"/>
        </w:trPr>
        <w:tc>
          <w:tcPr>
            <w:tcW w:w="2320" w:type="dxa"/>
            <w:vAlign w:val="bottom"/>
          </w:tcPr>
          <w:p>
            <w:pPr>
              <w:spacing w:after="0"/>
              <w:rPr>
                <w:sz w:val="20"/>
                <w:szCs w:val="20"/>
                <w:color w:val="auto"/>
              </w:rPr>
            </w:pPr>
            <w:r>
              <w:rPr>
                <w:rFonts w:ascii="Arial" w:cs="Arial" w:eastAsia="Arial" w:hAnsi="Arial"/>
                <w:sz w:val="22"/>
                <w:szCs w:val="22"/>
                <w:color w:val="auto"/>
                <w:strike w:val="1"/>
              </w:rPr>
              <w:t>6-1162-TRW-0671</w:t>
            </w:r>
          </w:p>
        </w:tc>
        <w:tc>
          <w:tcPr>
            <w:tcW w:w="860" w:type="dxa"/>
            <w:vAlign w:val="bottom"/>
          </w:tcPr>
          <w:p>
            <w:pPr>
              <w:spacing w:after="0"/>
              <w:rPr>
                <w:sz w:val="24"/>
                <w:szCs w:val="24"/>
                <w:color w:val="auto"/>
              </w:rPr>
            </w:pPr>
          </w:p>
        </w:tc>
        <w:tc>
          <w:tcPr>
            <w:tcW w:w="6180" w:type="dxa"/>
            <w:vAlign w:val="bottom"/>
          </w:tcPr>
          <w:p>
            <w:pPr>
              <w:ind w:left="480"/>
              <w:spacing w:after="0"/>
              <w:rPr>
                <w:sz w:val="20"/>
                <w:szCs w:val="20"/>
                <w:color w:val="auto"/>
              </w:rPr>
            </w:pPr>
            <w:r>
              <w:rPr>
                <w:rFonts w:ascii="Arial" w:cs="Arial" w:eastAsia="Arial" w:hAnsi="Arial"/>
                <w:sz w:val="22"/>
                <w:szCs w:val="22"/>
                <w:color w:val="auto"/>
              </w:rPr>
              <w:t>[*CTR]</w:t>
            </w:r>
          </w:p>
        </w:tc>
        <w:tc>
          <w:tcPr>
            <w:tcW w:w="114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22"/>
                <w:szCs w:val="22"/>
                <w:color w:val="auto"/>
                <w:w w:val="93"/>
              </w:rPr>
              <w:t>SA-3</w:t>
            </w:r>
          </w:p>
        </w:tc>
      </w:tr>
      <w:tr>
        <w:trPr>
          <w:trHeight w:val="275"/>
        </w:trPr>
        <w:tc>
          <w:tcPr>
            <w:tcW w:w="23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180" w:type="dxa"/>
            <w:vAlign w:val="bottom"/>
          </w:tcPr>
          <w:p>
            <w:pPr>
              <w:ind w:left="680"/>
              <w:spacing w:after="0"/>
              <w:rPr>
                <w:sz w:val="20"/>
                <w:szCs w:val="20"/>
                <w:color w:val="auto"/>
              </w:rPr>
            </w:pPr>
            <w:r>
              <w:rPr>
                <w:rFonts w:ascii="Arial" w:cs="Arial" w:eastAsia="Arial" w:hAnsi="Arial"/>
                <w:sz w:val="22"/>
                <w:szCs w:val="22"/>
                <w:color w:val="auto"/>
              </w:rPr>
              <w:t>WITHDRAWN</w:t>
            </w:r>
          </w:p>
        </w:tc>
        <w:tc>
          <w:tcPr>
            <w:tcW w:w="114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365"/>
        </w:trPr>
        <w:tc>
          <w:tcPr>
            <w:tcW w:w="3180" w:type="dxa"/>
            <w:vAlign w:val="bottom"/>
            <w:gridSpan w:val="2"/>
          </w:tcPr>
          <w:p>
            <w:pPr>
              <w:spacing w:after="0"/>
              <w:rPr>
                <w:sz w:val="20"/>
                <w:szCs w:val="20"/>
                <w:color w:val="auto"/>
              </w:rPr>
            </w:pPr>
            <w:r>
              <w:rPr>
                <w:rFonts w:ascii="Arial" w:cs="Arial" w:eastAsia="Arial" w:hAnsi="Arial"/>
                <w:sz w:val="22"/>
                <w:szCs w:val="22"/>
                <w:color w:val="auto"/>
              </w:rPr>
              <w:t>6-1162-TRW-0672R1</w:t>
            </w:r>
          </w:p>
        </w:tc>
        <w:tc>
          <w:tcPr>
            <w:tcW w:w="6180" w:type="dxa"/>
            <w:vAlign w:val="bottom"/>
          </w:tcPr>
          <w:p>
            <w:pPr>
              <w:ind w:left="480"/>
              <w:spacing w:after="0"/>
              <w:rPr>
                <w:sz w:val="20"/>
                <w:szCs w:val="20"/>
                <w:color w:val="auto"/>
              </w:rPr>
            </w:pPr>
            <w:r>
              <w:rPr>
                <w:rFonts w:ascii="Arial" w:cs="Arial" w:eastAsia="Arial" w:hAnsi="Arial"/>
                <w:sz w:val="22"/>
                <w:szCs w:val="22"/>
                <w:color w:val="auto"/>
              </w:rPr>
              <w:t>Promotional Support Agreement</w:t>
            </w:r>
          </w:p>
        </w:tc>
        <w:tc>
          <w:tcPr>
            <w:tcW w:w="114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22"/>
                <w:szCs w:val="22"/>
                <w:color w:val="auto"/>
                <w:w w:val="93"/>
              </w:rPr>
              <w:t>SA-3</w:t>
            </w:r>
          </w:p>
        </w:tc>
      </w:tr>
      <w:tr>
        <w:trPr>
          <w:trHeight w:val="351"/>
        </w:trPr>
        <w:tc>
          <w:tcPr>
            <w:tcW w:w="3180" w:type="dxa"/>
            <w:vAlign w:val="bottom"/>
            <w:gridSpan w:val="2"/>
          </w:tcPr>
          <w:p>
            <w:pPr>
              <w:spacing w:after="0"/>
              <w:rPr>
                <w:sz w:val="20"/>
                <w:szCs w:val="20"/>
                <w:color w:val="auto"/>
              </w:rPr>
            </w:pPr>
            <w:r>
              <w:rPr>
                <w:rFonts w:ascii="Arial" w:cs="Arial" w:eastAsia="Arial" w:hAnsi="Arial"/>
                <w:sz w:val="22"/>
                <w:szCs w:val="22"/>
                <w:color w:val="auto"/>
              </w:rPr>
              <w:t>6-1162-TRW-0673R1</w:t>
            </w:r>
          </w:p>
        </w:tc>
        <w:tc>
          <w:tcPr>
            <w:tcW w:w="6180" w:type="dxa"/>
            <w:vAlign w:val="bottom"/>
          </w:tcPr>
          <w:p>
            <w:pPr>
              <w:ind w:left="480"/>
              <w:spacing w:after="0"/>
              <w:rPr>
                <w:sz w:val="20"/>
                <w:szCs w:val="20"/>
                <w:color w:val="auto"/>
              </w:rPr>
            </w:pPr>
            <w:r>
              <w:rPr>
                <w:rFonts w:ascii="Arial" w:cs="Arial" w:eastAsia="Arial" w:hAnsi="Arial"/>
                <w:sz w:val="22"/>
                <w:szCs w:val="22"/>
                <w:color w:val="auto"/>
              </w:rPr>
              <w:t>Confidentiality</w:t>
            </w:r>
          </w:p>
        </w:tc>
        <w:tc>
          <w:tcPr>
            <w:tcW w:w="114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22"/>
                <w:szCs w:val="22"/>
                <w:color w:val="auto"/>
                <w:w w:val="93"/>
              </w:rPr>
              <w:t>SA-3</w:t>
            </w:r>
          </w:p>
        </w:tc>
      </w:tr>
      <w:tr>
        <w:trPr>
          <w:trHeight w:val="351"/>
        </w:trPr>
        <w:tc>
          <w:tcPr>
            <w:tcW w:w="3180" w:type="dxa"/>
            <w:vAlign w:val="bottom"/>
            <w:gridSpan w:val="2"/>
          </w:tcPr>
          <w:p>
            <w:pPr>
              <w:spacing w:after="0"/>
              <w:rPr>
                <w:sz w:val="20"/>
                <w:szCs w:val="20"/>
                <w:color w:val="auto"/>
              </w:rPr>
            </w:pPr>
            <w:r>
              <w:rPr>
                <w:rFonts w:ascii="Arial" w:cs="Arial" w:eastAsia="Arial" w:hAnsi="Arial"/>
                <w:sz w:val="22"/>
                <w:szCs w:val="22"/>
                <w:color w:val="auto"/>
              </w:rPr>
              <w:t>6-1162-TRW-0674R3</w:t>
            </w:r>
          </w:p>
        </w:tc>
        <w:tc>
          <w:tcPr>
            <w:tcW w:w="6180" w:type="dxa"/>
            <w:vAlign w:val="bottom"/>
          </w:tcPr>
          <w:p>
            <w:pPr>
              <w:ind w:left="480"/>
              <w:spacing w:after="0"/>
              <w:rPr>
                <w:sz w:val="20"/>
                <w:szCs w:val="20"/>
                <w:color w:val="auto"/>
              </w:rPr>
            </w:pPr>
            <w:r>
              <w:rPr>
                <w:rFonts w:ascii="Arial" w:cs="Arial" w:eastAsia="Arial" w:hAnsi="Arial"/>
                <w:sz w:val="22"/>
                <w:szCs w:val="22"/>
                <w:color w:val="auto"/>
              </w:rPr>
              <w:t>Business Considerations</w:t>
            </w:r>
          </w:p>
        </w:tc>
        <w:tc>
          <w:tcPr>
            <w:tcW w:w="114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22"/>
                <w:szCs w:val="22"/>
                <w:color w:val="auto"/>
                <w:w w:val="93"/>
              </w:rPr>
              <w:t>SA-6</w:t>
            </w:r>
          </w:p>
        </w:tc>
      </w:tr>
      <w:tr>
        <w:trPr>
          <w:trHeight w:val="351"/>
        </w:trPr>
        <w:tc>
          <w:tcPr>
            <w:tcW w:w="3180" w:type="dxa"/>
            <w:vAlign w:val="bottom"/>
            <w:gridSpan w:val="2"/>
          </w:tcPr>
          <w:p>
            <w:pPr>
              <w:spacing w:after="0"/>
              <w:rPr>
                <w:sz w:val="20"/>
                <w:szCs w:val="20"/>
                <w:color w:val="auto"/>
              </w:rPr>
            </w:pPr>
            <w:r>
              <w:rPr>
                <w:rFonts w:ascii="Arial" w:cs="Arial" w:eastAsia="Arial" w:hAnsi="Arial"/>
                <w:sz w:val="22"/>
                <w:szCs w:val="22"/>
                <w:color w:val="auto"/>
              </w:rPr>
              <w:t>AAL-PA-3219-LA-08836R1</w:t>
            </w:r>
          </w:p>
        </w:tc>
        <w:tc>
          <w:tcPr>
            <w:tcW w:w="6180" w:type="dxa"/>
            <w:vAlign w:val="bottom"/>
          </w:tcPr>
          <w:p>
            <w:pPr>
              <w:ind w:left="480"/>
              <w:spacing w:after="0"/>
              <w:rPr>
                <w:sz w:val="20"/>
                <w:szCs w:val="20"/>
                <w:color w:val="auto"/>
              </w:rPr>
            </w:pPr>
            <w:r>
              <w:rPr>
                <w:rFonts w:ascii="Arial" w:cs="Arial" w:eastAsia="Arial" w:hAnsi="Arial"/>
                <w:sz w:val="22"/>
                <w:szCs w:val="22"/>
                <w:color w:val="auto"/>
              </w:rPr>
              <w:t>[*CTR]</w:t>
            </w:r>
          </w:p>
        </w:tc>
        <w:tc>
          <w:tcPr>
            <w:tcW w:w="114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22"/>
                <w:szCs w:val="22"/>
                <w:color w:val="auto"/>
                <w:w w:val="93"/>
              </w:rPr>
              <w:t>SA-6</w:t>
            </w:r>
          </w:p>
        </w:tc>
      </w:tr>
      <w:tr>
        <w:trPr>
          <w:trHeight w:val="351"/>
        </w:trPr>
        <w:tc>
          <w:tcPr>
            <w:tcW w:w="3180" w:type="dxa"/>
            <w:vAlign w:val="bottom"/>
            <w:gridSpan w:val="2"/>
          </w:tcPr>
          <w:p>
            <w:pPr>
              <w:spacing w:after="0"/>
              <w:rPr>
                <w:sz w:val="20"/>
                <w:szCs w:val="20"/>
                <w:color w:val="auto"/>
              </w:rPr>
            </w:pPr>
            <w:r>
              <w:rPr>
                <w:rFonts w:ascii="Arial" w:cs="Arial" w:eastAsia="Arial" w:hAnsi="Arial"/>
                <w:sz w:val="22"/>
                <w:szCs w:val="22"/>
                <w:color w:val="auto"/>
              </w:rPr>
              <w:t>AAL-PA-3219-LA-08837R1</w:t>
            </w:r>
          </w:p>
        </w:tc>
        <w:tc>
          <w:tcPr>
            <w:tcW w:w="6180" w:type="dxa"/>
            <w:vAlign w:val="bottom"/>
          </w:tcPr>
          <w:p>
            <w:pPr>
              <w:ind w:left="480"/>
              <w:spacing w:after="0"/>
              <w:rPr>
                <w:sz w:val="20"/>
                <w:szCs w:val="20"/>
                <w:color w:val="auto"/>
              </w:rPr>
            </w:pPr>
            <w:r>
              <w:rPr>
                <w:rFonts w:ascii="Arial" w:cs="Arial" w:eastAsia="Arial" w:hAnsi="Arial"/>
                <w:sz w:val="22"/>
                <w:szCs w:val="22"/>
                <w:color w:val="auto"/>
              </w:rPr>
              <w:t>[*CTR]</w:t>
            </w:r>
          </w:p>
        </w:tc>
        <w:tc>
          <w:tcPr>
            <w:tcW w:w="114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22"/>
                <w:szCs w:val="22"/>
                <w:color w:val="auto"/>
                <w:w w:val="93"/>
              </w:rPr>
              <w:t>SA-6</w:t>
            </w:r>
          </w:p>
        </w:tc>
      </w:tr>
      <w:tr>
        <w:trPr>
          <w:trHeight w:val="351"/>
        </w:trPr>
        <w:tc>
          <w:tcPr>
            <w:tcW w:w="3180" w:type="dxa"/>
            <w:vAlign w:val="bottom"/>
            <w:gridSpan w:val="2"/>
          </w:tcPr>
          <w:p>
            <w:pPr>
              <w:spacing w:after="0"/>
              <w:rPr>
                <w:sz w:val="20"/>
                <w:szCs w:val="20"/>
                <w:color w:val="auto"/>
              </w:rPr>
            </w:pPr>
            <w:r>
              <w:rPr>
                <w:rFonts w:ascii="Arial" w:cs="Arial" w:eastAsia="Arial" w:hAnsi="Arial"/>
                <w:sz w:val="22"/>
                <w:szCs w:val="22"/>
                <w:color w:val="auto"/>
              </w:rPr>
              <w:t>AAL-PA-3219-LA-08838</w:t>
            </w:r>
          </w:p>
        </w:tc>
        <w:tc>
          <w:tcPr>
            <w:tcW w:w="6180" w:type="dxa"/>
            <w:vAlign w:val="bottom"/>
          </w:tcPr>
          <w:p>
            <w:pPr>
              <w:ind w:left="480"/>
              <w:spacing w:after="0"/>
              <w:rPr>
                <w:sz w:val="20"/>
                <w:szCs w:val="20"/>
                <w:color w:val="auto"/>
              </w:rPr>
            </w:pPr>
            <w:r>
              <w:rPr>
                <w:rFonts w:ascii="Arial" w:cs="Arial" w:eastAsia="Arial" w:hAnsi="Arial"/>
                <w:sz w:val="22"/>
                <w:szCs w:val="22"/>
                <w:color w:val="auto"/>
              </w:rPr>
              <w:t>[*CTR]</w:t>
            </w:r>
          </w:p>
        </w:tc>
        <w:tc>
          <w:tcPr>
            <w:tcW w:w="114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22"/>
                <w:szCs w:val="22"/>
                <w:color w:val="auto"/>
                <w:w w:val="93"/>
              </w:rPr>
              <w:t>SA-3</w:t>
            </w:r>
          </w:p>
        </w:tc>
      </w:tr>
      <w:tr>
        <w:trPr>
          <w:trHeight w:val="351"/>
        </w:trPr>
        <w:tc>
          <w:tcPr>
            <w:tcW w:w="3180" w:type="dxa"/>
            <w:vAlign w:val="bottom"/>
            <w:gridSpan w:val="2"/>
          </w:tcPr>
          <w:p>
            <w:pPr>
              <w:spacing w:after="0"/>
              <w:rPr>
                <w:sz w:val="20"/>
                <w:szCs w:val="20"/>
                <w:color w:val="auto"/>
              </w:rPr>
            </w:pPr>
            <w:r>
              <w:rPr>
                <w:rFonts w:ascii="Arial" w:cs="Arial" w:eastAsia="Arial" w:hAnsi="Arial"/>
                <w:sz w:val="22"/>
                <w:szCs w:val="22"/>
                <w:color w:val="auto"/>
              </w:rPr>
              <w:t>AAL-LA-1106678</w:t>
            </w:r>
          </w:p>
        </w:tc>
        <w:tc>
          <w:tcPr>
            <w:tcW w:w="6180" w:type="dxa"/>
            <w:vAlign w:val="bottom"/>
          </w:tcPr>
          <w:p>
            <w:pPr>
              <w:ind w:left="480"/>
              <w:spacing w:after="0"/>
              <w:rPr>
                <w:sz w:val="20"/>
                <w:szCs w:val="20"/>
                <w:color w:val="auto"/>
              </w:rPr>
            </w:pPr>
            <w:r>
              <w:rPr>
                <w:rFonts w:ascii="Arial" w:cs="Arial" w:eastAsia="Arial" w:hAnsi="Arial"/>
                <w:sz w:val="22"/>
                <w:szCs w:val="22"/>
                <w:color w:val="auto"/>
              </w:rPr>
              <w:t>Assignment Matters</w:t>
            </w:r>
          </w:p>
        </w:tc>
        <w:tc>
          <w:tcPr>
            <w:tcW w:w="114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22"/>
                <w:szCs w:val="22"/>
                <w:color w:val="auto"/>
                <w:w w:val="93"/>
              </w:rPr>
              <w:t>SA-3</w:t>
            </w:r>
          </w:p>
        </w:tc>
      </w:tr>
      <w:tr>
        <w:trPr>
          <w:trHeight w:val="351"/>
        </w:trPr>
        <w:tc>
          <w:tcPr>
            <w:tcW w:w="3180" w:type="dxa"/>
            <w:vAlign w:val="bottom"/>
            <w:gridSpan w:val="2"/>
          </w:tcPr>
          <w:p>
            <w:pPr>
              <w:spacing w:after="0"/>
              <w:rPr>
                <w:sz w:val="20"/>
                <w:szCs w:val="20"/>
                <w:color w:val="auto"/>
              </w:rPr>
            </w:pPr>
            <w:r>
              <w:rPr>
                <w:rFonts w:ascii="Arial" w:cs="Arial" w:eastAsia="Arial" w:hAnsi="Arial"/>
                <w:sz w:val="22"/>
                <w:szCs w:val="22"/>
                <w:color w:val="auto"/>
              </w:rPr>
              <w:t>AAL-PA-3219-LA-1302236R1</w:t>
            </w:r>
          </w:p>
        </w:tc>
        <w:tc>
          <w:tcPr>
            <w:tcW w:w="6180" w:type="dxa"/>
            <w:vAlign w:val="bottom"/>
          </w:tcPr>
          <w:p>
            <w:pPr>
              <w:ind w:left="480"/>
              <w:spacing w:after="0"/>
              <w:rPr>
                <w:sz w:val="20"/>
                <w:szCs w:val="20"/>
                <w:color w:val="auto"/>
              </w:rPr>
            </w:pPr>
            <w:r>
              <w:rPr>
                <w:rFonts w:ascii="Arial" w:cs="Arial" w:eastAsia="Arial" w:hAnsi="Arial"/>
                <w:sz w:val="22"/>
                <w:szCs w:val="22"/>
                <w:color w:val="auto"/>
              </w:rPr>
              <w:t>[*CTR]</w:t>
            </w:r>
          </w:p>
        </w:tc>
        <w:tc>
          <w:tcPr>
            <w:tcW w:w="114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22"/>
                <w:szCs w:val="22"/>
                <w:color w:val="auto"/>
                <w:w w:val="93"/>
              </w:rPr>
              <w:t>SA-6</w:t>
            </w:r>
          </w:p>
        </w:tc>
      </w:tr>
      <w:tr>
        <w:trPr>
          <w:trHeight w:val="351"/>
        </w:trPr>
        <w:tc>
          <w:tcPr>
            <w:tcW w:w="3180" w:type="dxa"/>
            <w:vAlign w:val="bottom"/>
            <w:gridSpan w:val="2"/>
          </w:tcPr>
          <w:p>
            <w:pPr>
              <w:spacing w:after="0"/>
              <w:rPr>
                <w:sz w:val="20"/>
                <w:szCs w:val="20"/>
                <w:color w:val="auto"/>
              </w:rPr>
            </w:pPr>
            <w:r>
              <w:rPr>
                <w:rFonts w:ascii="Arial" w:cs="Arial" w:eastAsia="Arial" w:hAnsi="Arial"/>
                <w:sz w:val="22"/>
                <w:szCs w:val="22"/>
                <w:color w:val="auto"/>
              </w:rPr>
              <w:t>AAL-PA-3219-LA-1604503</w:t>
            </w:r>
          </w:p>
        </w:tc>
        <w:tc>
          <w:tcPr>
            <w:tcW w:w="6180" w:type="dxa"/>
            <w:vAlign w:val="bottom"/>
          </w:tcPr>
          <w:p>
            <w:pPr>
              <w:ind w:left="480"/>
              <w:spacing w:after="0"/>
              <w:rPr>
                <w:sz w:val="20"/>
                <w:szCs w:val="20"/>
                <w:color w:val="auto"/>
              </w:rPr>
            </w:pPr>
            <w:r>
              <w:rPr>
                <w:rFonts w:ascii="Arial" w:cs="Arial" w:eastAsia="Arial" w:hAnsi="Arial"/>
                <w:sz w:val="22"/>
                <w:szCs w:val="22"/>
                <w:color w:val="auto"/>
              </w:rPr>
              <w:t>787 [*CTR] Matters</w:t>
            </w:r>
          </w:p>
        </w:tc>
        <w:tc>
          <w:tcPr>
            <w:tcW w:w="114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22"/>
                <w:szCs w:val="22"/>
                <w:color w:val="auto"/>
                <w:w w:val="93"/>
              </w:rPr>
              <w:t>SA-8</w:t>
            </w:r>
          </w:p>
        </w:tc>
      </w:tr>
      <w:tr>
        <w:trPr>
          <w:trHeight w:val="351"/>
        </w:trPr>
        <w:tc>
          <w:tcPr>
            <w:tcW w:w="3180" w:type="dxa"/>
            <w:vAlign w:val="bottom"/>
            <w:gridSpan w:val="2"/>
          </w:tcPr>
          <w:p>
            <w:pPr>
              <w:spacing w:after="0"/>
              <w:rPr>
                <w:sz w:val="20"/>
                <w:szCs w:val="20"/>
                <w:color w:val="auto"/>
              </w:rPr>
            </w:pPr>
            <w:r>
              <w:rPr>
                <w:rFonts w:ascii="Arial" w:cs="Arial" w:eastAsia="Arial" w:hAnsi="Arial"/>
                <w:sz w:val="22"/>
                <w:szCs w:val="22"/>
                <w:b w:val="1"/>
                <w:bCs w:val="1"/>
                <w:color w:val="auto"/>
              </w:rPr>
              <w:t>AAL-PA-03219-LA-1701988</w:t>
            </w:r>
          </w:p>
        </w:tc>
        <w:tc>
          <w:tcPr>
            <w:tcW w:w="6180" w:type="dxa"/>
            <w:vAlign w:val="bottom"/>
          </w:tcPr>
          <w:p>
            <w:pPr>
              <w:ind w:left="480"/>
              <w:spacing w:after="0"/>
              <w:rPr>
                <w:sz w:val="20"/>
                <w:szCs w:val="20"/>
                <w:color w:val="auto"/>
              </w:rPr>
            </w:pPr>
            <w:r>
              <w:rPr>
                <w:rFonts w:ascii="Arial" w:cs="Arial" w:eastAsia="Arial" w:hAnsi="Arial"/>
                <w:sz w:val="22"/>
                <w:szCs w:val="22"/>
                <w:b w:val="1"/>
                <w:bCs w:val="1"/>
                <w:color w:val="auto"/>
              </w:rPr>
              <w:t>[*CTR]</w:t>
            </w:r>
          </w:p>
        </w:tc>
        <w:tc>
          <w:tcPr>
            <w:tcW w:w="114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22"/>
                <w:szCs w:val="22"/>
                <w:b w:val="1"/>
                <w:bCs w:val="1"/>
                <w:color w:val="auto"/>
                <w:w w:val="89"/>
              </w:rPr>
              <w:t>SA-10</w:t>
            </w:r>
          </w:p>
        </w:tc>
      </w:tr>
      <w:tr>
        <w:trPr>
          <w:trHeight w:val="374"/>
        </w:trPr>
        <w:tc>
          <w:tcPr>
            <w:tcW w:w="2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180" w:type="dxa"/>
            <w:vAlign w:val="bottom"/>
          </w:tcPr>
          <w:p>
            <w:pPr>
              <w:ind w:left="2160"/>
              <w:spacing w:after="0"/>
              <w:rPr>
                <w:sz w:val="20"/>
                <w:szCs w:val="20"/>
                <w:color w:val="auto"/>
              </w:rPr>
            </w:pPr>
            <w:r>
              <w:rPr>
                <w:rFonts w:ascii="Arial" w:cs="Arial" w:eastAsia="Arial" w:hAnsi="Arial"/>
                <w:sz w:val="22"/>
                <w:szCs w:val="22"/>
                <w:color w:val="auto"/>
              </w:rPr>
              <w:t>P.A. No. 3219</w:t>
            </w:r>
          </w:p>
        </w:tc>
        <w:tc>
          <w:tcPr>
            <w:tcW w:w="1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2"/>
                <w:szCs w:val="22"/>
                <w:color w:val="auto"/>
              </w:rPr>
              <w:t>SA-10</w:t>
            </w:r>
          </w:p>
        </w:tc>
      </w:tr>
      <w:tr>
        <w:trPr>
          <w:trHeight w:val="275"/>
        </w:trPr>
        <w:tc>
          <w:tcPr>
            <w:tcW w:w="3180" w:type="dxa"/>
            <w:vAlign w:val="bottom"/>
            <w:gridSpan w:val="2"/>
          </w:tcPr>
          <w:p>
            <w:pPr>
              <w:spacing w:after="0"/>
              <w:rPr>
                <w:sz w:val="20"/>
                <w:szCs w:val="20"/>
                <w:color w:val="auto"/>
              </w:rPr>
            </w:pPr>
            <w:r>
              <w:rPr>
                <w:rFonts w:ascii="Arial" w:cs="Arial" w:eastAsia="Arial" w:hAnsi="Arial"/>
                <w:sz w:val="22"/>
                <w:szCs w:val="22"/>
                <w:color w:val="auto"/>
              </w:rPr>
              <w:t>Table of Contents</w:t>
            </w:r>
          </w:p>
        </w:tc>
        <w:tc>
          <w:tcPr>
            <w:tcW w:w="6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22"/>
                <w:szCs w:val="22"/>
                <w:color w:val="auto"/>
              </w:rPr>
              <w:t>Page 3</w:t>
            </w:r>
          </w:p>
        </w:tc>
      </w:tr>
    </w:tbl>
    <w:p>
      <w:pPr>
        <w:spacing w:after="0" w:line="19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2"/>
          <w:szCs w:val="22"/>
          <w:b w:val="1"/>
          <w:bCs w:val="1"/>
          <w:color w:val="auto"/>
        </w:rPr>
        <w:t>BOEING PROPRIETARY</w:t>
      </w:r>
    </w:p>
    <w:p>
      <w:pPr>
        <w:spacing w:after="0" w:line="1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[*CTR]=[CONFIDENTIAL PORTION OMITTED AND FILED SEPARATELY WITH THE COMMISSION PURSUANT TO A REQUEST FOR CONFIDENTIAL TREATMENT]</w:t>
      </w:r>
    </w:p>
    <w:p>
      <w:pPr>
        <w:sectPr>
          <w:pgSz w:w="11900" w:h="16838" w:orient="portrait"/>
          <w:cols w:equalWidth="0" w:num="1">
            <w:col w:w="11420"/>
          </w:cols>
          <w:pgMar w:left="240" w:top="267" w:right="239" w:bottom="1440" w:gutter="0" w:footer="0" w:header="0"/>
        </w:sectPr>
      </w:pPr>
    </w:p>
    <w:bookmarkStart w:id="122" w:name="page123"/>
    <w:bookmarkEnd w:id="122"/>
    <w:p>
      <w:pPr>
        <w:jc w:val="center"/>
        <w:spacing w:after="0" w:line="275" w:lineRule="auto"/>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Table 1(R7) To Purchase Agreement No. PA-03219 787-9 Aircraft Delivery, Description, Price and Advance Payments [*CTR]</w:t>
      </w:r>
    </w:p>
    <w:p>
      <w:pPr>
        <w:spacing w:after="0" w:line="190" w:lineRule="exact"/>
        <w:rPr>
          <w:sz w:val="20"/>
          <w:szCs w:val="20"/>
          <w:color w:val="auto"/>
        </w:rPr>
      </w:pPr>
    </w:p>
    <w:tbl>
      <w:tblPr>
        <w:tblLayout w:type="fixed"/>
        <w:tblInd w:w="10" w:type="dxa"/>
        <w:tblCellMar>
          <w:top w:w="0" w:type="dxa"/>
          <w:left w:w="0" w:type="dxa"/>
          <w:bottom w:w="0" w:type="dxa"/>
          <w:right w:w="0" w:type="dxa"/>
        </w:tblCellMar>
      </w:tblPr>
      <w:tr>
        <w:trPr>
          <w:trHeight w:val="198"/>
        </w:trPr>
        <w:tc>
          <w:tcPr>
            <w:tcW w:w="2440" w:type="dxa"/>
            <w:vAlign w:val="bottom"/>
            <w:gridSpan w:val="4"/>
          </w:tcPr>
          <w:p>
            <w:pPr>
              <w:spacing w:after="0"/>
              <w:rPr>
                <w:sz w:val="20"/>
                <w:szCs w:val="20"/>
                <w:color w:val="auto"/>
              </w:rPr>
            </w:pPr>
            <w:r>
              <w:rPr>
                <w:rFonts w:ascii="Arial" w:cs="Arial" w:eastAsia="Arial" w:hAnsi="Arial"/>
                <w:sz w:val="15"/>
                <w:szCs w:val="15"/>
                <w:b w:val="1"/>
                <w:bCs w:val="1"/>
                <w:color w:val="auto"/>
              </w:rPr>
              <w:t>Airframe Model/MTOW:</w:t>
            </w: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Arial" w:cs="Arial" w:eastAsia="Arial" w:hAnsi="Arial"/>
                <w:sz w:val="15"/>
                <w:szCs w:val="15"/>
                <w:color w:val="auto"/>
              </w:rPr>
              <w:t>787-9</w:t>
            </w:r>
          </w:p>
        </w:tc>
        <w:tc>
          <w:tcPr>
            <w:tcW w:w="1320" w:type="dxa"/>
            <w:vAlign w:val="bottom"/>
            <w:gridSpan w:val="6"/>
          </w:tcPr>
          <w:p>
            <w:pPr>
              <w:jc w:val="right"/>
              <w:ind w:right="340"/>
              <w:spacing w:after="0"/>
              <w:rPr>
                <w:sz w:val="20"/>
                <w:szCs w:val="20"/>
                <w:color w:val="auto"/>
              </w:rPr>
            </w:pPr>
            <w:r>
              <w:rPr>
                <w:rFonts w:ascii="Arial" w:cs="Arial" w:eastAsia="Arial" w:hAnsi="Arial"/>
                <w:sz w:val="15"/>
                <w:szCs w:val="15"/>
                <w:color w:val="auto"/>
                <w:w w:val="89"/>
              </w:rPr>
              <w:t>553,000 pounds</w:t>
            </w:r>
          </w:p>
        </w:tc>
        <w:tc>
          <w:tcPr>
            <w:tcW w:w="380" w:type="dxa"/>
            <w:vAlign w:val="bottom"/>
          </w:tcPr>
          <w:p>
            <w:pPr>
              <w:spacing w:after="0"/>
              <w:rPr>
                <w:sz w:val="17"/>
                <w:szCs w:val="17"/>
                <w:color w:val="auto"/>
              </w:rPr>
            </w:pPr>
          </w:p>
        </w:tc>
        <w:tc>
          <w:tcPr>
            <w:tcW w:w="1360" w:type="dxa"/>
            <w:vAlign w:val="bottom"/>
            <w:gridSpan w:val="2"/>
          </w:tcPr>
          <w:p>
            <w:pPr>
              <w:spacing w:after="0"/>
              <w:rPr>
                <w:sz w:val="20"/>
                <w:szCs w:val="20"/>
                <w:color w:val="auto"/>
              </w:rPr>
            </w:pPr>
            <w:r>
              <w:rPr>
                <w:rFonts w:ascii="Arial" w:cs="Arial" w:eastAsia="Arial" w:hAnsi="Arial"/>
                <w:sz w:val="15"/>
                <w:szCs w:val="15"/>
                <w:b w:val="1"/>
                <w:bCs w:val="1"/>
                <w:color w:val="auto"/>
                <w:w w:val="93"/>
              </w:rPr>
              <w:t>Detail Specification:</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gridSpan w:val="2"/>
          </w:tcPr>
          <w:p>
            <w:pPr>
              <w:ind w:left="20"/>
              <w:spacing w:after="0"/>
              <w:rPr>
                <w:sz w:val="20"/>
                <w:szCs w:val="20"/>
                <w:color w:val="auto"/>
              </w:rPr>
            </w:pPr>
            <w:r>
              <w:rPr>
                <w:rFonts w:ascii="Arial" w:cs="Arial" w:eastAsia="Arial" w:hAnsi="Arial"/>
                <w:sz w:val="15"/>
                <w:szCs w:val="15"/>
                <w:color w:val="auto"/>
              </w:rPr>
              <w:t>[*CTR]</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440" w:type="dxa"/>
            <w:vAlign w:val="bottom"/>
            <w:gridSpan w:val="4"/>
          </w:tcPr>
          <w:p>
            <w:pPr>
              <w:spacing w:after="0"/>
              <w:rPr>
                <w:sz w:val="20"/>
                <w:szCs w:val="20"/>
                <w:color w:val="auto"/>
              </w:rPr>
            </w:pPr>
            <w:r>
              <w:rPr>
                <w:rFonts w:ascii="Arial" w:cs="Arial" w:eastAsia="Arial" w:hAnsi="Arial"/>
                <w:sz w:val="15"/>
                <w:szCs w:val="15"/>
                <w:b w:val="1"/>
                <w:bCs w:val="1"/>
                <w:color w:val="auto"/>
              </w:rPr>
              <w:t>Engine Model/Thrust:</w:t>
            </w:r>
          </w:p>
        </w:tc>
        <w:tc>
          <w:tcPr>
            <w:tcW w:w="1840" w:type="dxa"/>
            <w:vAlign w:val="bottom"/>
            <w:gridSpan w:val="2"/>
          </w:tcPr>
          <w:p>
            <w:pPr>
              <w:ind w:left="680"/>
              <w:spacing w:after="0"/>
              <w:rPr>
                <w:sz w:val="20"/>
                <w:szCs w:val="20"/>
                <w:color w:val="auto"/>
              </w:rPr>
            </w:pPr>
            <w:r>
              <w:rPr>
                <w:rFonts w:ascii="Arial" w:cs="Arial" w:eastAsia="Arial" w:hAnsi="Arial"/>
                <w:sz w:val="15"/>
                <w:szCs w:val="15"/>
                <w:color w:val="auto"/>
              </w:rPr>
              <w:t>GENX-1B74/75</w:t>
            </w:r>
          </w:p>
        </w:tc>
        <w:tc>
          <w:tcPr>
            <w:tcW w:w="1320" w:type="dxa"/>
            <w:vAlign w:val="bottom"/>
            <w:gridSpan w:val="6"/>
          </w:tcPr>
          <w:p>
            <w:pPr>
              <w:jc w:val="right"/>
              <w:ind w:right="340"/>
              <w:spacing w:after="0"/>
              <w:rPr>
                <w:sz w:val="20"/>
                <w:szCs w:val="20"/>
                <w:color w:val="auto"/>
              </w:rPr>
            </w:pPr>
            <w:r>
              <w:rPr>
                <w:rFonts w:ascii="Arial" w:cs="Arial" w:eastAsia="Arial" w:hAnsi="Arial"/>
                <w:sz w:val="15"/>
                <w:szCs w:val="15"/>
                <w:color w:val="auto"/>
                <w:w w:val="96"/>
              </w:rPr>
              <w:t>74,100 pounds</w:t>
            </w:r>
          </w:p>
        </w:tc>
        <w:tc>
          <w:tcPr>
            <w:tcW w:w="380" w:type="dxa"/>
            <w:vAlign w:val="bottom"/>
          </w:tcPr>
          <w:p>
            <w:pPr>
              <w:spacing w:after="0"/>
              <w:rPr>
                <w:sz w:val="23"/>
                <w:szCs w:val="23"/>
                <w:color w:val="auto"/>
              </w:rPr>
            </w:pPr>
          </w:p>
        </w:tc>
        <w:tc>
          <w:tcPr>
            <w:tcW w:w="3160" w:type="dxa"/>
            <w:vAlign w:val="bottom"/>
            <w:gridSpan w:val="7"/>
          </w:tcPr>
          <w:p>
            <w:pPr>
              <w:spacing w:after="0"/>
              <w:rPr>
                <w:sz w:val="20"/>
                <w:szCs w:val="20"/>
                <w:color w:val="auto"/>
              </w:rPr>
            </w:pPr>
            <w:r>
              <w:rPr>
                <w:rFonts w:ascii="Arial" w:cs="Arial" w:eastAsia="Arial" w:hAnsi="Arial"/>
                <w:sz w:val="15"/>
                <w:szCs w:val="15"/>
                <w:b w:val="1"/>
                <w:bCs w:val="1"/>
                <w:color w:val="auto"/>
                <w:w w:val="95"/>
              </w:rPr>
              <w:t>Airframe Price Base Year/Escalation Formula:</w:t>
            </w:r>
          </w:p>
        </w:tc>
        <w:tc>
          <w:tcPr>
            <w:tcW w:w="1140" w:type="dxa"/>
            <w:vAlign w:val="bottom"/>
            <w:gridSpan w:val="2"/>
          </w:tcPr>
          <w:p>
            <w:pPr>
              <w:ind w:left="600"/>
              <w:spacing w:after="0"/>
              <w:rPr>
                <w:sz w:val="20"/>
                <w:szCs w:val="20"/>
                <w:color w:val="auto"/>
              </w:rPr>
            </w:pPr>
            <w:r>
              <w:rPr>
                <w:rFonts w:ascii="Arial" w:cs="Arial" w:eastAsia="Arial" w:hAnsi="Arial"/>
                <w:sz w:val="15"/>
                <w:szCs w:val="15"/>
                <w:color w:val="auto"/>
              </w:rPr>
              <w:t>[*CTR]</w:t>
            </w:r>
          </w:p>
        </w:tc>
        <w:tc>
          <w:tcPr>
            <w:tcW w:w="1160" w:type="dxa"/>
            <w:vAlign w:val="bottom"/>
          </w:tcPr>
          <w:p>
            <w:pPr>
              <w:ind w:left="660"/>
              <w:spacing w:after="0"/>
              <w:rPr>
                <w:sz w:val="20"/>
                <w:szCs w:val="20"/>
                <w:color w:val="auto"/>
              </w:rPr>
            </w:pPr>
            <w:r>
              <w:rPr>
                <w:rFonts w:ascii="Arial" w:cs="Arial" w:eastAsia="Arial" w:hAnsi="Arial"/>
                <w:sz w:val="15"/>
                <w:szCs w:val="15"/>
                <w:color w:val="auto"/>
              </w:rPr>
              <w:t>[*CTR]</w:t>
            </w:r>
          </w:p>
        </w:tc>
        <w:tc>
          <w:tcPr>
            <w:tcW w:w="0" w:type="dxa"/>
            <w:vAlign w:val="bottom"/>
          </w:tcPr>
          <w:p>
            <w:pPr>
              <w:spacing w:after="0"/>
              <w:rPr>
                <w:sz w:val="1"/>
                <w:szCs w:val="1"/>
                <w:color w:val="auto"/>
              </w:rPr>
            </w:pPr>
          </w:p>
        </w:tc>
      </w:tr>
      <w:tr>
        <w:trPr>
          <w:trHeight w:val="270"/>
        </w:trPr>
        <w:tc>
          <w:tcPr>
            <w:tcW w:w="1380" w:type="dxa"/>
            <w:vAlign w:val="bottom"/>
            <w:gridSpan w:val="2"/>
          </w:tcPr>
          <w:p>
            <w:pPr>
              <w:spacing w:after="0"/>
              <w:rPr>
                <w:sz w:val="20"/>
                <w:szCs w:val="20"/>
                <w:color w:val="auto"/>
              </w:rPr>
            </w:pPr>
            <w:r>
              <w:rPr>
                <w:rFonts w:ascii="Arial" w:cs="Arial" w:eastAsia="Arial" w:hAnsi="Arial"/>
                <w:sz w:val="15"/>
                <w:szCs w:val="15"/>
                <w:b w:val="1"/>
                <w:bCs w:val="1"/>
                <w:color w:val="auto"/>
              </w:rPr>
              <w:t>Airframe Price:</w:t>
            </w:r>
          </w:p>
        </w:tc>
        <w:tc>
          <w:tcPr>
            <w:tcW w:w="9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gridSpan w:val="2"/>
          </w:tcPr>
          <w:p>
            <w:pPr>
              <w:ind w:left="80"/>
              <w:spacing w:after="0"/>
              <w:rPr>
                <w:sz w:val="20"/>
                <w:szCs w:val="20"/>
                <w:color w:val="auto"/>
              </w:rPr>
            </w:pPr>
            <w:r>
              <w:rPr>
                <w:rFonts w:ascii="Arial" w:cs="Arial" w:eastAsia="Arial" w:hAnsi="Arial"/>
                <w:sz w:val="15"/>
                <w:szCs w:val="15"/>
                <w:color w:val="auto"/>
              </w:rPr>
              <w:t>$[*CTR]</w:t>
            </w:r>
          </w:p>
        </w:tc>
        <w:tc>
          <w:tcPr>
            <w:tcW w:w="380" w:type="dxa"/>
            <w:vAlign w:val="bottom"/>
          </w:tcPr>
          <w:p>
            <w:pPr>
              <w:spacing w:after="0"/>
              <w:rPr>
                <w:sz w:val="23"/>
                <w:szCs w:val="23"/>
                <w:color w:val="auto"/>
              </w:rPr>
            </w:pPr>
          </w:p>
        </w:tc>
        <w:tc>
          <w:tcPr>
            <w:tcW w:w="3160" w:type="dxa"/>
            <w:vAlign w:val="bottom"/>
            <w:gridSpan w:val="7"/>
          </w:tcPr>
          <w:p>
            <w:pPr>
              <w:spacing w:after="0"/>
              <w:rPr>
                <w:sz w:val="20"/>
                <w:szCs w:val="20"/>
                <w:color w:val="auto"/>
              </w:rPr>
            </w:pPr>
            <w:r>
              <w:rPr>
                <w:rFonts w:ascii="Arial" w:cs="Arial" w:eastAsia="Arial" w:hAnsi="Arial"/>
                <w:sz w:val="15"/>
                <w:szCs w:val="15"/>
                <w:b w:val="1"/>
                <w:bCs w:val="1"/>
                <w:color w:val="auto"/>
                <w:w w:val="98"/>
              </w:rPr>
              <w:t>Engine Price Base Year/Escalation Formula:</w:t>
            </w:r>
          </w:p>
        </w:tc>
        <w:tc>
          <w:tcPr>
            <w:tcW w:w="1140" w:type="dxa"/>
            <w:vAlign w:val="bottom"/>
            <w:gridSpan w:val="2"/>
          </w:tcPr>
          <w:p>
            <w:pPr>
              <w:ind w:left="600"/>
              <w:spacing w:after="0"/>
              <w:rPr>
                <w:sz w:val="20"/>
                <w:szCs w:val="20"/>
                <w:color w:val="auto"/>
              </w:rPr>
            </w:pPr>
            <w:r>
              <w:rPr>
                <w:rFonts w:ascii="Arial" w:cs="Arial" w:eastAsia="Arial" w:hAnsi="Arial"/>
                <w:sz w:val="15"/>
                <w:szCs w:val="15"/>
                <w:color w:val="auto"/>
              </w:rPr>
              <w:t>[*CTR]</w:t>
            </w:r>
          </w:p>
        </w:tc>
        <w:tc>
          <w:tcPr>
            <w:tcW w:w="1160" w:type="dxa"/>
            <w:vAlign w:val="bottom"/>
          </w:tcPr>
          <w:p>
            <w:pPr>
              <w:ind w:left="660"/>
              <w:spacing w:after="0"/>
              <w:rPr>
                <w:sz w:val="20"/>
                <w:szCs w:val="20"/>
                <w:color w:val="auto"/>
              </w:rPr>
            </w:pPr>
            <w:r>
              <w:rPr>
                <w:rFonts w:ascii="Arial" w:cs="Arial" w:eastAsia="Arial" w:hAnsi="Arial"/>
                <w:sz w:val="15"/>
                <w:szCs w:val="15"/>
                <w:color w:val="auto"/>
              </w:rPr>
              <w:t>[*CTR]</w:t>
            </w:r>
          </w:p>
        </w:tc>
        <w:tc>
          <w:tcPr>
            <w:tcW w:w="0" w:type="dxa"/>
            <w:vAlign w:val="bottom"/>
          </w:tcPr>
          <w:p>
            <w:pPr>
              <w:spacing w:after="0"/>
              <w:rPr>
                <w:sz w:val="1"/>
                <w:szCs w:val="1"/>
                <w:color w:val="auto"/>
              </w:rPr>
            </w:pPr>
          </w:p>
        </w:tc>
      </w:tr>
      <w:tr>
        <w:trPr>
          <w:trHeight w:val="238"/>
        </w:trPr>
        <w:tc>
          <w:tcPr>
            <w:tcW w:w="1380" w:type="dxa"/>
            <w:vAlign w:val="bottom"/>
            <w:gridSpan w:val="2"/>
          </w:tcPr>
          <w:p>
            <w:pPr>
              <w:spacing w:after="0"/>
              <w:rPr>
                <w:sz w:val="20"/>
                <w:szCs w:val="20"/>
                <w:color w:val="auto"/>
              </w:rPr>
            </w:pPr>
            <w:r>
              <w:rPr>
                <w:rFonts w:ascii="Arial" w:cs="Arial" w:eastAsia="Arial" w:hAnsi="Arial"/>
                <w:sz w:val="15"/>
                <w:szCs w:val="15"/>
                <w:b w:val="1"/>
                <w:bCs w:val="1"/>
                <w:color w:val="auto"/>
              </w:rPr>
              <w:t>Optional Features:</w:t>
            </w: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2"/>
          </w:tcPr>
          <w:p>
            <w:pPr>
              <w:ind w:left="80"/>
              <w:spacing w:after="0"/>
              <w:rPr>
                <w:sz w:val="20"/>
                <w:szCs w:val="20"/>
                <w:color w:val="auto"/>
              </w:rPr>
            </w:pPr>
            <w:r>
              <w:rPr>
                <w:rFonts w:ascii="Arial" w:cs="Arial" w:eastAsia="Arial" w:hAnsi="Arial"/>
                <w:sz w:val="15"/>
                <w:szCs w:val="15"/>
                <w:color w:val="auto"/>
              </w:rPr>
              <w:t>$[*CTR]</w:t>
            </w: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440" w:type="dxa"/>
            <w:vAlign w:val="bottom"/>
            <w:gridSpan w:val="4"/>
            <w:vMerge w:val="restart"/>
          </w:tcPr>
          <w:p>
            <w:pPr>
              <w:spacing w:after="0"/>
              <w:rPr>
                <w:sz w:val="20"/>
                <w:szCs w:val="20"/>
                <w:color w:val="auto"/>
              </w:rPr>
            </w:pPr>
            <w:r>
              <w:rPr>
                <w:rFonts w:ascii="Arial" w:cs="Arial" w:eastAsia="Arial" w:hAnsi="Arial"/>
                <w:sz w:val="15"/>
                <w:szCs w:val="15"/>
                <w:b w:val="1"/>
                <w:bCs w:val="1"/>
                <w:color w:val="auto"/>
                <w:w w:val="94"/>
              </w:rPr>
              <w:t>Sub-Total of Airframe and Features:</w:t>
            </w: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40" w:type="dxa"/>
            <w:vAlign w:val="bottom"/>
            <w:gridSpan w:val="4"/>
            <w:vMerge w:val="restart"/>
          </w:tcPr>
          <w:p>
            <w:pPr>
              <w:spacing w:after="0"/>
              <w:rPr>
                <w:sz w:val="20"/>
                <w:szCs w:val="20"/>
                <w:color w:val="auto"/>
              </w:rPr>
            </w:pPr>
            <w:r>
              <w:rPr>
                <w:rFonts w:ascii="Arial" w:cs="Arial" w:eastAsia="Arial" w:hAnsi="Arial"/>
                <w:sz w:val="15"/>
                <w:szCs w:val="15"/>
                <w:b w:val="1"/>
                <w:bCs w:val="1"/>
                <w:color w:val="auto"/>
                <w:w w:val="94"/>
              </w:rPr>
              <w:t>Airframe Escalation Data:</w:t>
            </w:r>
          </w:p>
        </w:tc>
        <w:tc>
          <w:tcPr>
            <w:tcW w:w="22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2440" w:type="dxa"/>
            <w:vAlign w:val="bottom"/>
            <w:gridSpan w:val="4"/>
            <w:vMerge w:val="continue"/>
          </w:tcPr>
          <w:p>
            <w:pPr>
              <w:spacing w:after="0"/>
              <w:rPr>
                <w:sz w:val="21"/>
                <w:szCs w:val="21"/>
                <w:color w:val="auto"/>
              </w:rPr>
            </w:pPr>
          </w:p>
        </w:tc>
        <w:tc>
          <w:tcPr>
            <w:tcW w:w="9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tcPr>
          <w:p>
            <w:pPr>
              <w:ind w:left="80"/>
              <w:spacing w:after="0"/>
              <w:rPr>
                <w:sz w:val="20"/>
                <w:szCs w:val="20"/>
                <w:color w:val="auto"/>
              </w:rPr>
            </w:pPr>
            <w:r>
              <w:rPr>
                <w:rFonts w:ascii="Arial" w:cs="Arial" w:eastAsia="Arial" w:hAnsi="Arial"/>
                <w:sz w:val="15"/>
                <w:szCs w:val="15"/>
                <w:color w:val="auto"/>
              </w:rPr>
              <w:t>$[*CTR]</w:t>
            </w:r>
          </w:p>
        </w:tc>
        <w:tc>
          <w:tcPr>
            <w:tcW w:w="380" w:type="dxa"/>
            <w:vAlign w:val="bottom"/>
          </w:tcPr>
          <w:p>
            <w:pPr>
              <w:spacing w:after="0"/>
              <w:rPr>
                <w:sz w:val="21"/>
                <w:szCs w:val="21"/>
                <w:color w:val="auto"/>
              </w:rPr>
            </w:pPr>
          </w:p>
        </w:tc>
        <w:tc>
          <w:tcPr>
            <w:tcW w:w="1740" w:type="dxa"/>
            <w:vAlign w:val="bottom"/>
            <w:tcBorders>
              <w:bottom w:val="single" w:sz="8" w:color="auto"/>
            </w:tcBorders>
            <w:gridSpan w:val="4"/>
            <w:vMerge w:val="continue"/>
          </w:tcPr>
          <w:p>
            <w:pPr>
              <w:spacing w:after="0"/>
              <w:rPr>
                <w:sz w:val="21"/>
                <w:szCs w:val="21"/>
                <w:color w:val="auto"/>
              </w:rPr>
            </w:pPr>
          </w:p>
        </w:tc>
        <w:tc>
          <w:tcPr>
            <w:tcW w:w="22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2440" w:type="dxa"/>
            <w:vAlign w:val="bottom"/>
            <w:gridSpan w:val="4"/>
          </w:tcPr>
          <w:p>
            <w:pPr>
              <w:spacing w:after="0"/>
              <w:rPr>
                <w:sz w:val="20"/>
                <w:szCs w:val="20"/>
                <w:color w:val="auto"/>
              </w:rPr>
            </w:pPr>
            <w:r>
              <w:rPr>
                <w:rFonts w:ascii="Arial" w:cs="Arial" w:eastAsia="Arial" w:hAnsi="Arial"/>
                <w:sz w:val="15"/>
                <w:szCs w:val="15"/>
                <w:b w:val="1"/>
                <w:bCs w:val="1"/>
                <w:color w:val="auto"/>
              </w:rPr>
              <w:t>Engine Price (Per Aircraft):</w:t>
            </w: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gridSpan w:val="2"/>
          </w:tcPr>
          <w:p>
            <w:pPr>
              <w:ind w:left="80"/>
              <w:spacing w:after="0"/>
              <w:rPr>
                <w:sz w:val="20"/>
                <w:szCs w:val="20"/>
                <w:color w:val="auto"/>
              </w:rPr>
            </w:pPr>
            <w:r>
              <w:rPr>
                <w:rFonts w:ascii="Arial" w:cs="Arial" w:eastAsia="Arial" w:hAnsi="Arial"/>
                <w:sz w:val="15"/>
                <w:szCs w:val="15"/>
                <w:color w:val="auto"/>
              </w:rPr>
              <w:t>$[*CTR]</w:t>
            </w:r>
          </w:p>
        </w:tc>
        <w:tc>
          <w:tcPr>
            <w:tcW w:w="380" w:type="dxa"/>
            <w:vAlign w:val="bottom"/>
          </w:tcPr>
          <w:p>
            <w:pPr>
              <w:spacing w:after="0"/>
              <w:rPr>
                <w:sz w:val="24"/>
                <w:szCs w:val="24"/>
                <w:color w:val="auto"/>
              </w:rPr>
            </w:pPr>
          </w:p>
        </w:tc>
        <w:tc>
          <w:tcPr>
            <w:tcW w:w="1960" w:type="dxa"/>
            <w:vAlign w:val="bottom"/>
            <w:gridSpan w:val="5"/>
          </w:tcPr>
          <w:p>
            <w:pPr>
              <w:spacing w:after="0"/>
              <w:rPr>
                <w:sz w:val="20"/>
                <w:szCs w:val="20"/>
                <w:color w:val="auto"/>
              </w:rPr>
            </w:pPr>
            <w:r>
              <w:rPr>
                <w:rFonts w:ascii="Arial" w:cs="Arial" w:eastAsia="Arial" w:hAnsi="Arial"/>
                <w:sz w:val="15"/>
                <w:szCs w:val="15"/>
                <w:b w:val="1"/>
                <w:bCs w:val="1"/>
                <w:color w:val="auto"/>
              </w:rPr>
              <w:t>Base Year Index (ECI):</w:t>
            </w: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ind w:left="60"/>
              <w:spacing w:after="0"/>
              <w:rPr>
                <w:sz w:val="20"/>
                <w:szCs w:val="20"/>
                <w:color w:val="auto"/>
              </w:rPr>
            </w:pPr>
            <w:r>
              <w:rPr>
                <w:rFonts w:ascii="Arial" w:cs="Arial" w:eastAsia="Arial" w:hAnsi="Arial"/>
                <w:sz w:val="15"/>
                <w:szCs w:val="15"/>
                <w:color w:val="auto"/>
              </w:rPr>
              <w:t>[*CTR]</w:t>
            </w:r>
          </w:p>
        </w:tc>
        <w:tc>
          <w:tcPr>
            <w:tcW w:w="0" w:type="dxa"/>
            <w:vAlign w:val="bottom"/>
          </w:tcPr>
          <w:p>
            <w:pPr>
              <w:spacing w:after="0"/>
              <w:rPr>
                <w:sz w:val="1"/>
                <w:szCs w:val="1"/>
                <w:color w:val="auto"/>
              </w:rPr>
            </w:pPr>
          </w:p>
        </w:tc>
      </w:tr>
      <w:tr>
        <w:trPr>
          <w:trHeight w:val="238"/>
        </w:trPr>
        <w:tc>
          <w:tcPr>
            <w:tcW w:w="3360" w:type="dxa"/>
            <w:vAlign w:val="bottom"/>
            <w:gridSpan w:val="5"/>
          </w:tcPr>
          <w:p>
            <w:pPr>
              <w:spacing w:after="0"/>
              <w:rPr>
                <w:sz w:val="20"/>
                <w:szCs w:val="20"/>
                <w:color w:val="auto"/>
              </w:rPr>
            </w:pPr>
            <w:r>
              <w:rPr>
                <w:rFonts w:ascii="Arial" w:cs="Arial" w:eastAsia="Arial" w:hAnsi="Arial"/>
                <w:sz w:val="15"/>
                <w:szCs w:val="15"/>
                <w:b w:val="1"/>
                <w:bCs w:val="1"/>
                <w:color w:val="auto"/>
              </w:rPr>
              <w:t>Aircraft Basic Price (Excluding BFE/SPE):</w:t>
            </w: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2"/>
          </w:tcPr>
          <w:p>
            <w:pPr>
              <w:ind w:left="80"/>
              <w:spacing w:after="0"/>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[*CTR]</w:t>
            </w:r>
          </w:p>
        </w:tc>
        <w:tc>
          <w:tcPr>
            <w:tcW w:w="380" w:type="dxa"/>
            <w:vAlign w:val="bottom"/>
          </w:tcPr>
          <w:p>
            <w:pPr>
              <w:spacing w:after="0"/>
              <w:rPr>
                <w:sz w:val="20"/>
                <w:szCs w:val="20"/>
                <w:color w:val="auto"/>
              </w:rPr>
            </w:pPr>
          </w:p>
        </w:tc>
        <w:tc>
          <w:tcPr>
            <w:tcW w:w="1960" w:type="dxa"/>
            <w:vAlign w:val="bottom"/>
            <w:gridSpan w:val="5"/>
          </w:tcPr>
          <w:p>
            <w:pPr>
              <w:spacing w:after="0"/>
              <w:rPr>
                <w:sz w:val="20"/>
                <w:szCs w:val="20"/>
                <w:color w:val="auto"/>
              </w:rPr>
            </w:pPr>
            <w:r>
              <w:rPr>
                <w:rFonts w:ascii="Arial" w:cs="Arial" w:eastAsia="Arial" w:hAnsi="Arial"/>
                <w:sz w:val="15"/>
                <w:szCs w:val="15"/>
                <w:b w:val="1"/>
                <w:bCs w:val="1"/>
                <w:color w:val="auto"/>
              </w:rPr>
              <w:t>Base Year Index (CPI):</w:t>
            </w: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ind w:left="60"/>
              <w:spacing w:after="0"/>
              <w:rPr>
                <w:sz w:val="20"/>
                <w:szCs w:val="20"/>
                <w:color w:val="auto"/>
              </w:rPr>
            </w:pPr>
            <w:r>
              <w:rPr>
                <w:rFonts w:ascii="Arial" w:cs="Arial" w:eastAsia="Arial" w:hAnsi="Arial"/>
                <w:sz w:val="15"/>
                <w:szCs w:val="15"/>
                <w:color w:val="auto"/>
              </w:rPr>
              <w:t>[*CTR]</w:t>
            </w:r>
          </w:p>
        </w:tc>
        <w:tc>
          <w:tcPr>
            <w:tcW w:w="0" w:type="dxa"/>
            <w:vAlign w:val="bottom"/>
          </w:tcPr>
          <w:p>
            <w:pPr>
              <w:spacing w:after="0"/>
              <w:rPr>
                <w:sz w:val="1"/>
                <w:szCs w:val="1"/>
                <w:color w:val="auto"/>
              </w:rPr>
            </w:pPr>
          </w:p>
        </w:tc>
      </w:tr>
      <w:tr>
        <w:trPr>
          <w:trHeight w:val="61"/>
        </w:trPr>
        <w:tc>
          <w:tcPr>
            <w:tcW w:w="3360" w:type="dxa"/>
            <w:vAlign w:val="bottom"/>
            <w:gridSpan w:val="5"/>
            <w:vMerge w:val="restart"/>
          </w:tcPr>
          <w:p>
            <w:pPr>
              <w:spacing w:after="0"/>
              <w:rPr>
                <w:sz w:val="20"/>
                <w:szCs w:val="20"/>
                <w:color w:val="auto"/>
              </w:rPr>
            </w:pPr>
            <w:r>
              <w:rPr>
                <w:rFonts w:ascii="Arial" w:cs="Arial" w:eastAsia="Arial" w:hAnsi="Arial"/>
                <w:sz w:val="15"/>
                <w:szCs w:val="15"/>
                <w:b w:val="1"/>
                <w:bCs w:val="1"/>
                <w:color w:val="auto"/>
              </w:rPr>
              <w:t>Buyer Furnished Equipment (BFE) Estimate:</w:t>
            </w:r>
          </w:p>
        </w:tc>
        <w:tc>
          <w:tcPr>
            <w:tcW w:w="92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20" w:type="dxa"/>
            <w:vAlign w:val="bottom"/>
            <w:tcBorders>
              <w:top w:val="single" w:sz="8" w:color="auto"/>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580" w:type="dxa"/>
            <w:vAlign w:val="bottom"/>
            <w:gridSpan w:val="3"/>
            <w:vMerge w:val="restart"/>
          </w:tcPr>
          <w:p>
            <w:pPr>
              <w:spacing w:after="0"/>
              <w:rPr>
                <w:sz w:val="20"/>
                <w:szCs w:val="20"/>
                <w:color w:val="auto"/>
              </w:rPr>
            </w:pPr>
            <w:r>
              <w:rPr>
                <w:rFonts w:ascii="Arial" w:cs="Arial" w:eastAsia="Arial" w:hAnsi="Arial"/>
                <w:sz w:val="15"/>
                <w:szCs w:val="15"/>
                <w:b w:val="1"/>
                <w:bCs w:val="1"/>
                <w:color w:val="auto"/>
                <w:w w:val="91"/>
              </w:rPr>
              <w:t>Engine Escalation Data:</w:t>
            </w:r>
          </w:p>
        </w:tc>
        <w:tc>
          <w:tcPr>
            <w:tcW w:w="380" w:type="dxa"/>
            <w:vAlign w:val="bottom"/>
            <w:gridSpan w:val="2"/>
            <w:vMerge w:val="restart"/>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9"/>
        </w:trPr>
        <w:tc>
          <w:tcPr>
            <w:tcW w:w="3360" w:type="dxa"/>
            <w:vAlign w:val="bottom"/>
            <w:gridSpan w:val="5"/>
            <w:vMerge w:val="continue"/>
          </w:tcPr>
          <w:p>
            <w:pPr>
              <w:spacing w:after="0"/>
              <w:rPr>
                <w:sz w:val="22"/>
                <w:szCs w:val="22"/>
                <w:color w:val="auto"/>
              </w:rPr>
            </w:pPr>
          </w:p>
        </w:tc>
        <w:tc>
          <w:tcPr>
            <w:tcW w:w="9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gridSpan w:val="2"/>
          </w:tcPr>
          <w:p>
            <w:pPr>
              <w:ind w:left="80"/>
              <w:spacing w:after="0"/>
              <w:rPr>
                <w:sz w:val="20"/>
                <w:szCs w:val="20"/>
                <w:color w:val="auto"/>
              </w:rPr>
            </w:pPr>
            <w:r>
              <w:rPr>
                <w:rFonts w:ascii="Arial" w:cs="Arial" w:eastAsia="Arial" w:hAnsi="Arial"/>
                <w:sz w:val="15"/>
                <w:szCs w:val="15"/>
                <w:color w:val="auto"/>
              </w:rPr>
              <w:t>$[*CTR]</w:t>
            </w:r>
          </w:p>
        </w:tc>
        <w:tc>
          <w:tcPr>
            <w:tcW w:w="380" w:type="dxa"/>
            <w:vAlign w:val="bottom"/>
          </w:tcPr>
          <w:p>
            <w:pPr>
              <w:spacing w:after="0"/>
              <w:rPr>
                <w:sz w:val="22"/>
                <w:szCs w:val="22"/>
                <w:color w:val="auto"/>
              </w:rPr>
            </w:pPr>
          </w:p>
        </w:tc>
        <w:tc>
          <w:tcPr>
            <w:tcW w:w="1580" w:type="dxa"/>
            <w:vAlign w:val="bottom"/>
            <w:tcBorders>
              <w:bottom w:val="single" w:sz="8" w:color="auto"/>
            </w:tcBorders>
            <w:gridSpan w:val="3"/>
            <w:vMerge w:val="continue"/>
          </w:tcPr>
          <w:p>
            <w:pPr>
              <w:spacing w:after="0"/>
              <w:rPr>
                <w:sz w:val="22"/>
                <w:szCs w:val="22"/>
                <w:color w:val="auto"/>
              </w:rPr>
            </w:pPr>
          </w:p>
        </w:tc>
        <w:tc>
          <w:tcPr>
            <w:tcW w:w="380" w:type="dxa"/>
            <w:vAlign w:val="bottom"/>
            <w:gridSpan w:val="2"/>
            <w:vMerge w:val="continue"/>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3360" w:type="dxa"/>
            <w:vAlign w:val="bottom"/>
            <w:gridSpan w:val="5"/>
          </w:tcPr>
          <w:p>
            <w:pPr>
              <w:spacing w:after="0"/>
              <w:rPr>
                <w:sz w:val="20"/>
                <w:szCs w:val="20"/>
                <w:color w:val="auto"/>
              </w:rPr>
            </w:pPr>
            <w:r>
              <w:rPr>
                <w:rFonts w:ascii="Arial" w:cs="Arial" w:eastAsia="Arial" w:hAnsi="Arial"/>
                <w:sz w:val="15"/>
                <w:szCs w:val="15"/>
                <w:b w:val="1"/>
                <w:bCs w:val="1"/>
                <w:color w:val="auto"/>
              </w:rPr>
              <w:t>In-Flight Entertainment (IFE) Estimate:</w:t>
            </w: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gridSpan w:val="2"/>
          </w:tcPr>
          <w:p>
            <w:pPr>
              <w:ind w:left="80"/>
              <w:spacing w:after="0"/>
              <w:rPr>
                <w:sz w:val="20"/>
                <w:szCs w:val="20"/>
                <w:color w:val="auto"/>
              </w:rPr>
            </w:pPr>
            <w:r>
              <w:rPr>
                <w:rFonts w:ascii="Arial" w:cs="Arial" w:eastAsia="Arial" w:hAnsi="Arial"/>
                <w:sz w:val="15"/>
                <w:szCs w:val="15"/>
                <w:color w:val="auto"/>
              </w:rPr>
              <w:t>$[*CTR]</w:t>
            </w:r>
          </w:p>
        </w:tc>
        <w:tc>
          <w:tcPr>
            <w:tcW w:w="380" w:type="dxa"/>
            <w:vAlign w:val="bottom"/>
          </w:tcPr>
          <w:p>
            <w:pPr>
              <w:spacing w:after="0"/>
              <w:rPr>
                <w:sz w:val="24"/>
                <w:szCs w:val="24"/>
                <w:color w:val="auto"/>
              </w:rPr>
            </w:pPr>
          </w:p>
        </w:tc>
        <w:tc>
          <w:tcPr>
            <w:tcW w:w="1960" w:type="dxa"/>
            <w:vAlign w:val="bottom"/>
            <w:gridSpan w:val="5"/>
          </w:tcPr>
          <w:p>
            <w:pPr>
              <w:spacing w:after="0"/>
              <w:rPr>
                <w:sz w:val="20"/>
                <w:szCs w:val="20"/>
                <w:color w:val="auto"/>
              </w:rPr>
            </w:pPr>
            <w:r>
              <w:rPr>
                <w:rFonts w:ascii="Arial" w:cs="Arial" w:eastAsia="Arial" w:hAnsi="Arial"/>
                <w:sz w:val="15"/>
                <w:szCs w:val="15"/>
                <w:b w:val="1"/>
                <w:bCs w:val="1"/>
                <w:color w:val="auto"/>
              </w:rPr>
              <w:t>Base Year Index (ECI):</w:t>
            </w: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ind w:left="60"/>
              <w:spacing w:after="0"/>
              <w:rPr>
                <w:sz w:val="20"/>
                <w:szCs w:val="20"/>
                <w:color w:val="auto"/>
              </w:rPr>
            </w:pPr>
            <w:r>
              <w:rPr>
                <w:rFonts w:ascii="Arial" w:cs="Arial" w:eastAsia="Arial" w:hAnsi="Arial"/>
                <w:sz w:val="15"/>
                <w:szCs w:val="15"/>
                <w:color w:val="auto"/>
              </w:rPr>
              <w:t>[*CTR]</w:t>
            </w:r>
          </w:p>
        </w:tc>
        <w:tc>
          <w:tcPr>
            <w:tcW w:w="0" w:type="dxa"/>
            <w:vAlign w:val="bottom"/>
          </w:tcPr>
          <w:p>
            <w:pPr>
              <w:spacing w:after="0"/>
              <w:rPr>
                <w:sz w:val="1"/>
                <w:szCs w:val="1"/>
                <w:color w:val="auto"/>
              </w:rPr>
            </w:pPr>
          </w:p>
        </w:tc>
      </w:tr>
      <w:tr>
        <w:trPr>
          <w:trHeight w:val="270"/>
        </w:trPr>
        <w:tc>
          <w:tcPr>
            <w:tcW w:w="1380" w:type="dxa"/>
            <w:vAlign w:val="bottom"/>
            <w:gridSpan w:val="2"/>
          </w:tcPr>
          <w:p>
            <w:pPr>
              <w:spacing w:after="0"/>
              <w:rPr>
                <w:sz w:val="20"/>
                <w:szCs w:val="20"/>
                <w:color w:val="auto"/>
              </w:rPr>
            </w:pPr>
            <w:r>
              <w:rPr>
                <w:rFonts w:ascii="Arial" w:cs="Arial" w:eastAsia="Arial" w:hAnsi="Arial"/>
                <w:sz w:val="15"/>
                <w:szCs w:val="15"/>
                <w:b w:val="1"/>
                <w:bCs w:val="1"/>
                <w:color w:val="auto"/>
                <w:w w:val="96"/>
              </w:rPr>
              <w:t>Fixed Price Options</w:t>
            </w:r>
          </w:p>
        </w:tc>
        <w:tc>
          <w:tcPr>
            <w:tcW w:w="9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gridSpan w:val="2"/>
          </w:tcPr>
          <w:p>
            <w:pPr>
              <w:ind w:left="80"/>
              <w:spacing w:after="0"/>
              <w:rPr>
                <w:sz w:val="20"/>
                <w:szCs w:val="20"/>
                <w:color w:val="auto"/>
              </w:rPr>
            </w:pPr>
            <w:r>
              <w:rPr>
                <w:rFonts w:ascii="Arial" w:cs="Arial" w:eastAsia="Arial" w:hAnsi="Arial"/>
                <w:sz w:val="15"/>
                <w:szCs w:val="15"/>
                <w:color w:val="auto"/>
              </w:rPr>
              <w:t>$[*CTR]</w:t>
            </w:r>
          </w:p>
        </w:tc>
        <w:tc>
          <w:tcPr>
            <w:tcW w:w="380" w:type="dxa"/>
            <w:vAlign w:val="bottom"/>
          </w:tcPr>
          <w:p>
            <w:pPr>
              <w:spacing w:after="0"/>
              <w:rPr>
                <w:sz w:val="23"/>
                <w:szCs w:val="23"/>
                <w:color w:val="auto"/>
              </w:rPr>
            </w:pPr>
          </w:p>
        </w:tc>
        <w:tc>
          <w:tcPr>
            <w:tcW w:w="1960" w:type="dxa"/>
            <w:vAlign w:val="bottom"/>
            <w:gridSpan w:val="5"/>
          </w:tcPr>
          <w:p>
            <w:pPr>
              <w:spacing w:after="0"/>
              <w:rPr>
                <w:sz w:val="20"/>
                <w:szCs w:val="20"/>
                <w:color w:val="auto"/>
              </w:rPr>
            </w:pPr>
            <w:r>
              <w:rPr>
                <w:rFonts w:ascii="Arial" w:cs="Arial" w:eastAsia="Arial" w:hAnsi="Arial"/>
                <w:sz w:val="15"/>
                <w:szCs w:val="15"/>
                <w:b w:val="1"/>
                <w:bCs w:val="1"/>
                <w:color w:val="auto"/>
              </w:rPr>
              <w:t>Base Year Index (CPI):</w:t>
            </w: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tcPr>
          <w:p>
            <w:pPr>
              <w:ind w:left="60"/>
              <w:spacing w:after="0"/>
              <w:rPr>
                <w:sz w:val="20"/>
                <w:szCs w:val="20"/>
                <w:color w:val="auto"/>
              </w:rPr>
            </w:pPr>
            <w:r>
              <w:rPr>
                <w:rFonts w:ascii="Arial" w:cs="Arial" w:eastAsia="Arial" w:hAnsi="Arial"/>
                <w:sz w:val="15"/>
                <w:szCs w:val="15"/>
                <w:color w:val="auto"/>
              </w:rPr>
              <w:t>[*CTR]</w:t>
            </w:r>
          </w:p>
        </w:tc>
        <w:tc>
          <w:tcPr>
            <w:tcW w:w="0" w:type="dxa"/>
            <w:vAlign w:val="bottom"/>
          </w:tcPr>
          <w:p>
            <w:pPr>
              <w:spacing w:after="0"/>
              <w:rPr>
                <w:sz w:val="1"/>
                <w:szCs w:val="1"/>
                <w:color w:val="auto"/>
              </w:rPr>
            </w:pPr>
          </w:p>
        </w:tc>
      </w:tr>
      <w:tr>
        <w:trPr>
          <w:trHeight w:val="270"/>
        </w:trPr>
        <w:tc>
          <w:tcPr>
            <w:tcW w:w="1380" w:type="dxa"/>
            <w:vAlign w:val="bottom"/>
            <w:gridSpan w:val="2"/>
          </w:tcPr>
          <w:p>
            <w:pPr>
              <w:spacing w:after="0"/>
              <w:rPr>
                <w:sz w:val="20"/>
                <w:szCs w:val="20"/>
                <w:color w:val="auto"/>
              </w:rPr>
            </w:pPr>
            <w:r>
              <w:rPr>
                <w:rFonts w:ascii="Arial" w:cs="Arial" w:eastAsia="Arial" w:hAnsi="Arial"/>
                <w:sz w:val="15"/>
                <w:szCs w:val="15"/>
                <w:b w:val="1"/>
                <w:bCs w:val="1"/>
                <w:color w:val="auto"/>
                <w:w w:val="93"/>
              </w:rPr>
              <w:t>Deposit per Aircraft:</w:t>
            </w:r>
          </w:p>
        </w:tc>
        <w:tc>
          <w:tcPr>
            <w:tcW w:w="9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gridSpan w:val="2"/>
          </w:tcPr>
          <w:p>
            <w:pPr>
              <w:ind w:left="80"/>
              <w:spacing w:after="0"/>
              <w:rPr>
                <w:sz w:val="20"/>
                <w:szCs w:val="20"/>
                <w:color w:val="auto"/>
              </w:rPr>
            </w:pPr>
            <w:r>
              <w:rPr>
                <w:rFonts w:ascii="Arial" w:cs="Arial" w:eastAsia="Arial" w:hAnsi="Arial"/>
                <w:sz w:val="15"/>
                <w:szCs w:val="15"/>
                <w:color w:val="auto"/>
              </w:rPr>
              <w:t>$[*CTR]</w:t>
            </w:r>
          </w:p>
        </w:tc>
        <w:tc>
          <w:tcPr>
            <w:tcW w:w="3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gridSpan w:val="5"/>
          </w:tcPr>
          <w:p>
            <w:pPr>
              <w:spacing w:after="0"/>
              <w:rPr>
                <w:sz w:val="20"/>
                <w:szCs w:val="20"/>
                <w:color w:val="auto"/>
              </w:rPr>
            </w:pPr>
          </w:p>
        </w:tc>
        <w:tc>
          <w:tcPr>
            <w:tcW w:w="0" w:type="dxa"/>
            <w:vAlign w:val="bottom"/>
          </w:tcPr>
          <w:p>
            <w:pPr>
              <w:spacing w:after="0"/>
              <w:rPr>
                <w:sz w:val="1"/>
                <w:szCs w:val="1"/>
                <w:color w:val="auto"/>
              </w:rPr>
            </w:pPr>
          </w:p>
        </w:tc>
      </w:tr>
      <w:tr>
        <w:trPr>
          <w:trHeight w:val="145"/>
        </w:trPr>
        <w:tc>
          <w:tcPr>
            <w:tcW w:w="1200" w:type="dxa"/>
            <w:vAlign w:val="bottom"/>
            <w:tcBorders>
              <w:left w:val="single" w:sz="8" w:color="auto"/>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Borders>
              <w:right w:val="single" w:sz="8" w:color="auto"/>
            </w:tcBorders>
            <w:vMerge w:val="restart"/>
          </w:tcPr>
          <w:p>
            <w:pPr>
              <w:jc w:val="center"/>
              <w:ind w:right="87"/>
              <w:spacing w:after="0"/>
              <w:rPr>
                <w:sz w:val="20"/>
                <w:szCs w:val="20"/>
                <w:color w:val="auto"/>
              </w:rPr>
            </w:pPr>
            <w:r>
              <w:rPr>
                <w:rFonts w:ascii="Arial" w:cs="Arial" w:eastAsia="Arial" w:hAnsi="Arial"/>
                <w:sz w:val="15"/>
                <w:szCs w:val="15"/>
                <w:b w:val="1"/>
                <w:bCs w:val="1"/>
                <w:color w:val="auto"/>
                <w:w w:val="90"/>
              </w:rPr>
              <w:t>Escalation</w:t>
            </w:r>
          </w:p>
        </w:tc>
        <w:tc>
          <w:tcPr>
            <w:tcW w:w="920" w:type="dxa"/>
            <w:vAlign w:val="bottom"/>
            <w:vMerge w:val="restart"/>
          </w:tcPr>
          <w:p>
            <w:pPr>
              <w:jc w:val="center"/>
              <w:ind w:left="87"/>
              <w:spacing w:after="0"/>
              <w:rPr>
                <w:sz w:val="20"/>
                <w:szCs w:val="20"/>
                <w:color w:val="auto"/>
              </w:rPr>
            </w:pPr>
            <w:r>
              <w:rPr>
                <w:rFonts w:ascii="Arial" w:cs="Arial" w:eastAsia="Arial" w:hAnsi="Arial"/>
                <w:sz w:val="15"/>
                <w:szCs w:val="15"/>
                <w:b w:val="1"/>
                <w:bCs w:val="1"/>
                <w:color w:val="auto"/>
                <w:w w:val="90"/>
              </w:rPr>
              <w:t>Escalation</w:t>
            </w:r>
          </w:p>
        </w:tc>
        <w:tc>
          <w:tcPr>
            <w:tcW w:w="160" w:type="dxa"/>
            <w:vAlign w:val="bottom"/>
            <w:tcBorders>
              <w:right w:val="single" w:sz="8" w:color="auto"/>
            </w:tcBorders>
          </w:tcPr>
          <w:p>
            <w:pPr>
              <w:spacing w:after="0"/>
              <w:rPr>
                <w:sz w:val="12"/>
                <w:szCs w:val="12"/>
                <w:color w:val="auto"/>
              </w:rPr>
            </w:pPr>
          </w:p>
        </w:tc>
        <w:tc>
          <w:tcPr>
            <w:tcW w:w="100" w:type="dxa"/>
            <w:vAlign w:val="bottom"/>
            <w:shd w:val="clear" w:color="auto" w:fill="CCCCCC"/>
          </w:tcPr>
          <w:p>
            <w:pPr>
              <w:spacing w:after="0"/>
              <w:rPr>
                <w:sz w:val="12"/>
                <w:szCs w:val="12"/>
                <w:color w:val="auto"/>
              </w:rPr>
            </w:pPr>
          </w:p>
        </w:tc>
        <w:tc>
          <w:tcPr>
            <w:tcW w:w="180" w:type="dxa"/>
            <w:vAlign w:val="bottom"/>
            <w:shd w:val="clear" w:color="auto" w:fill="CCCCCC"/>
          </w:tcPr>
          <w:p>
            <w:pPr>
              <w:spacing w:after="0"/>
              <w:rPr>
                <w:sz w:val="12"/>
                <w:szCs w:val="12"/>
                <w:color w:val="auto"/>
              </w:rPr>
            </w:pPr>
          </w:p>
        </w:tc>
        <w:tc>
          <w:tcPr>
            <w:tcW w:w="80" w:type="dxa"/>
            <w:vAlign w:val="bottom"/>
            <w:shd w:val="clear" w:color="auto" w:fill="CCCCCC"/>
          </w:tcPr>
          <w:p>
            <w:pPr>
              <w:spacing w:after="0"/>
              <w:rPr>
                <w:sz w:val="12"/>
                <w:szCs w:val="12"/>
                <w:color w:val="auto"/>
              </w:rPr>
            </w:pPr>
          </w:p>
        </w:tc>
        <w:tc>
          <w:tcPr>
            <w:tcW w:w="620" w:type="dxa"/>
            <w:vAlign w:val="bottom"/>
            <w:shd w:val="clear" w:color="auto" w:fill="CCCCCC"/>
          </w:tcPr>
          <w:p>
            <w:pPr>
              <w:spacing w:after="0"/>
              <w:rPr>
                <w:sz w:val="12"/>
                <w:szCs w:val="12"/>
                <w:color w:val="auto"/>
              </w:rPr>
            </w:pPr>
          </w:p>
        </w:tc>
        <w:tc>
          <w:tcPr>
            <w:tcW w:w="180" w:type="dxa"/>
            <w:vAlign w:val="bottom"/>
            <w:tcBorders>
              <w:right w:val="single" w:sz="8" w:color="auto"/>
            </w:tcBorders>
            <w:shd w:val="clear" w:color="auto" w:fill="CCCCCC"/>
          </w:tcPr>
          <w:p>
            <w:pPr>
              <w:spacing w:after="0"/>
              <w:rPr>
                <w:sz w:val="12"/>
                <w:szCs w:val="12"/>
                <w:color w:val="auto"/>
              </w:rPr>
            </w:pPr>
          </w:p>
        </w:tc>
        <w:tc>
          <w:tcPr>
            <w:tcW w:w="148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5"/>
                <w:szCs w:val="15"/>
                <w:b w:val="1"/>
                <w:bCs w:val="1"/>
                <w:color w:val="auto"/>
                <w:w w:val="91"/>
              </w:rPr>
              <w:t>Escalation Estimate</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500" w:type="dxa"/>
            <w:vAlign w:val="bottom"/>
            <w:tcBorders>
              <w:right w:val="single" w:sz="8" w:color="auto"/>
            </w:tcBorders>
            <w:gridSpan w:val="5"/>
          </w:tcPr>
          <w:p>
            <w:pPr>
              <w:jc w:val="center"/>
              <w:ind w:right="806"/>
              <w:spacing w:after="0" w:line="145" w:lineRule="exact"/>
              <w:rPr>
                <w:sz w:val="20"/>
                <w:szCs w:val="20"/>
                <w:color w:val="auto"/>
              </w:rPr>
            </w:pPr>
            <w:r>
              <w:rPr>
                <w:rFonts w:ascii="Arial" w:cs="Arial" w:eastAsia="Arial" w:hAnsi="Arial"/>
                <w:sz w:val="15"/>
                <w:szCs w:val="15"/>
                <w:b w:val="1"/>
                <w:bCs w:val="1"/>
                <w:color w:val="auto"/>
                <w:w w:val="93"/>
              </w:rPr>
              <w:t>Advance Payment Per Aircraft (Amts.</w:t>
            </w:r>
          </w:p>
        </w:tc>
        <w:tc>
          <w:tcPr>
            <w:tcW w:w="0" w:type="dxa"/>
            <w:vAlign w:val="bottom"/>
          </w:tcPr>
          <w:p>
            <w:pPr>
              <w:spacing w:after="0"/>
              <w:rPr>
                <w:sz w:val="1"/>
                <w:szCs w:val="1"/>
                <w:color w:val="auto"/>
              </w:rPr>
            </w:pPr>
          </w:p>
        </w:tc>
      </w:tr>
      <w:tr>
        <w:trPr>
          <w:trHeight w:val="90"/>
        </w:trPr>
        <w:tc>
          <w:tcPr>
            <w:tcW w:w="1200" w:type="dxa"/>
            <w:vAlign w:val="bottom"/>
            <w:tcBorders>
              <w:left w:val="single" w:sz="8" w:color="auto"/>
              <w:right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900" w:type="dxa"/>
            <w:vAlign w:val="bottom"/>
            <w:tcBorders>
              <w:right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tcBorders>
              <w:right w:val="single" w:sz="8" w:color="auto"/>
            </w:tcBorders>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160" w:type="dxa"/>
            <w:vAlign w:val="bottom"/>
            <w:tcBorders>
              <w:right w:val="single" w:sz="8" w:color="auto"/>
            </w:tcBorders>
          </w:tcPr>
          <w:p>
            <w:pPr>
              <w:spacing w:after="0"/>
              <w:rPr>
                <w:sz w:val="7"/>
                <w:szCs w:val="7"/>
                <w:color w:val="auto"/>
              </w:rPr>
            </w:pPr>
          </w:p>
        </w:tc>
        <w:tc>
          <w:tcPr>
            <w:tcW w:w="100" w:type="dxa"/>
            <w:vAlign w:val="bottom"/>
            <w:shd w:val="clear" w:color="auto" w:fill="CCCCCC"/>
          </w:tcPr>
          <w:p>
            <w:pPr>
              <w:spacing w:after="0"/>
              <w:rPr>
                <w:sz w:val="7"/>
                <w:szCs w:val="7"/>
                <w:color w:val="auto"/>
              </w:rPr>
            </w:pPr>
          </w:p>
        </w:tc>
        <w:tc>
          <w:tcPr>
            <w:tcW w:w="180" w:type="dxa"/>
            <w:vAlign w:val="bottom"/>
            <w:shd w:val="clear" w:color="auto" w:fill="CCCCCC"/>
          </w:tcPr>
          <w:p>
            <w:pPr>
              <w:spacing w:after="0"/>
              <w:rPr>
                <w:sz w:val="7"/>
                <w:szCs w:val="7"/>
                <w:color w:val="auto"/>
              </w:rPr>
            </w:pPr>
          </w:p>
        </w:tc>
        <w:tc>
          <w:tcPr>
            <w:tcW w:w="80" w:type="dxa"/>
            <w:vAlign w:val="bottom"/>
            <w:shd w:val="clear" w:color="auto" w:fill="CCCCCC"/>
          </w:tcPr>
          <w:p>
            <w:pPr>
              <w:spacing w:after="0"/>
              <w:rPr>
                <w:sz w:val="7"/>
                <w:szCs w:val="7"/>
                <w:color w:val="auto"/>
              </w:rPr>
            </w:pPr>
          </w:p>
        </w:tc>
        <w:tc>
          <w:tcPr>
            <w:tcW w:w="620" w:type="dxa"/>
            <w:vAlign w:val="bottom"/>
            <w:shd w:val="clear" w:color="auto" w:fill="CCCCCC"/>
          </w:tcPr>
          <w:p>
            <w:pPr>
              <w:spacing w:after="0"/>
              <w:rPr>
                <w:sz w:val="7"/>
                <w:szCs w:val="7"/>
                <w:color w:val="auto"/>
              </w:rPr>
            </w:pPr>
          </w:p>
        </w:tc>
        <w:tc>
          <w:tcPr>
            <w:tcW w:w="180" w:type="dxa"/>
            <w:vAlign w:val="bottom"/>
            <w:tcBorders>
              <w:right w:val="single" w:sz="8" w:color="auto"/>
            </w:tcBorders>
            <w:shd w:val="clear" w:color="auto" w:fill="CCCCCC"/>
          </w:tcPr>
          <w:p>
            <w:pPr>
              <w:spacing w:after="0"/>
              <w:rPr>
                <w:sz w:val="7"/>
                <w:szCs w:val="7"/>
                <w:color w:val="auto"/>
              </w:rPr>
            </w:pPr>
          </w:p>
        </w:tc>
        <w:tc>
          <w:tcPr>
            <w:tcW w:w="1480" w:type="dxa"/>
            <w:vAlign w:val="bottom"/>
            <w:tcBorders>
              <w:right w:val="single" w:sz="8" w:color="auto"/>
            </w:tcBorders>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180" w:type="dxa"/>
            <w:vAlign w:val="bottom"/>
            <w:gridSpan w:val="3"/>
            <w:vMerge w:val="restart"/>
          </w:tcPr>
          <w:p>
            <w:pPr>
              <w:jc w:val="center"/>
              <w:ind w:left="87"/>
              <w:spacing w:after="0"/>
              <w:rPr>
                <w:sz w:val="20"/>
                <w:szCs w:val="20"/>
                <w:color w:val="auto"/>
              </w:rPr>
            </w:pPr>
            <w:r>
              <w:rPr>
                <w:rFonts w:ascii="Arial" w:cs="Arial" w:eastAsia="Arial" w:hAnsi="Arial"/>
                <w:sz w:val="15"/>
                <w:szCs w:val="15"/>
                <w:b w:val="1"/>
                <w:bCs w:val="1"/>
                <w:color w:val="auto"/>
                <w:w w:val="94"/>
              </w:rPr>
              <w:t>Due/Mos. Prior to Delivery):</w:t>
            </w:r>
          </w:p>
        </w:tc>
        <w:tc>
          <w:tcPr>
            <w:tcW w:w="11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200" w:type="dxa"/>
            <w:vAlign w:val="bottom"/>
            <w:tcBorders>
              <w:left w:val="single" w:sz="8" w:color="auto"/>
              <w:right w:val="single" w:sz="8" w:color="auto"/>
            </w:tcBorders>
            <w:vMerge w:val="restart"/>
          </w:tcPr>
          <w:p>
            <w:pPr>
              <w:ind w:left="400"/>
              <w:spacing w:after="0"/>
              <w:rPr>
                <w:sz w:val="20"/>
                <w:szCs w:val="20"/>
                <w:color w:val="auto"/>
              </w:rPr>
            </w:pPr>
            <w:r>
              <w:rPr>
                <w:rFonts w:ascii="Arial" w:cs="Arial" w:eastAsia="Arial" w:hAnsi="Arial"/>
                <w:sz w:val="15"/>
                <w:szCs w:val="15"/>
                <w:b w:val="1"/>
                <w:bCs w:val="1"/>
                <w:color w:val="auto"/>
              </w:rPr>
              <w:t>Delivery</w:t>
            </w:r>
          </w:p>
        </w:tc>
        <w:tc>
          <w:tcPr>
            <w:tcW w:w="180" w:type="dxa"/>
            <w:vAlign w:val="bottom"/>
          </w:tcPr>
          <w:p>
            <w:pPr>
              <w:spacing w:after="0"/>
              <w:rPr>
                <w:sz w:val="7"/>
                <w:szCs w:val="7"/>
                <w:color w:val="auto"/>
              </w:rPr>
            </w:pPr>
          </w:p>
        </w:tc>
        <w:tc>
          <w:tcPr>
            <w:tcW w:w="900" w:type="dxa"/>
            <w:vAlign w:val="bottom"/>
            <w:tcBorders>
              <w:right w:val="single" w:sz="8" w:color="auto"/>
            </w:tcBorders>
            <w:vMerge w:val="restart"/>
          </w:tcPr>
          <w:p>
            <w:pPr>
              <w:jc w:val="right"/>
              <w:ind w:right="107"/>
              <w:spacing w:after="0"/>
              <w:rPr>
                <w:sz w:val="20"/>
                <w:szCs w:val="20"/>
                <w:color w:val="auto"/>
              </w:rPr>
            </w:pPr>
            <w:r>
              <w:rPr>
                <w:rFonts w:ascii="Arial" w:cs="Arial" w:eastAsia="Arial" w:hAnsi="Arial"/>
                <w:sz w:val="15"/>
                <w:szCs w:val="15"/>
                <w:b w:val="1"/>
                <w:bCs w:val="1"/>
                <w:color w:val="auto"/>
                <w:w w:val="93"/>
              </w:rPr>
              <w:t>Number of</w:t>
            </w:r>
          </w:p>
        </w:tc>
        <w:tc>
          <w:tcPr>
            <w:tcW w:w="160" w:type="dxa"/>
            <w:vAlign w:val="bottom"/>
          </w:tcPr>
          <w:p>
            <w:pPr>
              <w:spacing w:after="0"/>
              <w:rPr>
                <w:sz w:val="7"/>
                <w:szCs w:val="7"/>
                <w:color w:val="auto"/>
              </w:rPr>
            </w:pPr>
          </w:p>
        </w:tc>
        <w:tc>
          <w:tcPr>
            <w:tcW w:w="920" w:type="dxa"/>
            <w:vAlign w:val="bottom"/>
            <w:tcBorders>
              <w:right w:val="single" w:sz="8" w:color="auto"/>
            </w:tcBorders>
            <w:vMerge w:val="restart"/>
          </w:tcPr>
          <w:p>
            <w:pPr>
              <w:jc w:val="center"/>
              <w:ind w:right="87"/>
              <w:spacing w:after="0"/>
              <w:rPr>
                <w:sz w:val="20"/>
                <w:szCs w:val="20"/>
                <w:color w:val="auto"/>
              </w:rPr>
            </w:pPr>
            <w:r>
              <w:rPr>
                <w:rFonts w:ascii="Arial" w:cs="Arial" w:eastAsia="Arial" w:hAnsi="Arial"/>
                <w:sz w:val="15"/>
                <w:szCs w:val="15"/>
                <w:b w:val="1"/>
                <w:bCs w:val="1"/>
                <w:color w:val="auto"/>
                <w:w w:val="95"/>
              </w:rPr>
              <w:t>Factor</w:t>
            </w:r>
          </w:p>
        </w:tc>
        <w:tc>
          <w:tcPr>
            <w:tcW w:w="920" w:type="dxa"/>
            <w:vAlign w:val="bottom"/>
            <w:vMerge w:val="restart"/>
          </w:tcPr>
          <w:p>
            <w:pPr>
              <w:jc w:val="center"/>
              <w:ind w:left="87"/>
              <w:spacing w:after="0"/>
              <w:rPr>
                <w:sz w:val="20"/>
                <w:szCs w:val="20"/>
                <w:color w:val="auto"/>
              </w:rPr>
            </w:pPr>
            <w:r>
              <w:rPr>
                <w:rFonts w:ascii="Arial" w:cs="Arial" w:eastAsia="Arial" w:hAnsi="Arial"/>
                <w:sz w:val="15"/>
                <w:szCs w:val="15"/>
                <w:b w:val="1"/>
                <w:bCs w:val="1"/>
                <w:color w:val="auto"/>
                <w:w w:val="95"/>
              </w:rPr>
              <w:t>Factor</w:t>
            </w:r>
          </w:p>
        </w:tc>
        <w:tc>
          <w:tcPr>
            <w:tcW w:w="160" w:type="dxa"/>
            <w:vAlign w:val="bottom"/>
            <w:tcBorders>
              <w:right w:val="single" w:sz="8" w:color="auto"/>
            </w:tcBorders>
          </w:tcPr>
          <w:p>
            <w:pPr>
              <w:spacing w:after="0"/>
              <w:rPr>
                <w:sz w:val="7"/>
                <w:szCs w:val="7"/>
                <w:color w:val="auto"/>
              </w:rPr>
            </w:pPr>
          </w:p>
        </w:tc>
        <w:tc>
          <w:tcPr>
            <w:tcW w:w="100" w:type="dxa"/>
            <w:vAlign w:val="bottom"/>
            <w:tcBorders>
              <w:bottom w:val="single" w:sz="8" w:color="CCCCCC"/>
            </w:tcBorders>
            <w:shd w:val="clear" w:color="auto" w:fill="CCCCCC"/>
          </w:tcPr>
          <w:p>
            <w:pPr>
              <w:spacing w:after="0"/>
              <w:rPr>
                <w:sz w:val="7"/>
                <w:szCs w:val="7"/>
                <w:color w:val="auto"/>
              </w:rPr>
            </w:pPr>
          </w:p>
        </w:tc>
        <w:tc>
          <w:tcPr>
            <w:tcW w:w="1060" w:type="dxa"/>
            <w:vAlign w:val="bottom"/>
            <w:tcBorders>
              <w:bottom w:val="single" w:sz="8" w:color="CCCCCC"/>
              <w:right w:val="single" w:sz="8" w:color="auto"/>
            </w:tcBorders>
            <w:gridSpan w:val="4"/>
            <w:vMerge w:val="restart"/>
            <w:shd w:val="clear" w:color="auto" w:fill="CCCCCC"/>
          </w:tcPr>
          <w:p>
            <w:pPr>
              <w:ind w:left="20"/>
              <w:spacing w:after="0"/>
              <w:rPr>
                <w:sz w:val="20"/>
                <w:szCs w:val="20"/>
                <w:color w:val="auto"/>
              </w:rPr>
            </w:pPr>
            <w:r>
              <w:rPr>
                <w:rFonts w:ascii="Arial" w:cs="Arial" w:eastAsia="Arial" w:hAnsi="Arial"/>
                <w:sz w:val="15"/>
                <w:szCs w:val="15"/>
                <w:b w:val="1"/>
                <w:bCs w:val="1"/>
                <w:color w:val="auto"/>
              </w:rPr>
              <w:t>Manufacturer</w:t>
            </w:r>
          </w:p>
        </w:tc>
        <w:tc>
          <w:tcPr>
            <w:tcW w:w="148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5"/>
                <w:szCs w:val="15"/>
                <w:b w:val="1"/>
                <w:bCs w:val="1"/>
                <w:color w:val="auto"/>
                <w:w w:val="90"/>
              </w:rPr>
              <w:t>Adv Payment Base</w:t>
            </w:r>
          </w:p>
        </w:tc>
        <w:tc>
          <w:tcPr>
            <w:tcW w:w="2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180" w:type="dxa"/>
            <w:vAlign w:val="bottom"/>
            <w:tcBorders>
              <w:bottom w:val="single" w:sz="8" w:color="auto"/>
            </w:tcBorders>
            <w:gridSpan w:val="3"/>
            <w:vMerge w:val="continue"/>
          </w:tcPr>
          <w:p>
            <w:pPr>
              <w:spacing w:after="0"/>
              <w:rPr>
                <w:sz w:val="7"/>
                <w:szCs w:val="7"/>
                <w:color w:val="auto"/>
              </w:rPr>
            </w:pPr>
          </w:p>
        </w:tc>
        <w:tc>
          <w:tcPr>
            <w:tcW w:w="11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1200" w:type="dxa"/>
            <w:vAlign w:val="bottom"/>
            <w:tcBorders>
              <w:left w:val="single" w:sz="8" w:color="auto"/>
              <w:right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Borders>
              <w:right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Borders>
              <w:right w:val="single" w:sz="8" w:color="auto"/>
            </w:tcBorders>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100" w:type="dxa"/>
            <w:vAlign w:val="bottom"/>
            <w:shd w:val="clear" w:color="auto" w:fill="CCCCCC"/>
          </w:tcPr>
          <w:p>
            <w:pPr>
              <w:spacing w:after="0"/>
              <w:rPr>
                <w:sz w:val="16"/>
                <w:szCs w:val="16"/>
                <w:color w:val="auto"/>
              </w:rPr>
            </w:pPr>
          </w:p>
        </w:tc>
        <w:tc>
          <w:tcPr>
            <w:tcW w:w="1060" w:type="dxa"/>
            <w:vAlign w:val="bottom"/>
            <w:tcBorders>
              <w:right w:val="single" w:sz="8" w:color="auto"/>
            </w:tcBorders>
            <w:gridSpan w:val="4"/>
            <w:vMerge w:val="continue"/>
            <w:shd w:val="clear" w:color="auto" w:fill="CCCCCC"/>
          </w:tcPr>
          <w:p>
            <w:pPr>
              <w:spacing w:after="0"/>
              <w:rPr>
                <w:sz w:val="16"/>
                <w:szCs w:val="16"/>
                <w:color w:val="auto"/>
              </w:rPr>
            </w:pPr>
          </w:p>
        </w:tc>
        <w:tc>
          <w:tcPr>
            <w:tcW w:w="1480" w:type="dxa"/>
            <w:vAlign w:val="bottom"/>
            <w:tcBorders>
              <w:right w:val="single" w:sz="8" w:color="auto"/>
            </w:tcBorders>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gridSpan w:val="3"/>
          </w:tcPr>
          <w:p>
            <w:pPr>
              <w:jc w:val="center"/>
              <w:ind w:right="20"/>
              <w:spacing w:after="0"/>
              <w:rPr>
                <w:sz w:val="20"/>
                <w:szCs w:val="20"/>
                <w:color w:val="auto"/>
              </w:rPr>
            </w:pPr>
            <w:r>
              <w:rPr>
                <w:rFonts w:ascii="Arial" w:cs="Arial" w:eastAsia="Arial" w:hAnsi="Arial"/>
                <w:sz w:val="15"/>
                <w:szCs w:val="15"/>
                <w:b w:val="1"/>
                <w:bCs w:val="1"/>
                <w:color w:val="auto"/>
              </w:rPr>
              <w:t>[*CTR]</w:t>
            </w:r>
          </w:p>
        </w:tc>
        <w:tc>
          <w:tcPr>
            <w:tcW w:w="16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rPr>
              <w:t>[*CTR]</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rPr>
              <w:t>[*CTR]</w:t>
            </w:r>
          </w:p>
        </w:tc>
        <w:tc>
          <w:tcPr>
            <w:tcW w:w="100" w:type="dxa"/>
            <w:vAlign w:val="bottom"/>
          </w:tcPr>
          <w:p>
            <w:pPr>
              <w:spacing w:after="0"/>
              <w:rPr>
                <w:sz w:val="16"/>
                <w:szCs w:val="16"/>
                <w:color w:val="auto"/>
              </w:rPr>
            </w:pPr>
          </w:p>
        </w:tc>
        <w:tc>
          <w:tcPr>
            <w:tcW w:w="1160" w:type="dxa"/>
            <w:vAlign w:val="bottom"/>
            <w:tcBorders>
              <w:right w:val="single" w:sz="8" w:color="auto"/>
            </w:tcBorders>
          </w:tcPr>
          <w:p>
            <w:pPr>
              <w:jc w:val="center"/>
              <w:ind w:right="6"/>
              <w:spacing w:after="0"/>
              <w:rPr>
                <w:sz w:val="20"/>
                <w:szCs w:val="20"/>
                <w:color w:val="auto"/>
              </w:rPr>
            </w:pPr>
            <w:r>
              <w:rPr>
                <w:rFonts w:ascii="Arial" w:cs="Arial" w:eastAsia="Arial" w:hAnsi="Arial"/>
                <w:sz w:val="15"/>
                <w:szCs w:val="15"/>
                <w:b w:val="1"/>
                <w:bCs w:val="1"/>
                <w:color w:val="auto"/>
                <w:w w:val="89"/>
              </w:rPr>
              <w:t>Total</w:t>
            </w:r>
          </w:p>
        </w:tc>
        <w:tc>
          <w:tcPr>
            <w:tcW w:w="0" w:type="dxa"/>
            <w:vAlign w:val="bottom"/>
          </w:tcPr>
          <w:p>
            <w:pPr>
              <w:spacing w:after="0"/>
              <w:rPr>
                <w:sz w:val="1"/>
                <w:szCs w:val="1"/>
                <w:color w:val="auto"/>
              </w:rPr>
            </w:pPr>
          </w:p>
        </w:tc>
      </w:tr>
      <w:tr>
        <w:trPr>
          <w:trHeight w:val="261"/>
        </w:trPr>
        <w:tc>
          <w:tcPr>
            <w:tcW w:w="1200" w:type="dxa"/>
            <w:vAlign w:val="bottom"/>
            <w:tcBorders>
              <w:left w:val="single" w:sz="8" w:color="auto"/>
              <w:bottom w:val="single" w:sz="8" w:color="auto"/>
              <w:right w:val="single" w:sz="8" w:color="auto"/>
            </w:tcBorders>
          </w:tcPr>
          <w:p>
            <w:pPr>
              <w:ind w:left="520"/>
              <w:spacing w:after="0"/>
              <w:rPr>
                <w:sz w:val="20"/>
                <w:szCs w:val="20"/>
                <w:color w:val="auto"/>
              </w:rPr>
            </w:pPr>
            <w:r>
              <w:rPr>
                <w:rFonts w:ascii="Arial" w:cs="Arial" w:eastAsia="Arial" w:hAnsi="Arial"/>
                <w:sz w:val="15"/>
                <w:szCs w:val="15"/>
                <w:b w:val="1"/>
                <w:bCs w:val="1"/>
                <w:color w:val="auto"/>
              </w:rPr>
              <w:t>Date</w:t>
            </w:r>
          </w:p>
        </w:tc>
        <w:tc>
          <w:tcPr>
            <w:tcW w:w="180" w:type="dxa"/>
            <w:vAlign w:val="bottom"/>
            <w:tcBorders>
              <w:bottom w:val="single" w:sz="8" w:color="auto"/>
            </w:tcBorders>
          </w:tcPr>
          <w:p>
            <w:pPr>
              <w:spacing w:after="0"/>
              <w:rPr>
                <w:sz w:val="22"/>
                <w:szCs w:val="22"/>
                <w:color w:val="auto"/>
              </w:rPr>
            </w:pPr>
          </w:p>
        </w:tc>
        <w:tc>
          <w:tcPr>
            <w:tcW w:w="900" w:type="dxa"/>
            <w:vAlign w:val="bottom"/>
            <w:tcBorders>
              <w:bottom w:val="single" w:sz="8" w:color="auto"/>
              <w:right w:val="single" w:sz="8" w:color="auto"/>
            </w:tcBorders>
          </w:tcPr>
          <w:p>
            <w:pPr>
              <w:jc w:val="right"/>
              <w:ind w:right="207"/>
              <w:spacing w:after="0"/>
              <w:rPr>
                <w:sz w:val="20"/>
                <w:szCs w:val="20"/>
                <w:color w:val="auto"/>
              </w:rPr>
            </w:pPr>
            <w:r>
              <w:rPr>
                <w:rFonts w:ascii="Arial" w:cs="Arial" w:eastAsia="Arial" w:hAnsi="Arial"/>
                <w:sz w:val="15"/>
                <w:szCs w:val="15"/>
                <w:b w:val="1"/>
                <w:bCs w:val="1"/>
                <w:color w:val="auto"/>
              </w:rPr>
              <w:t>Aircraft</w:t>
            </w:r>
          </w:p>
        </w:tc>
        <w:tc>
          <w:tcPr>
            <w:tcW w:w="160" w:type="dxa"/>
            <w:vAlign w:val="bottom"/>
            <w:tcBorders>
              <w:bottom w:val="single" w:sz="8" w:color="auto"/>
            </w:tcBorders>
          </w:tcPr>
          <w:p>
            <w:pPr>
              <w:spacing w:after="0"/>
              <w:rPr>
                <w:sz w:val="22"/>
                <w:szCs w:val="22"/>
                <w:color w:val="auto"/>
              </w:rPr>
            </w:pPr>
          </w:p>
        </w:tc>
        <w:tc>
          <w:tcPr>
            <w:tcW w:w="920" w:type="dxa"/>
            <w:vAlign w:val="bottom"/>
            <w:tcBorders>
              <w:bottom w:val="single" w:sz="8" w:color="auto"/>
              <w:right w:val="single" w:sz="8" w:color="auto"/>
            </w:tcBorders>
          </w:tcPr>
          <w:p>
            <w:pPr>
              <w:jc w:val="center"/>
              <w:ind w:right="87"/>
              <w:spacing w:after="0"/>
              <w:rPr>
                <w:sz w:val="20"/>
                <w:szCs w:val="20"/>
                <w:color w:val="auto"/>
              </w:rPr>
            </w:pPr>
            <w:r>
              <w:rPr>
                <w:rFonts w:ascii="Arial" w:cs="Arial" w:eastAsia="Arial" w:hAnsi="Arial"/>
                <w:sz w:val="15"/>
                <w:szCs w:val="15"/>
                <w:b w:val="1"/>
                <w:bCs w:val="1"/>
                <w:color w:val="auto"/>
              </w:rPr>
              <w:t>(Airframe)</w:t>
            </w:r>
          </w:p>
        </w:tc>
        <w:tc>
          <w:tcPr>
            <w:tcW w:w="920" w:type="dxa"/>
            <w:vAlign w:val="bottom"/>
            <w:tcBorders>
              <w:bottom w:val="single" w:sz="8" w:color="auto"/>
            </w:tcBorders>
          </w:tcPr>
          <w:p>
            <w:pPr>
              <w:jc w:val="center"/>
              <w:ind w:left="87"/>
              <w:spacing w:after="0"/>
              <w:rPr>
                <w:sz w:val="20"/>
                <w:szCs w:val="20"/>
                <w:color w:val="auto"/>
              </w:rPr>
            </w:pPr>
            <w:r>
              <w:rPr>
                <w:rFonts w:ascii="Arial" w:cs="Arial" w:eastAsia="Arial" w:hAnsi="Arial"/>
                <w:sz w:val="15"/>
                <w:szCs w:val="15"/>
                <w:b w:val="1"/>
                <w:bCs w:val="1"/>
                <w:color w:val="auto"/>
                <w:w w:val="93"/>
              </w:rPr>
              <w:t>(Engine)</w:t>
            </w:r>
          </w:p>
        </w:tc>
        <w:tc>
          <w:tcPr>
            <w:tcW w:w="160" w:type="dxa"/>
            <w:vAlign w:val="bottom"/>
            <w:tcBorders>
              <w:bottom w:val="single" w:sz="8" w:color="auto"/>
              <w:right w:val="single" w:sz="8" w:color="auto"/>
            </w:tcBorders>
          </w:tcPr>
          <w:p>
            <w:pPr>
              <w:spacing w:after="0"/>
              <w:rPr>
                <w:sz w:val="22"/>
                <w:szCs w:val="22"/>
                <w:color w:val="auto"/>
              </w:rPr>
            </w:pPr>
          </w:p>
        </w:tc>
        <w:tc>
          <w:tcPr>
            <w:tcW w:w="100" w:type="dxa"/>
            <w:vAlign w:val="bottom"/>
            <w:tcBorders>
              <w:bottom w:val="single" w:sz="8" w:color="auto"/>
            </w:tcBorders>
            <w:shd w:val="clear" w:color="auto" w:fill="CCCCCC"/>
          </w:tcPr>
          <w:p>
            <w:pPr>
              <w:spacing w:after="0"/>
              <w:rPr>
                <w:sz w:val="22"/>
                <w:szCs w:val="22"/>
                <w:color w:val="auto"/>
              </w:rPr>
            </w:pPr>
          </w:p>
        </w:tc>
        <w:tc>
          <w:tcPr>
            <w:tcW w:w="1060" w:type="dxa"/>
            <w:vAlign w:val="bottom"/>
            <w:tcBorders>
              <w:bottom w:val="single" w:sz="8" w:color="auto"/>
              <w:right w:val="single" w:sz="8" w:color="auto"/>
            </w:tcBorders>
            <w:gridSpan w:val="4"/>
            <w:shd w:val="clear" w:color="auto" w:fill="CCCCCC"/>
          </w:tcPr>
          <w:p>
            <w:pPr>
              <w:spacing w:after="0"/>
              <w:rPr>
                <w:sz w:val="20"/>
                <w:szCs w:val="20"/>
                <w:color w:val="auto"/>
              </w:rPr>
            </w:pPr>
            <w:r>
              <w:rPr>
                <w:rFonts w:ascii="Arial" w:cs="Arial" w:eastAsia="Arial" w:hAnsi="Arial"/>
                <w:sz w:val="15"/>
                <w:szCs w:val="15"/>
                <w:b w:val="1"/>
                <w:bCs w:val="1"/>
                <w:color w:val="auto"/>
              </w:rPr>
              <w:t>Serial Number</w:t>
            </w:r>
          </w:p>
        </w:tc>
        <w:tc>
          <w:tcPr>
            <w:tcW w:w="148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w w:val="93"/>
              </w:rPr>
              <w:t>Price Per A/P</w:t>
            </w:r>
          </w:p>
        </w:tc>
        <w:tc>
          <w:tcPr>
            <w:tcW w:w="2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60" w:type="dxa"/>
            <w:vAlign w:val="bottom"/>
            <w:tcBorders>
              <w:bottom w:val="single" w:sz="8" w:color="auto"/>
              <w:right w:val="single" w:sz="8" w:color="auto"/>
            </w:tcBorders>
          </w:tcPr>
          <w:p>
            <w:pPr>
              <w:spacing w:after="0"/>
              <w:rPr>
                <w:sz w:val="22"/>
                <w:szCs w:val="22"/>
                <w:color w:val="auto"/>
              </w:rPr>
            </w:pPr>
          </w:p>
        </w:tc>
        <w:tc>
          <w:tcPr>
            <w:tcW w:w="1040" w:type="dxa"/>
            <w:vAlign w:val="bottom"/>
            <w:tcBorders>
              <w:bottom w:val="single" w:sz="8" w:color="auto"/>
              <w:right w:val="single" w:sz="8" w:color="auto"/>
            </w:tcBorders>
          </w:tcPr>
          <w:p>
            <w:pPr>
              <w:spacing w:after="0"/>
              <w:rPr>
                <w:sz w:val="22"/>
                <w:szCs w:val="22"/>
                <w:color w:val="auto"/>
              </w:rPr>
            </w:pPr>
          </w:p>
        </w:tc>
        <w:tc>
          <w:tcPr>
            <w:tcW w:w="1040" w:type="dxa"/>
            <w:vAlign w:val="bottom"/>
            <w:tcBorders>
              <w:bottom w:val="single" w:sz="8" w:color="auto"/>
              <w:right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right w:val="single" w:sz="8" w:color="auto"/>
            </w:tcBorders>
          </w:tcPr>
          <w:p>
            <w:pPr>
              <w:jc w:val="center"/>
              <w:ind w:right="6"/>
              <w:spacing w:after="0"/>
              <w:rPr>
                <w:sz w:val="20"/>
                <w:szCs w:val="20"/>
                <w:color w:val="auto"/>
              </w:rPr>
            </w:pPr>
            <w:r>
              <w:rPr>
                <w:rFonts w:ascii="Arial" w:cs="Arial" w:eastAsia="Arial" w:hAnsi="Arial"/>
                <w:sz w:val="15"/>
                <w:szCs w:val="15"/>
                <w:color w:val="auto"/>
              </w:rPr>
              <w:t>[*CTR]</w:t>
            </w:r>
          </w:p>
        </w:tc>
        <w:tc>
          <w:tcPr>
            <w:tcW w:w="0" w:type="dxa"/>
            <w:vAlign w:val="bottom"/>
          </w:tcPr>
          <w:p>
            <w:pPr>
              <w:spacing w:after="0"/>
              <w:rPr>
                <w:sz w:val="1"/>
                <w:szCs w:val="1"/>
                <w:color w:val="auto"/>
              </w:rPr>
            </w:pPr>
          </w:p>
        </w:tc>
      </w:tr>
      <w:tr>
        <w:trPr>
          <w:trHeight w:val="142"/>
        </w:trPr>
        <w:tc>
          <w:tcPr>
            <w:tcW w:w="1200" w:type="dxa"/>
            <w:vAlign w:val="bottom"/>
            <w:tcBorders>
              <w:left w:val="single" w:sz="8" w:color="auto"/>
              <w:bottom w:val="single" w:sz="8" w:color="auto"/>
              <w:right w:val="single" w:sz="8" w:color="auto"/>
            </w:tcBorders>
          </w:tcPr>
          <w:p>
            <w:pPr>
              <w:ind w:left="240"/>
              <w:spacing w:after="0" w:line="142" w:lineRule="exact"/>
              <w:rPr>
                <w:sz w:val="20"/>
                <w:szCs w:val="20"/>
                <w:color w:val="auto"/>
              </w:rPr>
            </w:pPr>
            <w:r>
              <w:rPr>
                <w:rFonts w:ascii="Arial" w:cs="Arial" w:eastAsia="Arial" w:hAnsi="Arial"/>
                <w:sz w:val="14"/>
                <w:szCs w:val="14"/>
                <w:color w:val="auto"/>
              </w:rPr>
              <w:t>[*CTR]-2016</w:t>
            </w: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right w:val="single" w:sz="8" w:color="auto"/>
            </w:tcBorders>
          </w:tcPr>
          <w:p>
            <w:pPr>
              <w:jc w:val="right"/>
              <w:ind w:right="387"/>
              <w:spacing w:after="0" w:line="142" w:lineRule="exact"/>
              <w:rPr>
                <w:sz w:val="20"/>
                <w:szCs w:val="20"/>
                <w:color w:val="auto"/>
              </w:rPr>
            </w:pPr>
            <w:r>
              <w:rPr>
                <w:rFonts w:ascii="Arial" w:cs="Arial" w:eastAsia="Arial" w:hAnsi="Arial"/>
                <w:sz w:val="14"/>
                <w:szCs w:val="14"/>
                <w:color w:val="auto"/>
              </w:rPr>
              <w:t>1</w:t>
            </w:r>
          </w:p>
        </w:tc>
        <w:tc>
          <w:tcPr>
            <w:tcW w:w="160" w:type="dxa"/>
            <w:vAlign w:val="bottom"/>
            <w:tcBorders>
              <w:bottom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ind w:left="200"/>
              <w:spacing w:after="0" w:line="142" w:lineRule="exact"/>
              <w:rPr>
                <w:sz w:val="20"/>
                <w:szCs w:val="20"/>
                <w:color w:val="auto"/>
              </w:rPr>
            </w:pPr>
            <w:r>
              <w:rPr>
                <w:rFonts w:ascii="Arial" w:cs="Arial" w:eastAsia="Arial" w:hAnsi="Arial"/>
                <w:sz w:val="14"/>
                <w:szCs w:val="14"/>
                <w:color w:val="auto"/>
              </w:rPr>
              <w:t>[*CTR]</w:t>
            </w:r>
          </w:p>
        </w:tc>
        <w:tc>
          <w:tcPr>
            <w:tcW w:w="920" w:type="dxa"/>
            <w:vAlign w:val="bottom"/>
            <w:tcBorders>
              <w:bottom w:val="single" w:sz="8" w:color="auto"/>
            </w:tcBorders>
          </w:tcPr>
          <w:p>
            <w:pPr>
              <w:ind w:left="360"/>
              <w:spacing w:after="0" w:line="142" w:lineRule="exact"/>
              <w:rPr>
                <w:sz w:val="20"/>
                <w:szCs w:val="20"/>
                <w:color w:val="auto"/>
              </w:rPr>
            </w:pPr>
            <w:r>
              <w:rPr>
                <w:rFonts w:ascii="Arial" w:cs="Arial" w:eastAsia="Arial" w:hAnsi="Arial"/>
                <w:sz w:val="14"/>
                <w:szCs w:val="14"/>
                <w:color w:val="auto"/>
              </w:rPr>
              <w:t>[*CTR]</w:t>
            </w:r>
          </w:p>
        </w:tc>
        <w:tc>
          <w:tcPr>
            <w:tcW w:w="160" w:type="dxa"/>
            <w:vAlign w:val="bottom"/>
            <w:tcBorders>
              <w:bottom w:val="single" w:sz="8" w:color="auto"/>
              <w:right w:val="single" w:sz="8" w:color="auto"/>
            </w:tcBorders>
          </w:tcPr>
          <w:p>
            <w:pPr>
              <w:spacing w:after="0"/>
              <w:rPr>
                <w:sz w:val="12"/>
                <w:szCs w:val="12"/>
                <w:color w:val="auto"/>
              </w:rPr>
            </w:pPr>
          </w:p>
        </w:tc>
        <w:tc>
          <w:tcPr>
            <w:tcW w:w="100" w:type="dxa"/>
            <w:vAlign w:val="bottom"/>
            <w:tcBorders>
              <w:bottom w:val="single" w:sz="8" w:color="auto"/>
            </w:tcBorders>
            <w:shd w:val="clear" w:color="auto" w:fill="CCCCCC"/>
          </w:tcPr>
          <w:p>
            <w:pPr>
              <w:spacing w:after="0"/>
              <w:rPr>
                <w:sz w:val="12"/>
                <w:szCs w:val="12"/>
                <w:color w:val="auto"/>
              </w:rPr>
            </w:pPr>
          </w:p>
        </w:tc>
        <w:tc>
          <w:tcPr>
            <w:tcW w:w="180" w:type="dxa"/>
            <w:vAlign w:val="bottom"/>
            <w:tcBorders>
              <w:bottom w:val="single" w:sz="8" w:color="auto"/>
            </w:tcBorders>
            <w:shd w:val="clear" w:color="auto" w:fill="CCCCCC"/>
          </w:tcPr>
          <w:p>
            <w:pPr>
              <w:spacing w:after="0"/>
              <w:rPr>
                <w:sz w:val="12"/>
                <w:szCs w:val="12"/>
                <w:color w:val="auto"/>
              </w:rPr>
            </w:pPr>
          </w:p>
        </w:tc>
        <w:tc>
          <w:tcPr>
            <w:tcW w:w="80" w:type="dxa"/>
            <w:vAlign w:val="bottom"/>
            <w:tcBorders>
              <w:bottom w:val="single" w:sz="8" w:color="auto"/>
            </w:tcBorders>
            <w:shd w:val="clear" w:color="auto" w:fill="CCCCCC"/>
          </w:tcPr>
          <w:p>
            <w:pPr>
              <w:spacing w:after="0"/>
              <w:rPr>
                <w:sz w:val="12"/>
                <w:szCs w:val="12"/>
                <w:color w:val="auto"/>
              </w:rPr>
            </w:pPr>
          </w:p>
        </w:tc>
        <w:tc>
          <w:tcPr>
            <w:tcW w:w="800" w:type="dxa"/>
            <w:vAlign w:val="bottom"/>
            <w:tcBorders>
              <w:bottom w:val="single" w:sz="8" w:color="auto"/>
              <w:right w:val="single" w:sz="8" w:color="auto"/>
            </w:tcBorders>
            <w:gridSpan w:val="2"/>
            <w:shd w:val="clear" w:color="auto" w:fill="CCCCCC"/>
          </w:tcPr>
          <w:p>
            <w:pPr>
              <w:ind w:left="20"/>
              <w:spacing w:after="0" w:line="142" w:lineRule="exact"/>
              <w:rPr>
                <w:sz w:val="20"/>
                <w:szCs w:val="20"/>
                <w:color w:val="auto"/>
              </w:rPr>
            </w:pPr>
            <w:r>
              <w:rPr>
                <w:rFonts w:ascii="Arial" w:cs="Arial" w:eastAsia="Arial" w:hAnsi="Arial"/>
                <w:sz w:val="14"/>
                <w:szCs w:val="14"/>
                <w:color w:val="auto"/>
              </w:rPr>
              <w:t>[*CTR]</w:t>
            </w:r>
          </w:p>
        </w:tc>
        <w:tc>
          <w:tcPr>
            <w:tcW w:w="380" w:type="dxa"/>
            <w:vAlign w:val="bottom"/>
            <w:tcBorders>
              <w:bottom w:val="single" w:sz="8" w:color="auto"/>
            </w:tcBorders>
          </w:tcPr>
          <w:p>
            <w:pPr>
              <w:spacing w:after="0"/>
              <w:rPr>
                <w:sz w:val="12"/>
                <w:szCs w:val="12"/>
                <w:color w:val="auto"/>
              </w:rPr>
            </w:pPr>
          </w:p>
        </w:tc>
        <w:tc>
          <w:tcPr>
            <w:tcW w:w="1100" w:type="dxa"/>
            <w:vAlign w:val="bottom"/>
            <w:tcBorders>
              <w:bottom w:val="single" w:sz="8" w:color="auto"/>
              <w:right w:val="single" w:sz="8" w:color="auto"/>
            </w:tcBorders>
          </w:tcPr>
          <w:p>
            <w:pPr>
              <w:ind w:left="160"/>
              <w:spacing w:after="0" w:line="142" w:lineRule="exact"/>
              <w:rPr>
                <w:sz w:val="20"/>
                <w:szCs w:val="20"/>
                <w:color w:val="auto"/>
              </w:rPr>
            </w:pPr>
            <w:r>
              <w:rPr>
                <w:rFonts w:ascii="Arial" w:cs="Arial" w:eastAsia="Arial" w:hAnsi="Arial"/>
                <w:sz w:val="14"/>
                <w:szCs w:val="14"/>
                <w:color w:val="auto"/>
              </w:rPr>
              <w:t>[*CTR]</w:t>
            </w:r>
          </w:p>
        </w:tc>
        <w:tc>
          <w:tcPr>
            <w:tcW w:w="2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3"/>
          </w:tcPr>
          <w:p>
            <w:pPr>
              <w:jc w:val="center"/>
              <w:ind w:right="40"/>
              <w:spacing w:after="0" w:line="142" w:lineRule="exact"/>
              <w:rPr>
                <w:sz w:val="20"/>
                <w:szCs w:val="20"/>
                <w:color w:val="auto"/>
              </w:rPr>
            </w:pPr>
            <w:r>
              <w:rPr>
                <w:rFonts w:ascii="Arial" w:cs="Arial" w:eastAsia="Arial" w:hAnsi="Arial"/>
                <w:sz w:val="14"/>
                <w:szCs w:val="14"/>
                <w:color w:val="auto"/>
              </w:rPr>
              <w:t>[*CTR]</w:t>
            </w:r>
          </w:p>
        </w:tc>
        <w:tc>
          <w:tcPr>
            <w:tcW w:w="160" w:type="dxa"/>
            <w:vAlign w:val="bottom"/>
            <w:tcBorders>
              <w:bottom w:val="single" w:sz="8" w:color="auto"/>
              <w:right w:val="single" w:sz="8" w:color="auto"/>
            </w:tcBorders>
          </w:tcPr>
          <w:p>
            <w:pPr>
              <w:spacing w:after="0"/>
              <w:rPr>
                <w:sz w:val="12"/>
                <w:szCs w:val="12"/>
                <w:color w:val="auto"/>
              </w:rPr>
            </w:pPr>
          </w:p>
        </w:tc>
        <w:tc>
          <w:tcPr>
            <w:tcW w:w="1040" w:type="dxa"/>
            <w:vAlign w:val="bottom"/>
            <w:tcBorders>
              <w:bottom w:val="single" w:sz="8" w:color="auto"/>
              <w:right w:val="single" w:sz="8" w:color="auto"/>
            </w:tcBorders>
          </w:tcPr>
          <w:p>
            <w:pPr>
              <w:jc w:val="center"/>
              <w:ind w:left="7"/>
              <w:spacing w:after="0" w:line="142" w:lineRule="exact"/>
              <w:rPr>
                <w:sz w:val="20"/>
                <w:szCs w:val="20"/>
                <w:color w:val="auto"/>
              </w:rPr>
            </w:pPr>
            <w:r>
              <w:rPr>
                <w:rFonts w:ascii="Arial" w:cs="Arial" w:eastAsia="Arial" w:hAnsi="Arial"/>
                <w:sz w:val="14"/>
                <w:szCs w:val="14"/>
                <w:color w:val="auto"/>
              </w:rPr>
              <w:t>[*CTR]</w:t>
            </w:r>
          </w:p>
        </w:tc>
        <w:tc>
          <w:tcPr>
            <w:tcW w:w="1040" w:type="dxa"/>
            <w:vAlign w:val="bottom"/>
            <w:tcBorders>
              <w:bottom w:val="single" w:sz="8" w:color="auto"/>
              <w:right w:val="single" w:sz="8" w:color="auto"/>
            </w:tcBorders>
          </w:tcPr>
          <w:p>
            <w:pPr>
              <w:jc w:val="center"/>
              <w:ind w:left="7"/>
              <w:spacing w:after="0" w:line="142" w:lineRule="exact"/>
              <w:rPr>
                <w:sz w:val="20"/>
                <w:szCs w:val="20"/>
                <w:color w:val="auto"/>
              </w:rPr>
            </w:pPr>
            <w:r>
              <w:rPr>
                <w:rFonts w:ascii="Arial" w:cs="Arial" w:eastAsia="Arial" w:hAnsi="Arial"/>
                <w:sz w:val="14"/>
                <w:szCs w:val="14"/>
                <w:color w:val="auto"/>
              </w:rPr>
              <w:t>[*CTR]</w:t>
            </w:r>
          </w:p>
        </w:tc>
        <w:tc>
          <w:tcPr>
            <w:tcW w:w="100" w:type="dxa"/>
            <w:vAlign w:val="bottom"/>
            <w:tcBorders>
              <w:bottom w:val="single" w:sz="8" w:color="auto"/>
            </w:tcBorders>
          </w:tcPr>
          <w:p>
            <w:pPr>
              <w:spacing w:after="0"/>
              <w:rPr>
                <w:sz w:val="12"/>
                <w:szCs w:val="12"/>
                <w:color w:val="auto"/>
              </w:rPr>
            </w:pPr>
          </w:p>
        </w:tc>
        <w:tc>
          <w:tcPr>
            <w:tcW w:w="1160" w:type="dxa"/>
            <w:vAlign w:val="bottom"/>
            <w:tcBorders>
              <w:bottom w:val="single" w:sz="8" w:color="auto"/>
              <w:right w:val="single" w:sz="8" w:color="auto"/>
            </w:tcBorders>
          </w:tcPr>
          <w:p>
            <w:pPr>
              <w:jc w:val="center"/>
              <w:ind w:right="6"/>
              <w:spacing w:after="0" w:line="142" w:lineRule="exact"/>
              <w:rPr>
                <w:sz w:val="20"/>
                <w:szCs w:val="20"/>
                <w:color w:val="auto"/>
              </w:rPr>
            </w:pPr>
            <w:r>
              <w:rPr>
                <w:rFonts w:ascii="Arial" w:cs="Arial" w:eastAsia="Arial" w:hAnsi="Arial"/>
                <w:sz w:val="14"/>
                <w:szCs w:val="14"/>
                <w:color w:val="auto"/>
              </w:rPr>
              <w:t>[*CTR]</w:t>
            </w:r>
          </w:p>
        </w:tc>
        <w:tc>
          <w:tcPr>
            <w:tcW w:w="0" w:type="dxa"/>
            <w:vAlign w:val="bottom"/>
          </w:tcPr>
          <w:p>
            <w:pPr>
              <w:spacing w:after="0"/>
              <w:rPr>
                <w:sz w:val="1"/>
                <w:szCs w:val="1"/>
                <w:color w:val="auto"/>
              </w:rPr>
            </w:pPr>
          </w:p>
        </w:tc>
      </w:tr>
      <w:tr>
        <w:trPr>
          <w:trHeight w:val="142"/>
        </w:trPr>
        <w:tc>
          <w:tcPr>
            <w:tcW w:w="1200" w:type="dxa"/>
            <w:vAlign w:val="bottom"/>
            <w:tcBorders>
              <w:left w:val="single" w:sz="8" w:color="auto"/>
              <w:bottom w:val="single" w:sz="8" w:color="auto"/>
              <w:right w:val="single" w:sz="8" w:color="auto"/>
            </w:tcBorders>
          </w:tcPr>
          <w:p>
            <w:pPr>
              <w:ind w:left="240"/>
              <w:spacing w:after="0" w:line="142" w:lineRule="exact"/>
              <w:rPr>
                <w:sz w:val="20"/>
                <w:szCs w:val="20"/>
                <w:color w:val="auto"/>
              </w:rPr>
            </w:pPr>
            <w:r>
              <w:rPr>
                <w:rFonts w:ascii="Arial" w:cs="Arial" w:eastAsia="Arial" w:hAnsi="Arial"/>
                <w:sz w:val="14"/>
                <w:szCs w:val="14"/>
                <w:color w:val="auto"/>
              </w:rPr>
              <w:t>[*CTR]-2016</w:t>
            </w: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right w:val="single" w:sz="8" w:color="auto"/>
            </w:tcBorders>
          </w:tcPr>
          <w:p>
            <w:pPr>
              <w:jc w:val="right"/>
              <w:ind w:right="387"/>
              <w:spacing w:after="0" w:line="142" w:lineRule="exact"/>
              <w:rPr>
                <w:sz w:val="20"/>
                <w:szCs w:val="20"/>
                <w:color w:val="auto"/>
              </w:rPr>
            </w:pPr>
            <w:r>
              <w:rPr>
                <w:rFonts w:ascii="Arial" w:cs="Arial" w:eastAsia="Arial" w:hAnsi="Arial"/>
                <w:sz w:val="14"/>
                <w:szCs w:val="14"/>
                <w:color w:val="auto"/>
              </w:rPr>
              <w:t>1</w:t>
            </w:r>
          </w:p>
        </w:tc>
        <w:tc>
          <w:tcPr>
            <w:tcW w:w="160" w:type="dxa"/>
            <w:vAlign w:val="bottom"/>
            <w:tcBorders>
              <w:bottom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ind w:left="200"/>
              <w:spacing w:after="0" w:line="142" w:lineRule="exact"/>
              <w:rPr>
                <w:sz w:val="20"/>
                <w:szCs w:val="20"/>
                <w:color w:val="auto"/>
              </w:rPr>
            </w:pPr>
            <w:r>
              <w:rPr>
                <w:rFonts w:ascii="Arial" w:cs="Arial" w:eastAsia="Arial" w:hAnsi="Arial"/>
                <w:sz w:val="14"/>
                <w:szCs w:val="14"/>
                <w:color w:val="auto"/>
              </w:rPr>
              <w:t>[*CTR]</w:t>
            </w:r>
          </w:p>
        </w:tc>
        <w:tc>
          <w:tcPr>
            <w:tcW w:w="920" w:type="dxa"/>
            <w:vAlign w:val="bottom"/>
            <w:tcBorders>
              <w:bottom w:val="single" w:sz="8" w:color="auto"/>
            </w:tcBorders>
          </w:tcPr>
          <w:p>
            <w:pPr>
              <w:ind w:left="360"/>
              <w:spacing w:after="0" w:line="142" w:lineRule="exact"/>
              <w:rPr>
                <w:sz w:val="20"/>
                <w:szCs w:val="20"/>
                <w:color w:val="auto"/>
              </w:rPr>
            </w:pPr>
            <w:r>
              <w:rPr>
                <w:rFonts w:ascii="Arial" w:cs="Arial" w:eastAsia="Arial" w:hAnsi="Arial"/>
                <w:sz w:val="14"/>
                <w:szCs w:val="14"/>
                <w:color w:val="auto"/>
              </w:rPr>
              <w:t>[*CTR]</w:t>
            </w:r>
          </w:p>
        </w:tc>
        <w:tc>
          <w:tcPr>
            <w:tcW w:w="160" w:type="dxa"/>
            <w:vAlign w:val="bottom"/>
            <w:tcBorders>
              <w:bottom w:val="single" w:sz="8" w:color="auto"/>
              <w:right w:val="single" w:sz="8" w:color="auto"/>
            </w:tcBorders>
          </w:tcPr>
          <w:p>
            <w:pPr>
              <w:spacing w:after="0"/>
              <w:rPr>
                <w:sz w:val="12"/>
                <w:szCs w:val="12"/>
                <w:color w:val="auto"/>
              </w:rPr>
            </w:pPr>
          </w:p>
        </w:tc>
        <w:tc>
          <w:tcPr>
            <w:tcW w:w="100" w:type="dxa"/>
            <w:vAlign w:val="bottom"/>
            <w:tcBorders>
              <w:bottom w:val="single" w:sz="8" w:color="auto"/>
            </w:tcBorders>
            <w:shd w:val="clear" w:color="auto" w:fill="CCCCCC"/>
          </w:tcPr>
          <w:p>
            <w:pPr>
              <w:spacing w:after="0"/>
              <w:rPr>
                <w:sz w:val="12"/>
                <w:szCs w:val="12"/>
                <w:color w:val="auto"/>
              </w:rPr>
            </w:pPr>
          </w:p>
        </w:tc>
        <w:tc>
          <w:tcPr>
            <w:tcW w:w="180" w:type="dxa"/>
            <w:vAlign w:val="bottom"/>
            <w:tcBorders>
              <w:bottom w:val="single" w:sz="8" w:color="auto"/>
            </w:tcBorders>
            <w:shd w:val="clear" w:color="auto" w:fill="CCCCCC"/>
          </w:tcPr>
          <w:p>
            <w:pPr>
              <w:spacing w:after="0"/>
              <w:rPr>
                <w:sz w:val="12"/>
                <w:szCs w:val="12"/>
                <w:color w:val="auto"/>
              </w:rPr>
            </w:pPr>
          </w:p>
        </w:tc>
        <w:tc>
          <w:tcPr>
            <w:tcW w:w="80" w:type="dxa"/>
            <w:vAlign w:val="bottom"/>
            <w:tcBorders>
              <w:bottom w:val="single" w:sz="8" w:color="auto"/>
            </w:tcBorders>
            <w:shd w:val="clear" w:color="auto" w:fill="CCCCCC"/>
          </w:tcPr>
          <w:p>
            <w:pPr>
              <w:spacing w:after="0"/>
              <w:rPr>
                <w:sz w:val="12"/>
                <w:szCs w:val="12"/>
                <w:color w:val="auto"/>
              </w:rPr>
            </w:pPr>
          </w:p>
        </w:tc>
        <w:tc>
          <w:tcPr>
            <w:tcW w:w="800" w:type="dxa"/>
            <w:vAlign w:val="bottom"/>
            <w:tcBorders>
              <w:bottom w:val="single" w:sz="8" w:color="auto"/>
              <w:right w:val="single" w:sz="8" w:color="auto"/>
            </w:tcBorders>
            <w:gridSpan w:val="2"/>
            <w:shd w:val="clear" w:color="auto" w:fill="CCCCCC"/>
          </w:tcPr>
          <w:p>
            <w:pPr>
              <w:ind w:left="20"/>
              <w:spacing w:after="0" w:line="142" w:lineRule="exact"/>
              <w:rPr>
                <w:sz w:val="20"/>
                <w:szCs w:val="20"/>
                <w:color w:val="auto"/>
              </w:rPr>
            </w:pPr>
            <w:r>
              <w:rPr>
                <w:rFonts w:ascii="Arial" w:cs="Arial" w:eastAsia="Arial" w:hAnsi="Arial"/>
                <w:sz w:val="14"/>
                <w:szCs w:val="14"/>
                <w:color w:val="auto"/>
              </w:rPr>
              <w:t>[*CTR]</w:t>
            </w:r>
          </w:p>
        </w:tc>
        <w:tc>
          <w:tcPr>
            <w:tcW w:w="380" w:type="dxa"/>
            <w:vAlign w:val="bottom"/>
            <w:tcBorders>
              <w:bottom w:val="single" w:sz="8" w:color="auto"/>
            </w:tcBorders>
          </w:tcPr>
          <w:p>
            <w:pPr>
              <w:spacing w:after="0"/>
              <w:rPr>
                <w:sz w:val="12"/>
                <w:szCs w:val="12"/>
                <w:color w:val="auto"/>
              </w:rPr>
            </w:pPr>
          </w:p>
        </w:tc>
        <w:tc>
          <w:tcPr>
            <w:tcW w:w="1100" w:type="dxa"/>
            <w:vAlign w:val="bottom"/>
            <w:tcBorders>
              <w:bottom w:val="single" w:sz="8" w:color="auto"/>
              <w:right w:val="single" w:sz="8" w:color="auto"/>
            </w:tcBorders>
          </w:tcPr>
          <w:p>
            <w:pPr>
              <w:ind w:left="160"/>
              <w:spacing w:after="0" w:line="142" w:lineRule="exact"/>
              <w:rPr>
                <w:sz w:val="20"/>
                <w:szCs w:val="20"/>
                <w:color w:val="auto"/>
              </w:rPr>
            </w:pPr>
            <w:r>
              <w:rPr>
                <w:rFonts w:ascii="Arial" w:cs="Arial" w:eastAsia="Arial" w:hAnsi="Arial"/>
                <w:sz w:val="14"/>
                <w:szCs w:val="14"/>
                <w:color w:val="auto"/>
              </w:rPr>
              <w:t>[*CTR]</w:t>
            </w:r>
          </w:p>
        </w:tc>
        <w:tc>
          <w:tcPr>
            <w:tcW w:w="2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3"/>
          </w:tcPr>
          <w:p>
            <w:pPr>
              <w:jc w:val="center"/>
              <w:ind w:right="40"/>
              <w:spacing w:after="0" w:line="142" w:lineRule="exact"/>
              <w:rPr>
                <w:sz w:val="20"/>
                <w:szCs w:val="20"/>
                <w:color w:val="auto"/>
              </w:rPr>
            </w:pPr>
            <w:r>
              <w:rPr>
                <w:rFonts w:ascii="Arial" w:cs="Arial" w:eastAsia="Arial" w:hAnsi="Arial"/>
                <w:sz w:val="14"/>
                <w:szCs w:val="14"/>
                <w:color w:val="auto"/>
              </w:rPr>
              <w:t>[*CTR]</w:t>
            </w:r>
          </w:p>
        </w:tc>
        <w:tc>
          <w:tcPr>
            <w:tcW w:w="160" w:type="dxa"/>
            <w:vAlign w:val="bottom"/>
            <w:tcBorders>
              <w:bottom w:val="single" w:sz="8" w:color="auto"/>
              <w:right w:val="single" w:sz="8" w:color="auto"/>
            </w:tcBorders>
          </w:tcPr>
          <w:p>
            <w:pPr>
              <w:spacing w:after="0"/>
              <w:rPr>
                <w:sz w:val="12"/>
                <w:szCs w:val="12"/>
                <w:color w:val="auto"/>
              </w:rPr>
            </w:pPr>
          </w:p>
        </w:tc>
        <w:tc>
          <w:tcPr>
            <w:tcW w:w="1040" w:type="dxa"/>
            <w:vAlign w:val="bottom"/>
            <w:tcBorders>
              <w:bottom w:val="single" w:sz="8" w:color="auto"/>
              <w:right w:val="single" w:sz="8" w:color="auto"/>
            </w:tcBorders>
          </w:tcPr>
          <w:p>
            <w:pPr>
              <w:jc w:val="center"/>
              <w:ind w:left="7"/>
              <w:spacing w:after="0" w:line="142" w:lineRule="exact"/>
              <w:rPr>
                <w:sz w:val="20"/>
                <w:szCs w:val="20"/>
                <w:color w:val="auto"/>
              </w:rPr>
            </w:pPr>
            <w:r>
              <w:rPr>
                <w:rFonts w:ascii="Arial" w:cs="Arial" w:eastAsia="Arial" w:hAnsi="Arial"/>
                <w:sz w:val="14"/>
                <w:szCs w:val="14"/>
                <w:color w:val="auto"/>
              </w:rPr>
              <w:t>[*CTR]</w:t>
            </w:r>
          </w:p>
        </w:tc>
        <w:tc>
          <w:tcPr>
            <w:tcW w:w="1040" w:type="dxa"/>
            <w:vAlign w:val="bottom"/>
            <w:tcBorders>
              <w:bottom w:val="single" w:sz="8" w:color="auto"/>
              <w:right w:val="single" w:sz="8" w:color="auto"/>
            </w:tcBorders>
          </w:tcPr>
          <w:p>
            <w:pPr>
              <w:jc w:val="center"/>
              <w:ind w:left="7"/>
              <w:spacing w:after="0" w:line="142" w:lineRule="exact"/>
              <w:rPr>
                <w:sz w:val="20"/>
                <w:szCs w:val="20"/>
                <w:color w:val="auto"/>
              </w:rPr>
            </w:pPr>
            <w:r>
              <w:rPr>
                <w:rFonts w:ascii="Arial" w:cs="Arial" w:eastAsia="Arial" w:hAnsi="Arial"/>
                <w:sz w:val="14"/>
                <w:szCs w:val="14"/>
                <w:color w:val="auto"/>
              </w:rPr>
              <w:t>[*CTR]</w:t>
            </w:r>
          </w:p>
        </w:tc>
        <w:tc>
          <w:tcPr>
            <w:tcW w:w="100" w:type="dxa"/>
            <w:vAlign w:val="bottom"/>
            <w:tcBorders>
              <w:bottom w:val="single" w:sz="8" w:color="auto"/>
            </w:tcBorders>
          </w:tcPr>
          <w:p>
            <w:pPr>
              <w:spacing w:after="0"/>
              <w:rPr>
                <w:sz w:val="12"/>
                <w:szCs w:val="12"/>
                <w:color w:val="auto"/>
              </w:rPr>
            </w:pPr>
          </w:p>
        </w:tc>
        <w:tc>
          <w:tcPr>
            <w:tcW w:w="1160" w:type="dxa"/>
            <w:vAlign w:val="bottom"/>
            <w:tcBorders>
              <w:bottom w:val="single" w:sz="8" w:color="auto"/>
              <w:right w:val="single" w:sz="8" w:color="auto"/>
            </w:tcBorders>
          </w:tcPr>
          <w:p>
            <w:pPr>
              <w:jc w:val="center"/>
              <w:ind w:right="6"/>
              <w:spacing w:after="0" w:line="142" w:lineRule="exact"/>
              <w:rPr>
                <w:sz w:val="20"/>
                <w:szCs w:val="20"/>
                <w:color w:val="auto"/>
              </w:rPr>
            </w:pPr>
            <w:r>
              <w:rPr>
                <w:rFonts w:ascii="Arial" w:cs="Arial" w:eastAsia="Arial" w:hAnsi="Arial"/>
                <w:sz w:val="14"/>
                <w:szCs w:val="14"/>
                <w:color w:val="auto"/>
              </w:rPr>
              <w:t>[*CTR]</w:t>
            </w:r>
          </w:p>
        </w:tc>
        <w:tc>
          <w:tcPr>
            <w:tcW w:w="0" w:type="dxa"/>
            <w:vAlign w:val="bottom"/>
          </w:tcPr>
          <w:p>
            <w:pPr>
              <w:spacing w:after="0"/>
              <w:rPr>
                <w:sz w:val="1"/>
                <w:szCs w:val="1"/>
                <w:color w:val="auto"/>
              </w:rPr>
            </w:pPr>
          </w:p>
        </w:tc>
      </w:tr>
      <w:tr>
        <w:trPr>
          <w:trHeight w:val="142"/>
        </w:trPr>
        <w:tc>
          <w:tcPr>
            <w:tcW w:w="1200" w:type="dxa"/>
            <w:vAlign w:val="bottom"/>
            <w:tcBorders>
              <w:left w:val="single" w:sz="8" w:color="auto"/>
              <w:bottom w:val="single" w:sz="8" w:color="auto"/>
              <w:right w:val="single" w:sz="8" w:color="auto"/>
            </w:tcBorders>
          </w:tcPr>
          <w:p>
            <w:pPr>
              <w:ind w:left="240"/>
              <w:spacing w:after="0" w:line="142" w:lineRule="exact"/>
              <w:rPr>
                <w:sz w:val="20"/>
                <w:szCs w:val="20"/>
                <w:color w:val="auto"/>
              </w:rPr>
            </w:pPr>
            <w:r>
              <w:rPr>
                <w:rFonts w:ascii="Arial" w:cs="Arial" w:eastAsia="Arial" w:hAnsi="Arial"/>
                <w:sz w:val="14"/>
                <w:szCs w:val="14"/>
                <w:color w:val="auto"/>
              </w:rPr>
              <w:t>[*CTR]-2016</w:t>
            </w: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right w:val="single" w:sz="8" w:color="auto"/>
            </w:tcBorders>
          </w:tcPr>
          <w:p>
            <w:pPr>
              <w:jc w:val="right"/>
              <w:ind w:right="387"/>
              <w:spacing w:after="0" w:line="142" w:lineRule="exact"/>
              <w:rPr>
                <w:sz w:val="20"/>
                <w:szCs w:val="20"/>
                <w:color w:val="auto"/>
              </w:rPr>
            </w:pPr>
            <w:r>
              <w:rPr>
                <w:rFonts w:ascii="Arial" w:cs="Arial" w:eastAsia="Arial" w:hAnsi="Arial"/>
                <w:sz w:val="14"/>
                <w:szCs w:val="14"/>
                <w:color w:val="auto"/>
              </w:rPr>
              <w:t>1</w:t>
            </w:r>
          </w:p>
        </w:tc>
        <w:tc>
          <w:tcPr>
            <w:tcW w:w="160" w:type="dxa"/>
            <w:vAlign w:val="bottom"/>
            <w:tcBorders>
              <w:bottom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ind w:left="200"/>
              <w:spacing w:after="0" w:line="142" w:lineRule="exact"/>
              <w:rPr>
                <w:sz w:val="20"/>
                <w:szCs w:val="20"/>
                <w:color w:val="auto"/>
              </w:rPr>
            </w:pPr>
            <w:r>
              <w:rPr>
                <w:rFonts w:ascii="Arial" w:cs="Arial" w:eastAsia="Arial" w:hAnsi="Arial"/>
                <w:sz w:val="14"/>
                <w:szCs w:val="14"/>
                <w:color w:val="auto"/>
              </w:rPr>
              <w:t>[*CTR]</w:t>
            </w:r>
          </w:p>
        </w:tc>
        <w:tc>
          <w:tcPr>
            <w:tcW w:w="920" w:type="dxa"/>
            <w:vAlign w:val="bottom"/>
            <w:tcBorders>
              <w:bottom w:val="single" w:sz="8" w:color="auto"/>
            </w:tcBorders>
          </w:tcPr>
          <w:p>
            <w:pPr>
              <w:ind w:left="360"/>
              <w:spacing w:after="0" w:line="142" w:lineRule="exact"/>
              <w:rPr>
                <w:sz w:val="20"/>
                <w:szCs w:val="20"/>
                <w:color w:val="auto"/>
              </w:rPr>
            </w:pPr>
            <w:r>
              <w:rPr>
                <w:rFonts w:ascii="Arial" w:cs="Arial" w:eastAsia="Arial" w:hAnsi="Arial"/>
                <w:sz w:val="14"/>
                <w:szCs w:val="14"/>
                <w:color w:val="auto"/>
              </w:rPr>
              <w:t>[*CTR]</w:t>
            </w:r>
          </w:p>
        </w:tc>
        <w:tc>
          <w:tcPr>
            <w:tcW w:w="160" w:type="dxa"/>
            <w:vAlign w:val="bottom"/>
            <w:tcBorders>
              <w:bottom w:val="single" w:sz="8" w:color="auto"/>
              <w:right w:val="single" w:sz="8" w:color="auto"/>
            </w:tcBorders>
          </w:tcPr>
          <w:p>
            <w:pPr>
              <w:spacing w:after="0"/>
              <w:rPr>
                <w:sz w:val="12"/>
                <w:szCs w:val="12"/>
                <w:color w:val="auto"/>
              </w:rPr>
            </w:pPr>
          </w:p>
        </w:tc>
        <w:tc>
          <w:tcPr>
            <w:tcW w:w="100" w:type="dxa"/>
            <w:vAlign w:val="bottom"/>
            <w:tcBorders>
              <w:bottom w:val="single" w:sz="8" w:color="auto"/>
            </w:tcBorders>
            <w:shd w:val="clear" w:color="auto" w:fill="CCCCCC"/>
          </w:tcPr>
          <w:p>
            <w:pPr>
              <w:spacing w:after="0"/>
              <w:rPr>
                <w:sz w:val="12"/>
                <w:szCs w:val="12"/>
                <w:color w:val="auto"/>
              </w:rPr>
            </w:pPr>
          </w:p>
        </w:tc>
        <w:tc>
          <w:tcPr>
            <w:tcW w:w="180" w:type="dxa"/>
            <w:vAlign w:val="bottom"/>
            <w:tcBorders>
              <w:bottom w:val="single" w:sz="8" w:color="auto"/>
            </w:tcBorders>
            <w:shd w:val="clear" w:color="auto" w:fill="CCCCCC"/>
          </w:tcPr>
          <w:p>
            <w:pPr>
              <w:spacing w:after="0"/>
              <w:rPr>
                <w:sz w:val="12"/>
                <w:szCs w:val="12"/>
                <w:color w:val="auto"/>
              </w:rPr>
            </w:pPr>
          </w:p>
        </w:tc>
        <w:tc>
          <w:tcPr>
            <w:tcW w:w="80" w:type="dxa"/>
            <w:vAlign w:val="bottom"/>
            <w:tcBorders>
              <w:bottom w:val="single" w:sz="8" w:color="auto"/>
            </w:tcBorders>
            <w:shd w:val="clear" w:color="auto" w:fill="CCCCCC"/>
          </w:tcPr>
          <w:p>
            <w:pPr>
              <w:spacing w:after="0"/>
              <w:rPr>
                <w:sz w:val="12"/>
                <w:szCs w:val="12"/>
                <w:color w:val="auto"/>
              </w:rPr>
            </w:pPr>
          </w:p>
        </w:tc>
        <w:tc>
          <w:tcPr>
            <w:tcW w:w="800" w:type="dxa"/>
            <w:vAlign w:val="bottom"/>
            <w:tcBorders>
              <w:bottom w:val="single" w:sz="8" w:color="auto"/>
              <w:right w:val="single" w:sz="8" w:color="auto"/>
            </w:tcBorders>
            <w:gridSpan w:val="2"/>
            <w:shd w:val="clear" w:color="auto" w:fill="CCCCCC"/>
          </w:tcPr>
          <w:p>
            <w:pPr>
              <w:ind w:left="20"/>
              <w:spacing w:after="0" w:line="142" w:lineRule="exact"/>
              <w:rPr>
                <w:sz w:val="20"/>
                <w:szCs w:val="20"/>
                <w:color w:val="auto"/>
              </w:rPr>
            </w:pPr>
            <w:r>
              <w:rPr>
                <w:rFonts w:ascii="Arial" w:cs="Arial" w:eastAsia="Arial" w:hAnsi="Arial"/>
                <w:sz w:val="14"/>
                <w:szCs w:val="14"/>
                <w:color w:val="auto"/>
              </w:rPr>
              <w:t>[*CTR]</w:t>
            </w:r>
          </w:p>
        </w:tc>
        <w:tc>
          <w:tcPr>
            <w:tcW w:w="380" w:type="dxa"/>
            <w:vAlign w:val="bottom"/>
            <w:tcBorders>
              <w:bottom w:val="single" w:sz="8" w:color="auto"/>
            </w:tcBorders>
          </w:tcPr>
          <w:p>
            <w:pPr>
              <w:spacing w:after="0"/>
              <w:rPr>
                <w:sz w:val="12"/>
                <w:szCs w:val="12"/>
                <w:color w:val="auto"/>
              </w:rPr>
            </w:pPr>
          </w:p>
        </w:tc>
        <w:tc>
          <w:tcPr>
            <w:tcW w:w="1100" w:type="dxa"/>
            <w:vAlign w:val="bottom"/>
            <w:tcBorders>
              <w:bottom w:val="single" w:sz="8" w:color="auto"/>
              <w:right w:val="single" w:sz="8" w:color="auto"/>
            </w:tcBorders>
          </w:tcPr>
          <w:p>
            <w:pPr>
              <w:ind w:left="160"/>
              <w:spacing w:after="0" w:line="142" w:lineRule="exact"/>
              <w:rPr>
                <w:sz w:val="20"/>
                <w:szCs w:val="20"/>
                <w:color w:val="auto"/>
              </w:rPr>
            </w:pPr>
            <w:r>
              <w:rPr>
                <w:rFonts w:ascii="Arial" w:cs="Arial" w:eastAsia="Arial" w:hAnsi="Arial"/>
                <w:sz w:val="14"/>
                <w:szCs w:val="14"/>
                <w:color w:val="auto"/>
              </w:rPr>
              <w:t>[*CTR]</w:t>
            </w:r>
          </w:p>
        </w:tc>
        <w:tc>
          <w:tcPr>
            <w:tcW w:w="2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3"/>
          </w:tcPr>
          <w:p>
            <w:pPr>
              <w:jc w:val="center"/>
              <w:ind w:right="40"/>
              <w:spacing w:after="0" w:line="142" w:lineRule="exact"/>
              <w:rPr>
                <w:sz w:val="20"/>
                <w:szCs w:val="20"/>
                <w:color w:val="auto"/>
              </w:rPr>
            </w:pPr>
            <w:r>
              <w:rPr>
                <w:rFonts w:ascii="Arial" w:cs="Arial" w:eastAsia="Arial" w:hAnsi="Arial"/>
                <w:sz w:val="14"/>
                <w:szCs w:val="14"/>
                <w:color w:val="auto"/>
              </w:rPr>
              <w:t>[*CTR]</w:t>
            </w:r>
          </w:p>
        </w:tc>
        <w:tc>
          <w:tcPr>
            <w:tcW w:w="160" w:type="dxa"/>
            <w:vAlign w:val="bottom"/>
            <w:tcBorders>
              <w:bottom w:val="single" w:sz="8" w:color="auto"/>
              <w:right w:val="single" w:sz="8" w:color="auto"/>
            </w:tcBorders>
          </w:tcPr>
          <w:p>
            <w:pPr>
              <w:spacing w:after="0"/>
              <w:rPr>
                <w:sz w:val="12"/>
                <w:szCs w:val="12"/>
                <w:color w:val="auto"/>
              </w:rPr>
            </w:pPr>
          </w:p>
        </w:tc>
        <w:tc>
          <w:tcPr>
            <w:tcW w:w="1040" w:type="dxa"/>
            <w:vAlign w:val="bottom"/>
            <w:tcBorders>
              <w:bottom w:val="single" w:sz="8" w:color="auto"/>
              <w:right w:val="single" w:sz="8" w:color="auto"/>
            </w:tcBorders>
          </w:tcPr>
          <w:p>
            <w:pPr>
              <w:jc w:val="center"/>
              <w:ind w:left="7"/>
              <w:spacing w:after="0" w:line="142" w:lineRule="exact"/>
              <w:rPr>
                <w:sz w:val="20"/>
                <w:szCs w:val="20"/>
                <w:color w:val="auto"/>
              </w:rPr>
            </w:pPr>
            <w:r>
              <w:rPr>
                <w:rFonts w:ascii="Arial" w:cs="Arial" w:eastAsia="Arial" w:hAnsi="Arial"/>
                <w:sz w:val="14"/>
                <w:szCs w:val="14"/>
                <w:color w:val="auto"/>
              </w:rPr>
              <w:t>[*CTR]</w:t>
            </w:r>
          </w:p>
        </w:tc>
        <w:tc>
          <w:tcPr>
            <w:tcW w:w="1040" w:type="dxa"/>
            <w:vAlign w:val="bottom"/>
            <w:tcBorders>
              <w:bottom w:val="single" w:sz="8" w:color="auto"/>
              <w:right w:val="single" w:sz="8" w:color="auto"/>
            </w:tcBorders>
          </w:tcPr>
          <w:p>
            <w:pPr>
              <w:jc w:val="center"/>
              <w:ind w:left="7"/>
              <w:spacing w:after="0" w:line="142" w:lineRule="exact"/>
              <w:rPr>
                <w:sz w:val="20"/>
                <w:szCs w:val="20"/>
                <w:color w:val="auto"/>
              </w:rPr>
            </w:pPr>
            <w:r>
              <w:rPr>
                <w:rFonts w:ascii="Arial" w:cs="Arial" w:eastAsia="Arial" w:hAnsi="Arial"/>
                <w:sz w:val="14"/>
                <w:szCs w:val="14"/>
                <w:color w:val="auto"/>
              </w:rPr>
              <w:t>[*CTR]</w:t>
            </w:r>
          </w:p>
        </w:tc>
        <w:tc>
          <w:tcPr>
            <w:tcW w:w="100" w:type="dxa"/>
            <w:vAlign w:val="bottom"/>
            <w:tcBorders>
              <w:bottom w:val="single" w:sz="8" w:color="auto"/>
            </w:tcBorders>
          </w:tcPr>
          <w:p>
            <w:pPr>
              <w:spacing w:after="0"/>
              <w:rPr>
                <w:sz w:val="12"/>
                <w:szCs w:val="12"/>
                <w:color w:val="auto"/>
              </w:rPr>
            </w:pPr>
          </w:p>
        </w:tc>
        <w:tc>
          <w:tcPr>
            <w:tcW w:w="1160" w:type="dxa"/>
            <w:vAlign w:val="bottom"/>
            <w:tcBorders>
              <w:bottom w:val="single" w:sz="8" w:color="auto"/>
              <w:right w:val="single" w:sz="8" w:color="auto"/>
            </w:tcBorders>
          </w:tcPr>
          <w:p>
            <w:pPr>
              <w:jc w:val="center"/>
              <w:ind w:right="6"/>
              <w:spacing w:after="0" w:line="142" w:lineRule="exact"/>
              <w:rPr>
                <w:sz w:val="20"/>
                <w:szCs w:val="20"/>
                <w:color w:val="auto"/>
              </w:rPr>
            </w:pPr>
            <w:r>
              <w:rPr>
                <w:rFonts w:ascii="Arial" w:cs="Arial" w:eastAsia="Arial" w:hAnsi="Arial"/>
                <w:sz w:val="14"/>
                <w:szCs w:val="14"/>
                <w:color w:val="auto"/>
              </w:rPr>
              <w:t>[*CTR]</w:t>
            </w:r>
          </w:p>
        </w:tc>
        <w:tc>
          <w:tcPr>
            <w:tcW w:w="0" w:type="dxa"/>
            <w:vAlign w:val="bottom"/>
          </w:tcPr>
          <w:p>
            <w:pPr>
              <w:spacing w:after="0"/>
              <w:rPr>
                <w:sz w:val="1"/>
                <w:szCs w:val="1"/>
                <w:color w:val="auto"/>
              </w:rPr>
            </w:pPr>
          </w:p>
        </w:tc>
      </w:tr>
      <w:tr>
        <w:trPr>
          <w:trHeight w:val="142"/>
        </w:trPr>
        <w:tc>
          <w:tcPr>
            <w:tcW w:w="1200" w:type="dxa"/>
            <w:vAlign w:val="bottom"/>
            <w:tcBorders>
              <w:left w:val="single" w:sz="8" w:color="auto"/>
              <w:bottom w:val="single" w:sz="8" w:color="auto"/>
              <w:right w:val="single" w:sz="8" w:color="auto"/>
            </w:tcBorders>
          </w:tcPr>
          <w:p>
            <w:pPr>
              <w:ind w:left="240"/>
              <w:spacing w:after="0" w:line="142" w:lineRule="exact"/>
              <w:rPr>
                <w:sz w:val="20"/>
                <w:szCs w:val="20"/>
                <w:color w:val="auto"/>
              </w:rPr>
            </w:pPr>
            <w:r>
              <w:rPr>
                <w:rFonts w:ascii="Arial" w:cs="Arial" w:eastAsia="Arial" w:hAnsi="Arial"/>
                <w:sz w:val="14"/>
                <w:szCs w:val="14"/>
                <w:color w:val="auto"/>
              </w:rPr>
              <w:t>[*CTR]-2016</w:t>
            </w: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right w:val="single" w:sz="8" w:color="auto"/>
            </w:tcBorders>
          </w:tcPr>
          <w:p>
            <w:pPr>
              <w:jc w:val="right"/>
              <w:ind w:right="387"/>
              <w:spacing w:after="0" w:line="142" w:lineRule="exact"/>
              <w:rPr>
                <w:sz w:val="20"/>
                <w:szCs w:val="20"/>
                <w:color w:val="auto"/>
              </w:rPr>
            </w:pPr>
            <w:r>
              <w:rPr>
                <w:rFonts w:ascii="Arial" w:cs="Arial" w:eastAsia="Arial" w:hAnsi="Arial"/>
                <w:sz w:val="14"/>
                <w:szCs w:val="14"/>
                <w:color w:val="auto"/>
              </w:rPr>
              <w:t>1</w:t>
            </w:r>
          </w:p>
        </w:tc>
        <w:tc>
          <w:tcPr>
            <w:tcW w:w="160" w:type="dxa"/>
            <w:vAlign w:val="bottom"/>
            <w:tcBorders>
              <w:bottom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ind w:left="200"/>
              <w:spacing w:after="0" w:line="142" w:lineRule="exact"/>
              <w:rPr>
                <w:sz w:val="20"/>
                <w:szCs w:val="20"/>
                <w:color w:val="auto"/>
              </w:rPr>
            </w:pPr>
            <w:r>
              <w:rPr>
                <w:rFonts w:ascii="Arial" w:cs="Arial" w:eastAsia="Arial" w:hAnsi="Arial"/>
                <w:sz w:val="14"/>
                <w:szCs w:val="14"/>
                <w:color w:val="auto"/>
              </w:rPr>
              <w:t>[*CTR]</w:t>
            </w:r>
          </w:p>
        </w:tc>
        <w:tc>
          <w:tcPr>
            <w:tcW w:w="920" w:type="dxa"/>
            <w:vAlign w:val="bottom"/>
            <w:tcBorders>
              <w:bottom w:val="single" w:sz="8" w:color="auto"/>
            </w:tcBorders>
          </w:tcPr>
          <w:p>
            <w:pPr>
              <w:ind w:left="360"/>
              <w:spacing w:after="0" w:line="142" w:lineRule="exact"/>
              <w:rPr>
                <w:sz w:val="20"/>
                <w:szCs w:val="20"/>
                <w:color w:val="auto"/>
              </w:rPr>
            </w:pPr>
            <w:r>
              <w:rPr>
                <w:rFonts w:ascii="Arial" w:cs="Arial" w:eastAsia="Arial" w:hAnsi="Arial"/>
                <w:sz w:val="14"/>
                <w:szCs w:val="14"/>
                <w:color w:val="auto"/>
              </w:rPr>
              <w:t>[*CTR]</w:t>
            </w:r>
          </w:p>
        </w:tc>
        <w:tc>
          <w:tcPr>
            <w:tcW w:w="160" w:type="dxa"/>
            <w:vAlign w:val="bottom"/>
            <w:tcBorders>
              <w:bottom w:val="single" w:sz="8" w:color="auto"/>
              <w:right w:val="single" w:sz="8" w:color="auto"/>
            </w:tcBorders>
          </w:tcPr>
          <w:p>
            <w:pPr>
              <w:spacing w:after="0"/>
              <w:rPr>
                <w:sz w:val="12"/>
                <w:szCs w:val="12"/>
                <w:color w:val="auto"/>
              </w:rPr>
            </w:pPr>
          </w:p>
        </w:tc>
        <w:tc>
          <w:tcPr>
            <w:tcW w:w="100" w:type="dxa"/>
            <w:vAlign w:val="bottom"/>
            <w:tcBorders>
              <w:bottom w:val="single" w:sz="8" w:color="auto"/>
            </w:tcBorders>
            <w:shd w:val="clear" w:color="auto" w:fill="CCCCCC"/>
          </w:tcPr>
          <w:p>
            <w:pPr>
              <w:spacing w:after="0"/>
              <w:rPr>
                <w:sz w:val="12"/>
                <w:szCs w:val="12"/>
                <w:color w:val="auto"/>
              </w:rPr>
            </w:pPr>
          </w:p>
        </w:tc>
        <w:tc>
          <w:tcPr>
            <w:tcW w:w="180" w:type="dxa"/>
            <w:vAlign w:val="bottom"/>
            <w:tcBorders>
              <w:bottom w:val="single" w:sz="8" w:color="auto"/>
            </w:tcBorders>
            <w:shd w:val="clear" w:color="auto" w:fill="CCCCCC"/>
          </w:tcPr>
          <w:p>
            <w:pPr>
              <w:spacing w:after="0"/>
              <w:rPr>
                <w:sz w:val="12"/>
                <w:szCs w:val="12"/>
                <w:color w:val="auto"/>
              </w:rPr>
            </w:pPr>
          </w:p>
        </w:tc>
        <w:tc>
          <w:tcPr>
            <w:tcW w:w="80" w:type="dxa"/>
            <w:vAlign w:val="bottom"/>
            <w:tcBorders>
              <w:bottom w:val="single" w:sz="8" w:color="auto"/>
            </w:tcBorders>
            <w:shd w:val="clear" w:color="auto" w:fill="CCCCCC"/>
          </w:tcPr>
          <w:p>
            <w:pPr>
              <w:spacing w:after="0"/>
              <w:rPr>
                <w:sz w:val="12"/>
                <w:szCs w:val="12"/>
                <w:color w:val="auto"/>
              </w:rPr>
            </w:pPr>
          </w:p>
        </w:tc>
        <w:tc>
          <w:tcPr>
            <w:tcW w:w="800" w:type="dxa"/>
            <w:vAlign w:val="bottom"/>
            <w:tcBorders>
              <w:bottom w:val="single" w:sz="8" w:color="auto"/>
              <w:right w:val="single" w:sz="8" w:color="auto"/>
            </w:tcBorders>
            <w:gridSpan w:val="2"/>
            <w:shd w:val="clear" w:color="auto" w:fill="CCCCCC"/>
          </w:tcPr>
          <w:p>
            <w:pPr>
              <w:ind w:left="20"/>
              <w:spacing w:after="0" w:line="142" w:lineRule="exact"/>
              <w:rPr>
                <w:sz w:val="20"/>
                <w:szCs w:val="20"/>
                <w:color w:val="auto"/>
              </w:rPr>
            </w:pPr>
            <w:r>
              <w:rPr>
                <w:rFonts w:ascii="Arial" w:cs="Arial" w:eastAsia="Arial" w:hAnsi="Arial"/>
                <w:sz w:val="14"/>
                <w:szCs w:val="14"/>
                <w:color w:val="auto"/>
              </w:rPr>
              <w:t>[*CTR]</w:t>
            </w:r>
          </w:p>
        </w:tc>
        <w:tc>
          <w:tcPr>
            <w:tcW w:w="380" w:type="dxa"/>
            <w:vAlign w:val="bottom"/>
            <w:tcBorders>
              <w:bottom w:val="single" w:sz="8" w:color="auto"/>
            </w:tcBorders>
          </w:tcPr>
          <w:p>
            <w:pPr>
              <w:spacing w:after="0"/>
              <w:rPr>
                <w:sz w:val="12"/>
                <w:szCs w:val="12"/>
                <w:color w:val="auto"/>
              </w:rPr>
            </w:pPr>
          </w:p>
        </w:tc>
        <w:tc>
          <w:tcPr>
            <w:tcW w:w="1100" w:type="dxa"/>
            <w:vAlign w:val="bottom"/>
            <w:tcBorders>
              <w:bottom w:val="single" w:sz="8" w:color="auto"/>
              <w:right w:val="single" w:sz="8" w:color="auto"/>
            </w:tcBorders>
          </w:tcPr>
          <w:p>
            <w:pPr>
              <w:ind w:left="160"/>
              <w:spacing w:after="0" w:line="142" w:lineRule="exact"/>
              <w:rPr>
                <w:sz w:val="20"/>
                <w:szCs w:val="20"/>
                <w:color w:val="auto"/>
              </w:rPr>
            </w:pPr>
            <w:r>
              <w:rPr>
                <w:rFonts w:ascii="Arial" w:cs="Arial" w:eastAsia="Arial" w:hAnsi="Arial"/>
                <w:sz w:val="14"/>
                <w:szCs w:val="14"/>
                <w:color w:val="auto"/>
              </w:rPr>
              <w:t>[*CTR]</w:t>
            </w:r>
          </w:p>
        </w:tc>
        <w:tc>
          <w:tcPr>
            <w:tcW w:w="2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3"/>
          </w:tcPr>
          <w:p>
            <w:pPr>
              <w:jc w:val="center"/>
              <w:ind w:right="40"/>
              <w:spacing w:after="0" w:line="142" w:lineRule="exact"/>
              <w:rPr>
                <w:sz w:val="20"/>
                <w:szCs w:val="20"/>
                <w:color w:val="auto"/>
              </w:rPr>
            </w:pPr>
            <w:r>
              <w:rPr>
                <w:rFonts w:ascii="Arial" w:cs="Arial" w:eastAsia="Arial" w:hAnsi="Arial"/>
                <w:sz w:val="14"/>
                <w:szCs w:val="14"/>
                <w:color w:val="auto"/>
              </w:rPr>
              <w:t>[*CTR]</w:t>
            </w:r>
          </w:p>
        </w:tc>
        <w:tc>
          <w:tcPr>
            <w:tcW w:w="160" w:type="dxa"/>
            <w:vAlign w:val="bottom"/>
            <w:tcBorders>
              <w:bottom w:val="single" w:sz="8" w:color="auto"/>
              <w:right w:val="single" w:sz="8" w:color="auto"/>
            </w:tcBorders>
          </w:tcPr>
          <w:p>
            <w:pPr>
              <w:spacing w:after="0"/>
              <w:rPr>
                <w:sz w:val="12"/>
                <w:szCs w:val="12"/>
                <w:color w:val="auto"/>
              </w:rPr>
            </w:pPr>
          </w:p>
        </w:tc>
        <w:tc>
          <w:tcPr>
            <w:tcW w:w="1040" w:type="dxa"/>
            <w:vAlign w:val="bottom"/>
            <w:tcBorders>
              <w:bottom w:val="single" w:sz="8" w:color="auto"/>
              <w:right w:val="single" w:sz="8" w:color="auto"/>
            </w:tcBorders>
          </w:tcPr>
          <w:p>
            <w:pPr>
              <w:jc w:val="center"/>
              <w:ind w:left="7"/>
              <w:spacing w:after="0" w:line="142" w:lineRule="exact"/>
              <w:rPr>
                <w:sz w:val="20"/>
                <w:szCs w:val="20"/>
                <w:color w:val="auto"/>
              </w:rPr>
            </w:pPr>
            <w:r>
              <w:rPr>
                <w:rFonts w:ascii="Arial" w:cs="Arial" w:eastAsia="Arial" w:hAnsi="Arial"/>
                <w:sz w:val="14"/>
                <w:szCs w:val="14"/>
                <w:color w:val="auto"/>
              </w:rPr>
              <w:t>[*CTR]</w:t>
            </w:r>
          </w:p>
        </w:tc>
        <w:tc>
          <w:tcPr>
            <w:tcW w:w="1040" w:type="dxa"/>
            <w:vAlign w:val="bottom"/>
            <w:tcBorders>
              <w:bottom w:val="single" w:sz="8" w:color="auto"/>
              <w:right w:val="single" w:sz="8" w:color="auto"/>
            </w:tcBorders>
          </w:tcPr>
          <w:p>
            <w:pPr>
              <w:jc w:val="center"/>
              <w:ind w:left="7"/>
              <w:spacing w:after="0" w:line="142" w:lineRule="exact"/>
              <w:rPr>
                <w:sz w:val="20"/>
                <w:szCs w:val="20"/>
                <w:color w:val="auto"/>
              </w:rPr>
            </w:pPr>
            <w:r>
              <w:rPr>
                <w:rFonts w:ascii="Arial" w:cs="Arial" w:eastAsia="Arial" w:hAnsi="Arial"/>
                <w:sz w:val="14"/>
                <w:szCs w:val="14"/>
                <w:color w:val="auto"/>
              </w:rPr>
              <w:t>[*CTR]</w:t>
            </w:r>
          </w:p>
        </w:tc>
        <w:tc>
          <w:tcPr>
            <w:tcW w:w="100" w:type="dxa"/>
            <w:vAlign w:val="bottom"/>
            <w:tcBorders>
              <w:bottom w:val="single" w:sz="8" w:color="auto"/>
            </w:tcBorders>
          </w:tcPr>
          <w:p>
            <w:pPr>
              <w:spacing w:after="0"/>
              <w:rPr>
                <w:sz w:val="12"/>
                <w:szCs w:val="12"/>
                <w:color w:val="auto"/>
              </w:rPr>
            </w:pPr>
          </w:p>
        </w:tc>
        <w:tc>
          <w:tcPr>
            <w:tcW w:w="1160" w:type="dxa"/>
            <w:vAlign w:val="bottom"/>
            <w:tcBorders>
              <w:bottom w:val="single" w:sz="8" w:color="auto"/>
              <w:right w:val="single" w:sz="8" w:color="auto"/>
            </w:tcBorders>
          </w:tcPr>
          <w:p>
            <w:pPr>
              <w:jc w:val="center"/>
              <w:ind w:right="6"/>
              <w:spacing w:after="0" w:line="142" w:lineRule="exact"/>
              <w:rPr>
                <w:sz w:val="20"/>
                <w:szCs w:val="20"/>
                <w:color w:val="auto"/>
              </w:rPr>
            </w:pPr>
            <w:r>
              <w:rPr>
                <w:rFonts w:ascii="Arial" w:cs="Arial" w:eastAsia="Arial" w:hAnsi="Arial"/>
                <w:sz w:val="14"/>
                <w:szCs w:val="14"/>
                <w:color w:val="auto"/>
              </w:rPr>
              <w:t>[*CTR]</w:t>
            </w:r>
          </w:p>
        </w:tc>
        <w:tc>
          <w:tcPr>
            <w:tcW w:w="0" w:type="dxa"/>
            <w:vAlign w:val="bottom"/>
          </w:tcPr>
          <w:p>
            <w:pPr>
              <w:spacing w:after="0"/>
              <w:rPr>
                <w:sz w:val="1"/>
                <w:szCs w:val="1"/>
                <w:color w:val="auto"/>
              </w:rPr>
            </w:pPr>
          </w:p>
        </w:tc>
      </w:tr>
      <w:tr>
        <w:trPr>
          <w:trHeight w:val="142"/>
        </w:trPr>
        <w:tc>
          <w:tcPr>
            <w:tcW w:w="1200" w:type="dxa"/>
            <w:vAlign w:val="bottom"/>
            <w:tcBorders>
              <w:left w:val="single" w:sz="8" w:color="auto"/>
              <w:bottom w:val="single" w:sz="8" w:color="auto"/>
              <w:right w:val="single" w:sz="8" w:color="auto"/>
            </w:tcBorders>
          </w:tcPr>
          <w:p>
            <w:pPr>
              <w:ind w:left="240"/>
              <w:spacing w:after="0" w:line="142" w:lineRule="exact"/>
              <w:rPr>
                <w:sz w:val="20"/>
                <w:szCs w:val="20"/>
                <w:color w:val="auto"/>
              </w:rPr>
            </w:pPr>
            <w:r>
              <w:rPr>
                <w:rFonts w:ascii="Arial" w:cs="Arial" w:eastAsia="Arial" w:hAnsi="Arial"/>
                <w:sz w:val="14"/>
                <w:szCs w:val="14"/>
                <w:color w:val="auto"/>
              </w:rPr>
              <w:t>[*CTR]-2017</w:t>
            </w: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right w:val="single" w:sz="8" w:color="auto"/>
            </w:tcBorders>
          </w:tcPr>
          <w:p>
            <w:pPr>
              <w:jc w:val="right"/>
              <w:ind w:right="387"/>
              <w:spacing w:after="0" w:line="142" w:lineRule="exact"/>
              <w:rPr>
                <w:sz w:val="20"/>
                <w:szCs w:val="20"/>
                <w:color w:val="auto"/>
              </w:rPr>
            </w:pPr>
            <w:r>
              <w:rPr>
                <w:rFonts w:ascii="Arial" w:cs="Arial" w:eastAsia="Arial" w:hAnsi="Arial"/>
                <w:sz w:val="14"/>
                <w:szCs w:val="14"/>
                <w:color w:val="auto"/>
              </w:rPr>
              <w:t>1</w:t>
            </w:r>
          </w:p>
        </w:tc>
        <w:tc>
          <w:tcPr>
            <w:tcW w:w="160" w:type="dxa"/>
            <w:vAlign w:val="bottom"/>
            <w:tcBorders>
              <w:bottom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ind w:left="200"/>
              <w:spacing w:after="0" w:line="142" w:lineRule="exact"/>
              <w:rPr>
                <w:sz w:val="20"/>
                <w:szCs w:val="20"/>
                <w:color w:val="auto"/>
              </w:rPr>
            </w:pPr>
            <w:r>
              <w:rPr>
                <w:rFonts w:ascii="Arial" w:cs="Arial" w:eastAsia="Arial" w:hAnsi="Arial"/>
                <w:sz w:val="14"/>
                <w:szCs w:val="14"/>
                <w:color w:val="auto"/>
              </w:rPr>
              <w:t>[*CTR]</w:t>
            </w:r>
          </w:p>
        </w:tc>
        <w:tc>
          <w:tcPr>
            <w:tcW w:w="920" w:type="dxa"/>
            <w:vAlign w:val="bottom"/>
            <w:tcBorders>
              <w:bottom w:val="single" w:sz="8" w:color="auto"/>
            </w:tcBorders>
          </w:tcPr>
          <w:p>
            <w:pPr>
              <w:ind w:left="360"/>
              <w:spacing w:after="0" w:line="142" w:lineRule="exact"/>
              <w:rPr>
                <w:sz w:val="20"/>
                <w:szCs w:val="20"/>
                <w:color w:val="auto"/>
              </w:rPr>
            </w:pPr>
            <w:r>
              <w:rPr>
                <w:rFonts w:ascii="Arial" w:cs="Arial" w:eastAsia="Arial" w:hAnsi="Arial"/>
                <w:sz w:val="14"/>
                <w:szCs w:val="14"/>
                <w:color w:val="auto"/>
              </w:rPr>
              <w:t>[*CTR]</w:t>
            </w:r>
          </w:p>
        </w:tc>
        <w:tc>
          <w:tcPr>
            <w:tcW w:w="160" w:type="dxa"/>
            <w:vAlign w:val="bottom"/>
            <w:tcBorders>
              <w:bottom w:val="single" w:sz="8" w:color="auto"/>
              <w:right w:val="single" w:sz="8" w:color="auto"/>
            </w:tcBorders>
          </w:tcPr>
          <w:p>
            <w:pPr>
              <w:spacing w:after="0"/>
              <w:rPr>
                <w:sz w:val="12"/>
                <w:szCs w:val="12"/>
                <w:color w:val="auto"/>
              </w:rPr>
            </w:pPr>
          </w:p>
        </w:tc>
        <w:tc>
          <w:tcPr>
            <w:tcW w:w="100" w:type="dxa"/>
            <w:vAlign w:val="bottom"/>
            <w:tcBorders>
              <w:bottom w:val="single" w:sz="8" w:color="auto"/>
            </w:tcBorders>
            <w:shd w:val="clear" w:color="auto" w:fill="CCCCCC"/>
          </w:tcPr>
          <w:p>
            <w:pPr>
              <w:spacing w:after="0"/>
              <w:rPr>
                <w:sz w:val="12"/>
                <w:szCs w:val="12"/>
                <w:color w:val="auto"/>
              </w:rPr>
            </w:pPr>
          </w:p>
        </w:tc>
        <w:tc>
          <w:tcPr>
            <w:tcW w:w="180" w:type="dxa"/>
            <w:vAlign w:val="bottom"/>
            <w:tcBorders>
              <w:bottom w:val="single" w:sz="8" w:color="auto"/>
            </w:tcBorders>
            <w:shd w:val="clear" w:color="auto" w:fill="CCCCCC"/>
          </w:tcPr>
          <w:p>
            <w:pPr>
              <w:spacing w:after="0"/>
              <w:rPr>
                <w:sz w:val="12"/>
                <w:szCs w:val="12"/>
                <w:color w:val="auto"/>
              </w:rPr>
            </w:pPr>
          </w:p>
        </w:tc>
        <w:tc>
          <w:tcPr>
            <w:tcW w:w="80" w:type="dxa"/>
            <w:vAlign w:val="bottom"/>
            <w:tcBorders>
              <w:bottom w:val="single" w:sz="8" w:color="auto"/>
            </w:tcBorders>
            <w:shd w:val="clear" w:color="auto" w:fill="CCCCCC"/>
          </w:tcPr>
          <w:p>
            <w:pPr>
              <w:spacing w:after="0"/>
              <w:rPr>
                <w:sz w:val="12"/>
                <w:szCs w:val="12"/>
                <w:color w:val="auto"/>
              </w:rPr>
            </w:pPr>
          </w:p>
        </w:tc>
        <w:tc>
          <w:tcPr>
            <w:tcW w:w="800" w:type="dxa"/>
            <w:vAlign w:val="bottom"/>
            <w:tcBorders>
              <w:bottom w:val="single" w:sz="8" w:color="auto"/>
              <w:right w:val="single" w:sz="8" w:color="auto"/>
            </w:tcBorders>
            <w:gridSpan w:val="2"/>
            <w:shd w:val="clear" w:color="auto" w:fill="CCCCCC"/>
          </w:tcPr>
          <w:p>
            <w:pPr>
              <w:ind w:left="20"/>
              <w:spacing w:after="0" w:line="142" w:lineRule="exact"/>
              <w:rPr>
                <w:sz w:val="20"/>
                <w:szCs w:val="20"/>
                <w:color w:val="auto"/>
              </w:rPr>
            </w:pPr>
            <w:r>
              <w:rPr>
                <w:rFonts w:ascii="Arial" w:cs="Arial" w:eastAsia="Arial" w:hAnsi="Arial"/>
                <w:sz w:val="14"/>
                <w:szCs w:val="14"/>
                <w:color w:val="auto"/>
              </w:rPr>
              <w:t>[*CTR]</w:t>
            </w:r>
          </w:p>
        </w:tc>
        <w:tc>
          <w:tcPr>
            <w:tcW w:w="380" w:type="dxa"/>
            <w:vAlign w:val="bottom"/>
            <w:tcBorders>
              <w:bottom w:val="single" w:sz="8" w:color="auto"/>
            </w:tcBorders>
          </w:tcPr>
          <w:p>
            <w:pPr>
              <w:spacing w:after="0"/>
              <w:rPr>
                <w:sz w:val="12"/>
                <w:szCs w:val="12"/>
                <w:color w:val="auto"/>
              </w:rPr>
            </w:pPr>
          </w:p>
        </w:tc>
        <w:tc>
          <w:tcPr>
            <w:tcW w:w="1100" w:type="dxa"/>
            <w:vAlign w:val="bottom"/>
            <w:tcBorders>
              <w:bottom w:val="single" w:sz="8" w:color="auto"/>
              <w:right w:val="single" w:sz="8" w:color="auto"/>
            </w:tcBorders>
          </w:tcPr>
          <w:p>
            <w:pPr>
              <w:ind w:left="160"/>
              <w:spacing w:after="0" w:line="142" w:lineRule="exact"/>
              <w:rPr>
                <w:sz w:val="20"/>
                <w:szCs w:val="20"/>
                <w:color w:val="auto"/>
              </w:rPr>
            </w:pPr>
            <w:r>
              <w:rPr>
                <w:rFonts w:ascii="Arial" w:cs="Arial" w:eastAsia="Arial" w:hAnsi="Arial"/>
                <w:sz w:val="14"/>
                <w:szCs w:val="14"/>
                <w:color w:val="auto"/>
              </w:rPr>
              <w:t>[*CTR]</w:t>
            </w:r>
          </w:p>
        </w:tc>
        <w:tc>
          <w:tcPr>
            <w:tcW w:w="2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3"/>
          </w:tcPr>
          <w:p>
            <w:pPr>
              <w:jc w:val="center"/>
              <w:ind w:right="40"/>
              <w:spacing w:after="0" w:line="142" w:lineRule="exact"/>
              <w:rPr>
                <w:sz w:val="20"/>
                <w:szCs w:val="20"/>
                <w:color w:val="auto"/>
              </w:rPr>
            </w:pPr>
            <w:r>
              <w:rPr>
                <w:rFonts w:ascii="Arial" w:cs="Arial" w:eastAsia="Arial" w:hAnsi="Arial"/>
                <w:sz w:val="14"/>
                <w:szCs w:val="14"/>
                <w:color w:val="auto"/>
              </w:rPr>
              <w:t>[*CTR]</w:t>
            </w:r>
          </w:p>
        </w:tc>
        <w:tc>
          <w:tcPr>
            <w:tcW w:w="160" w:type="dxa"/>
            <w:vAlign w:val="bottom"/>
            <w:tcBorders>
              <w:bottom w:val="single" w:sz="8" w:color="auto"/>
              <w:right w:val="single" w:sz="8" w:color="auto"/>
            </w:tcBorders>
          </w:tcPr>
          <w:p>
            <w:pPr>
              <w:spacing w:after="0"/>
              <w:rPr>
                <w:sz w:val="12"/>
                <w:szCs w:val="12"/>
                <w:color w:val="auto"/>
              </w:rPr>
            </w:pPr>
          </w:p>
        </w:tc>
        <w:tc>
          <w:tcPr>
            <w:tcW w:w="1040" w:type="dxa"/>
            <w:vAlign w:val="bottom"/>
            <w:tcBorders>
              <w:bottom w:val="single" w:sz="8" w:color="auto"/>
              <w:right w:val="single" w:sz="8" w:color="auto"/>
            </w:tcBorders>
          </w:tcPr>
          <w:p>
            <w:pPr>
              <w:jc w:val="center"/>
              <w:ind w:left="7"/>
              <w:spacing w:after="0" w:line="142" w:lineRule="exact"/>
              <w:rPr>
                <w:sz w:val="20"/>
                <w:szCs w:val="20"/>
                <w:color w:val="auto"/>
              </w:rPr>
            </w:pPr>
            <w:r>
              <w:rPr>
                <w:rFonts w:ascii="Arial" w:cs="Arial" w:eastAsia="Arial" w:hAnsi="Arial"/>
                <w:sz w:val="14"/>
                <w:szCs w:val="14"/>
                <w:color w:val="auto"/>
              </w:rPr>
              <w:t>[*CTR]</w:t>
            </w:r>
          </w:p>
        </w:tc>
        <w:tc>
          <w:tcPr>
            <w:tcW w:w="1040" w:type="dxa"/>
            <w:vAlign w:val="bottom"/>
            <w:tcBorders>
              <w:bottom w:val="single" w:sz="8" w:color="auto"/>
              <w:right w:val="single" w:sz="8" w:color="auto"/>
            </w:tcBorders>
          </w:tcPr>
          <w:p>
            <w:pPr>
              <w:jc w:val="center"/>
              <w:ind w:left="7"/>
              <w:spacing w:after="0" w:line="142" w:lineRule="exact"/>
              <w:rPr>
                <w:sz w:val="20"/>
                <w:szCs w:val="20"/>
                <w:color w:val="auto"/>
              </w:rPr>
            </w:pPr>
            <w:r>
              <w:rPr>
                <w:rFonts w:ascii="Arial" w:cs="Arial" w:eastAsia="Arial" w:hAnsi="Arial"/>
                <w:sz w:val="14"/>
                <w:szCs w:val="14"/>
                <w:color w:val="auto"/>
              </w:rPr>
              <w:t>[*CTR]</w:t>
            </w:r>
          </w:p>
        </w:tc>
        <w:tc>
          <w:tcPr>
            <w:tcW w:w="100" w:type="dxa"/>
            <w:vAlign w:val="bottom"/>
            <w:tcBorders>
              <w:bottom w:val="single" w:sz="8" w:color="auto"/>
            </w:tcBorders>
          </w:tcPr>
          <w:p>
            <w:pPr>
              <w:spacing w:after="0"/>
              <w:rPr>
                <w:sz w:val="12"/>
                <w:szCs w:val="12"/>
                <w:color w:val="auto"/>
              </w:rPr>
            </w:pPr>
          </w:p>
        </w:tc>
        <w:tc>
          <w:tcPr>
            <w:tcW w:w="1160" w:type="dxa"/>
            <w:vAlign w:val="bottom"/>
            <w:tcBorders>
              <w:bottom w:val="single" w:sz="8" w:color="auto"/>
              <w:right w:val="single" w:sz="8" w:color="auto"/>
            </w:tcBorders>
          </w:tcPr>
          <w:p>
            <w:pPr>
              <w:jc w:val="center"/>
              <w:ind w:right="6"/>
              <w:spacing w:after="0" w:line="142" w:lineRule="exact"/>
              <w:rPr>
                <w:sz w:val="20"/>
                <w:szCs w:val="20"/>
                <w:color w:val="auto"/>
              </w:rPr>
            </w:pPr>
            <w:r>
              <w:rPr>
                <w:rFonts w:ascii="Arial" w:cs="Arial" w:eastAsia="Arial" w:hAnsi="Arial"/>
                <w:sz w:val="14"/>
                <w:szCs w:val="14"/>
                <w:color w:val="auto"/>
              </w:rPr>
              <w:t>[*CTR]</w:t>
            </w:r>
          </w:p>
        </w:tc>
        <w:tc>
          <w:tcPr>
            <w:tcW w:w="0" w:type="dxa"/>
            <w:vAlign w:val="bottom"/>
          </w:tcPr>
          <w:p>
            <w:pPr>
              <w:spacing w:after="0"/>
              <w:rPr>
                <w:sz w:val="1"/>
                <w:szCs w:val="1"/>
                <w:color w:val="auto"/>
              </w:rPr>
            </w:pPr>
          </w:p>
        </w:tc>
      </w:tr>
      <w:tr>
        <w:trPr>
          <w:trHeight w:val="142"/>
        </w:trPr>
        <w:tc>
          <w:tcPr>
            <w:tcW w:w="1200" w:type="dxa"/>
            <w:vAlign w:val="bottom"/>
            <w:tcBorders>
              <w:left w:val="single" w:sz="8" w:color="auto"/>
              <w:bottom w:val="single" w:sz="8" w:color="auto"/>
              <w:right w:val="single" w:sz="8" w:color="auto"/>
            </w:tcBorders>
          </w:tcPr>
          <w:p>
            <w:pPr>
              <w:ind w:left="240"/>
              <w:spacing w:after="0" w:line="142" w:lineRule="exact"/>
              <w:rPr>
                <w:sz w:val="20"/>
                <w:szCs w:val="20"/>
                <w:color w:val="auto"/>
              </w:rPr>
            </w:pPr>
            <w:r>
              <w:rPr>
                <w:rFonts w:ascii="Arial" w:cs="Arial" w:eastAsia="Arial" w:hAnsi="Arial"/>
                <w:sz w:val="14"/>
                <w:szCs w:val="14"/>
                <w:color w:val="auto"/>
              </w:rPr>
              <w:t>[*CTR]-2017</w:t>
            </w: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right w:val="single" w:sz="8" w:color="auto"/>
            </w:tcBorders>
          </w:tcPr>
          <w:p>
            <w:pPr>
              <w:jc w:val="right"/>
              <w:ind w:right="387"/>
              <w:spacing w:after="0" w:line="142" w:lineRule="exact"/>
              <w:rPr>
                <w:sz w:val="20"/>
                <w:szCs w:val="20"/>
                <w:color w:val="auto"/>
              </w:rPr>
            </w:pPr>
            <w:r>
              <w:rPr>
                <w:rFonts w:ascii="Arial" w:cs="Arial" w:eastAsia="Arial" w:hAnsi="Arial"/>
                <w:sz w:val="14"/>
                <w:szCs w:val="14"/>
                <w:color w:val="auto"/>
              </w:rPr>
              <w:t>1</w:t>
            </w:r>
          </w:p>
        </w:tc>
        <w:tc>
          <w:tcPr>
            <w:tcW w:w="160" w:type="dxa"/>
            <w:vAlign w:val="bottom"/>
            <w:tcBorders>
              <w:bottom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ind w:left="200"/>
              <w:spacing w:after="0" w:line="142" w:lineRule="exact"/>
              <w:rPr>
                <w:sz w:val="20"/>
                <w:szCs w:val="20"/>
                <w:color w:val="auto"/>
              </w:rPr>
            </w:pPr>
            <w:r>
              <w:rPr>
                <w:rFonts w:ascii="Arial" w:cs="Arial" w:eastAsia="Arial" w:hAnsi="Arial"/>
                <w:sz w:val="14"/>
                <w:szCs w:val="14"/>
                <w:color w:val="auto"/>
              </w:rPr>
              <w:t>[*CTR]</w:t>
            </w:r>
          </w:p>
        </w:tc>
        <w:tc>
          <w:tcPr>
            <w:tcW w:w="920" w:type="dxa"/>
            <w:vAlign w:val="bottom"/>
            <w:tcBorders>
              <w:bottom w:val="single" w:sz="8" w:color="auto"/>
            </w:tcBorders>
          </w:tcPr>
          <w:p>
            <w:pPr>
              <w:ind w:left="360"/>
              <w:spacing w:after="0" w:line="142" w:lineRule="exact"/>
              <w:rPr>
                <w:sz w:val="20"/>
                <w:szCs w:val="20"/>
                <w:color w:val="auto"/>
              </w:rPr>
            </w:pPr>
            <w:r>
              <w:rPr>
                <w:rFonts w:ascii="Arial" w:cs="Arial" w:eastAsia="Arial" w:hAnsi="Arial"/>
                <w:sz w:val="14"/>
                <w:szCs w:val="14"/>
                <w:color w:val="auto"/>
              </w:rPr>
              <w:t>[*CTR]</w:t>
            </w:r>
          </w:p>
        </w:tc>
        <w:tc>
          <w:tcPr>
            <w:tcW w:w="160" w:type="dxa"/>
            <w:vAlign w:val="bottom"/>
            <w:tcBorders>
              <w:bottom w:val="single" w:sz="8" w:color="auto"/>
              <w:right w:val="single" w:sz="8" w:color="auto"/>
            </w:tcBorders>
          </w:tcPr>
          <w:p>
            <w:pPr>
              <w:spacing w:after="0"/>
              <w:rPr>
                <w:sz w:val="12"/>
                <w:szCs w:val="12"/>
                <w:color w:val="auto"/>
              </w:rPr>
            </w:pPr>
          </w:p>
        </w:tc>
        <w:tc>
          <w:tcPr>
            <w:tcW w:w="100" w:type="dxa"/>
            <w:vAlign w:val="bottom"/>
            <w:tcBorders>
              <w:bottom w:val="single" w:sz="8" w:color="auto"/>
            </w:tcBorders>
            <w:shd w:val="clear" w:color="auto" w:fill="CCCCCC"/>
          </w:tcPr>
          <w:p>
            <w:pPr>
              <w:spacing w:after="0"/>
              <w:rPr>
                <w:sz w:val="12"/>
                <w:szCs w:val="12"/>
                <w:color w:val="auto"/>
              </w:rPr>
            </w:pPr>
          </w:p>
        </w:tc>
        <w:tc>
          <w:tcPr>
            <w:tcW w:w="180" w:type="dxa"/>
            <w:vAlign w:val="bottom"/>
            <w:tcBorders>
              <w:bottom w:val="single" w:sz="8" w:color="auto"/>
            </w:tcBorders>
            <w:shd w:val="clear" w:color="auto" w:fill="CCCCCC"/>
          </w:tcPr>
          <w:p>
            <w:pPr>
              <w:spacing w:after="0"/>
              <w:rPr>
                <w:sz w:val="12"/>
                <w:szCs w:val="12"/>
                <w:color w:val="auto"/>
              </w:rPr>
            </w:pPr>
          </w:p>
        </w:tc>
        <w:tc>
          <w:tcPr>
            <w:tcW w:w="80" w:type="dxa"/>
            <w:vAlign w:val="bottom"/>
            <w:tcBorders>
              <w:bottom w:val="single" w:sz="8" w:color="auto"/>
            </w:tcBorders>
            <w:shd w:val="clear" w:color="auto" w:fill="CCCCCC"/>
          </w:tcPr>
          <w:p>
            <w:pPr>
              <w:spacing w:after="0"/>
              <w:rPr>
                <w:sz w:val="12"/>
                <w:szCs w:val="12"/>
                <w:color w:val="auto"/>
              </w:rPr>
            </w:pPr>
          </w:p>
        </w:tc>
        <w:tc>
          <w:tcPr>
            <w:tcW w:w="800" w:type="dxa"/>
            <w:vAlign w:val="bottom"/>
            <w:tcBorders>
              <w:bottom w:val="single" w:sz="8" w:color="auto"/>
              <w:right w:val="single" w:sz="8" w:color="auto"/>
            </w:tcBorders>
            <w:gridSpan w:val="2"/>
            <w:shd w:val="clear" w:color="auto" w:fill="CCCCCC"/>
          </w:tcPr>
          <w:p>
            <w:pPr>
              <w:ind w:left="20"/>
              <w:spacing w:after="0" w:line="142" w:lineRule="exact"/>
              <w:rPr>
                <w:sz w:val="20"/>
                <w:szCs w:val="20"/>
                <w:color w:val="auto"/>
              </w:rPr>
            </w:pPr>
            <w:r>
              <w:rPr>
                <w:rFonts w:ascii="Arial" w:cs="Arial" w:eastAsia="Arial" w:hAnsi="Arial"/>
                <w:sz w:val="14"/>
                <w:szCs w:val="14"/>
                <w:color w:val="auto"/>
              </w:rPr>
              <w:t>[*CTR]</w:t>
            </w:r>
          </w:p>
        </w:tc>
        <w:tc>
          <w:tcPr>
            <w:tcW w:w="380" w:type="dxa"/>
            <w:vAlign w:val="bottom"/>
            <w:tcBorders>
              <w:bottom w:val="single" w:sz="8" w:color="auto"/>
            </w:tcBorders>
          </w:tcPr>
          <w:p>
            <w:pPr>
              <w:spacing w:after="0"/>
              <w:rPr>
                <w:sz w:val="12"/>
                <w:szCs w:val="12"/>
                <w:color w:val="auto"/>
              </w:rPr>
            </w:pPr>
          </w:p>
        </w:tc>
        <w:tc>
          <w:tcPr>
            <w:tcW w:w="1100" w:type="dxa"/>
            <w:vAlign w:val="bottom"/>
            <w:tcBorders>
              <w:bottom w:val="single" w:sz="8" w:color="auto"/>
              <w:right w:val="single" w:sz="8" w:color="auto"/>
            </w:tcBorders>
          </w:tcPr>
          <w:p>
            <w:pPr>
              <w:ind w:left="160"/>
              <w:spacing w:after="0" w:line="142" w:lineRule="exact"/>
              <w:rPr>
                <w:sz w:val="20"/>
                <w:szCs w:val="20"/>
                <w:color w:val="auto"/>
              </w:rPr>
            </w:pPr>
            <w:r>
              <w:rPr>
                <w:rFonts w:ascii="Arial" w:cs="Arial" w:eastAsia="Arial" w:hAnsi="Arial"/>
                <w:sz w:val="14"/>
                <w:szCs w:val="14"/>
                <w:color w:val="auto"/>
              </w:rPr>
              <w:t>[*CTR]</w:t>
            </w:r>
          </w:p>
        </w:tc>
        <w:tc>
          <w:tcPr>
            <w:tcW w:w="2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3"/>
          </w:tcPr>
          <w:p>
            <w:pPr>
              <w:jc w:val="center"/>
              <w:ind w:right="40"/>
              <w:spacing w:after="0" w:line="142" w:lineRule="exact"/>
              <w:rPr>
                <w:sz w:val="20"/>
                <w:szCs w:val="20"/>
                <w:color w:val="auto"/>
              </w:rPr>
            </w:pPr>
            <w:r>
              <w:rPr>
                <w:rFonts w:ascii="Arial" w:cs="Arial" w:eastAsia="Arial" w:hAnsi="Arial"/>
                <w:sz w:val="14"/>
                <w:szCs w:val="14"/>
                <w:color w:val="auto"/>
              </w:rPr>
              <w:t>[*CTR]</w:t>
            </w:r>
          </w:p>
        </w:tc>
        <w:tc>
          <w:tcPr>
            <w:tcW w:w="160" w:type="dxa"/>
            <w:vAlign w:val="bottom"/>
            <w:tcBorders>
              <w:bottom w:val="single" w:sz="8" w:color="auto"/>
              <w:right w:val="single" w:sz="8" w:color="auto"/>
            </w:tcBorders>
          </w:tcPr>
          <w:p>
            <w:pPr>
              <w:spacing w:after="0"/>
              <w:rPr>
                <w:sz w:val="12"/>
                <w:szCs w:val="12"/>
                <w:color w:val="auto"/>
              </w:rPr>
            </w:pPr>
          </w:p>
        </w:tc>
        <w:tc>
          <w:tcPr>
            <w:tcW w:w="1040" w:type="dxa"/>
            <w:vAlign w:val="bottom"/>
            <w:tcBorders>
              <w:bottom w:val="single" w:sz="8" w:color="auto"/>
              <w:right w:val="single" w:sz="8" w:color="auto"/>
            </w:tcBorders>
          </w:tcPr>
          <w:p>
            <w:pPr>
              <w:jc w:val="center"/>
              <w:ind w:left="7"/>
              <w:spacing w:after="0" w:line="142" w:lineRule="exact"/>
              <w:rPr>
                <w:sz w:val="20"/>
                <w:szCs w:val="20"/>
                <w:color w:val="auto"/>
              </w:rPr>
            </w:pPr>
            <w:r>
              <w:rPr>
                <w:rFonts w:ascii="Arial" w:cs="Arial" w:eastAsia="Arial" w:hAnsi="Arial"/>
                <w:sz w:val="14"/>
                <w:szCs w:val="14"/>
                <w:color w:val="auto"/>
              </w:rPr>
              <w:t>[*CTR]</w:t>
            </w:r>
          </w:p>
        </w:tc>
        <w:tc>
          <w:tcPr>
            <w:tcW w:w="1040" w:type="dxa"/>
            <w:vAlign w:val="bottom"/>
            <w:tcBorders>
              <w:bottom w:val="single" w:sz="8" w:color="auto"/>
              <w:right w:val="single" w:sz="8" w:color="auto"/>
            </w:tcBorders>
          </w:tcPr>
          <w:p>
            <w:pPr>
              <w:jc w:val="center"/>
              <w:ind w:left="7"/>
              <w:spacing w:after="0" w:line="142" w:lineRule="exact"/>
              <w:rPr>
                <w:sz w:val="20"/>
                <w:szCs w:val="20"/>
                <w:color w:val="auto"/>
              </w:rPr>
            </w:pPr>
            <w:r>
              <w:rPr>
                <w:rFonts w:ascii="Arial" w:cs="Arial" w:eastAsia="Arial" w:hAnsi="Arial"/>
                <w:sz w:val="14"/>
                <w:szCs w:val="14"/>
                <w:color w:val="auto"/>
              </w:rPr>
              <w:t>[*CTR]</w:t>
            </w:r>
          </w:p>
        </w:tc>
        <w:tc>
          <w:tcPr>
            <w:tcW w:w="100" w:type="dxa"/>
            <w:vAlign w:val="bottom"/>
            <w:tcBorders>
              <w:bottom w:val="single" w:sz="8" w:color="auto"/>
            </w:tcBorders>
          </w:tcPr>
          <w:p>
            <w:pPr>
              <w:spacing w:after="0"/>
              <w:rPr>
                <w:sz w:val="12"/>
                <w:szCs w:val="12"/>
                <w:color w:val="auto"/>
              </w:rPr>
            </w:pPr>
          </w:p>
        </w:tc>
        <w:tc>
          <w:tcPr>
            <w:tcW w:w="1160" w:type="dxa"/>
            <w:vAlign w:val="bottom"/>
            <w:tcBorders>
              <w:bottom w:val="single" w:sz="8" w:color="auto"/>
              <w:right w:val="single" w:sz="8" w:color="auto"/>
            </w:tcBorders>
          </w:tcPr>
          <w:p>
            <w:pPr>
              <w:jc w:val="center"/>
              <w:ind w:right="6"/>
              <w:spacing w:after="0" w:line="142" w:lineRule="exact"/>
              <w:rPr>
                <w:sz w:val="20"/>
                <w:szCs w:val="20"/>
                <w:color w:val="auto"/>
              </w:rPr>
            </w:pPr>
            <w:r>
              <w:rPr>
                <w:rFonts w:ascii="Arial" w:cs="Arial" w:eastAsia="Arial" w:hAnsi="Arial"/>
                <w:sz w:val="14"/>
                <w:szCs w:val="14"/>
                <w:color w:val="auto"/>
              </w:rPr>
              <w:t>[*CTR]</w:t>
            </w:r>
          </w:p>
        </w:tc>
        <w:tc>
          <w:tcPr>
            <w:tcW w:w="0" w:type="dxa"/>
            <w:vAlign w:val="bottom"/>
          </w:tcPr>
          <w:p>
            <w:pPr>
              <w:spacing w:after="0"/>
              <w:rPr>
                <w:sz w:val="1"/>
                <w:szCs w:val="1"/>
                <w:color w:val="auto"/>
              </w:rPr>
            </w:pPr>
          </w:p>
        </w:tc>
      </w:tr>
      <w:tr>
        <w:trPr>
          <w:trHeight w:val="142"/>
        </w:trPr>
        <w:tc>
          <w:tcPr>
            <w:tcW w:w="1200" w:type="dxa"/>
            <w:vAlign w:val="bottom"/>
            <w:tcBorders>
              <w:left w:val="single" w:sz="8" w:color="auto"/>
              <w:bottom w:val="single" w:sz="8" w:color="auto"/>
              <w:right w:val="single" w:sz="8" w:color="auto"/>
            </w:tcBorders>
          </w:tcPr>
          <w:p>
            <w:pPr>
              <w:ind w:left="240"/>
              <w:spacing w:after="0" w:line="142" w:lineRule="exact"/>
              <w:rPr>
                <w:sz w:val="20"/>
                <w:szCs w:val="20"/>
                <w:color w:val="auto"/>
              </w:rPr>
            </w:pPr>
            <w:r>
              <w:rPr>
                <w:rFonts w:ascii="Arial" w:cs="Arial" w:eastAsia="Arial" w:hAnsi="Arial"/>
                <w:sz w:val="14"/>
                <w:szCs w:val="14"/>
                <w:color w:val="auto"/>
              </w:rPr>
              <w:t>[*CTR]-2017</w:t>
            </w: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right w:val="single" w:sz="8" w:color="auto"/>
            </w:tcBorders>
          </w:tcPr>
          <w:p>
            <w:pPr>
              <w:jc w:val="right"/>
              <w:ind w:right="387"/>
              <w:spacing w:after="0" w:line="142" w:lineRule="exact"/>
              <w:rPr>
                <w:sz w:val="20"/>
                <w:szCs w:val="20"/>
                <w:color w:val="auto"/>
              </w:rPr>
            </w:pPr>
            <w:r>
              <w:rPr>
                <w:rFonts w:ascii="Arial" w:cs="Arial" w:eastAsia="Arial" w:hAnsi="Arial"/>
                <w:sz w:val="14"/>
                <w:szCs w:val="14"/>
                <w:color w:val="auto"/>
              </w:rPr>
              <w:t>1</w:t>
            </w:r>
          </w:p>
        </w:tc>
        <w:tc>
          <w:tcPr>
            <w:tcW w:w="160" w:type="dxa"/>
            <w:vAlign w:val="bottom"/>
            <w:tcBorders>
              <w:bottom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ind w:left="200"/>
              <w:spacing w:after="0" w:line="142" w:lineRule="exact"/>
              <w:rPr>
                <w:sz w:val="20"/>
                <w:szCs w:val="20"/>
                <w:color w:val="auto"/>
              </w:rPr>
            </w:pPr>
            <w:r>
              <w:rPr>
                <w:rFonts w:ascii="Arial" w:cs="Arial" w:eastAsia="Arial" w:hAnsi="Arial"/>
                <w:sz w:val="14"/>
                <w:szCs w:val="14"/>
                <w:color w:val="auto"/>
              </w:rPr>
              <w:t>[*CTR]</w:t>
            </w:r>
          </w:p>
        </w:tc>
        <w:tc>
          <w:tcPr>
            <w:tcW w:w="920" w:type="dxa"/>
            <w:vAlign w:val="bottom"/>
            <w:tcBorders>
              <w:bottom w:val="single" w:sz="8" w:color="auto"/>
            </w:tcBorders>
          </w:tcPr>
          <w:p>
            <w:pPr>
              <w:ind w:left="360"/>
              <w:spacing w:after="0" w:line="142" w:lineRule="exact"/>
              <w:rPr>
                <w:sz w:val="20"/>
                <w:szCs w:val="20"/>
                <w:color w:val="auto"/>
              </w:rPr>
            </w:pPr>
            <w:r>
              <w:rPr>
                <w:rFonts w:ascii="Arial" w:cs="Arial" w:eastAsia="Arial" w:hAnsi="Arial"/>
                <w:sz w:val="14"/>
                <w:szCs w:val="14"/>
                <w:color w:val="auto"/>
              </w:rPr>
              <w:t>[*CTR]</w:t>
            </w:r>
          </w:p>
        </w:tc>
        <w:tc>
          <w:tcPr>
            <w:tcW w:w="160" w:type="dxa"/>
            <w:vAlign w:val="bottom"/>
            <w:tcBorders>
              <w:bottom w:val="single" w:sz="8" w:color="auto"/>
              <w:right w:val="single" w:sz="8" w:color="auto"/>
            </w:tcBorders>
          </w:tcPr>
          <w:p>
            <w:pPr>
              <w:spacing w:after="0"/>
              <w:rPr>
                <w:sz w:val="12"/>
                <w:szCs w:val="12"/>
                <w:color w:val="auto"/>
              </w:rPr>
            </w:pPr>
          </w:p>
        </w:tc>
        <w:tc>
          <w:tcPr>
            <w:tcW w:w="100" w:type="dxa"/>
            <w:vAlign w:val="bottom"/>
            <w:tcBorders>
              <w:bottom w:val="single" w:sz="8" w:color="auto"/>
            </w:tcBorders>
            <w:shd w:val="clear" w:color="auto" w:fill="CCCCCC"/>
          </w:tcPr>
          <w:p>
            <w:pPr>
              <w:spacing w:after="0"/>
              <w:rPr>
                <w:sz w:val="12"/>
                <w:szCs w:val="12"/>
                <w:color w:val="auto"/>
              </w:rPr>
            </w:pPr>
          </w:p>
        </w:tc>
        <w:tc>
          <w:tcPr>
            <w:tcW w:w="180" w:type="dxa"/>
            <w:vAlign w:val="bottom"/>
            <w:tcBorders>
              <w:bottom w:val="single" w:sz="8" w:color="auto"/>
            </w:tcBorders>
            <w:shd w:val="clear" w:color="auto" w:fill="CCCCCC"/>
          </w:tcPr>
          <w:p>
            <w:pPr>
              <w:spacing w:after="0"/>
              <w:rPr>
                <w:sz w:val="12"/>
                <w:szCs w:val="12"/>
                <w:color w:val="auto"/>
              </w:rPr>
            </w:pPr>
          </w:p>
        </w:tc>
        <w:tc>
          <w:tcPr>
            <w:tcW w:w="80" w:type="dxa"/>
            <w:vAlign w:val="bottom"/>
            <w:tcBorders>
              <w:bottom w:val="single" w:sz="8" w:color="auto"/>
            </w:tcBorders>
            <w:shd w:val="clear" w:color="auto" w:fill="CCCCCC"/>
          </w:tcPr>
          <w:p>
            <w:pPr>
              <w:spacing w:after="0"/>
              <w:rPr>
                <w:sz w:val="12"/>
                <w:szCs w:val="12"/>
                <w:color w:val="auto"/>
              </w:rPr>
            </w:pPr>
          </w:p>
        </w:tc>
        <w:tc>
          <w:tcPr>
            <w:tcW w:w="800" w:type="dxa"/>
            <w:vAlign w:val="bottom"/>
            <w:tcBorders>
              <w:bottom w:val="single" w:sz="8" w:color="auto"/>
              <w:right w:val="single" w:sz="8" w:color="auto"/>
            </w:tcBorders>
            <w:gridSpan w:val="2"/>
            <w:shd w:val="clear" w:color="auto" w:fill="CCCCCC"/>
          </w:tcPr>
          <w:p>
            <w:pPr>
              <w:ind w:left="20"/>
              <w:spacing w:after="0" w:line="142" w:lineRule="exact"/>
              <w:rPr>
                <w:sz w:val="20"/>
                <w:szCs w:val="20"/>
                <w:color w:val="auto"/>
              </w:rPr>
            </w:pPr>
            <w:r>
              <w:rPr>
                <w:rFonts w:ascii="Arial" w:cs="Arial" w:eastAsia="Arial" w:hAnsi="Arial"/>
                <w:sz w:val="14"/>
                <w:szCs w:val="14"/>
                <w:color w:val="auto"/>
              </w:rPr>
              <w:t>[*CTR]</w:t>
            </w:r>
          </w:p>
        </w:tc>
        <w:tc>
          <w:tcPr>
            <w:tcW w:w="380" w:type="dxa"/>
            <w:vAlign w:val="bottom"/>
            <w:tcBorders>
              <w:bottom w:val="single" w:sz="8" w:color="auto"/>
            </w:tcBorders>
          </w:tcPr>
          <w:p>
            <w:pPr>
              <w:spacing w:after="0"/>
              <w:rPr>
                <w:sz w:val="12"/>
                <w:szCs w:val="12"/>
                <w:color w:val="auto"/>
              </w:rPr>
            </w:pPr>
          </w:p>
        </w:tc>
        <w:tc>
          <w:tcPr>
            <w:tcW w:w="1100" w:type="dxa"/>
            <w:vAlign w:val="bottom"/>
            <w:tcBorders>
              <w:bottom w:val="single" w:sz="8" w:color="auto"/>
              <w:right w:val="single" w:sz="8" w:color="auto"/>
            </w:tcBorders>
          </w:tcPr>
          <w:p>
            <w:pPr>
              <w:ind w:left="160"/>
              <w:spacing w:after="0" w:line="142" w:lineRule="exact"/>
              <w:rPr>
                <w:sz w:val="20"/>
                <w:szCs w:val="20"/>
                <w:color w:val="auto"/>
              </w:rPr>
            </w:pPr>
            <w:r>
              <w:rPr>
                <w:rFonts w:ascii="Arial" w:cs="Arial" w:eastAsia="Arial" w:hAnsi="Arial"/>
                <w:sz w:val="14"/>
                <w:szCs w:val="14"/>
                <w:color w:val="auto"/>
              </w:rPr>
              <w:t>[*CTR]</w:t>
            </w:r>
          </w:p>
        </w:tc>
        <w:tc>
          <w:tcPr>
            <w:tcW w:w="2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3"/>
          </w:tcPr>
          <w:p>
            <w:pPr>
              <w:jc w:val="center"/>
              <w:ind w:right="40"/>
              <w:spacing w:after="0" w:line="142" w:lineRule="exact"/>
              <w:rPr>
                <w:sz w:val="20"/>
                <w:szCs w:val="20"/>
                <w:color w:val="auto"/>
              </w:rPr>
            </w:pPr>
            <w:r>
              <w:rPr>
                <w:rFonts w:ascii="Arial" w:cs="Arial" w:eastAsia="Arial" w:hAnsi="Arial"/>
                <w:sz w:val="14"/>
                <w:szCs w:val="14"/>
                <w:color w:val="auto"/>
              </w:rPr>
              <w:t>[*CTR]</w:t>
            </w:r>
          </w:p>
        </w:tc>
        <w:tc>
          <w:tcPr>
            <w:tcW w:w="160" w:type="dxa"/>
            <w:vAlign w:val="bottom"/>
            <w:tcBorders>
              <w:bottom w:val="single" w:sz="8" w:color="auto"/>
              <w:right w:val="single" w:sz="8" w:color="auto"/>
            </w:tcBorders>
          </w:tcPr>
          <w:p>
            <w:pPr>
              <w:spacing w:after="0"/>
              <w:rPr>
                <w:sz w:val="12"/>
                <w:szCs w:val="12"/>
                <w:color w:val="auto"/>
              </w:rPr>
            </w:pPr>
          </w:p>
        </w:tc>
        <w:tc>
          <w:tcPr>
            <w:tcW w:w="1040" w:type="dxa"/>
            <w:vAlign w:val="bottom"/>
            <w:tcBorders>
              <w:bottom w:val="single" w:sz="8" w:color="auto"/>
              <w:right w:val="single" w:sz="8" w:color="auto"/>
            </w:tcBorders>
          </w:tcPr>
          <w:p>
            <w:pPr>
              <w:jc w:val="center"/>
              <w:ind w:left="7"/>
              <w:spacing w:after="0" w:line="142" w:lineRule="exact"/>
              <w:rPr>
                <w:sz w:val="20"/>
                <w:szCs w:val="20"/>
                <w:color w:val="auto"/>
              </w:rPr>
            </w:pPr>
            <w:r>
              <w:rPr>
                <w:rFonts w:ascii="Arial" w:cs="Arial" w:eastAsia="Arial" w:hAnsi="Arial"/>
                <w:sz w:val="14"/>
                <w:szCs w:val="14"/>
                <w:color w:val="auto"/>
              </w:rPr>
              <w:t>[*CTR]</w:t>
            </w:r>
          </w:p>
        </w:tc>
        <w:tc>
          <w:tcPr>
            <w:tcW w:w="1040" w:type="dxa"/>
            <w:vAlign w:val="bottom"/>
            <w:tcBorders>
              <w:bottom w:val="single" w:sz="8" w:color="auto"/>
              <w:right w:val="single" w:sz="8" w:color="auto"/>
            </w:tcBorders>
          </w:tcPr>
          <w:p>
            <w:pPr>
              <w:jc w:val="center"/>
              <w:ind w:left="7"/>
              <w:spacing w:after="0" w:line="142" w:lineRule="exact"/>
              <w:rPr>
                <w:sz w:val="20"/>
                <w:szCs w:val="20"/>
                <w:color w:val="auto"/>
              </w:rPr>
            </w:pPr>
            <w:r>
              <w:rPr>
                <w:rFonts w:ascii="Arial" w:cs="Arial" w:eastAsia="Arial" w:hAnsi="Arial"/>
                <w:sz w:val="14"/>
                <w:szCs w:val="14"/>
                <w:color w:val="auto"/>
              </w:rPr>
              <w:t>[*CTR]</w:t>
            </w:r>
          </w:p>
        </w:tc>
        <w:tc>
          <w:tcPr>
            <w:tcW w:w="100" w:type="dxa"/>
            <w:vAlign w:val="bottom"/>
            <w:tcBorders>
              <w:bottom w:val="single" w:sz="8" w:color="auto"/>
            </w:tcBorders>
          </w:tcPr>
          <w:p>
            <w:pPr>
              <w:spacing w:after="0"/>
              <w:rPr>
                <w:sz w:val="12"/>
                <w:szCs w:val="12"/>
                <w:color w:val="auto"/>
              </w:rPr>
            </w:pPr>
          </w:p>
        </w:tc>
        <w:tc>
          <w:tcPr>
            <w:tcW w:w="1160" w:type="dxa"/>
            <w:vAlign w:val="bottom"/>
            <w:tcBorders>
              <w:bottom w:val="single" w:sz="8" w:color="auto"/>
              <w:right w:val="single" w:sz="8" w:color="auto"/>
            </w:tcBorders>
          </w:tcPr>
          <w:p>
            <w:pPr>
              <w:jc w:val="center"/>
              <w:ind w:right="6"/>
              <w:spacing w:after="0" w:line="142" w:lineRule="exact"/>
              <w:rPr>
                <w:sz w:val="20"/>
                <w:szCs w:val="20"/>
                <w:color w:val="auto"/>
              </w:rPr>
            </w:pPr>
            <w:r>
              <w:rPr>
                <w:rFonts w:ascii="Arial" w:cs="Arial" w:eastAsia="Arial" w:hAnsi="Arial"/>
                <w:sz w:val="14"/>
                <w:szCs w:val="14"/>
                <w:color w:val="auto"/>
              </w:rPr>
              <w:t>[*CTR]</w:t>
            </w:r>
          </w:p>
        </w:tc>
        <w:tc>
          <w:tcPr>
            <w:tcW w:w="0" w:type="dxa"/>
            <w:vAlign w:val="bottom"/>
          </w:tcPr>
          <w:p>
            <w:pPr>
              <w:spacing w:after="0"/>
              <w:rPr>
                <w:sz w:val="1"/>
                <w:szCs w:val="1"/>
                <w:color w:val="auto"/>
              </w:rPr>
            </w:pPr>
          </w:p>
        </w:tc>
      </w:tr>
      <w:tr>
        <w:trPr>
          <w:trHeight w:val="142"/>
        </w:trPr>
        <w:tc>
          <w:tcPr>
            <w:tcW w:w="1200" w:type="dxa"/>
            <w:vAlign w:val="bottom"/>
            <w:tcBorders>
              <w:left w:val="single" w:sz="8" w:color="auto"/>
              <w:bottom w:val="single" w:sz="8" w:color="auto"/>
              <w:right w:val="single" w:sz="8" w:color="auto"/>
            </w:tcBorders>
          </w:tcPr>
          <w:p>
            <w:pPr>
              <w:ind w:left="240"/>
              <w:spacing w:after="0" w:line="142" w:lineRule="exact"/>
              <w:rPr>
                <w:sz w:val="20"/>
                <w:szCs w:val="20"/>
                <w:color w:val="auto"/>
              </w:rPr>
            </w:pPr>
            <w:r>
              <w:rPr>
                <w:rFonts w:ascii="Arial" w:cs="Arial" w:eastAsia="Arial" w:hAnsi="Arial"/>
                <w:sz w:val="14"/>
                <w:szCs w:val="14"/>
                <w:color w:val="auto"/>
              </w:rPr>
              <w:t>[*CTR]-2017</w:t>
            </w: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right w:val="single" w:sz="8" w:color="auto"/>
            </w:tcBorders>
          </w:tcPr>
          <w:p>
            <w:pPr>
              <w:jc w:val="right"/>
              <w:ind w:right="387"/>
              <w:spacing w:after="0" w:line="142" w:lineRule="exact"/>
              <w:rPr>
                <w:sz w:val="20"/>
                <w:szCs w:val="20"/>
                <w:color w:val="auto"/>
              </w:rPr>
            </w:pPr>
            <w:r>
              <w:rPr>
                <w:rFonts w:ascii="Arial" w:cs="Arial" w:eastAsia="Arial" w:hAnsi="Arial"/>
                <w:sz w:val="14"/>
                <w:szCs w:val="14"/>
                <w:color w:val="auto"/>
              </w:rPr>
              <w:t>1</w:t>
            </w:r>
          </w:p>
        </w:tc>
        <w:tc>
          <w:tcPr>
            <w:tcW w:w="160" w:type="dxa"/>
            <w:vAlign w:val="bottom"/>
            <w:tcBorders>
              <w:bottom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ind w:left="200"/>
              <w:spacing w:after="0" w:line="142" w:lineRule="exact"/>
              <w:rPr>
                <w:sz w:val="20"/>
                <w:szCs w:val="20"/>
                <w:color w:val="auto"/>
              </w:rPr>
            </w:pPr>
            <w:r>
              <w:rPr>
                <w:rFonts w:ascii="Arial" w:cs="Arial" w:eastAsia="Arial" w:hAnsi="Arial"/>
                <w:sz w:val="14"/>
                <w:szCs w:val="14"/>
                <w:color w:val="auto"/>
              </w:rPr>
              <w:t>[*CTR]</w:t>
            </w:r>
          </w:p>
        </w:tc>
        <w:tc>
          <w:tcPr>
            <w:tcW w:w="920" w:type="dxa"/>
            <w:vAlign w:val="bottom"/>
            <w:tcBorders>
              <w:bottom w:val="single" w:sz="8" w:color="auto"/>
            </w:tcBorders>
          </w:tcPr>
          <w:p>
            <w:pPr>
              <w:ind w:left="360"/>
              <w:spacing w:after="0" w:line="142" w:lineRule="exact"/>
              <w:rPr>
                <w:sz w:val="20"/>
                <w:szCs w:val="20"/>
                <w:color w:val="auto"/>
              </w:rPr>
            </w:pPr>
            <w:r>
              <w:rPr>
                <w:rFonts w:ascii="Arial" w:cs="Arial" w:eastAsia="Arial" w:hAnsi="Arial"/>
                <w:sz w:val="14"/>
                <w:szCs w:val="14"/>
                <w:color w:val="auto"/>
              </w:rPr>
              <w:t>[*CTR]</w:t>
            </w:r>
          </w:p>
        </w:tc>
        <w:tc>
          <w:tcPr>
            <w:tcW w:w="160" w:type="dxa"/>
            <w:vAlign w:val="bottom"/>
            <w:tcBorders>
              <w:bottom w:val="single" w:sz="8" w:color="auto"/>
              <w:right w:val="single" w:sz="8" w:color="auto"/>
            </w:tcBorders>
          </w:tcPr>
          <w:p>
            <w:pPr>
              <w:spacing w:after="0"/>
              <w:rPr>
                <w:sz w:val="12"/>
                <w:szCs w:val="12"/>
                <w:color w:val="auto"/>
              </w:rPr>
            </w:pPr>
          </w:p>
        </w:tc>
        <w:tc>
          <w:tcPr>
            <w:tcW w:w="100" w:type="dxa"/>
            <w:vAlign w:val="bottom"/>
            <w:tcBorders>
              <w:bottom w:val="single" w:sz="8" w:color="auto"/>
            </w:tcBorders>
            <w:shd w:val="clear" w:color="auto" w:fill="CCCCCC"/>
          </w:tcPr>
          <w:p>
            <w:pPr>
              <w:spacing w:after="0"/>
              <w:rPr>
                <w:sz w:val="12"/>
                <w:szCs w:val="12"/>
                <w:color w:val="auto"/>
              </w:rPr>
            </w:pPr>
          </w:p>
        </w:tc>
        <w:tc>
          <w:tcPr>
            <w:tcW w:w="180" w:type="dxa"/>
            <w:vAlign w:val="bottom"/>
            <w:tcBorders>
              <w:bottom w:val="single" w:sz="8" w:color="auto"/>
            </w:tcBorders>
            <w:shd w:val="clear" w:color="auto" w:fill="CCCCCC"/>
          </w:tcPr>
          <w:p>
            <w:pPr>
              <w:spacing w:after="0"/>
              <w:rPr>
                <w:sz w:val="12"/>
                <w:szCs w:val="12"/>
                <w:color w:val="auto"/>
              </w:rPr>
            </w:pPr>
          </w:p>
        </w:tc>
        <w:tc>
          <w:tcPr>
            <w:tcW w:w="80" w:type="dxa"/>
            <w:vAlign w:val="bottom"/>
            <w:tcBorders>
              <w:bottom w:val="single" w:sz="8" w:color="auto"/>
            </w:tcBorders>
            <w:shd w:val="clear" w:color="auto" w:fill="CCCCCC"/>
          </w:tcPr>
          <w:p>
            <w:pPr>
              <w:spacing w:after="0"/>
              <w:rPr>
                <w:sz w:val="12"/>
                <w:szCs w:val="12"/>
                <w:color w:val="auto"/>
              </w:rPr>
            </w:pPr>
          </w:p>
        </w:tc>
        <w:tc>
          <w:tcPr>
            <w:tcW w:w="800" w:type="dxa"/>
            <w:vAlign w:val="bottom"/>
            <w:tcBorders>
              <w:bottom w:val="single" w:sz="8" w:color="auto"/>
              <w:right w:val="single" w:sz="8" w:color="auto"/>
            </w:tcBorders>
            <w:gridSpan w:val="2"/>
            <w:shd w:val="clear" w:color="auto" w:fill="CCCCCC"/>
          </w:tcPr>
          <w:p>
            <w:pPr>
              <w:ind w:left="20"/>
              <w:spacing w:after="0" w:line="142" w:lineRule="exact"/>
              <w:rPr>
                <w:sz w:val="20"/>
                <w:szCs w:val="20"/>
                <w:color w:val="auto"/>
              </w:rPr>
            </w:pPr>
            <w:r>
              <w:rPr>
                <w:rFonts w:ascii="Arial" w:cs="Arial" w:eastAsia="Arial" w:hAnsi="Arial"/>
                <w:sz w:val="14"/>
                <w:szCs w:val="14"/>
                <w:color w:val="auto"/>
              </w:rPr>
              <w:t>[*CTR]</w:t>
            </w:r>
          </w:p>
        </w:tc>
        <w:tc>
          <w:tcPr>
            <w:tcW w:w="380" w:type="dxa"/>
            <w:vAlign w:val="bottom"/>
            <w:tcBorders>
              <w:bottom w:val="single" w:sz="8" w:color="auto"/>
            </w:tcBorders>
          </w:tcPr>
          <w:p>
            <w:pPr>
              <w:spacing w:after="0"/>
              <w:rPr>
                <w:sz w:val="12"/>
                <w:szCs w:val="12"/>
                <w:color w:val="auto"/>
              </w:rPr>
            </w:pPr>
          </w:p>
        </w:tc>
        <w:tc>
          <w:tcPr>
            <w:tcW w:w="1100" w:type="dxa"/>
            <w:vAlign w:val="bottom"/>
            <w:tcBorders>
              <w:bottom w:val="single" w:sz="8" w:color="auto"/>
              <w:right w:val="single" w:sz="8" w:color="auto"/>
            </w:tcBorders>
          </w:tcPr>
          <w:p>
            <w:pPr>
              <w:ind w:left="160"/>
              <w:spacing w:after="0" w:line="142" w:lineRule="exact"/>
              <w:rPr>
                <w:sz w:val="20"/>
                <w:szCs w:val="20"/>
                <w:color w:val="auto"/>
              </w:rPr>
            </w:pPr>
            <w:r>
              <w:rPr>
                <w:rFonts w:ascii="Arial" w:cs="Arial" w:eastAsia="Arial" w:hAnsi="Arial"/>
                <w:sz w:val="14"/>
                <w:szCs w:val="14"/>
                <w:color w:val="auto"/>
              </w:rPr>
              <w:t>[*CTR]</w:t>
            </w:r>
          </w:p>
        </w:tc>
        <w:tc>
          <w:tcPr>
            <w:tcW w:w="2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3"/>
          </w:tcPr>
          <w:p>
            <w:pPr>
              <w:jc w:val="center"/>
              <w:ind w:right="40"/>
              <w:spacing w:after="0" w:line="142" w:lineRule="exact"/>
              <w:rPr>
                <w:sz w:val="20"/>
                <w:szCs w:val="20"/>
                <w:color w:val="auto"/>
              </w:rPr>
            </w:pPr>
            <w:r>
              <w:rPr>
                <w:rFonts w:ascii="Arial" w:cs="Arial" w:eastAsia="Arial" w:hAnsi="Arial"/>
                <w:sz w:val="14"/>
                <w:szCs w:val="14"/>
                <w:color w:val="auto"/>
              </w:rPr>
              <w:t>[*CTR]</w:t>
            </w:r>
          </w:p>
        </w:tc>
        <w:tc>
          <w:tcPr>
            <w:tcW w:w="160" w:type="dxa"/>
            <w:vAlign w:val="bottom"/>
            <w:tcBorders>
              <w:bottom w:val="single" w:sz="8" w:color="auto"/>
              <w:right w:val="single" w:sz="8" w:color="auto"/>
            </w:tcBorders>
          </w:tcPr>
          <w:p>
            <w:pPr>
              <w:spacing w:after="0"/>
              <w:rPr>
                <w:sz w:val="12"/>
                <w:szCs w:val="12"/>
                <w:color w:val="auto"/>
              </w:rPr>
            </w:pPr>
          </w:p>
        </w:tc>
        <w:tc>
          <w:tcPr>
            <w:tcW w:w="1040" w:type="dxa"/>
            <w:vAlign w:val="bottom"/>
            <w:tcBorders>
              <w:bottom w:val="single" w:sz="8" w:color="auto"/>
              <w:right w:val="single" w:sz="8" w:color="auto"/>
            </w:tcBorders>
          </w:tcPr>
          <w:p>
            <w:pPr>
              <w:jc w:val="center"/>
              <w:ind w:left="7"/>
              <w:spacing w:after="0" w:line="142" w:lineRule="exact"/>
              <w:rPr>
                <w:sz w:val="20"/>
                <w:szCs w:val="20"/>
                <w:color w:val="auto"/>
              </w:rPr>
            </w:pPr>
            <w:r>
              <w:rPr>
                <w:rFonts w:ascii="Arial" w:cs="Arial" w:eastAsia="Arial" w:hAnsi="Arial"/>
                <w:sz w:val="14"/>
                <w:szCs w:val="14"/>
                <w:color w:val="auto"/>
              </w:rPr>
              <w:t>[*CTR]</w:t>
            </w:r>
          </w:p>
        </w:tc>
        <w:tc>
          <w:tcPr>
            <w:tcW w:w="1040" w:type="dxa"/>
            <w:vAlign w:val="bottom"/>
            <w:tcBorders>
              <w:bottom w:val="single" w:sz="8" w:color="auto"/>
              <w:right w:val="single" w:sz="8" w:color="auto"/>
            </w:tcBorders>
          </w:tcPr>
          <w:p>
            <w:pPr>
              <w:jc w:val="center"/>
              <w:ind w:left="7"/>
              <w:spacing w:after="0" w:line="142" w:lineRule="exact"/>
              <w:rPr>
                <w:sz w:val="20"/>
                <w:szCs w:val="20"/>
                <w:color w:val="auto"/>
              </w:rPr>
            </w:pPr>
            <w:r>
              <w:rPr>
                <w:rFonts w:ascii="Arial" w:cs="Arial" w:eastAsia="Arial" w:hAnsi="Arial"/>
                <w:sz w:val="14"/>
                <w:szCs w:val="14"/>
                <w:color w:val="auto"/>
              </w:rPr>
              <w:t>[*CTR]</w:t>
            </w:r>
          </w:p>
        </w:tc>
        <w:tc>
          <w:tcPr>
            <w:tcW w:w="100" w:type="dxa"/>
            <w:vAlign w:val="bottom"/>
            <w:tcBorders>
              <w:bottom w:val="single" w:sz="8" w:color="auto"/>
            </w:tcBorders>
          </w:tcPr>
          <w:p>
            <w:pPr>
              <w:spacing w:after="0"/>
              <w:rPr>
                <w:sz w:val="12"/>
                <w:szCs w:val="12"/>
                <w:color w:val="auto"/>
              </w:rPr>
            </w:pPr>
          </w:p>
        </w:tc>
        <w:tc>
          <w:tcPr>
            <w:tcW w:w="1160" w:type="dxa"/>
            <w:vAlign w:val="bottom"/>
            <w:tcBorders>
              <w:bottom w:val="single" w:sz="8" w:color="auto"/>
              <w:right w:val="single" w:sz="8" w:color="auto"/>
            </w:tcBorders>
          </w:tcPr>
          <w:p>
            <w:pPr>
              <w:jc w:val="center"/>
              <w:ind w:right="6"/>
              <w:spacing w:after="0" w:line="142" w:lineRule="exact"/>
              <w:rPr>
                <w:sz w:val="20"/>
                <w:szCs w:val="20"/>
                <w:color w:val="auto"/>
              </w:rPr>
            </w:pPr>
            <w:r>
              <w:rPr>
                <w:rFonts w:ascii="Arial" w:cs="Arial" w:eastAsia="Arial" w:hAnsi="Arial"/>
                <w:sz w:val="14"/>
                <w:szCs w:val="14"/>
                <w:color w:val="auto"/>
              </w:rPr>
              <w:t>[*CTR]</w:t>
            </w:r>
          </w:p>
        </w:tc>
        <w:tc>
          <w:tcPr>
            <w:tcW w:w="0" w:type="dxa"/>
            <w:vAlign w:val="bottom"/>
          </w:tcPr>
          <w:p>
            <w:pPr>
              <w:spacing w:after="0"/>
              <w:rPr>
                <w:sz w:val="1"/>
                <w:szCs w:val="1"/>
                <w:color w:val="auto"/>
              </w:rPr>
            </w:pPr>
          </w:p>
        </w:tc>
      </w:tr>
      <w:tr>
        <w:trPr>
          <w:trHeight w:val="142"/>
        </w:trPr>
        <w:tc>
          <w:tcPr>
            <w:tcW w:w="1200" w:type="dxa"/>
            <w:vAlign w:val="bottom"/>
            <w:tcBorders>
              <w:left w:val="single" w:sz="8" w:color="auto"/>
              <w:bottom w:val="single" w:sz="8" w:color="auto"/>
              <w:right w:val="single" w:sz="8" w:color="auto"/>
            </w:tcBorders>
          </w:tcPr>
          <w:p>
            <w:pPr>
              <w:ind w:left="240"/>
              <w:spacing w:after="0" w:line="142" w:lineRule="exact"/>
              <w:rPr>
                <w:sz w:val="20"/>
                <w:szCs w:val="20"/>
                <w:color w:val="auto"/>
              </w:rPr>
            </w:pPr>
            <w:r>
              <w:rPr>
                <w:rFonts w:ascii="Arial" w:cs="Arial" w:eastAsia="Arial" w:hAnsi="Arial"/>
                <w:sz w:val="14"/>
                <w:szCs w:val="14"/>
                <w:color w:val="auto"/>
              </w:rPr>
              <w:t>[*CTR]-2017</w:t>
            </w: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right w:val="single" w:sz="8" w:color="auto"/>
            </w:tcBorders>
          </w:tcPr>
          <w:p>
            <w:pPr>
              <w:jc w:val="right"/>
              <w:ind w:right="387"/>
              <w:spacing w:after="0" w:line="142" w:lineRule="exact"/>
              <w:rPr>
                <w:sz w:val="20"/>
                <w:szCs w:val="20"/>
                <w:color w:val="auto"/>
              </w:rPr>
            </w:pPr>
            <w:r>
              <w:rPr>
                <w:rFonts w:ascii="Arial" w:cs="Arial" w:eastAsia="Arial" w:hAnsi="Arial"/>
                <w:sz w:val="14"/>
                <w:szCs w:val="14"/>
                <w:color w:val="auto"/>
              </w:rPr>
              <w:t>1</w:t>
            </w:r>
          </w:p>
        </w:tc>
        <w:tc>
          <w:tcPr>
            <w:tcW w:w="160" w:type="dxa"/>
            <w:vAlign w:val="bottom"/>
            <w:tcBorders>
              <w:bottom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ind w:left="200"/>
              <w:spacing w:after="0" w:line="142" w:lineRule="exact"/>
              <w:rPr>
                <w:sz w:val="20"/>
                <w:szCs w:val="20"/>
                <w:color w:val="auto"/>
              </w:rPr>
            </w:pPr>
            <w:r>
              <w:rPr>
                <w:rFonts w:ascii="Arial" w:cs="Arial" w:eastAsia="Arial" w:hAnsi="Arial"/>
                <w:sz w:val="14"/>
                <w:szCs w:val="14"/>
                <w:color w:val="auto"/>
              </w:rPr>
              <w:t>[*CTR]</w:t>
            </w:r>
          </w:p>
        </w:tc>
        <w:tc>
          <w:tcPr>
            <w:tcW w:w="920" w:type="dxa"/>
            <w:vAlign w:val="bottom"/>
            <w:tcBorders>
              <w:bottom w:val="single" w:sz="8" w:color="auto"/>
            </w:tcBorders>
          </w:tcPr>
          <w:p>
            <w:pPr>
              <w:ind w:left="360"/>
              <w:spacing w:after="0" w:line="142" w:lineRule="exact"/>
              <w:rPr>
                <w:sz w:val="20"/>
                <w:szCs w:val="20"/>
                <w:color w:val="auto"/>
              </w:rPr>
            </w:pPr>
            <w:r>
              <w:rPr>
                <w:rFonts w:ascii="Arial" w:cs="Arial" w:eastAsia="Arial" w:hAnsi="Arial"/>
                <w:sz w:val="14"/>
                <w:szCs w:val="14"/>
                <w:color w:val="auto"/>
              </w:rPr>
              <w:t>[*CTR]</w:t>
            </w:r>
          </w:p>
        </w:tc>
        <w:tc>
          <w:tcPr>
            <w:tcW w:w="160" w:type="dxa"/>
            <w:vAlign w:val="bottom"/>
            <w:tcBorders>
              <w:bottom w:val="single" w:sz="8" w:color="auto"/>
              <w:right w:val="single" w:sz="8" w:color="auto"/>
            </w:tcBorders>
          </w:tcPr>
          <w:p>
            <w:pPr>
              <w:spacing w:after="0"/>
              <w:rPr>
                <w:sz w:val="12"/>
                <w:szCs w:val="12"/>
                <w:color w:val="auto"/>
              </w:rPr>
            </w:pPr>
          </w:p>
        </w:tc>
        <w:tc>
          <w:tcPr>
            <w:tcW w:w="100" w:type="dxa"/>
            <w:vAlign w:val="bottom"/>
            <w:tcBorders>
              <w:bottom w:val="single" w:sz="8" w:color="auto"/>
            </w:tcBorders>
            <w:shd w:val="clear" w:color="auto" w:fill="CCCCCC"/>
          </w:tcPr>
          <w:p>
            <w:pPr>
              <w:spacing w:after="0"/>
              <w:rPr>
                <w:sz w:val="12"/>
                <w:szCs w:val="12"/>
                <w:color w:val="auto"/>
              </w:rPr>
            </w:pPr>
          </w:p>
        </w:tc>
        <w:tc>
          <w:tcPr>
            <w:tcW w:w="180" w:type="dxa"/>
            <w:vAlign w:val="bottom"/>
            <w:tcBorders>
              <w:bottom w:val="single" w:sz="8" w:color="auto"/>
            </w:tcBorders>
            <w:shd w:val="clear" w:color="auto" w:fill="CCCCCC"/>
          </w:tcPr>
          <w:p>
            <w:pPr>
              <w:spacing w:after="0"/>
              <w:rPr>
                <w:sz w:val="12"/>
                <w:szCs w:val="12"/>
                <w:color w:val="auto"/>
              </w:rPr>
            </w:pPr>
          </w:p>
        </w:tc>
        <w:tc>
          <w:tcPr>
            <w:tcW w:w="80" w:type="dxa"/>
            <w:vAlign w:val="bottom"/>
            <w:tcBorders>
              <w:bottom w:val="single" w:sz="8" w:color="auto"/>
            </w:tcBorders>
            <w:shd w:val="clear" w:color="auto" w:fill="CCCCCC"/>
          </w:tcPr>
          <w:p>
            <w:pPr>
              <w:spacing w:after="0"/>
              <w:rPr>
                <w:sz w:val="12"/>
                <w:szCs w:val="12"/>
                <w:color w:val="auto"/>
              </w:rPr>
            </w:pPr>
          </w:p>
        </w:tc>
        <w:tc>
          <w:tcPr>
            <w:tcW w:w="800" w:type="dxa"/>
            <w:vAlign w:val="bottom"/>
            <w:tcBorders>
              <w:bottom w:val="single" w:sz="8" w:color="auto"/>
              <w:right w:val="single" w:sz="8" w:color="auto"/>
            </w:tcBorders>
            <w:gridSpan w:val="2"/>
            <w:shd w:val="clear" w:color="auto" w:fill="CCCCCC"/>
          </w:tcPr>
          <w:p>
            <w:pPr>
              <w:ind w:left="20"/>
              <w:spacing w:after="0" w:line="142" w:lineRule="exact"/>
              <w:rPr>
                <w:sz w:val="20"/>
                <w:szCs w:val="20"/>
                <w:color w:val="auto"/>
              </w:rPr>
            </w:pPr>
            <w:r>
              <w:rPr>
                <w:rFonts w:ascii="Arial" w:cs="Arial" w:eastAsia="Arial" w:hAnsi="Arial"/>
                <w:sz w:val="14"/>
                <w:szCs w:val="14"/>
                <w:color w:val="auto"/>
              </w:rPr>
              <w:t>[*CTR]</w:t>
            </w:r>
          </w:p>
        </w:tc>
        <w:tc>
          <w:tcPr>
            <w:tcW w:w="380" w:type="dxa"/>
            <w:vAlign w:val="bottom"/>
            <w:tcBorders>
              <w:bottom w:val="single" w:sz="8" w:color="auto"/>
            </w:tcBorders>
          </w:tcPr>
          <w:p>
            <w:pPr>
              <w:spacing w:after="0"/>
              <w:rPr>
                <w:sz w:val="12"/>
                <w:szCs w:val="12"/>
                <w:color w:val="auto"/>
              </w:rPr>
            </w:pPr>
          </w:p>
        </w:tc>
        <w:tc>
          <w:tcPr>
            <w:tcW w:w="1100" w:type="dxa"/>
            <w:vAlign w:val="bottom"/>
            <w:tcBorders>
              <w:bottom w:val="single" w:sz="8" w:color="auto"/>
              <w:right w:val="single" w:sz="8" w:color="auto"/>
            </w:tcBorders>
          </w:tcPr>
          <w:p>
            <w:pPr>
              <w:ind w:left="160"/>
              <w:spacing w:after="0" w:line="142" w:lineRule="exact"/>
              <w:rPr>
                <w:sz w:val="20"/>
                <w:szCs w:val="20"/>
                <w:color w:val="auto"/>
              </w:rPr>
            </w:pPr>
            <w:r>
              <w:rPr>
                <w:rFonts w:ascii="Arial" w:cs="Arial" w:eastAsia="Arial" w:hAnsi="Arial"/>
                <w:sz w:val="14"/>
                <w:szCs w:val="14"/>
                <w:color w:val="auto"/>
              </w:rPr>
              <w:t>[*CTR]</w:t>
            </w:r>
          </w:p>
        </w:tc>
        <w:tc>
          <w:tcPr>
            <w:tcW w:w="2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3"/>
          </w:tcPr>
          <w:p>
            <w:pPr>
              <w:jc w:val="center"/>
              <w:ind w:right="40"/>
              <w:spacing w:after="0" w:line="142" w:lineRule="exact"/>
              <w:rPr>
                <w:sz w:val="20"/>
                <w:szCs w:val="20"/>
                <w:color w:val="auto"/>
              </w:rPr>
            </w:pPr>
            <w:r>
              <w:rPr>
                <w:rFonts w:ascii="Arial" w:cs="Arial" w:eastAsia="Arial" w:hAnsi="Arial"/>
                <w:sz w:val="14"/>
                <w:szCs w:val="14"/>
                <w:color w:val="auto"/>
              </w:rPr>
              <w:t>[*CTR]</w:t>
            </w:r>
          </w:p>
        </w:tc>
        <w:tc>
          <w:tcPr>
            <w:tcW w:w="160" w:type="dxa"/>
            <w:vAlign w:val="bottom"/>
            <w:tcBorders>
              <w:bottom w:val="single" w:sz="8" w:color="auto"/>
              <w:right w:val="single" w:sz="8" w:color="auto"/>
            </w:tcBorders>
          </w:tcPr>
          <w:p>
            <w:pPr>
              <w:spacing w:after="0"/>
              <w:rPr>
                <w:sz w:val="12"/>
                <w:szCs w:val="12"/>
                <w:color w:val="auto"/>
              </w:rPr>
            </w:pPr>
          </w:p>
        </w:tc>
        <w:tc>
          <w:tcPr>
            <w:tcW w:w="1040" w:type="dxa"/>
            <w:vAlign w:val="bottom"/>
            <w:tcBorders>
              <w:bottom w:val="single" w:sz="8" w:color="auto"/>
              <w:right w:val="single" w:sz="8" w:color="auto"/>
            </w:tcBorders>
          </w:tcPr>
          <w:p>
            <w:pPr>
              <w:jc w:val="center"/>
              <w:ind w:left="7"/>
              <w:spacing w:after="0" w:line="142" w:lineRule="exact"/>
              <w:rPr>
                <w:sz w:val="20"/>
                <w:szCs w:val="20"/>
                <w:color w:val="auto"/>
              </w:rPr>
            </w:pPr>
            <w:r>
              <w:rPr>
                <w:rFonts w:ascii="Arial" w:cs="Arial" w:eastAsia="Arial" w:hAnsi="Arial"/>
                <w:sz w:val="14"/>
                <w:szCs w:val="14"/>
                <w:color w:val="auto"/>
              </w:rPr>
              <w:t>[*CTR]</w:t>
            </w:r>
          </w:p>
        </w:tc>
        <w:tc>
          <w:tcPr>
            <w:tcW w:w="1040" w:type="dxa"/>
            <w:vAlign w:val="bottom"/>
            <w:tcBorders>
              <w:bottom w:val="single" w:sz="8" w:color="auto"/>
              <w:right w:val="single" w:sz="8" w:color="auto"/>
            </w:tcBorders>
          </w:tcPr>
          <w:p>
            <w:pPr>
              <w:jc w:val="center"/>
              <w:ind w:left="7"/>
              <w:spacing w:after="0" w:line="142" w:lineRule="exact"/>
              <w:rPr>
                <w:sz w:val="20"/>
                <w:szCs w:val="20"/>
                <w:color w:val="auto"/>
              </w:rPr>
            </w:pPr>
            <w:r>
              <w:rPr>
                <w:rFonts w:ascii="Arial" w:cs="Arial" w:eastAsia="Arial" w:hAnsi="Arial"/>
                <w:sz w:val="14"/>
                <w:szCs w:val="14"/>
                <w:color w:val="auto"/>
              </w:rPr>
              <w:t>[*CTR]</w:t>
            </w:r>
          </w:p>
        </w:tc>
        <w:tc>
          <w:tcPr>
            <w:tcW w:w="100" w:type="dxa"/>
            <w:vAlign w:val="bottom"/>
            <w:tcBorders>
              <w:bottom w:val="single" w:sz="8" w:color="auto"/>
            </w:tcBorders>
          </w:tcPr>
          <w:p>
            <w:pPr>
              <w:spacing w:after="0"/>
              <w:rPr>
                <w:sz w:val="12"/>
                <w:szCs w:val="12"/>
                <w:color w:val="auto"/>
              </w:rPr>
            </w:pPr>
          </w:p>
        </w:tc>
        <w:tc>
          <w:tcPr>
            <w:tcW w:w="1160" w:type="dxa"/>
            <w:vAlign w:val="bottom"/>
            <w:tcBorders>
              <w:bottom w:val="single" w:sz="8" w:color="auto"/>
              <w:right w:val="single" w:sz="8" w:color="auto"/>
            </w:tcBorders>
          </w:tcPr>
          <w:p>
            <w:pPr>
              <w:jc w:val="center"/>
              <w:ind w:right="6"/>
              <w:spacing w:after="0" w:line="142" w:lineRule="exact"/>
              <w:rPr>
                <w:sz w:val="20"/>
                <w:szCs w:val="20"/>
                <w:color w:val="auto"/>
              </w:rPr>
            </w:pPr>
            <w:r>
              <w:rPr>
                <w:rFonts w:ascii="Arial" w:cs="Arial" w:eastAsia="Arial" w:hAnsi="Arial"/>
                <w:sz w:val="14"/>
                <w:szCs w:val="14"/>
                <w:color w:val="auto"/>
              </w:rPr>
              <w:t>[*CTR]</w:t>
            </w:r>
          </w:p>
        </w:tc>
        <w:tc>
          <w:tcPr>
            <w:tcW w:w="0" w:type="dxa"/>
            <w:vAlign w:val="bottom"/>
          </w:tcPr>
          <w:p>
            <w:pPr>
              <w:spacing w:after="0"/>
              <w:rPr>
                <w:sz w:val="1"/>
                <w:szCs w:val="1"/>
                <w:color w:val="auto"/>
              </w:rPr>
            </w:pPr>
          </w:p>
        </w:tc>
      </w:tr>
      <w:tr>
        <w:trPr>
          <w:trHeight w:val="142"/>
        </w:trPr>
        <w:tc>
          <w:tcPr>
            <w:tcW w:w="1200" w:type="dxa"/>
            <w:vAlign w:val="bottom"/>
            <w:tcBorders>
              <w:left w:val="single" w:sz="8" w:color="auto"/>
              <w:bottom w:val="single" w:sz="8" w:color="auto"/>
              <w:right w:val="single" w:sz="8" w:color="auto"/>
            </w:tcBorders>
          </w:tcPr>
          <w:p>
            <w:pPr>
              <w:ind w:left="240"/>
              <w:spacing w:after="0" w:line="142" w:lineRule="exact"/>
              <w:rPr>
                <w:sz w:val="20"/>
                <w:szCs w:val="20"/>
                <w:color w:val="auto"/>
              </w:rPr>
            </w:pPr>
            <w:r>
              <w:rPr>
                <w:rFonts w:ascii="Arial" w:cs="Arial" w:eastAsia="Arial" w:hAnsi="Arial"/>
                <w:sz w:val="14"/>
                <w:szCs w:val="14"/>
                <w:color w:val="auto"/>
              </w:rPr>
              <w:t>[*CTR]-2017</w:t>
            </w: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right w:val="single" w:sz="8" w:color="auto"/>
            </w:tcBorders>
          </w:tcPr>
          <w:p>
            <w:pPr>
              <w:jc w:val="right"/>
              <w:ind w:right="387"/>
              <w:spacing w:after="0" w:line="142" w:lineRule="exact"/>
              <w:rPr>
                <w:sz w:val="20"/>
                <w:szCs w:val="20"/>
                <w:color w:val="auto"/>
              </w:rPr>
            </w:pPr>
            <w:r>
              <w:rPr>
                <w:rFonts w:ascii="Arial" w:cs="Arial" w:eastAsia="Arial" w:hAnsi="Arial"/>
                <w:sz w:val="14"/>
                <w:szCs w:val="14"/>
                <w:color w:val="auto"/>
              </w:rPr>
              <w:t>1</w:t>
            </w:r>
          </w:p>
        </w:tc>
        <w:tc>
          <w:tcPr>
            <w:tcW w:w="160" w:type="dxa"/>
            <w:vAlign w:val="bottom"/>
            <w:tcBorders>
              <w:bottom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ind w:left="200"/>
              <w:spacing w:after="0" w:line="142" w:lineRule="exact"/>
              <w:rPr>
                <w:sz w:val="20"/>
                <w:szCs w:val="20"/>
                <w:color w:val="auto"/>
              </w:rPr>
            </w:pPr>
            <w:r>
              <w:rPr>
                <w:rFonts w:ascii="Arial" w:cs="Arial" w:eastAsia="Arial" w:hAnsi="Arial"/>
                <w:sz w:val="14"/>
                <w:szCs w:val="14"/>
                <w:color w:val="auto"/>
              </w:rPr>
              <w:t>[*CTR]</w:t>
            </w:r>
          </w:p>
        </w:tc>
        <w:tc>
          <w:tcPr>
            <w:tcW w:w="920" w:type="dxa"/>
            <w:vAlign w:val="bottom"/>
            <w:tcBorders>
              <w:bottom w:val="single" w:sz="8" w:color="auto"/>
            </w:tcBorders>
          </w:tcPr>
          <w:p>
            <w:pPr>
              <w:ind w:left="360"/>
              <w:spacing w:after="0" w:line="142" w:lineRule="exact"/>
              <w:rPr>
                <w:sz w:val="20"/>
                <w:szCs w:val="20"/>
                <w:color w:val="auto"/>
              </w:rPr>
            </w:pPr>
            <w:r>
              <w:rPr>
                <w:rFonts w:ascii="Arial" w:cs="Arial" w:eastAsia="Arial" w:hAnsi="Arial"/>
                <w:sz w:val="14"/>
                <w:szCs w:val="14"/>
                <w:color w:val="auto"/>
              </w:rPr>
              <w:t>[*CTR]</w:t>
            </w:r>
          </w:p>
        </w:tc>
        <w:tc>
          <w:tcPr>
            <w:tcW w:w="160" w:type="dxa"/>
            <w:vAlign w:val="bottom"/>
            <w:tcBorders>
              <w:bottom w:val="single" w:sz="8" w:color="auto"/>
              <w:right w:val="single" w:sz="8" w:color="auto"/>
            </w:tcBorders>
          </w:tcPr>
          <w:p>
            <w:pPr>
              <w:spacing w:after="0"/>
              <w:rPr>
                <w:sz w:val="12"/>
                <w:szCs w:val="12"/>
                <w:color w:val="auto"/>
              </w:rPr>
            </w:pPr>
          </w:p>
        </w:tc>
        <w:tc>
          <w:tcPr>
            <w:tcW w:w="100" w:type="dxa"/>
            <w:vAlign w:val="bottom"/>
            <w:tcBorders>
              <w:bottom w:val="single" w:sz="8" w:color="auto"/>
            </w:tcBorders>
            <w:shd w:val="clear" w:color="auto" w:fill="CCCCCC"/>
          </w:tcPr>
          <w:p>
            <w:pPr>
              <w:spacing w:after="0"/>
              <w:rPr>
                <w:sz w:val="12"/>
                <w:szCs w:val="12"/>
                <w:color w:val="auto"/>
              </w:rPr>
            </w:pPr>
          </w:p>
        </w:tc>
        <w:tc>
          <w:tcPr>
            <w:tcW w:w="180" w:type="dxa"/>
            <w:vAlign w:val="bottom"/>
            <w:tcBorders>
              <w:bottom w:val="single" w:sz="8" w:color="auto"/>
            </w:tcBorders>
            <w:shd w:val="clear" w:color="auto" w:fill="CCCCCC"/>
          </w:tcPr>
          <w:p>
            <w:pPr>
              <w:spacing w:after="0"/>
              <w:rPr>
                <w:sz w:val="12"/>
                <w:szCs w:val="12"/>
                <w:color w:val="auto"/>
              </w:rPr>
            </w:pPr>
          </w:p>
        </w:tc>
        <w:tc>
          <w:tcPr>
            <w:tcW w:w="80" w:type="dxa"/>
            <w:vAlign w:val="bottom"/>
            <w:tcBorders>
              <w:bottom w:val="single" w:sz="8" w:color="auto"/>
            </w:tcBorders>
            <w:shd w:val="clear" w:color="auto" w:fill="CCCCCC"/>
          </w:tcPr>
          <w:p>
            <w:pPr>
              <w:spacing w:after="0"/>
              <w:rPr>
                <w:sz w:val="12"/>
                <w:szCs w:val="12"/>
                <w:color w:val="auto"/>
              </w:rPr>
            </w:pPr>
          </w:p>
        </w:tc>
        <w:tc>
          <w:tcPr>
            <w:tcW w:w="800" w:type="dxa"/>
            <w:vAlign w:val="bottom"/>
            <w:tcBorders>
              <w:bottom w:val="single" w:sz="8" w:color="auto"/>
              <w:right w:val="single" w:sz="8" w:color="auto"/>
            </w:tcBorders>
            <w:gridSpan w:val="2"/>
            <w:shd w:val="clear" w:color="auto" w:fill="CCCCCC"/>
          </w:tcPr>
          <w:p>
            <w:pPr>
              <w:ind w:left="20"/>
              <w:spacing w:after="0" w:line="142" w:lineRule="exact"/>
              <w:rPr>
                <w:sz w:val="20"/>
                <w:szCs w:val="20"/>
                <w:color w:val="auto"/>
              </w:rPr>
            </w:pPr>
            <w:r>
              <w:rPr>
                <w:rFonts w:ascii="Arial" w:cs="Arial" w:eastAsia="Arial" w:hAnsi="Arial"/>
                <w:sz w:val="14"/>
                <w:szCs w:val="14"/>
                <w:color w:val="auto"/>
              </w:rPr>
              <w:t>[*CTR]</w:t>
            </w:r>
          </w:p>
        </w:tc>
        <w:tc>
          <w:tcPr>
            <w:tcW w:w="380" w:type="dxa"/>
            <w:vAlign w:val="bottom"/>
            <w:tcBorders>
              <w:bottom w:val="single" w:sz="8" w:color="auto"/>
            </w:tcBorders>
          </w:tcPr>
          <w:p>
            <w:pPr>
              <w:spacing w:after="0"/>
              <w:rPr>
                <w:sz w:val="12"/>
                <w:szCs w:val="12"/>
                <w:color w:val="auto"/>
              </w:rPr>
            </w:pPr>
          </w:p>
        </w:tc>
        <w:tc>
          <w:tcPr>
            <w:tcW w:w="1100" w:type="dxa"/>
            <w:vAlign w:val="bottom"/>
            <w:tcBorders>
              <w:bottom w:val="single" w:sz="8" w:color="auto"/>
              <w:right w:val="single" w:sz="8" w:color="auto"/>
            </w:tcBorders>
          </w:tcPr>
          <w:p>
            <w:pPr>
              <w:ind w:left="160"/>
              <w:spacing w:after="0" w:line="142" w:lineRule="exact"/>
              <w:rPr>
                <w:sz w:val="20"/>
                <w:szCs w:val="20"/>
                <w:color w:val="auto"/>
              </w:rPr>
            </w:pPr>
            <w:r>
              <w:rPr>
                <w:rFonts w:ascii="Arial" w:cs="Arial" w:eastAsia="Arial" w:hAnsi="Arial"/>
                <w:sz w:val="14"/>
                <w:szCs w:val="14"/>
                <w:color w:val="auto"/>
              </w:rPr>
              <w:t>[*CTR]</w:t>
            </w:r>
          </w:p>
        </w:tc>
        <w:tc>
          <w:tcPr>
            <w:tcW w:w="2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3"/>
          </w:tcPr>
          <w:p>
            <w:pPr>
              <w:jc w:val="center"/>
              <w:ind w:right="40"/>
              <w:spacing w:after="0" w:line="142" w:lineRule="exact"/>
              <w:rPr>
                <w:sz w:val="20"/>
                <w:szCs w:val="20"/>
                <w:color w:val="auto"/>
              </w:rPr>
            </w:pPr>
            <w:r>
              <w:rPr>
                <w:rFonts w:ascii="Arial" w:cs="Arial" w:eastAsia="Arial" w:hAnsi="Arial"/>
                <w:sz w:val="14"/>
                <w:szCs w:val="14"/>
                <w:color w:val="auto"/>
              </w:rPr>
              <w:t>[*CTR]</w:t>
            </w:r>
          </w:p>
        </w:tc>
        <w:tc>
          <w:tcPr>
            <w:tcW w:w="160" w:type="dxa"/>
            <w:vAlign w:val="bottom"/>
            <w:tcBorders>
              <w:bottom w:val="single" w:sz="8" w:color="auto"/>
              <w:right w:val="single" w:sz="8" w:color="auto"/>
            </w:tcBorders>
          </w:tcPr>
          <w:p>
            <w:pPr>
              <w:spacing w:after="0"/>
              <w:rPr>
                <w:sz w:val="12"/>
                <w:szCs w:val="12"/>
                <w:color w:val="auto"/>
              </w:rPr>
            </w:pPr>
          </w:p>
        </w:tc>
        <w:tc>
          <w:tcPr>
            <w:tcW w:w="1040" w:type="dxa"/>
            <w:vAlign w:val="bottom"/>
            <w:tcBorders>
              <w:bottom w:val="single" w:sz="8" w:color="auto"/>
              <w:right w:val="single" w:sz="8" w:color="auto"/>
            </w:tcBorders>
          </w:tcPr>
          <w:p>
            <w:pPr>
              <w:jc w:val="center"/>
              <w:ind w:left="7"/>
              <w:spacing w:after="0" w:line="142" w:lineRule="exact"/>
              <w:rPr>
                <w:sz w:val="20"/>
                <w:szCs w:val="20"/>
                <w:color w:val="auto"/>
              </w:rPr>
            </w:pPr>
            <w:r>
              <w:rPr>
                <w:rFonts w:ascii="Arial" w:cs="Arial" w:eastAsia="Arial" w:hAnsi="Arial"/>
                <w:sz w:val="14"/>
                <w:szCs w:val="14"/>
                <w:color w:val="auto"/>
              </w:rPr>
              <w:t>[*CTR]</w:t>
            </w:r>
          </w:p>
        </w:tc>
        <w:tc>
          <w:tcPr>
            <w:tcW w:w="1040" w:type="dxa"/>
            <w:vAlign w:val="bottom"/>
            <w:tcBorders>
              <w:bottom w:val="single" w:sz="8" w:color="auto"/>
              <w:right w:val="single" w:sz="8" w:color="auto"/>
            </w:tcBorders>
          </w:tcPr>
          <w:p>
            <w:pPr>
              <w:jc w:val="center"/>
              <w:ind w:left="7"/>
              <w:spacing w:after="0" w:line="142" w:lineRule="exact"/>
              <w:rPr>
                <w:sz w:val="20"/>
                <w:szCs w:val="20"/>
                <w:color w:val="auto"/>
              </w:rPr>
            </w:pPr>
            <w:r>
              <w:rPr>
                <w:rFonts w:ascii="Arial" w:cs="Arial" w:eastAsia="Arial" w:hAnsi="Arial"/>
                <w:sz w:val="14"/>
                <w:szCs w:val="14"/>
                <w:color w:val="auto"/>
              </w:rPr>
              <w:t>[*CTR]</w:t>
            </w:r>
          </w:p>
        </w:tc>
        <w:tc>
          <w:tcPr>
            <w:tcW w:w="100" w:type="dxa"/>
            <w:vAlign w:val="bottom"/>
            <w:tcBorders>
              <w:bottom w:val="single" w:sz="8" w:color="auto"/>
            </w:tcBorders>
          </w:tcPr>
          <w:p>
            <w:pPr>
              <w:spacing w:after="0"/>
              <w:rPr>
                <w:sz w:val="12"/>
                <w:szCs w:val="12"/>
                <w:color w:val="auto"/>
              </w:rPr>
            </w:pPr>
          </w:p>
        </w:tc>
        <w:tc>
          <w:tcPr>
            <w:tcW w:w="1160" w:type="dxa"/>
            <w:vAlign w:val="bottom"/>
            <w:tcBorders>
              <w:bottom w:val="single" w:sz="8" w:color="auto"/>
              <w:right w:val="single" w:sz="8" w:color="auto"/>
            </w:tcBorders>
          </w:tcPr>
          <w:p>
            <w:pPr>
              <w:jc w:val="center"/>
              <w:ind w:right="6"/>
              <w:spacing w:after="0" w:line="142" w:lineRule="exact"/>
              <w:rPr>
                <w:sz w:val="20"/>
                <w:szCs w:val="20"/>
                <w:color w:val="auto"/>
              </w:rPr>
            </w:pPr>
            <w:r>
              <w:rPr>
                <w:rFonts w:ascii="Arial" w:cs="Arial" w:eastAsia="Arial" w:hAnsi="Arial"/>
                <w:sz w:val="14"/>
                <w:szCs w:val="14"/>
                <w:color w:val="auto"/>
              </w:rPr>
              <w:t>[*CTR]</w:t>
            </w:r>
          </w:p>
        </w:tc>
        <w:tc>
          <w:tcPr>
            <w:tcW w:w="0" w:type="dxa"/>
            <w:vAlign w:val="bottom"/>
          </w:tcPr>
          <w:p>
            <w:pPr>
              <w:spacing w:after="0"/>
              <w:rPr>
                <w:sz w:val="1"/>
                <w:szCs w:val="1"/>
                <w:color w:val="auto"/>
              </w:rPr>
            </w:pPr>
          </w:p>
        </w:tc>
      </w:tr>
      <w:tr>
        <w:trPr>
          <w:trHeight w:val="142"/>
        </w:trPr>
        <w:tc>
          <w:tcPr>
            <w:tcW w:w="1200" w:type="dxa"/>
            <w:vAlign w:val="bottom"/>
            <w:tcBorders>
              <w:left w:val="single" w:sz="8" w:color="auto"/>
              <w:bottom w:val="single" w:sz="8" w:color="auto"/>
              <w:right w:val="single" w:sz="8" w:color="auto"/>
            </w:tcBorders>
          </w:tcPr>
          <w:p>
            <w:pPr>
              <w:ind w:left="240"/>
              <w:spacing w:after="0" w:line="142" w:lineRule="exact"/>
              <w:rPr>
                <w:sz w:val="20"/>
                <w:szCs w:val="20"/>
                <w:color w:val="auto"/>
              </w:rPr>
            </w:pPr>
            <w:r>
              <w:rPr>
                <w:rFonts w:ascii="Arial" w:cs="Arial" w:eastAsia="Arial" w:hAnsi="Arial"/>
                <w:sz w:val="14"/>
                <w:szCs w:val="14"/>
                <w:color w:val="auto"/>
              </w:rPr>
              <w:t>[*CTR]-2017</w:t>
            </w: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right w:val="single" w:sz="8" w:color="auto"/>
            </w:tcBorders>
          </w:tcPr>
          <w:p>
            <w:pPr>
              <w:jc w:val="right"/>
              <w:ind w:right="387"/>
              <w:spacing w:after="0" w:line="142" w:lineRule="exact"/>
              <w:rPr>
                <w:sz w:val="20"/>
                <w:szCs w:val="20"/>
                <w:color w:val="auto"/>
              </w:rPr>
            </w:pPr>
            <w:r>
              <w:rPr>
                <w:rFonts w:ascii="Arial" w:cs="Arial" w:eastAsia="Arial" w:hAnsi="Arial"/>
                <w:sz w:val="14"/>
                <w:szCs w:val="14"/>
                <w:color w:val="auto"/>
              </w:rPr>
              <w:t>1</w:t>
            </w:r>
          </w:p>
        </w:tc>
        <w:tc>
          <w:tcPr>
            <w:tcW w:w="160" w:type="dxa"/>
            <w:vAlign w:val="bottom"/>
            <w:tcBorders>
              <w:bottom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ind w:left="200"/>
              <w:spacing w:after="0" w:line="142" w:lineRule="exact"/>
              <w:rPr>
                <w:sz w:val="20"/>
                <w:szCs w:val="20"/>
                <w:color w:val="auto"/>
              </w:rPr>
            </w:pPr>
            <w:r>
              <w:rPr>
                <w:rFonts w:ascii="Arial" w:cs="Arial" w:eastAsia="Arial" w:hAnsi="Arial"/>
                <w:sz w:val="14"/>
                <w:szCs w:val="14"/>
                <w:color w:val="auto"/>
              </w:rPr>
              <w:t>[*CTR]</w:t>
            </w:r>
          </w:p>
        </w:tc>
        <w:tc>
          <w:tcPr>
            <w:tcW w:w="920" w:type="dxa"/>
            <w:vAlign w:val="bottom"/>
            <w:tcBorders>
              <w:bottom w:val="single" w:sz="8" w:color="auto"/>
            </w:tcBorders>
          </w:tcPr>
          <w:p>
            <w:pPr>
              <w:ind w:left="360"/>
              <w:spacing w:after="0" w:line="142" w:lineRule="exact"/>
              <w:rPr>
                <w:sz w:val="20"/>
                <w:szCs w:val="20"/>
                <w:color w:val="auto"/>
              </w:rPr>
            </w:pPr>
            <w:r>
              <w:rPr>
                <w:rFonts w:ascii="Arial" w:cs="Arial" w:eastAsia="Arial" w:hAnsi="Arial"/>
                <w:sz w:val="14"/>
                <w:szCs w:val="14"/>
                <w:color w:val="auto"/>
              </w:rPr>
              <w:t>[*CTR]</w:t>
            </w:r>
          </w:p>
        </w:tc>
        <w:tc>
          <w:tcPr>
            <w:tcW w:w="160" w:type="dxa"/>
            <w:vAlign w:val="bottom"/>
            <w:tcBorders>
              <w:bottom w:val="single" w:sz="8" w:color="auto"/>
              <w:right w:val="single" w:sz="8" w:color="auto"/>
            </w:tcBorders>
          </w:tcPr>
          <w:p>
            <w:pPr>
              <w:spacing w:after="0"/>
              <w:rPr>
                <w:sz w:val="12"/>
                <w:szCs w:val="12"/>
                <w:color w:val="auto"/>
              </w:rPr>
            </w:pPr>
          </w:p>
        </w:tc>
        <w:tc>
          <w:tcPr>
            <w:tcW w:w="100" w:type="dxa"/>
            <w:vAlign w:val="bottom"/>
            <w:tcBorders>
              <w:bottom w:val="single" w:sz="8" w:color="auto"/>
            </w:tcBorders>
            <w:shd w:val="clear" w:color="auto" w:fill="CCCCCC"/>
          </w:tcPr>
          <w:p>
            <w:pPr>
              <w:spacing w:after="0"/>
              <w:rPr>
                <w:sz w:val="12"/>
                <w:szCs w:val="12"/>
                <w:color w:val="auto"/>
              </w:rPr>
            </w:pPr>
          </w:p>
        </w:tc>
        <w:tc>
          <w:tcPr>
            <w:tcW w:w="180" w:type="dxa"/>
            <w:vAlign w:val="bottom"/>
            <w:tcBorders>
              <w:bottom w:val="single" w:sz="8" w:color="auto"/>
            </w:tcBorders>
            <w:shd w:val="clear" w:color="auto" w:fill="CCCCCC"/>
          </w:tcPr>
          <w:p>
            <w:pPr>
              <w:spacing w:after="0"/>
              <w:rPr>
                <w:sz w:val="12"/>
                <w:szCs w:val="12"/>
                <w:color w:val="auto"/>
              </w:rPr>
            </w:pPr>
          </w:p>
        </w:tc>
        <w:tc>
          <w:tcPr>
            <w:tcW w:w="80" w:type="dxa"/>
            <w:vAlign w:val="bottom"/>
            <w:tcBorders>
              <w:bottom w:val="single" w:sz="8" w:color="auto"/>
            </w:tcBorders>
            <w:shd w:val="clear" w:color="auto" w:fill="CCCCCC"/>
          </w:tcPr>
          <w:p>
            <w:pPr>
              <w:spacing w:after="0"/>
              <w:rPr>
                <w:sz w:val="12"/>
                <w:szCs w:val="12"/>
                <w:color w:val="auto"/>
              </w:rPr>
            </w:pPr>
          </w:p>
        </w:tc>
        <w:tc>
          <w:tcPr>
            <w:tcW w:w="800" w:type="dxa"/>
            <w:vAlign w:val="bottom"/>
            <w:tcBorders>
              <w:bottom w:val="single" w:sz="8" w:color="auto"/>
              <w:right w:val="single" w:sz="8" w:color="auto"/>
            </w:tcBorders>
            <w:gridSpan w:val="2"/>
            <w:shd w:val="clear" w:color="auto" w:fill="CCCCCC"/>
          </w:tcPr>
          <w:p>
            <w:pPr>
              <w:ind w:left="20"/>
              <w:spacing w:after="0" w:line="142" w:lineRule="exact"/>
              <w:rPr>
                <w:sz w:val="20"/>
                <w:szCs w:val="20"/>
                <w:color w:val="auto"/>
              </w:rPr>
            </w:pPr>
            <w:r>
              <w:rPr>
                <w:rFonts w:ascii="Arial" w:cs="Arial" w:eastAsia="Arial" w:hAnsi="Arial"/>
                <w:sz w:val="14"/>
                <w:szCs w:val="14"/>
                <w:color w:val="auto"/>
              </w:rPr>
              <w:t>[*CTR]</w:t>
            </w:r>
          </w:p>
        </w:tc>
        <w:tc>
          <w:tcPr>
            <w:tcW w:w="380" w:type="dxa"/>
            <w:vAlign w:val="bottom"/>
            <w:tcBorders>
              <w:bottom w:val="single" w:sz="8" w:color="auto"/>
            </w:tcBorders>
          </w:tcPr>
          <w:p>
            <w:pPr>
              <w:spacing w:after="0"/>
              <w:rPr>
                <w:sz w:val="12"/>
                <w:szCs w:val="12"/>
                <w:color w:val="auto"/>
              </w:rPr>
            </w:pPr>
          </w:p>
        </w:tc>
        <w:tc>
          <w:tcPr>
            <w:tcW w:w="1100" w:type="dxa"/>
            <w:vAlign w:val="bottom"/>
            <w:tcBorders>
              <w:bottom w:val="single" w:sz="8" w:color="auto"/>
              <w:right w:val="single" w:sz="8" w:color="auto"/>
            </w:tcBorders>
          </w:tcPr>
          <w:p>
            <w:pPr>
              <w:ind w:left="160"/>
              <w:spacing w:after="0" w:line="142" w:lineRule="exact"/>
              <w:rPr>
                <w:sz w:val="20"/>
                <w:szCs w:val="20"/>
                <w:color w:val="auto"/>
              </w:rPr>
            </w:pPr>
            <w:r>
              <w:rPr>
                <w:rFonts w:ascii="Arial" w:cs="Arial" w:eastAsia="Arial" w:hAnsi="Arial"/>
                <w:sz w:val="14"/>
                <w:szCs w:val="14"/>
                <w:color w:val="auto"/>
              </w:rPr>
              <w:t>[*CTR]</w:t>
            </w:r>
          </w:p>
        </w:tc>
        <w:tc>
          <w:tcPr>
            <w:tcW w:w="2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3"/>
          </w:tcPr>
          <w:p>
            <w:pPr>
              <w:jc w:val="center"/>
              <w:ind w:right="40"/>
              <w:spacing w:after="0" w:line="142" w:lineRule="exact"/>
              <w:rPr>
                <w:sz w:val="20"/>
                <w:szCs w:val="20"/>
                <w:color w:val="auto"/>
              </w:rPr>
            </w:pPr>
            <w:r>
              <w:rPr>
                <w:rFonts w:ascii="Arial" w:cs="Arial" w:eastAsia="Arial" w:hAnsi="Arial"/>
                <w:sz w:val="14"/>
                <w:szCs w:val="14"/>
                <w:color w:val="auto"/>
              </w:rPr>
              <w:t>[*CTR]</w:t>
            </w:r>
          </w:p>
        </w:tc>
        <w:tc>
          <w:tcPr>
            <w:tcW w:w="160" w:type="dxa"/>
            <w:vAlign w:val="bottom"/>
            <w:tcBorders>
              <w:bottom w:val="single" w:sz="8" w:color="auto"/>
              <w:right w:val="single" w:sz="8" w:color="auto"/>
            </w:tcBorders>
          </w:tcPr>
          <w:p>
            <w:pPr>
              <w:spacing w:after="0"/>
              <w:rPr>
                <w:sz w:val="12"/>
                <w:szCs w:val="12"/>
                <w:color w:val="auto"/>
              </w:rPr>
            </w:pPr>
          </w:p>
        </w:tc>
        <w:tc>
          <w:tcPr>
            <w:tcW w:w="1040" w:type="dxa"/>
            <w:vAlign w:val="bottom"/>
            <w:tcBorders>
              <w:bottom w:val="single" w:sz="8" w:color="auto"/>
              <w:right w:val="single" w:sz="8" w:color="auto"/>
            </w:tcBorders>
          </w:tcPr>
          <w:p>
            <w:pPr>
              <w:jc w:val="center"/>
              <w:ind w:left="7"/>
              <w:spacing w:after="0" w:line="142" w:lineRule="exact"/>
              <w:rPr>
                <w:sz w:val="20"/>
                <w:szCs w:val="20"/>
                <w:color w:val="auto"/>
              </w:rPr>
            </w:pPr>
            <w:r>
              <w:rPr>
                <w:rFonts w:ascii="Arial" w:cs="Arial" w:eastAsia="Arial" w:hAnsi="Arial"/>
                <w:sz w:val="14"/>
                <w:szCs w:val="14"/>
                <w:color w:val="auto"/>
              </w:rPr>
              <w:t>[*CTR]</w:t>
            </w:r>
          </w:p>
        </w:tc>
        <w:tc>
          <w:tcPr>
            <w:tcW w:w="1040" w:type="dxa"/>
            <w:vAlign w:val="bottom"/>
            <w:tcBorders>
              <w:bottom w:val="single" w:sz="8" w:color="auto"/>
              <w:right w:val="single" w:sz="8" w:color="auto"/>
            </w:tcBorders>
          </w:tcPr>
          <w:p>
            <w:pPr>
              <w:jc w:val="center"/>
              <w:ind w:left="7"/>
              <w:spacing w:after="0" w:line="142" w:lineRule="exact"/>
              <w:rPr>
                <w:sz w:val="20"/>
                <w:szCs w:val="20"/>
                <w:color w:val="auto"/>
              </w:rPr>
            </w:pPr>
            <w:r>
              <w:rPr>
                <w:rFonts w:ascii="Arial" w:cs="Arial" w:eastAsia="Arial" w:hAnsi="Arial"/>
                <w:sz w:val="14"/>
                <w:szCs w:val="14"/>
                <w:color w:val="auto"/>
              </w:rPr>
              <w:t>[*CTR]</w:t>
            </w:r>
          </w:p>
        </w:tc>
        <w:tc>
          <w:tcPr>
            <w:tcW w:w="100" w:type="dxa"/>
            <w:vAlign w:val="bottom"/>
            <w:tcBorders>
              <w:bottom w:val="single" w:sz="8" w:color="auto"/>
            </w:tcBorders>
          </w:tcPr>
          <w:p>
            <w:pPr>
              <w:spacing w:after="0"/>
              <w:rPr>
                <w:sz w:val="12"/>
                <w:szCs w:val="12"/>
                <w:color w:val="auto"/>
              </w:rPr>
            </w:pPr>
          </w:p>
        </w:tc>
        <w:tc>
          <w:tcPr>
            <w:tcW w:w="1160" w:type="dxa"/>
            <w:vAlign w:val="bottom"/>
            <w:tcBorders>
              <w:bottom w:val="single" w:sz="8" w:color="auto"/>
              <w:right w:val="single" w:sz="8" w:color="auto"/>
            </w:tcBorders>
          </w:tcPr>
          <w:p>
            <w:pPr>
              <w:jc w:val="center"/>
              <w:ind w:right="6"/>
              <w:spacing w:after="0" w:line="142" w:lineRule="exact"/>
              <w:rPr>
                <w:sz w:val="20"/>
                <w:szCs w:val="20"/>
                <w:color w:val="auto"/>
              </w:rPr>
            </w:pPr>
            <w:r>
              <w:rPr>
                <w:rFonts w:ascii="Arial" w:cs="Arial" w:eastAsia="Arial" w:hAnsi="Arial"/>
                <w:sz w:val="14"/>
                <w:szCs w:val="14"/>
                <w:color w:val="auto"/>
              </w:rPr>
              <w:t>[*CTR]</w:t>
            </w:r>
          </w:p>
        </w:tc>
        <w:tc>
          <w:tcPr>
            <w:tcW w:w="0" w:type="dxa"/>
            <w:vAlign w:val="bottom"/>
          </w:tcPr>
          <w:p>
            <w:pPr>
              <w:spacing w:after="0"/>
              <w:rPr>
                <w:sz w:val="1"/>
                <w:szCs w:val="1"/>
                <w:color w:val="auto"/>
              </w:rPr>
            </w:pPr>
          </w:p>
        </w:tc>
      </w:tr>
      <w:tr>
        <w:trPr>
          <w:trHeight w:val="142"/>
        </w:trPr>
        <w:tc>
          <w:tcPr>
            <w:tcW w:w="1200" w:type="dxa"/>
            <w:vAlign w:val="bottom"/>
            <w:tcBorders>
              <w:left w:val="single" w:sz="8" w:color="auto"/>
              <w:bottom w:val="single" w:sz="8" w:color="auto"/>
              <w:right w:val="single" w:sz="8" w:color="auto"/>
            </w:tcBorders>
          </w:tcPr>
          <w:p>
            <w:pPr>
              <w:ind w:left="240"/>
              <w:spacing w:after="0" w:line="142" w:lineRule="exact"/>
              <w:rPr>
                <w:sz w:val="20"/>
                <w:szCs w:val="20"/>
                <w:color w:val="auto"/>
              </w:rPr>
            </w:pPr>
            <w:r>
              <w:rPr>
                <w:rFonts w:ascii="Arial" w:cs="Arial" w:eastAsia="Arial" w:hAnsi="Arial"/>
                <w:sz w:val="14"/>
                <w:szCs w:val="14"/>
                <w:color w:val="auto"/>
              </w:rPr>
              <w:t>[*CTR]-2017</w:t>
            </w: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right w:val="single" w:sz="8" w:color="auto"/>
            </w:tcBorders>
          </w:tcPr>
          <w:p>
            <w:pPr>
              <w:jc w:val="right"/>
              <w:ind w:right="387"/>
              <w:spacing w:after="0" w:line="142" w:lineRule="exact"/>
              <w:rPr>
                <w:sz w:val="20"/>
                <w:szCs w:val="20"/>
                <w:color w:val="auto"/>
              </w:rPr>
            </w:pPr>
            <w:r>
              <w:rPr>
                <w:rFonts w:ascii="Arial" w:cs="Arial" w:eastAsia="Arial" w:hAnsi="Arial"/>
                <w:sz w:val="14"/>
                <w:szCs w:val="14"/>
                <w:color w:val="auto"/>
              </w:rPr>
              <w:t>1</w:t>
            </w:r>
          </w:p>
        </w:tc>
        <w:tc>
          <w:tcPr>
            <w:tcW w:w="160" w:type="dxa"/>
            <w:vAlign w:val="bottom"/>
            <w:tcBorders>
              <w:bottom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ind w:left="200"/>
              <w:spacing w:after="0" w:line="142" w:lineRule="exact"/>
              <w:rPr>
                <w:sz w:val="20"/>
                <w:szCs w:val="20"/>
                <w:color w:val="auto"/>
              </w:rPr>
            </w:pPr>
            <w:r>
              <w:rPr>
                <w:rFonts w:ascii="Arial" w:cs="Arial" w:eastAsia="Arial" w:hAnsi="Arial"/>
                <w:sz w:val="14"/>
                <w:szCs w:val="14"/>
                <w:color w:val="auto"/>
              </w:rPr>
              <w:t>[*CTR]</w:t>
            </w:r>
          </w:p>
        </w:tc>
        <w:tc>
          <w:tcPr>
            <w:tcW w:w="920" w:type="dxa"/>
            <w:vAlign w:val="bottom"/>
            <w:tcBorders>
              <w:bottom w:val="single" w:sz="8" w:color="auto"/>
            </w:tcBorders>
          </w:tcPr>
          <w:p>
            <w:pPr>
              <w:ind w:left="360"/>
              <w:spacing w:after="0" w:line="142" w:lineRule="exact"/>
              <w:rPr>
                <w:sz w:val="20"/>
                <w:szCs w:val="20"/>
                <w:color w:val="auto"/>
              </w:rPr>
            </w:pPr>
            <w:r>
              <w:rPr>
                <w:rFonts w:ascii="Arial" w:cs="Arial" w:eastAsia="Arial" w:hAnsi="Arial"/>
                <w:sz w:val="14"/>
                <w:szCs w:val="14"/>
                <w:color w:val="auto"/>
              </w:rPr>
              <w:t>[*CTR]</w:t>
            </w:r>
          </w:p>
        </w:tc>
        <w:tc>
          <w:tcPr>
            <w:tcW w:w="160" w:type="dxa"/>
            <w:vAlign w:val="bottom"/>
            <w:tcBorders>
              <w:bottom w:val="single" w:sz="8" w:color="auto"/>
              <w:right w:val="single" w:sz="8" w:color="auto"/>
            </w:tcBorders>
          </w:tcPr>
          <w:p>
            <w:pPr>
              <w:spacing w:after="0"/>
              <w:rPr>
                <w:sz w:val="12"/>
                <w:szCs w:val="12"/>
                <w:color w:val="auto"/>
              </w:rPr>
            </w:pPr>
          </w:p>
        </w:tc>
        <w:tc>
          <w:tcPr>
            <w:tcW w:w="100" w:type="dxa"/>
            <w:vAlign w:val="bottom"/>
            <w:tcBorders>
              <w:bottom w:val="single" w:sz="8" w:color="auto"/>
            </w:tcBorders>
            <w:shd w:val="clear" w:color="auto" w:fill="CCCCCC"/>
          </w:tcPr>
          <w:p>
            <w:pPr>
              <w:spacing w:after="0"/>
              <w:rPr>
                <w:sz w:val="12"/>
                <w:szCs w:val="12"/>
                <w:color w:val="auto"/>
              </w:rPr>
            </w:pPr>
          </w:p>
        </w:tc>
        <w:tc>
          <w:tcPr>
            <w:tcW w:w="180" w:type="dxa"/>
            <w:vAlign w:val="bottom"/>
            <w:tcBorders>
              <w:bottom w:val="single" w:sz="8" w:color="auto"/>
            </w:tcBorders>
            <w:shd w:val="clear" w:color="auto" w:fill="CCCCCC"/>
          </w:tcPr>
          <w:p>
            <w:pPr>
              <w:spacing w:after="0"/>
              <w:rPr>
                <w:sz w:val="12"/>
                <w:szCs w:val="12"/>
                <w:color w:val="auto"/>
              </w:rPr>
            </w:pPr>
          </w:p>
        </w:tc>
        <w:tc>
          <w:tcPr>
            <w:tcW w:w="80" w:type="dxa"/>
            <w:vAlign w:val="bottom"/>
            <w:tcBorders>
              <w:bottom w:val="single" w:sz="8" w:color="auto"/>
            </w:tcBorders>
            <w:shd w:val="clear" w:color="auto" w:fill="CCCCCC"/>
          </w:tcPr>
          <w:p>
            <w:pPr>
              <w:spacing w:after="0"/>
              <w:rPr>
                <w:sz w:val="12"/>
                <w:szCs w:val="12"/>
                <w:color w:val="auto"/>
              </w:rPr>
            </w:pPr>
          </w:p>
        </w:tc>
        <w:tc>
          <w:tcPr>
            <w:tcW w:w="800" w:type="dxa"/>
            <w:vAlign w:val="bottom"/>
            <w:tcBorders>
              <w:bottom w:val="single" w:sz="8" w:color="auto"/>
              <w:right w:val="single" w:sz="8" w:color="auto"/>
            </w:tcBorders>
            <w:gridSpan w:val="2"/>
            <w:shd w:val="clear" w:color="auto" w:fill="CCCCCC"/>
          </w:tcPr>
          <w:p>
            <w:pPr>
              <w:ind w:left="20"/>
              <w:spacing w:after="0" w:line="142" w:lineRule="exact"/>
              <w:rPr>
                <w:sz w:val="20"/>
                <w:szCs w:val="20"/>
                <w:color w:val="auto"/>
              </w:rPr>
            </w:pPr>
            <w:r>
              <w:rPr>
                <w:rFonts w:ascii="Arial" w:cs="Arial" w:eastAsia="Arial" w:hAnsi="Arial"/>
                <w:sz w:val="14"/>
                <w:szCs w:val="14"/>
                <w:color w:val="auto"/>
              </w:rPr>
              <w:t>[*CTR]</w:t>
            </w:r>
          </w:p>
        </w:tc>
        <w:tc>
          <w:tcPr>
            <w:tcW w:w="380" w:type="dxa"/>
            <w:vAlign w:val="bottom"/>
            <w:tcBorders>
              <w:bottom w:val="single" w:sz="8" w:color="auto"/>
            </w:tcBorders>
          </w:tcPr>
          <w:p>
            <w:pPr>
              <w:spacing w:after="0"/>
              <w:rPr>
                <w:sz w:val="12"/>
                <w:szCs w:val="12"/>
                <w:color w:val="auto"/>
              </w:rPr>
            </w:pPr>
          </w:p>
        </w:tc>
        <w:tc>
          <w:tcPr>
            <w:tcW w:w="1100" w:type="dxa"/>
            <w:vAlign w:val="bottom"/>
            <w:tcBorders>
              <w:bottom w:val="single" w:sz="8" w:color="auto"/>
              <w:right w:val="single" w:sz="8" w:color="auto"/>
            </w:tcBorders>
          </w:tcPr>
          <w:p>
            <w:pPr>
              <w:ind w:left="160"/>
              <w:spacing w:after="0" w:line="142" w:lineRule="exact"/>
              <w:rPr>
                <w:sz w:val="20"/>
                <w:szCs w:val="20"/>
                <w:color w:val="auto"/>
              </w:rPr>
            </w:pPr>
            <w:r>
              <w:rPr>
                <w:rFonts w:ascii="Arial" w:cs="Arial" w:eastAsia="Arial" w:hAnsi="Arial"/>
                <w:sz w:val="14"/>
                <w:szCs w:val="14"/>
                <w:color w:val="auto"/>
              </w:rPr>
              <w:t>[*CTR]</w:t>
            </w:r>
          </w:p>
        </w:tc>
        <w:tc>
          <w:tcPr>
            <w:tcW w:w="2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3"/>
          </w:tcPr>
          <w:p>
            <w:pPr>
              <w:jc w:val="center"/>
              <w:ind w:right="40"/>
              <w:spacing w:after="0" w:line="142" w:lineRule="exact"/>
              <w:rPr>
                <w:sz w:val="20"/>
                <w:szCs w:val="20"/>
                <w:color w:val="auto"/>
              </w:rPr>
            </w:pPr>
            <w:r>
              <w:rPr>
                <w:rFonts w:ascii="Arial" w:cs="Arial" w:eastAsia="Arial" w:hAnsi="Arial"/>
                <w:sz w:val="14"/>
                <w:szCs w:val="14"/>
                <w:color w:val="auto"/>
              </w:rPr>
              <w:t>[*CTR]</w:t>
            </w:r>
          </w:p>
        </w:tc>
        <w:tc>
          <w:tcPr>
            <w:tcW w:w="160" w:type="dxa"/>
            <w:vAlign w:val="bottom"/>
            <w:tcBorders>
              <w:bottom w:val="single" w:sz="8" w:color="auto"/>
              <w:right w:val="single" w:sz="8" w:color="auto"/>
            </w:tcBorders>
          </w:tcPr>
          <w:p>
            <w:pPr>
              <w:spacing w:after="0"/>
              <w:rPr>
                <w:sz w:val="12"/>
                <w:szCs w:val="12"/>
                <w:color w:val="auto"/>
              </w:rPr>
            </w:pPr>
          </w:p>
        </w:tc>
        <w:tc>
          <w:tcPr>
            <w:tcW w:w="1040" w:type="dxa"/>
            <w:vAlign w:val="bottom"/>
            <w:tcBorders>
              <w:bottom w:val="single" w:sz="8" w:color="auto"/>
              <w:right w:val="single" w:sz="8" w:color="auto"/>
            </w:tcBorders>
          </w:tcPr>
          <w:p>
            <w:pPr>
              <w:jc w:val="center"/>
              <w:ind w:left="7"/>
              <w:spacing w:after="0" w:line="142" w:lineRule="exact"/>
              <w:rPr>
                <w:sz w:val="20"/>
                <w:szCs w:val="20"/>
                <w:color w:val="auto"/>
              </w:rPr>
            </w:pPr>
            <w:r>
              <w:rPr>
                <w:rFonts w:ascii="Arial" w:cs="Arial" w:eastAsia="Arial" w:hAnsi="Arial"/>
                <w:sz w:val="14"/>
                <w:szCs w:val="14"/>
                <w:color w:val="auto"/>
              </w:rPr>
              <w:t>[*CTR]</w:t>
            </w:r>
          </w:p>
        </w:tc>
        <w:tc>
          <w:tcPr>
            <w:tcW w:w="1040" w:type="dxa"/>
            <w:vAlign w:val="bottom"/>
            <w:tcBorders>
              <w:bottom w:val="single" w:sz="8" w:color="auto"/>
              <w:right w:val="single" w:sz="8" w:color="auto"/>
            </w:tcBorders>
          </w:tcPr>
          <w:p>
            <w:pPr>
              <w:jc w:val="center"/>
              <w:ind w:left="7"/>
              <w:spacing w:after="0" w:line="142" w:lineRule="exact"/>
              <w:rPr>
                <w:sz w:val="20"/>
                <w:szCs w:val="20"/>
                <w:color w:val="auto"/>
              </w:rPr>
            </w:pPr>
            <w:r>
              <w:rPr>
                <w:rFonts w:ascii="Arial" w:cs="Arial" w:eastAsia="Arial" w:hAnsi="Arial"/>
                <w:sz w:val="14"/>
                <w:szCs w:val="14"/>
                <w:color w:val="auto"/>
              </w:rPr>
              <w:t>[*CTR]</w:t>
            </w:r>
          </w:p>
        </w:tc>
        <w:tc>
          <w:tcPr>
            <w:tcW w:w="100" w:type="dxa"/>
            <w:vAlign w:val="bottom"/>
            <w:tcBorders>
              <w:bottom w:val="single" w:sz="8" w:color="auto"/>
            </w:tcBorders>
          </w:tcPr>
          <w:p>
            <w:pPr>
              <w:spacing w:after="0"/>
              <w:rPr>
                <w:sz w:val="12"/>
                <w:szCs w:val="12"/>
                <w:color w:val="auto"/>
              </w:rPr>
            </w:pPr>
          </w:p>
        </w:tc>
        <w:tc>
          <w:tcPr>
            <w:tcW w:w="1160" w:type="dxa"/>
            <w:vAlign w:val="bottom"/>
            <w:tcBorders>
              <w:bottom w:val="single" w:sz="8" w:color="auto"/>
              <w:right w:val="single" w:sz="8" w:color="auto"/>
            </w:tcBorders>
          </w:tcPr>
          <w:p>
            <w:pPr>
              <w:jc w:val="center"/>
              <w:ind w:right="6"/>
              <w:spacing w:after="0" w:line="142" w:lineRule="exact"/>
              <w:rPr>
                <w:sz w:val="20"/>
                <w:szCs w:val="20"/>
                <w:color w:val="auto"/>
              </w:rPr>
            </w:pPr>
            <w:r>
              <w:rPr>
                <w:rFonts w:ascii="Arial" w:cs="Arial" w:eastAsia="Arial" w:hAnsi="Arial"/>
                <w:sz w:val="14"/>
                <w:szCs w:val="14"/>
                <w:color w:val="auto"/>
              </w:rPr>
              <w:t>[*CTR]</w:t>
            </w:r>
          </w:p>
        </w:tc>
        <w:tc>
          <w:tcPr>
            <w:tcW w:w="0" w:type="dxa"/>
            <w:vAlign w:val="bottom"/>
          </w:tcPr>
          <w:p>
            <w:pPr>
              <w:spacing w:after="0"/>
              <w:rPr>
                <w:sz w:val="1"/>
                <w:szCs w:val="1"/>
                <w:color w:val="auto"/>
              </w:rPr>
            </w:pPr>
          </w:p>
        </w:tc>
      </w:tr>
      <w:tr>
        <w:trPr>
          <w:trHeight w:val="142"/>
        </w:trPr>
        <w:tc>
          <w:tcPr>
            <w:tcW w:w="1200" w:type="dxa"/>
            <w:vAlign w:val="bottom"/>
            <w:tcBorders>
              <w:left w:val="single" w:sz="8" w:color="auto"/>
              <w:bottom w:val="single" w:sz="8" w:color="auto"/>
              <w:right w:val="single" w:sz="8" w:color="auto"/>
            </w:tcBorders>
          </w:tcPr>
          <w:p>
            <w:pPr>
              <w:ind w:left="240"/>
              <w:spacing w:after="0" w:line="142" w:lineRule="exact"/>
              <w:rPr>
                <w:sz w:val="20"/>
                <w:szCs w:val="20"/>
                <w:color w:val="auto"/>
              </w:rPr>
            </w:pPr>
            <w:r>
              <w:rPr>
                <w:rFonts w:ascii="Arial" w:cs="Arial" w:eastAsia="Arial" w:hAnsi="Arial"/>
                <w:sz w:val="14"/>
                <w:szCs w:val="14"/>
                <w:color w:val="auto"/>
              </w:rPr>
              <w:t>[*CTR]-2017</w:t>
            </w: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right w:val="single" w:sz="8" w:color="auto"/>
            </w:tcBorders>
          </w:tcPr>
          <w:p>
            <w:pPr>
              <w:jc w:val="right"/>
              <w:ind w:right="387"/>
              <w:spacing w:after="0" w:line="142" w:lineRule="exact"/>
              <w:rPr>
                <w:sz w:val="20"/>
                <w:szCs w:val="20"/>
                <w:color w:val="auto"/>
              </w:rPr>
            </w:pPr>
            <w:r>
              <w:rPr>
                <w:rFonts w:ascii="Arial" w:cs="Arial" w:eastAsia="Arial" w:hAnsi="Arial"/>
                <w:sz w:val="14"/>
                <w:szCs w:val="14"/>
                <w:color w:val="auto"/>
              </w:rPr>
              <w:t>1</w:t>
            </w:r>
          </w:p>
        </w:tc>
        <w:tc>
          <w:tcPr>
            <w:tcW w:w="160" w:type="dxa"/>
            <w:vAlign w:val="bottom"/>
            <w:tcBorders>
              <w:bottom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ind w:left="200"/>
              <w:spacing w:after="0" w:line="142" w:lineRule="exact"/>
              <w:rPr>
                <w:sz w:val="20"/>
                <w:szCs w:val="20"/>
                <w:color w:val="auto"/>
              </w:rPr>
            </w:pPr>
            <w:r>
              <w:rPr>
                <w:rFonts w:ascii="Arial" w:cs="Arial" w:eastAsia="Arial" w:hAnsi="Arial"/>
                <w:sz w:val="14"/>
                <w:szCs w:val="14"/>
                <w:color w:val="auto"/>
              </w:rPr>
              <w:t>[*CTR]</w:t>
            </w:r>
          </w:p>
        </w:tc>
        <w:tc>
          <w:tcPr>
            <w:tcW w:w="920" w:type="dxa"/>
            <w:vAlign w:val="bottom"/>
            <w:tcBorders>
              <w:bottom w:val="single" w:sz="8" w:color="auto"/>
            </w:tcBorders>
          </w:tcPr>
          <w:p>
            <w:pPr>
              <w:ind w:left="360"/>
              <w:spacing w:after="0" w:line="142" w:lineRule="exact"/>
              <w:rPr>
                <w:sz w:val="20"/>
                <w:szCs w:val="20"/>
                <w:color w:val="auto"/>
              </w:rPr>
            </w:pPr>
            <w:r>
              <w:rPr>
                <w:rFonts w:ascii="Arial" w:cs="Arial" w:eastAsia="Arial" w:hAnsi="Arial"/>
                <w:sz w:val="14"/>
                <w:szCs w:val="14"/>
                <w:color w:val="auto"/>
              </w:rPr>
              <w:t>[*CTR]</w:t>
            </w:r>
          </w:p>
        </w:tc>
        <w:tc>
          <w:tcPr>
            <w:tcW w:w="160" w:type="dxa"/>
            <w:vAlign w:val="bottom"/>
            <w:tcBorders>
              <w:bottom w:val="single" w:sz="8" w:color="auto"/>
              <w:right w:val="single" w:sz="8" w:color="auto"/>
            </w:tcBorders>
          </w:tcPr>
          <w:p>
            <w:pPr>
              <w:spacing w:after="0"/>
              <w:rPr>
                <w:sz w:val="12"/>
                <w:szCs w:val="12"/>
                <w:color w:val="auto"/>
              </w:rPr>
            </w:pPr>
          </w:p>
        </w:tc>
        <w:tc>
          <w:tcPr>
            <w:tcW w:w="100" w:type="dxa"/>
            <w:vAlign w:val="bottom"/>
            <w:tcBorders>
              <w:bottom w:val="single" w:sz="8" w:color="auto"/>
            </w:tcBorders>
            <w:shd w:val="clear" w:color="auto" w:fill="CCCCCC"/>
          </w:tcPr>
          <w:p>
            <w:pPr>
              <w:spacing w:after="0"/>
              <w:rPr>
                <w:sz w:val="12"/>
                <w:szCs w:val="12"/>
                <w:color w:val="auto"/>
              </w:rPr>
            </w:pPr>
          </w:p>
        </w:tc>
        <w:tc>
          <w:tcPr>
            <w:tcW w:w="180" w:type="dxa"/>
            <w:vAlign w:val="bottom"/>
            <w:tcBorders>
              <w:bottom w:val="single" w:sz="8" w:color="auto"/>
            </w:tcBorders>
            <w:shd w:val="clear" w:color="auto" w:fill="CCCCCC"/>
          </w:tcPr>
          <w:p>
            <w:pPr>
              <w:spacing w:after="0"/>
              <w:rPr>
                <w:sz w:val="12"/>
                <w:szCs w:val="12"/>
                <w:color w:val="auto"/>
              </w:rPr>
            </w:pPr>
          </w:p>
        </w:tc>
        <w:tc>
          <w:tcPr>
            <w:tcW w:w="80" w:type="dxa"/>
            <w:vAlign w:val="bottom"/>
            <w:tcBorders>
              <w:bottom w:val="single" w:sz="8" w:color="auto"/>
            </w:tcBorders>
            <w:shd w:val="clear" w:color="auto" w:fill="CCCCCC"/>
          </w:tcPr>
          <w:p>
            <w:pPr>
              <w:spacing w:after="0"/>
              <w:rPr>
                <w:sz w:val="12"/>
                <w:szCs w:val="12"/>
                <w:color w:val="auto"/>
              </w:rPr>
            </w:pPr>
          </w:p>
        </w:tc>
        <w:tc>
          <w:tcPr>
            <w:tcW w:w="800" w:type="dxa"/>
            <w:vAlign w:val="bottom"/>
            <w:tcBorders>
              <w:bottom w:val="single" w:sz="8" w:color="auto"/>
              <w:right w:val="single" w:sz="8" w:color="auto"/>
            </w:tcBorders>
            <w:gridSpan w:val="2"/>
            <w:shd w:val="clear" w:color="auto" w:fill="CCCCCC"/>
          </w:tcPr>
          <w:p>
            <w:pPr>
              <w:ind w:left="20"/>
              <w:spacing w:after="0" w:line="142" w:lineRule="exact"/>
              <w:rPr>
                <w:sz w:val="20"/>
                <w:szCs w:val="20"/>
                <w:color w:val="auto"/>
              </w:rPr>
            </w:pPr>
            <w:r>
              <w:rPr>
                <w:rFonts w:ascii="Arial" w:cs="Arial" w:eastAsia="Arial" w:hAnsi="Arial"/>
                <w:sz w:val="14"/>
                <w:szCs w:val="14"/>
                <w:color w:val="auto"/>
              </w:rPr>
              <w:t>[*CTR]</w:t>
            </w:r>
          </w:p>
        </w:tc>
        <w:tc>
          <w:tcPr>
            <w:tcW w:w="380" w:type="dxa"/>
            <w:vAlign w:val="bottom"/>
            <w:tcBorders>
              <w:bottom w:val="single" w:sz="8" w:color="auto"/>
            </w:tcBorders>
          </w:tcPr>
          <w:p>
            <w:pPr>
              <w:spacing w:after="0"/>
              <w:rPr>
                <w:sz w:val="12"/>
                <w:szCs w:val="12"/>
                <w:color w:val="auto"/>
              </w:rPr>
            </w:pPr>
          </w:p>
        </w:tc>
        <w:tc>
          <w:tcPr>
            <w:tcW w:w="1100" w:type="dxa"/>
            <w:vAlign w:val="bottom"/>
            <w:tcBorders>
              <w:bottom w:val="single" w:sz="8" w:color="auto"/>
              <w:right w:val="single" w:sz="8" w:color="auto"/>
            </w:tcBorders>
          </w:tcPr>
          <w:p>
            <w:pPr>
              <w:ind w:left="160"/>
              <w:spacing w:after="0" w:line="142" w:lineRule="exact"/>
              <w:rPr>
                <w:sz w:val="20"/>
                <w:szCs w:val="20"/>
                <w:color w:val="auto"/>
              </w:rPr>
            </w:pPr>
            <w:r>
              <w:rPr>
                <w:rFonts w:ascii="Arial" w:cs="Arial" w:eastAsia="Arial" w:hAnsi="Arial"/>
                <w:sz w:val="14"/>
                <w:szCs w:val="14"/>
                <w:color w:val="auto"/>
              </w:rPr>
              <w:t>[*CTR]</w:t>
            </w:r>
          </w:p>
        </w:tc>
        <w:tc>
          <w:tcPr>
            <w:tcW w:w="2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3"/>
          </w:tcPr>
          <w:p>
            <w:pPr>
              <w:jc w:val="center"/>
              <w:ind w:right="40"/>
              <w:spacing w:after="0" w:line="142" w:lineRule="exact"/>
              <w:rPr>
                <w:sz w:val="20"/>
                <w:szCs w:val="20"/>
                <w:color w:val="auto"/>
              </w:rPr>
            </w:pPr>
            <w:r>
              <w:rPr>
                <w:rFonts w:ascii="Arial" w:cs="Arial" w:eastAsia="Arial" w:hAnsi="Arial"/>
                <w:sz w:val="14"/>
                <w:szCs w:val="14"/>
                <w:color w:val="auto"/>
              </w:rPr>
              <w:t>[*CTR]</w:t>
            </w:r>
          </w:p>
        </w:tc>
        <w:tc>
          <w:tcPr>
            <w:tcW w:w="160" w:type="dxa"/>
            <w:vAlign w:val="bottom"/>
            <w:tcBorders>
              <w:bottom w:val="single" w:sz="8" w:color="auto"/>
              <w:right w:val="single" w:sz="8" w:color="auto"/>
            </w:tcBorders>
          </w:tcPr>
          <w:p>
            <w:pPr>
              <w:spacing w:after="0"/>
              <w:rPr>
                <w:sz w:val="12"/>
                <w:szCs w:val="12"/>
                <w:color w:val="auto"/>
              </w:rPr>
            </w:pPr>
          </w:p>
        </w:tc>
        <w:tc>
          <w:tcPr>
            <w:tcW w:w="1040" w:type="dxa"/>
            <w:vAlign w:val="bottom"/>
            <w:tcBorders>
              <w:bottom w:val="single" w:sz="8" w:color="auto"/>
              <w:right w:val="single" w:sz="8" w:color="auto"/>
            </w:tcBorders>
          </w:tcPr>
          <w:p>
            <w:pPr>
              <w:jc w:val="center"/>
              <w:ind w:left="7"/>
              <w:spacing w:after="0" w:line="142" w:lineRule="exact"/>
              <w:rPr>
                <w:sz w:val="20"/>
                <w:szCs w:val="20"/>
                <w:color w:val="auto"/>
              </w:rPr>
            </w:pPr>
            <w:r>
              <w:rPr>
                <w:rFonts w:ascii="Arial" w:cs="Arial" w:eastAsia="Arial" w:hAnsi="Arial"/>
                <w:sz w:val="14"/>
                <w:szCs w:val="14"/>
                <w:color w:val="auto"/>
              </w:rPr>
              <w:t>[*CTR]</w:t>
            </w:r>
          </w:p>
        </w:tc>
        <w:tc>
          <w:tcPr>
            <w:tcW w:w="1040" w:type="dxa"/>
            <w:vAlign w:val="bottom"/>
            <w:tcBorders>
              <w:bottom w:val="single" w:sz="8" w:color="auto"/>
              <w:right w:val="single" w:sz="8" w:color="auto"/>
            </w:tcBorders>
          </w:tcPr>
          <w:p>
            <w:pPr>
              <w:jc w:val="center"/>
              <w:ind w:left="7"/>
              <w:spacing w:after="0" w:line="142" w:lineRule="exact"/>
              <w:rPr>
                <w:sz w:val="20"/>
                <w:szCs w:val="20"/>
                <w:color w:val="auto"/>
              </w:rPr>
            </w:pPr>
            <w:r>
              <w:rPr>
                <w:rFonts w:ascii="Arial" w:cs="Arial" w:eastAsia="Arial" w:hAnsi="Arial"/>
                <w:sz w:val="14"/>
                <w:szCs w:val="14"/>
                <w:color w:val="auto"/>
              </w:rPr>
              <w:t>[*CTR]</w:t>
            </w:r>
          </w:p>
        </w:tc>
        <w:tc>
          <w:tcPr>
            <w:tcW w:w="100" w:type="dxa"/>
            <w:vAlign w:val="bottom"/>
            <w:tcBorders>
              <w:bottom w:val="single" w:sz="8" w:color="auto"/>
            </w:tcBorders>
          </w:tcPr>
          <w:p>
            <w:pPr>
              <w:spacing w:after="0"/>
              <w:rPr>
                <w:sz w:val="12"/>
                <w:szCs w:val="12"/>
                <w:color w:val="auto"/>
              </w:rPr>
            </w:pPr>
          </w:p>
        </w:tc>
        <w:tc>
          <w:tcPr>
            <w:tcW w:w="1160" w:type="dxa"/>
            <w:vAlign w:val="bottom"/>
            <w:tcBorders>
              <w:bottom w:val="single" w:sz="8" w:color="auto"/>
              <w:right w:val="single" w:sz="8" w:color="auto"/>
            </w:tcBorders>
          </w:tcPr>
          <w:p>
            <w:pPr>
              <w:jc w:val="center"/>
              <w:ind w:right="6"/>
              <w:spacing w:after="0" w:line="142" w:lineRule="exact"/>
              <w:rPr>
                <w:sz w:val="20"/>
                <w:szCs w:val="20"/>
                <w:color w:val="auto"/>
              </w:rPr>
            </w:pPr>
            <w:r>
              <w:rPr>
                <w:rFonts w:ascii="Arial" w:cs="Arial" w:eastAsia="Arial" w:hAnsi="Arial"/>
                <w:sz w:val="14"/>
                <w:szCs w:val="14"/>
                <w:color w:val="auto"/>
              </w:rPr>
              <w:t>[*CTR]</w:t>
            </w:r>
          </w:p>
        </w:tc>
        <w:tc>
          <w:tcPr>
            <w:tcW w:w="0" w:type="dxa"/>
            <w:vAlign w:val="bottom"/>
          </w:tcPr>
          <w:p>
            <w:pPr>
              <w:spacing w:after="0"/>
              <w:rPr>
                <w:sz w:val="1"/>
                <w:szCs w:val="1"/>
                <w:color w:val="auto"/>
              </w:rPr>
            </w:pPr>
          </w:p>
        </w:tc>
      </w:tr>
      <w:tr>
        <w:trPr>
          <w:trHeight w:val="304"/>
        </w:trPr>
        <w:tc>
          <w:tcPr>
            <w:tcW w:w="2440" w:type="dxa"/>
            <w:vAlign w:val="bottom"/>
            <w:gridSpan w:val="4"/>
          </w:tcPr>
          <w:p>
            <w:pPr>
              <w:spacing w:after="0"/>
              <w:rPr>
                <w:sz w:val="20"/>
                <w:szCs w:val="20"/>
                <w:color w:val="auto"/>
              </w:rPr>
            </w:pPr>
            <w:r>
              <w:rPr>
                <w:rFonts w:ascii="Arial" w:cs="Arial" w:eastAsia="Arial" w:hAnsi="Arial"/>
                <w:sz w:val="15"/>
                <w:szCs w:val="15"/>
                <w:color w:val="auto"/>
              </w:rPr>
              <w:t>AAL-PA-03219 105140-1F.txt</w:t>
            </w: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40" w:type="dxa"/>
            <w:vAlign w:val="bottom"/>
            <w:gridSpan w:val="5"/>
          </w:tcPr>
          <w:p>
            <w:pPr>
              <w:ind w:left="380"/>
              <w:spacing w:after="0"/>
              <w:rPr>
                <w:sz w:val="20"/>
                <w:szCs w:val="20"/>
                <w:color w:val="auto"/>
              </w:rPr>
            </w:pPr>
            <w:r>
              <w:rPr>
                <w:rFonts w:ascii="Arial" w:cs="Arial" w:eastAsia="Arial" w:hAnsi="Arial"/>
                <w:sz w:val="19"/>
                <w:szCs w:val="19"/>
                <w:b w:val="1"/>
                <w:bCs w:val="1"/>
                <w:color w:val="auto"/>
              </w:rPr>
              <w:t>Boeing Proprietary</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300" w:type="dxa"/>
            <w:vAlign w:val="bottom"/>
            <w:gridSpan w:val="3"/>
          </w:tcPr>
          <w:p>
            <w:pPr>
              <w:ind w:left="940"/>
              <w:spacing w:after="0"/>
              <w:rPr>
                <w:sz w:val="20"/>
                <w:szCs w:val="20"/>
                <w:color w:val="auto"/>
              </w:rPr>
            </w:pPr>
            <w:r>
              <w:rPr>
                <w:rFonts w:ascii="Arial" w:cs="Arial" w:eastAsia="Arial" w:hAnsi="Arial"/>
                <w:sz w:val="15"/>
                <w:szCs w:val="15"/>
                <w:color w:val="auto"/>
                <w:w w:val="98"/>
              </w:rPr>
              <w:t>SA-10, Table 1(R7),</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ind w:left="660"/>
              <w:spacing w:after="0"/>
              <w:rPr>
                <w:sz w:val="20"/>
                <w:szCs w:val="20"/>
                <w:color w:val="auto"/>
              </w:rPr>
            </w:pPr>
            <w:r>
              <w:rPr>
                <w:rFonts w:ascii="Arial" w:cs="Arial" w:eastAsia="Arial" w:hAnsi="Arial"/>
                <w:sz w:val="15"/>
                <w:szCs w:val="15"/>
                <w:color w:val="auto"/>
                <w:w w:val="96"/>
              </w:rPr>
              <w:t>Page 1</w:t>
            </w:r>
          </w:p>
        </w:tc>
        <w:tc>
          <w:tcPr>
            <w:tcW w:w="0" w:type="dxa"/>
            <w:vAlign w:val="bottom"/>
          </w:tcPr>
          <w:p>
            <w:pPr>
              <w:spacing w:after="0"/>
              <w:rPr>
                <w:sz w:val="1"/>
                <w:szCs w:val="1"/>
                <w:color w:val="auto"/>
              </w:rPr>
            </w:pPr>
          </w:p>
        </w:tc>
      </w:tr>
    </w:tbl>
    <w:p>
      <w:pPr>
        <w:spacing w:after="0" w:line="6" w:lineRule="exact"/>
        <w:rPr>
          <w:sz w:val="20"/>
          <w:szCs w:val="20"/>
          <w:color w:val="auto"/>
        </w:rPr>
      </w:pPr>
    </w:p>
    <w:p>
      <w:pPr>
        <w:ind w:right="360"/>
        <w:spacing w:after="0" w:line="260" w:lineRule="auto"/>
        <w:rPr>
          <w:sz w:val="20"/>
          <w:szCs w:val="20"/>
          <w:color w:val="auto"/>
        </w:rPr>
      </w:pPr>
      <w:r>
        <w:rPr>
          <w:rFonts w:ascii="Arial" w:cs="Arial" w:eastAsia="Arial" w:hAnsi="Arial"/>
          <w:sz w:val="16"/>
          <w:szCs w:val="16"/>
          <w:color w:val="auto"/>
        </w:rPr>
        <w:t>[*CTR]=[CONFIDENTIAL PORTION OMITTED AND FILED SEPARATELY WITH THE COMMISSION PURSUANT TO A REQUEST FOR CONFIDENTIAL TREATMENT]</w:t>
      </w:r>
    </w:p>
    <w:p>
      <w:pPr>
        <w:sectPr>
          <w:pgSz w:w="11900" w:h="16838" w:orient="portrait"/>
          <w:cols w:equalWidth="0" w:num="1">
            <w:col w:w="11440"/>
          </w:cols>
          <w:pgMar w:left="240" w:top="264" w:right="219" w:bottom="1440" w:gutter="0" w:footer="0" w:header="0"/>
        </w:sectPr>
      </w:pPr>
    </w:p>
    <w:bookmarkStart w:id="123" w:name="page124"/>
    <w:bookmarkEnd w:id="123"/>
    <w:p>
      <w:pPr>
        <w:jc w:val="center"/>
        <w:spacing w:after="0" w:line="275" w:lineRule="auto"/>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Table 1(R7) To Purchase Agreement No. PA-03219 787-9 Aircraft Delivery, Description, Price and Advance Payments [*CTR]</w:t>
      </w:r>
    </w:p>
    <w:p>
      <w:pPr>
        <w:spacing w:after="0" w:line="188" w:lineRule="exact"/>
        <w:rPr>
          <w:sz w:val="20"/>
          <w:szCs w:val="20"/>
          <w:color w:val="auto"/>
        </w:rPr>
      </w:pPr>
    </w:p>
    <w:tbl>
      <w:tblPr>
        <w:tblLayout w:type="fixed"/>
        <w:tblInd w:w="10" w:type="dxa"/>
        <w:tblCellMar>
          <w:top w:w="0" w:type="dxa"/>
          <w:left w:w="0" w:type="dxa"/>
          <w:bottom w:w="0" w:type="dxa"/>
          <w:right w:w="0" w:type="dxa"/>
        </w:tblCellMar>
      </w:tblPr>
      <w:tr>
        <w:trPr>
          <w:trHeight w:val="172"/>
        </w:trPr>
        <w:tc>
          <w:tcPr>
            <w:tcW w:w="1200" w:type="dxa"/>
            <w:vAlign w:val="bottom"/>
            <w:tcBorders>
              <w:top w:val="single" w:sz="8" w:color="auto"/>
              <w:left w:val="single" w:sz="8" w:color="auto"/>
              <w:right w:val="single" w:sz="8" w:color="auto"/>
            </w:tcBorders>
          </w:tcPr>
          <w:p>
            <w:pPr>
              <w:spacing w:after="0"/>
              <w:rPr>
                <w:sz w:val="14"/>
                <w:szCs w:val="14"/>
                <w:color w:val="auto"/>
              </w:rPr>
            </w:pPr>
          </w:p>
        </w:tc>
        <w:tc>
          <w:tcPr>
            <w:tcW w:w="1080" w:type="dxa"/>
            <w:vAlign w:val="bottom"/>
            <w:tcBorders>
              <w:top w:val="single" w:sz="8" w:color="auto"/>
              <w:right w:val="single" w:sz="8" w:color="auto"/>
            </w:tcBorders>
          </w:tcPr>
          <w:p>
            <w:pPr>
              <w:spacing w:after="0"/>
              <w:rPr>
                <w:sz w:val="14"/>
                <w:szCs w:val="14"/>
                <w:color w:val="auto"/>
              </w:rPr>
            </w:pPr>
          </w:p>
        </w:tc>
        <w:tc>
          <w:tcPr>
            <w:tcW w:w="10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5"/>
                <w:szCs w:val="15"/>
                <w:b w:val="1"/>
                <w:bCs w:val="1"/>
                <w:color w:val="auto"/>
                <w:w w:val="90"/>
              </w:rPr>
              <w:t>Escalation</w:t>
            </w:r>
          </w:p>
        </w:tc>
        <w:tc>
          <w:tcPr>
            <w:tcW w:w="10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5"/>
                <w:szCs w:val="15"/>
                <w:b w:val="1"/>
                <w:bCs w:val="1"/>
                <w:color w:val="auto"/>
                <w:w w:val="90"/>
              </w:rPr>
              <w:t>Escalation</w:t>
            </w:r>
          </w:p>
        </w:tc>
        <w:tc>
          <w:tcPr>
            <w:tcW w:w="1160" w:type="dxa"/>
            <w:vAlign w:val="bottom"/>
            <w:tcBorders>
              <w:top w:val="single" w:sz="8" w:color="auto"/>
              <w:right w:val="single" w:sz="8" w:color="auto"/>
            </w:tcBorders>
            <w:shd w:val="clear" w:color="auto" w:fill="CCCCCC"/>
          </w:tcPr>
          <w:p>
            <w:pPr>
              <w:spacing w:after="0"/>
              <w:rPr>
                <w:sz w:val="14"/>
                <w:szCs w:val="14"/>
                <w:color w:val="auto"/>
              </w:rPr>
            </w:pPr>
          </w:p>
        </w:tc>
        <w:tc>
          <w:tcPr>
            <w:tcW w:w="14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5"/>
                <w:szCs w:val="15"/>
                <w:b w:val="1"/>
                <w:bCs w:val="1"/>
                <w:color w:val="auto"/>
                <w:w w:val="91"/>
              </w:rPr>
              <w:t>Escalation Estimate</w:t>
            </w:r>
          </w:p>
        </w:tc>
        <w:tc>
          <w:tcPr>
            <w:tcW w:w="860" w:type="dxa"/>
            <w:vAlign w:val="bottom"/>
            <w:tcBorders>
              <w:top w:val="single" w:sz="8" w:color="auto"/>
            </w:tcBorders>
          </w:tcPr>
          <w:p>
            <w:pPr>
              <w:spacing w:after="0"/>
              <w:rPr>
                <w:sz w:val="14"/>
                <w:szCs w:val="14"/>
                <w:color w:val="auto"/>
              </w:rPr>
            </w:pPr>
          </w:p>
        </w:tc>
        <w:tc>
          <w:tcPr>
            <w:tcW w:w="2580" w:type="dxa"/>
            <w:vAlign w:val="bottom"/>
            <w:tcBorders>
              <w:top w:val="single" w:sz="8" w:color="auto"/>
            </w:tcBorders>
            <w:gridSpan w:val="4"/>
          </w:tcPr>
          <w:p>
            <w:pPr>
              <w:jc w:val="center"/>
              <w:spacing w:after="0"/>
              <w:rPr>
                <w:sz w:val="20"/>
                <w:szCs w:val="20"/>
                <w:color w:val="auto"/>
              </w:rPr>
            </w:pPr>
            <w:r>
              <w:rPr>
                <w:rFonts w:ascii="Arial" w:cs="Arial" w:eastAsia="Arial" w:hAnsi="Arial"/>
                <w:sz w:val="15"/>
                <w:szCs w:val="15"/>
                <w:b w:val="1"/>
                <w:bCs w:val="1"/>
                <w:color w:val="auto"/>
                <w:w w:val="93"/>
              </w:rPr>
              <w:t>Advance Payment Per Aircraft (Amts.</w:t>
            </w:r>
          </w:p>
        </w:tc>
        <w:tc>
          <w:tcPr>
            <w:tcW w:w="920" w:type="dxa"/>
            <w:vAlign w:val="bottom"/>
            <w:tcBorders>
              <w:top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1200" w:type="dxa"/>
            <w:vAlign w:val="bottom"/>
            <w:tcBorders>
              <w:left w:val="single" w:sz="8" w:color="auto"/>
              <w:right w:val="single" w:sz="8" w:color="auto"/>
            </w:tcBorders>
          </w:tcPr>
          <w:p>
            <w:pPr>
              <w:spacing w:after="0"/>
              <w:rPr>
                <w:sz w:val="10"/>
                <w:szCs w:val="10"/>
                <w:color w:val="auto"/>
              </w:rPr>
            </w:pPr>
          </w:p>
        </w:tc>
        <w:tc>
          <w:tcPr>
            <w:tcW w:w="1080" w:type="dxa"/>
            <w:vAlign w:val="bottom"/>
            <w:tcBorders>
              <w:right w:val="single" w:sz="8" w:color="auto"/>
            </w:tcBorders>
          </w:tcPr>
          <w:p>
            <w:pPr>
              <w:spacing w:after="0"/>
              <w:rPr>
                <w:sz w:val="10"/>
                <w:szCs w:val="10"/>
                <w:color w:val="auto"/>
              </w:rPr>
            </w:pPr>
          </w:p>
        </w:tc>
        <w:tc>
          <w:tcPr>
            <w:tcW w:w="1080" w:type="dxa"/>
            <w:vAlign w:val="bottom"/>
            <w:tcBorders>
              <w:right w:val="single" w:sz="8" w:color="auto"/>
            </w:tcBorders>
            <w:vMerge w:val="continue"/>
          </w:tcPr>
          <w:p>
            <w:pPr>
              <w:spacing w:after="0"/>
              <w:rPr>
                <w:sz w:val="10"/>
                <w:szCs w:val="10"/>
                <w:color w:val="auto"/>
              </w:rPr>
            </w:pPr>
          </w:p>
        </w:tc>
        <w:tc>
          <w:tcPr>
            <w:tcW w:w="1080" w:type="dxa"/>
            <w:vAlign w:val="bottom"/>
            <w:tcBorders>
              <w:right w:val="single" w:sz="8" w:color="auto"/>
            </w:tcBorders>
            <w:vMerge w:val="continue"/>
          </w:tcPr>
          <w:p>
            <w:pPr>
              <w:spacing w:after="0"/>
              <w:rPr>
                <w:sz w:val="10"/>
                <w:szCs w:val="10"/>
                <w:color w:val="auto"/>
              </w:rPr>
            </w:pPr>
          </w:p>
        </w:tc>
        <w:tc>
          <w:tcPr>
            <w:tcW w:w="1160" w:type="dxa"/>
            <w:vAlign w:val="bottom"/>
            <w:tcBorders>
              <w:right w:val="single" w:sz="8" w:color="auto"/>
            </w:tcBorders>
            <w:shd w:val="clear" w:color="auto" w:fill="CCCCCC"/>
          </w:tcPr>
          <w:p>
            <w:pPr>
              <w:spacing w:after="0"/>
              <w:rPr>
                <w:sz w:val="10"/>
                <w:szCs w:val="10"/>
                <w:color w:val="auto"/>
              </w:rPr>
            </w:pPr>
          </w:p>
        </w:tc>
        <w:tc>
          <w:tcPr>
            <w:tcW w:w="1480" w:type="dxa"/>
            <w:vAlign w:val="bottom"/>
            <w:tcBorders>
              <w:right w:val="single" w:sz="8" w:color="auto"/>
            </w:tcBorders>
            <w:vMerge w:val="continue"/>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20" w:type="dxa"/>
            <w:vAlign w:val="bottom"/>
            <w:gridSpan w:val="3"/>
            <w:vMerge w:val="restart"/>
          </w:tcPr>
          <w:p>
            <w:pPr>
              <w:jc w:val="center"/>
              <w:ind w:right="80"/>
              <w:spacing w:after="0"/>
              <w:rPr>
                <w:sz w:val="20"/>
                <w:szCs w:val="20"/>
                <w:color w:val="auto"/>
              </w:rPr>
            </w:pPr>
            <w:r>
              <w:rPr>
                <w:rFonts w:ascii="Arial" w:cs="Arial" w:eastAsia="Arial" w:hAnsi="Arial"/>
                <w:sz w:val="15"/>
                <w:szCs w:val="15"/>
                <w:b w:val="1"/>
                <w:bCs w:val="1"/>
                <w:color w:val="auto"/>
                <w:w w:val="94"/>
              </w:rPr>
              <w:t>Due/Mos. Prior to Delivery):</w:t>
            </w:r>
          </w:p>
        </w:tc>
        <w:tc>
          <w:tcPr>
            <w:tcW w:w="9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1200" w:type="dxa"/>
            <w:vAlign w:val="bottom"/>
            <w:tcBorders>
              <w:left w:val="single" w:sz="8" w:color="auto"/>
              <w:right w:val="single" w:sz="8" w:color="auto"/>
            </w:tcBorders>
          </w:tcPr>
          <w:p>
            <w:pPr>
              <w:spacing w:after="0"/>
              <w:rPr>
                <w:sz w:val="5"/>
                <w:szCs w:val="5"/>
                <w:color w:val="auto"/>
              </w:rPr>
            </w:pPr>
          </w:p>
        </w:tc>
        <w:tc>
          <w:tcPr>
            <w:tcW w:w="1080" w:type="dxa"/>
            <w:vAlign w:val="bottom"/>
            <w:tcBorders>
              <w:right w:val="single" w:sz="8" w:color="auto"/>
            </w:tcBorders>
          </w:tcPr>
          <w:p>
            <w:pPr>
              <w:spacing w:after="0"/>
              <w:rPr>
                <w:sz w:val="5"/>
                <w:szCs w:val="5"/>
                <w:color w:val="auto"/>
              </w:rPr>
            </w:pPr>
          </w:p>
        </w:tc>
        <w:tc>
          <w:tcPr>
            <w:tcW w:w="1080" w:type="dxa"/>
            <w:vAlign w:val="bottom"/>
            <w:tcBorders>
              <w:right w:val="single" w:sz="8" w:color="auto"/>
            </w:tcBorders>
          </w:tcPr>
          <w:p>
            <w:pPr>
              <w:spacing w:after="0"/>
              <w:rPr>
                <w:sz w:val="5"/>
                <w:szCs w:val="5"/>
                <w:color w:val="auto"/>
              </w:rPr>
            </w:pPr>
          </w:p>
        </w:tc>
        <w:tc>
          <w:tcPr>
            <w:tcW w:w="1080" w:type="dxa"/>
            <w:vAlign w:val="bottom"/>
            <w:tcBorders>
              <w:right w:val="single" w:sz="8" w:color="auto"/>
            </w:tcBorders>
          </w:tcPr>
          <w:p>
            <w:pPr>
              <w:spacing w:after="0"/>
              <w:rPr>
                <w:sz w:val="5"/>
                <w:szCs w:val="5"/>
                <w:color w:val="auto"/>
              </w:rPr>
            </w:pPr>
          </w:p>
        </w:tc>
        <w:tc>
          <w:tcPr>
            <w:tcW w:w="1160" w:type="dxa"/>
            <w:vAlign w:val="bottom"/>
            <w:tcBorders>
              <w:bottom w:val="single" w:sz="8" w:color="CCCCCC"/>
              <w:right w:val="single" w:sz="8" w:color="auto"/>
            </w:tcBorders>
            <w:shd w:val="clear" w:color="auto" w:fill="CCCCCC"/>
          </w:tcPr>
          <w:p>
            <w:pPr>
              <w:spacing w:after="0"/>
              <w:rPr>
                <w:sz w:val="5"/>
                <w:szCs w:val="5"/>
                <w:color w:val="auto"/>
              </w:rPr>
            </w:pPr>
          </w:p>
        </w:tc>
        <w:tc>
          <w:tcPr>
            <w:tcW w:w="1480" w:type="dxa"/>
            <w:vAlign w:val="bottom"/>
            <w:tcBorders>
              <w:right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420" w:type="dxa"/>
            <w:vAlign w:val="bottom"/>
            <w:tcBorders>
              <w:bottom w:val="single" w:sz="8" w:color="auto"/>
            </w:tcBorders>
            <w:gridSpan w:val="3"/>
            <w:vMerge w:val="continue"/>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1200" w:type="dxa"/>
            <w:vAlign w:val="bottom"/>
            <w:tcBorders>
              <w:left w:val="single" w:sz="8" w:color="auto"/>
              <w:right w:val="single" w:sz="8" w:color="auto"/>
            </w:tcBorders>
          </w:tcPr>
          <w:p>
            <w:pPr>
              <w:ind w:left="400"/>
              <w:spacing w:after="0"/>
              <w:rPr>
                <w:sz w:val="20"/>
                <w:szCs w:val="20"/>
                <w:color w:val="auto"/>
              </w:rPr>
            </w:pPr>
            <w:r>
              <w:rPr>
                <w:rFonts w:ascii="Arial" w:cs="Arial" w:eastAsia="Arial" w:hAnsi="Arial"/>
                <w:sz w:val="15"/>
                <w:szCs w:val="15"/>
                <w:b w:val="1"/>
                <w:bCs w:val="1"/>
                <w:color w:val="auto"/>
              </w:rPr>
              <w:t>Delivery</w:t>
            </w:r>
          </w:p>
        </w:tc>
        <w:tc>
          <w:tcPr>
            <w:tcW w:w="1080" w:type="dxa"/>
            <w:vAlign w:val="bottom"/>
            <w:tcBorders>
              <w:right w:val="single" w:sz="8" w:color="auto"/>
            </w:tcBorders>
          </w:tcPr>
          <w:p>
            <w:pPr>
              <w:ind w:left="180"/>
              <w:spacing w:after="0"/>
              <w:rPr>
                <w:sz w:val="20"/>
                <w:szCs w:val="20"/>
                <w:color w:val="auto"/>
              </w:rPr>
            </w:pPr>
            <w:r>
              <w:rPr>
                <w:rFonts w:ascii="Arial" w:cs="Arial" w:eastAsia="Arial" w:hAnsi="Arial"/>
                <w:sz w:val="15"/>
                <w:szCs w:val="15"/>
                <w:b w:val="1"/>
                <w:bCs w:val="1"/>
                <w:color w:val="auto"/>
              </w:rPr>
              <w:t>Number of</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w w:val="95"/>
              </w:rPr>
              <w:t>Factor</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w w:val="95"/>
              </w:rPr>
              <w:t>Factor</w:t>
            </w:r>
          </w:p>
        </w:tc>
        <w:tc>
          <w:tcPr>
            <w:tcW w:w="1160" w:type="dxa"/>
            <w:vAlign w:val="bottom"/>
            <w:tcBorders>
              <w:right w:val="single" w:sz="8" w:color="auto"/>
            </w:tcBorders>
            <w:shd w:val="clear" w:color="auto" w:fill="CCCCCC"/>
          </w:tcPr>
          <w:p>
            <w:pPr>
              <w:ind w:left="120"/>
              <w:spacing w:after="0"/>
              <w:rPr>
                <w:sz w:val="20"/>
                <w:szCs w:val="20"/>
                <w:color w:val="auto"/>
              </w:rPr>
            </w:pPr>
            <w:r>
              <w:rPr>
                <w:rFonts w:ascii="Arial" w:cs="Arial" w:eastAsia="Arial" w:hAnsi="Arial"/>
                <w:sz w:val="15"/>
                <w:szCs w:val="15"/>
                <w:b w:val="1"/>
                <w:bCs w:val="1"/>
                <w:color w:val="auto"/>
              </w:rPr>
              <w:t>Manufacturer</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w w:val="90"/>
              </w:rPr>
              <w:t>Adv Payment Base</w:t>
            </w:r>
          </w:p>
        </w:tc>
        <w:tc>
          <w:tcPr>
            <w:tcW w:w="860" w:type="dxa"/>
            <w:vAlign w:val="bottom"/>
          </w:tcPr>
          <w:p>
            <w:pPr>
              <w:jc w:val="center"/>
              <w:ind w:left="168"/>
              <w:spacing w:after="0"/>
              <w:rPr>
                <w:sz w:val="20"/>
                <w:szCs w:val="20"/>
                <w:color w:val="auto"/>
              </w:rPr>
            </w:pPr>
            <w:r>
              <w:rPr>
                <w:rFonts w:ascii="Arial" w:cs="Arial" w:eastAsia="Arial" w:hAnsi="Arial"/>
                <w:sz w:val="15"/>
                <w:szCs w:val="15"/>
                <w:b w:val="1"/>
                <w:bCs w:val="1"/>
                <w:color w:val="auto"/>
              </w:rPr>
              <w:t>[*CTR]</w:t>
            </w:r>
          </w:p>
        </w:tc>
        <w:tc>
          <w:tcPr>
            <w:tcW w:w="16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rPr>
              <w:t>[*CTR]</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rPr>
              <w:t>[*CTR]</w:t>
            </w:r>
          </w:p>
        </w:tc>
        <w:tc>
          <w:tcPr>
            <w:tcW w:w="360" w:type="dxa"/>
            <w:vAlign w:val="bottom"/>
          </w:tcPr>
          <w:p>
            <w:pPr>
              <w:spacing w:after="0"/>
              <w:rPr>
                <w:sz w:val="17"/>
                <w:szCs w:val="17"/>
                <w:color w:val="auto"/>
              </w:rPr>
            </w:pPr>
          </w:p>
        </w:tc>
        <w:tc>
          <w:tcPr>
            <w:tcW w:w="920" w:type="dxa"/>
            <w:vAlign w:val="bottom"/>
            <w:tcBorders>
              <w:right w:val="single" w:sz="8" w:color="auto"/>
            </w:tcBorders>
          </w:tcPr>
          <w:p>
            <w:pPr>
              <w:jc w:val="center"/>
              <w:ind w:right="267"/>
              <w:spacing w:after="0"/>
              <w:rPr>
                <w:sz w:val="20"/>
                <w:szCs w:val="20"/>
                <w:color w:val="auto"/>
              </w:rPr>
            </w:pPr>
            <w:r>
              <w:rPr>
                <w:rFonts w:ascii="Arial" w:cs="Arial" w:eastAsia="Arial" w:hAnsi="Arial"/>
                <w:sz w:val="15"/>
                <w:szCs w:val="15"/>
                <w:b w:val="1"/>
                <w:bCs w:val="1"/>
                <w:color w:val="auto"/>
                <w:w w:val="94"/>
              </w:rPr>
              <w:t>Total</w:t>
            </w:r>
          </w:p>
        </w:tc>
        <w:tc>
          <w:tcPr>
            <w:tcW w:w="0" w:type="dxa"/>
            <w:vAlign w:val="bottom"/>
          </w:tcPr>
          <w:p>
            <w:pPr>
              <w:spacing w:after="0"/>
              <w:rPr>
                <w:sz w:val="1"/>
                <w:szCs w:val="1"/>
                <w:color w:val="auto"/>
              </w:rPr>
            </w:pPr>
          </w:p>
        </w:tc>
      </w:tr>
      <w:tr>
        <w:trPr>
          <w:trHeight w:val="278"/>
        </w:trPr>
        <w:tc>
          <w:tcPr>
            <w:tcW w:w="1200" w:type="dxa"/>
            <w:vAlign w:val="bottom"/>
            <w:tcBorders>
              <w:left w:val="single" w:sz="8" w:color="auto"/>
              <w:bottom w:val="single" w:sz="8" w:color="auto"/>
              <w:right w:val="single" w:sz="8" w:color="auto"/>
            </w:tcBorders>
          </w:tcPr>
          <w:p>
            <w:pPr>
              <w:ind w:left="520"/>
              <w:spacing w:after="0"/>
              <w:rPr>
                <w:sz w:val="20"/>
                <w:szCs w:val="20"/>
                <w:color w:val="auto"/>
              </w:rPr>
            </w:pPr>
            <w:r>
              <w:rPr>
                <w:rFonts w:ascii="Arial" w:cs="Arial" w:eastAsia="Arial" w:hAnsi="Arial"/>
                <w:sz w:val="15"/>
                <w:szCs w:val="15"/>
                <w:b w:val="1"/>
                <w:bCs w:val="1"/>
                <w:color w:val="auto"/>
              </w:rPr>
              <w:t>Date</w:t>
            </w:r>
          </w:p>
        </w:tc>
        <w:tc>
          <w:tcPr>
            <w:tcW w:w="1080" w:type="dxa"/>
            <w:vAlign w:val="bottom"/>
            <w:tcBorders>
              <w:bottom w:val="single" w:sz="8" w:color="auto"/>
              <w:right w:val="single" w:sz="8" w:color="auto"/>
            </w:tcBorders>
          </w:tcPr>
          <w:p>
            <w:pPr>
              <w:jc w:val="right"/>
              <w:ind w:right="207"/>
              <w:spacing w:after="0"/>
              <w:rPr>
                <w:sz w:val="20"/>
                <w:szCs w:val="20"/>
                <w:color w:val="auto"/>
              </w:rPr>
            </w:pPr>
            <w:r>
              <w:rPr>
                <w:rFonts w:ascii="Arial" w:cs="Arial" w:eastAsia="Arial" w:hAnsi="Arial"/>
                <w:sz w:val="15"/>
                <w:szCs w:val="15"/>
                <w:b w:val="1"/>
                <w:bCs w:val="1"/>
                <w:color w:val="auto"/>
              </w:rPr>
              <w:t>Aircraft</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rPr>
              <w:t>(Airframe)</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w w:val="93"/>
              </w:rPr>
              <w:t>(Engine)</w:t>
            </w:r>
          </w:p>
        </w:tc>
        <w:tc>
          <w:tcPr>
            <w:tcW w:w="1160" w:type="dxa"/>
            <w:vAlign w:val="bottom"/>
            <w:tcBorders>
              <w:bottom w:val="single" w:sz="8" w:color="auto"/>
              <w:right w:val="single" w:sz="8" w:color="auto"/>
            </w:tcBorders>
            <w:shd w:val="clear" w:color="auto" w:fill="CCCCCC"/>
          </w:tcPr>
          <w:p>
            <w:pPr>
              <w:ind w:left="100"/>
              <w:spacing w:after="0"/>
              <w:rPr>
                <w:sz w:val="20"/>
                <w:szCs w:val="20"/>
                <w:color w:val="auto"/>
              </w:rPr>
            </w:pPr>
            <w:r>
              <w:rPr>
                <w:rFonts w:ascii="Arial" w:cs="Arial" w:eastAsia="Arial" w:hAnsi="Arial"/>
                <w:sz w:val="15"/>
                <w:szCs w:val="15"/>
                <w:b w:val="1"/>
                <w:bCs w:val="1"/>
                <w:color w:val="auto"/>
              </w:rPr>
              <w:t>Serial Number</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w w:val="93"/>
              </w:rPr>
              <w:t>Price Per A/P</w:t>
            </w:r>
          </w:p>
        </w:tc>
        <w:tc>
          <w:tcPr>
            <w:tcW w:w="86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jc w:val="center"/>
              <w:ind w:right="267"/>
              <w:spacing w:after="0"/>
              <w:rPr>
                <w:sz w:val="20"/>
                <w:szCs w:val="20"/>
                <w:color w:val="auto"/>
              </w:rPr>
            </w:pPr>
            <w:r>
              <w:rPr>
                <w:rFonts w:ascii="Arial" w:cs="Arial" w:eastAsia="Arial" w:hAnsi="Arial"/>
                <w:sz w:val="15"/>
                <w:szCs w:val="15"/>
                <w:b w:val="1"/>
                <w:bCs w:val="1"/>
                <w:color w:val="auto"/>
              </w:rPr>
              <w:t>[*CTR]</w:t>
            </w:r>
          </w:p>
        </w:tc>
        <w:tc>
          <w:tcPr>
            <w:tcW w:w="0" w:type="dxa"/>
            <w:vAlign w:val="bottom"/>
          </w:tcPr>
          <w:p>
            <w:pPr>
              <w:spacing w:after="0"/>
              <w:rPr>
                <w:sz w:val="1"/>
                <w:szCs w:val="1"/>
                <w:color w:val="auto"/>
              </w:rPr>
            </w:pPr>
          </w:p>
        </w:tc>
      </w:tr>
      <w:tr>
        <w:trPr>
          <w:trHeight w:val="142"/>
        </w:trPr>
        <w:tc>
          <w:tcPr>
            <w:tcW w:w="1200" w:type="dxa"/>
            <w:vAlign w:val="bottom"/>
            <w:tcBorders>
              <w:left w:val="single" w:sz="8" w:color="auto"/>
              <w:bottom w:val="single" w:sz="8" w:color="auto"/>
              <w:right w:val="single" w:sz="8" w:color="auto"/>
            </w:tcBorders>
          </w:tcPr>
          <w:p>
            <w:pPr>
              <w:ind w:left="240"/>
              <w:spacing w:after="0" w:line="142" w:lineRule="exact"/>
              <w:rPr>
                <w:sz w:val="20"/>
                <w:szCs w:val="20"/>
                <w:color w:val="auto"/>
              </w:rPr>
            </w:pPr>
            <w:r>
              <w:rPr>
                <w:rFonts w:ascii="Arial" w:cs="Arial" w:eastAsia="Arial" w:hAnsi="Arial"/>
                <w:sz w:val="14"/>
                <w:szCs w:val="14"/>
                <w:color w:val="auto"/>
              </w:rPr>
              <w:t>[*CTR]-2017</w:t>
            </w:r>
          </w:p>
        </w:tc>
        <w:tc>
          <w:tcPr>
            <w:tcW w:w="1080" w:type="dxa"/>
            <w:vAlign w:val="bottom"/>
            <w:tcBorders>
              <w:bottom w:val="single" w:sz="8" w:color="auto"/>
              <w:right w:val="single" w:sz="8" w:color="auto"/>
            </w:tcBorders>
          </w:tcPr>
          <w:p>
            <w:pPr>
              <w:jc w:val="right"/>
              <w:ind w:right="387"/>
              <w:spacing w:after="0" w:line="142" w:lineRule="exact"/>
              <w:rPr>
                <w:sz w:val="20"/>
                <w:szCs w:val="20"/>
                <w:color w:val="auto"/>
              </w:rPr>
            </w:pPr>
            <w:r>
              <w:rPr>
                <w:rFonts w:ascii="Arial" w:cs="Arial" w:eastAsia="Arial" w:hAnsi="Arial"/>
                <w:sz w:val="14"/>
                <w:szCs w:val="14"/>
                <w:color w:val="auto"/>
              </w:rPr>
              <w:t>1</w:t>
            </w:r>
          </w:p>
        </w:tc>
        <w:tc>
          <w:tcPr>
            <w:tcW w:w="1080" w:type="dxa"/>
            <w:vAlign w:val="bottom"/>
            <w:tcBorders>
              <w:bottom w:val="single" w:sz="8" w:color="auto"/>
              <w:right w:val="single" w:sz="8" w:color="auto"/>
            </w:tcBorders>
          </w:tcPr>
          <w:p>
            <w:pPr>
              <w:ind w:left="360"/>
              <w:spacing w:after="0" w:line="142" w:lineRule="exact"/>
              <w:rPr>
                <w:sz w:val="20"/>
                <w:szCs w:val="20"/>
                <w:color w:val="auto"/>
              </w:rPr>
            </w:pPr>
            <w:r>
              <w:rPr>
                <w:rFonts w:ascii="Arial" w:cs="Arial" w:eastAsia="Arial" w:hAnsi="Arial"/>
                <w:sz w:val="14"/>
                <w:szCs w:val="14"/>
                <w:color w:val="auto"/>
              </w:rPr>
              <w:t>[*CTR]</w:t>
            </w:r>
          </w:p>
        </w:tc>
        <w:tc>
          <w:tcPr>
            <w:tcW w:w="1080" w:type="dxa"/>
            <w:vAlign w:val="bottom"/>
            <w:tcBorders>
              <w:bottom w:val="single" w:sz="8" w:color="auto"/>
              <w:right w:val="single" w:sz="8" w:color="auto"/>
            </w:tcBorders>
          </w:tcPr>
          <w:p>
            <w:pPr>
              <w:ind w:left="360"/>
              <w:spacing w:after="0" w:line="142" w:lineRule="exact"/>
              <w:rPr>
                <w:sz w:val="20"/>
                <w:szCs w:val="20"/>
                <w:color w:val="auto"/>
              </w:rPr>
            </w:pPr>
            <w:r>
              <w:rPr>
                <w:rFonts w:ascii="Arial" w:cs="Arial" w:eastAsia="Arial" w:hAnsi="Arial"/>
                <w:sz w:val="14"/>
                <w:szCs w:val="14"/>
                <w:color w:val="auto"/>
              </w:rPr>
              <w:t>[*CTR]</w:t>
            </w:r>
          </w:p>
        </w:tc>
        <w:tc>
          <w:tcPr>
            <w:tcW w:w="1160" w:type="dxa"/>
            <w:vAlign w:val="bottom"/>
            <w:tcBorders>
              <w:bottom w:val="single" w:sz="8" w:color="auto"/>
              <w:right w:val="single" w:sz="8" w:color="auto"/>
            </w:tcBorders>
            <w:shd w:val="clear" w:color="auto" w:fill="CCCCCC"/>
          </w:tcPr>
          <w:p>
            <w:pPr>
              <w:ind w:left="380"/>
              <w:spacing w:after="0" w:line="142" w:lineRule="exact"/>
              <w:rPr>
                <w:sz w:val="20"/>
                <w:szCs w:val="20"/>
                <w:color w:val="auto"/>
              </w:rPr>
            </w:pPr>
            <w:r>
              <w:rPr>
                <w:rFonts w:ascii="Arial" w:cs="Arial" w:eastAsia="Arial" w:hAnsi="Arial"/>
                <w:sz w:val="14"/>
                <w:szCs w:val="14"/>
                <w:color w:val="auto"/>
              </w:rPr>
              <w:t>[*CTR]</w:t>
            </w:r>
          </w:p>
        </w:tc>
        <w:tc>
          <w:tcPr>
            <w:tcW w:w="1480" w:type="dxa"/>
            <w:vAlign w:val="bottom"/>
            <w:tcBorders>
              <w:bottom w:val="single" w:sz="8" w:color="auto"/>
              <w:right w:val="single" w:sz="8" w:color="auto"/>
            </w:tcBorders>
          </w:tcPr>
          <w:p>
            <w:pPr>
              <w:ind w:left="540"/>
              <w:spacing w:after="0" w:line="142" w:lineRule="exact"/>
              <w:rPr>
                <w:sz w:val="20"/>
                <w:szCs w:val="20"/>
                <w:color w:val="auto"/>
              </w:rPr>
            </w:pPr>
            <w:r>
              <w:rPr>
                <w:rFonts w:ascii="Arial" w:cs="Arial" w:eastAsia="Arial" w:hAnsi="Arial"/>
                <w:sz w:val="14"/>
                <w:szCs w:val="14"/>
                <w:color w:val="auto"/>
              </w:rPr>
              <w:t>[*CTR]</w:t>
            </w:r>
          </w:p>
        </w:tc>
        <w:tc>
          <w:tcPr>
            <w:tcW w:w="860" w:type="dxa"/>
            <w:vAlign w:val="bottom"/>
            <w:tcBorders>
              <w:bottom w:val="single" w:sz="8" w:color="auto"/>
            </w:tcBorders>
          </w:tcPr>
          <w:p>
            <w:pPr>
              <w:jc w:val="center"/>
              <w:ind w:left="148"/>
              <w:spacing w:after="0" w:line="142" w:lineRule="exact"/>
              <w:rPr>
                <w:sz w:val="20"/>
                <w:szCs w:val="20"/>
                <w:color w:val="auto"/>
              </w:rPr>
            </w:pPr>
            <w:r>
              <w:rPr>
                <w:rFonts w:ascii="Arial" w:cs="Arial" w:eastAsia="Arial" w:hAnsi="Arial"/>
                <w:sz w:val="14"/>
                <w:szCs w:val="14"/>
                <w:color w:val="auto"/>
              </w:rPr>
              <w:t>[*CTR]</w:t>
            </w:r>
          </w:p>
        </w:tc>
        <w:tc>
          <w:tcPr>
            <w:tcW w:w="160" w:type="dxa"/>
            <w:vAlign w:val="bottom"/>
            <w:tcBorders>
              <w:bottom w:val="single" w:sz="8" w:color="auto"/>
              <w:right w:val="single" w:sz="8" w:color="auto"/>
            </w:tcBorders>
          </w:tcPr>
          <w:p>
            <w:pPr>
              <w:spacing w:after="0"/>
              <w:rPr>
                <w:sz w:val="12"/>
                <w:szCs w:val="12"/>
                <w:color w:val="auto"/>
              </w:rPr>
            </w:pPr>
          </w:p>
        </w:tc>
        <w:tc>
          <w:tcPr>
            <w:tcW w:w="10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rPr>
              <w:t>[*CTR]</w:t>
            </w:r>
          </w:p>
        </w:tc>
        <w:tc>
          <w:tcPr>
            <w:tcW w:w="102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rPr>
              <w:t>[*CTR]</w:t>
            </w:r>
          </w:p>
        </w:tc>
        <w:tc>
          <w:tcPr>
            <w:tcW w:w="360" w:type="dxa"/>
            <w:vAlign w:val="bottom"/>
            <w:tcBorders>
              <w:bottom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jc w:val="center"/>
              <w:ind w:right="267"/>
              <w:spacing w:after="0" w:line="142" w:lineRule="exact"/>
              <w:rPr>
                <w:sz w:val="20"/>
                <w:szCs w:val="20"/>
                <w:color w:val="auto"/>
              </w:rPr>
            </w:pPr>
            <w:r>
              <w:rPr>
                <w:rFonts w:ascii="Arial" w:cs="Arial" w:eastAsia="Arial" w:hAnsi="Arial"/>
                <w:sz w:val="14"/>
                <w:szCs w:val="14"/>
                <w:color w:val="auto"/>
              </w:rPr>
              <w:t>[*CTR]</w:t>
            </w:r>
          </w:p>
        </w:tc>
        <w:tc>
          <w:tcPr>
            <w:tcW w:w="0" w:type="dxa"/>
            <w:vAlign w:val="bottom"/>
          </w:tcPr>
          <w:p>
            <w:pPr>
              <w:spacing w:after="0"/>
              <w:rPr>
                <w:sz w:val="1"/>
                <w:szCs w:val="1"/>
                <w:color w:val="auto"/>
              </w:rPr>
            </w:pPr>
          </w:p>
        </w:tc>
      </w:tr>
      <w:tr>
        <w:trPr>
          <w:trHeight w:val="142"/>
        </w:trPr>
        <w:tc>
          <w:tcPr>
            <w:tcW w:w="1200" w:type="dxa"/>
            <w:vAlign w:val="bottom"/>
            <w:tcBorders>
              <w:left w:val="single" w:sz="8" w:color="auto"/>
              <w:bottom w:val="single" w:sz="8" w:color="auto"/>
              <w:right w:val="single" w:sz="8" w:color="auto"/>
            </w:tcBorders>
          </w:tcPr>
          <w:p>
            <w:pPr>
              <w:ind w:left="240"/>
              <w:spacing w:after="0" w:line="142" w:lineRule="exact"/>
              <w:rPr>
                <w:sz w:val="20"/>
                <w:szCs w:val="20"/>
                <w:color w:val="auto"/>
              </w:rPr>
            </w:pPr>
            <w:r>
              <w:rPr>
                <w:rFonts w:ascii="Arial" w:cs="Arial" w:eastAsia="Arial" w:hAnsi="Arial"/>
                <w:sz w:val="14"/>
                <w:szCs w:val="14"/>
                <w:color w:val="auto"/>
              </w:rPr>
              <w:t>[*CTR]-2018</w:t>
            </w:r>
          </w:p>
        </w:tc>
        <w:tc>
          <w:tcPr>
            <w:tcW w:w="1080" w:type="dxa"/>
            <w:vAlign w:val="bottom"/>
            <w:tcBorders>
              <w:bottom w:val="single" w:sz="8" w:color="auto"/>
              <w:right w:val="single" w:sz="8" w:color="auto"/>
            </w:tcBorders>
          </w:tcPr>
          <w:p>
            <w:pPr>
              <w:jc w:val="right"/>
              <w:ind w:right="387"/>
              <w:spacing w:after="0" w:line="142" w:lineRule="exact"/>
              <w:rPr>
                <w:sz w:val="20"/>
                <w:szCs w:val="20"/>
                <w:color w:val="auto"/>
              </w:rPr>
            </w:pPr>
            <w:r>
              <w:rPr>
                <w:rFonts w:ascii="Arial" w:cs="Arial" w:eastAsia="Arial" w:hAnsi="Arial"/>
                <w:sz w:val="14"/>
                <w:szCs w:val="14"/>
                <w:color w:val="auto"/>
              </w:rPr>
              <w:t>1</w:t>
            </w:r>
          </w:p>
        </w:tc>
        <w:tc>
          <w:tcPr>
            <w:tcW w:w="1080" w:type="dxa"/>
            <w:vAlign w:val="bottom"/>
            <w:tcBorders>
              <w:bottom w:val="single" w:sz="8" w:color="auto"/>
              <w:right w:val="single" w:sz="8" w:color="auto"/>
            </w:tcBorders>
          </w:tcPr>
          <w:p>
            <w:pPr>
              <w:ind w:left="360"/>
              <w:spacing w:after="0" w:line="142" w:lineRule="exact"/>
              <w:rPr>
                <w:sz w:val="20"/>
                <w:szCs w:val="20"/>
                <w:color w:val="auto"/>
              </w:rPr>
            </w:pPr>
            <w:r>
              <w:rPr>
                <w:rFonts w:ascii="Arial" w:cs="Arial" w:eastAsia="Arial" w:hAnsi="Arial"/>
                <w:sz w:val="14"/>
                <w:szCs w:val="14"/>
                <w:color w:val="auto"/>
              </w:rPr>
              <w:t>[*CTR]</w:t>
            </w:r>
          </w:p>
        </w:tc>
        <w:tc>
          <w:tcPr>
            <w:tcW w:w="1080" w:type="dxa"/>
            <w:vAlign w:val="bottom"/>
            <w:tcBorders>
              <w:bottom w:val="single" w:sz="8" w:color="auto"/>
              <w:right w:val="single" w:sz="8" w:color="auto"/>
            </w:tcBorders>
          </w:tcPr>
          <w:p>
            <w:pPr>
              <w:ind w:left="360"/>
              <w:spacing w:after="0" w:line="142" w:lineRule="exact"/>
              <w:rPr>
                <w:sz w:val="20"/>
                <w:szCs w:val="20"/>
                <w:color w:val="auto"/>
              </w:rPr>
            </w:pPr>
            <w:r>
              <w:rPr>
                <w:rFonts w:ascii="Arial" w:cs="Arial" w:eastAsia="Arial" w:hAnsi="Arial"/>
                <w:sz w:val="14"/>
                <w:szCs w:val="14"/>
                <w:color w:val="auto"/>
              </w:rPr>
              <w:t>[*CTR]</w:t>
            </w:r>
          </w:p>
        </w:tc>
        <w:tc>
          <w:tcPr>
            <w:tcW w:w="1160" w:type="dxa"/>
            <w:vAlign w:val="bottom"/>
            <w:tcBorders>
              <w:bottom w:val="single" w:sz="8" w:color="auto"/>
              <w:right w:val="single" w:sz="8" w:color="auto"/>
            </w:tcBorders>
            <w:shd w:val="clear" w:color="auto" w:fill="CCCCCC"/>
          </w:tcPr>
          <w:p>
            <w:pPr>
              <w:ind w:left="380"/>
              <w:spacing w:after="0" w:line="142" w:lineRule="exact"/>
              <w:rPr>
                <w:sz w:val="20"/>
                <w:szCs w:val="20"/>
                <w:color w:val="auto"/>
              </w:rPr>
            </w:pPr>
            <w:r>
              <w:rPr>
                <w:rFonts w:ascii="Arial" w:cs="Arial" w:eastAsia="Arial" w:hAnsi="Arial"/>
                <w:sz w:val="14"/>
                <w:szCs w:val="14"/>
                <w:b w:val="1"/>
                <w:bCs w:val="1"/>
                <w:color w:val="auto"/>
              </w:rPr>
              <w:t>[*CTR]</w:t>
            </w:r>
          </w:p>
        </w:tc>
        <w:tc>
          <w:tcPr>
            <w:tcW w:w="1480" w:type="dxa"/>
            <w:vAlign w:val="bottom"/>
            <w:tcBorders>
              <w:bottom w:val="single" w:sz="8" w:color="auto"/>
              <w:right w:val="single" w:sz="8" w:color="auto"/>
            </w:tcBorders>
          </w:tcPr>
          <w:p>
            <w:pPr>
              <w:ind w:left="540"/>
              <w:spacing w:after="0" w:line="142" w:lineRule="exact"/>
              <w:rPr>
                <w:sz w:val="20"/>
                <w:szCs w:val="20"/>
                <w:color w:val="auto"/>
              </w:rPr>
            </w:pPr>
            <w:r>
              <w:rPr>
                <w:rFonts w:ascii="Arial" w:cs="Arial" w:eastAsia="Arial" w:hAnsi="Arial"/>
                <w:sz w:val="14"/>
                <w:szCs w:val="14"/>
                <w:color w:val="auto"/>
              </w:rPr>
              <w:t>[*CTR]</w:t>
            </w:r>
          </w:p>
        </w:tc>
        <w:tc>
          <w:tcPr>
            <w:tcW w:w="860" w:type="dxa"/>
            <w:vAlign w:val="bottom"/>
            <w:tcBorders>
              <w:bottom w:val="single" w:sz="8" w:color="auto"/>
            </w:tcBorders>
          </w:tcPr>
          <w:p>
            <w:pPr>
              <w:jc w:val="center"/>
              <w:ind w:left="148"/>
              <w:spacing w:after="0" w:line="142" w:lineRule="exact"/>
              <w:rPr>
                <w:sz w:val="20"/>
                <w:szCs w:val="20"/>
                <w:color w:val="auto"/>
              </w:rPr>
            </w:pPr>
            <w:r>
              <w:rPr>
                <w:rFonts w:ascii="Arial" w:cs="Arial" w:eastAsia="Arial" w:hAnsi="Arial"/>
                <w:sz w:val="14"/>
                <w:szCs w:val="14"/>
                <w:color w:val="auto"/>
              </w:rPr>
              <w:t>[*CTR]</w:t>
            </w:r>
          </w:p>
        </w:tc>
        <w:tc>
          <w:tcPr>
            <w:tcW w:w="160" w:type="dxa"/>
            <w:vAlign w:val="bottom"/>
            <w:tcBorders>
              <w:bottom w:val="single" w:sz="8" w:color="auto"/>
              <w:right w:val="single" w:sz="8" w:color="auto"/>
            </w:tcBorders>
          </w:tcPr>
          <w:p>
            <w:pPr>
              <w:spacing w:after="0"/>
              <w:rPr>
                <w:sz w:val="12"/>
                <w:szCs w:val="12"/>
                <w:color w:val="auto"/>
              </w:rPr>
            </w:pPr>
          </w:p>
        </w:tc>
        <w:tc>
          <w:tcPr>
            <w:tcW w:w="10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rPr>
              <w:t>[*CTR]</w:t>
            </w:r>
          </w:p>
        </w:tc>
        <w:tc>
          <w:tcPr>
            <w:tcW w:w="102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rPr>
              <w:t>[*CTR]</w:t>
            </w:r>
          </w:p>
        </w:tc>
        <w:tc>
          <w:tcPr>
            <w:tcW w:w="360" w:type="dxa"/>
            <w:vAlign w:val="bottom"/>
            <w:tcBorders>
              <w:bottom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jc w:val="center"/>
              <w:ind w:right="267"/>
              <w:spacing w:after="0" w:line="142" w:lineRule="exact"/>
              <w:rPr>
                <w:sz w:val="20"/>
                <w:szCs w:val="20"/>
                <w:color w:val="auto"/>
              </w:rPr>
            </w:pPr>
            <w:r>
              <w:rPr>
                <w:rFonts w:ascii="Arial" w:cs="Arial" w:eastAsia="Arial" w:hAnsi="Arial"/>
                <w:sz w:val="14"/>
                <w:szCs w:val="14"/>
                <w:color w:val="auto"/>
              </w:rPr>
              <w:t>[*CTR]</w:t>
            </w:r>
          </w:p>
        </w:tc>
        <w:tc>
          <w:tcPr>
            <w:tcW w:w="0" w:type="dxa"/>
            <w:vAlign w:val="bottom"/>
          </w:tcPr>
          <w:p>
            <w:pPr>
              <w:spacing w:after="0"/>
              <w:rPr>
                <w:sz w:val="1"/>
                <w:szCs w:val="1"/>
                <w:color w:val="auto"/>
              </w:rPr>
            </w:pPr>
          </w:p>
        </w:tc>
      </w:tr>
      <w:tr>
        <w:trPr>
          <w:trHeight w:val="142"/>
        </w:trPr>
        <w:tc>
          <w:tcPr>
            <w:tcW w:w="1200" w:type="dxa"/>
            <w:vAlign w:val="bottom"/>
            <w:tcBorders>
              <w:left w:val="single" w:sz="8" w:color="auto"/>
              <w:bottom w:val="single" w:sz="8" w:color="auto"/>
              <w:right w:val="single" w:sz="8" w:color="auto"/>
            </w:tcBorders>
          </w:tcPr>
          <w:p>
            <w:pPr>
              <w:ind w:left="240"/>
              <w:spacing w:after="0" w:line="142" w:lineRule="exact"/>
              <w:rPr>
                <w:sz w:val="20"/>
                <w:szCs w:val="20"/>
                <w:color w:val="auto"/>
              </w:rPr>
            </w:pPr>
            <w:r>
              <w:rPr>
                <w:rFonts w:ascii="Arial" w:cs="Arial" w:eastAsia="Arial" w:hAnsi="Arial"/>
                <w:sz w:val="14"/>
                <w:szCs w:val="14"/>
                <w:color w:val="auto"/>
              </w:rPr>
              <w:t>[*CTR]-2018</w:t>
            </w:r>
          </w:p>
        </w:tc>
        <w:tc>
          <w:tcPr>
            <w:tcW w:w="1080" w:type="dxa"/>
            <w:vAlign w:val="bottom"/>
            <w:tcBorders>
              <w:bottom w:val="single" w:sz="8" w:color="auto"/>
              <w:right w:val="single" w:sz="8" w:color="auto"/>
            </w:tcBorders>
          </w:tcPr>
          <w:p>
            <w:pPr>
              <w:jc w:val="right"/>
              <w:ind w:right="387"/>
              <w:spacing w:after="0" w:line="142" w:lineRule="exact"/>
              <w:rPr>
                <w:sz w:val="20"/>
                <w:szCs w:val="20"/>
                <w:color w:val="auto"/>
              </w:rPr>
            </w:pPr>
            <w:r>
              <w:rPr>
                <w:rFonts w:ascii="Arial" w:cs="Arial" w:eastAsia="Arial" w:hAnsi="Arial"/>
                <w:sz w:val="14"/>
                <w:szCs w:val="14"/>
                <w:color w:val="auto"/>
              </w:rPr>
              <w:t>1</w:t>
            </w:r>
          </w:p>
        </w:tc>
        <w:tc>
          <w:tcPr>
            <w:tcW w:w="1080" w:type="dxa"/>
            <w:vAlign w:val="bottom"/>
            <w:tcBorders>
              <w:bottom w:val="single" w:sz="8" w:color="auto"/>
              <w:right w:val="single" w:sz="8" w:color="auto"/>
            </w:tcBorders>
          </w:tcPr>
          <w:p>
            <w:pPr>
              <w:ind w:left="360"/>
              <w:spacing w:after="0" w:line="142" w:lineRule="exact"/>
              <w:rPr>
                <w:sz w:val="20"/>
                <w:szCs w:val="20"/>
                <w:color w:val="auto"/>
              </w:rPr>
            </w:pPr>
            <w:r>
              <w:rPr>
                <w:rFonts w:ascii="Arial" w:cs="Arial" w:eastAsia="Arial" w:hAnsi="Arial"/>
                <w:sz w:val="14"/>
                <w:szCs w:val="14"/>
                <w:color w:val="auto"/>
              </w:rPr>
              <w:t>[*CTR]</w:t>
            </w:r>
          </w:p>
        </w:tc>
        <w:tc>
          <w:tcPr>
            <w:tcW w:w="1080" w:type="dxa"/>
            <w:vAlign w:val="bottom"/>
            <w:tcBorders>
              <w:bottom w:val="single" w:sz="8" w:color="auto"/>
              <w:right w:val="single" w:sz="8" w:color="auto"/>
            </w:tcBorders>
          </w:tcPr>
          <w:p>
            <w:pPr>
              <w:ind w:left="360"/>
              <w:spacing w:after="0" w:line="142" w:lineRule="exact"/>
              <w:rPr>
                <w:sz w:val="20"/>
                <w:szCs w:val="20"/>
                <w:color w:val="auto"/>
              </w:rPr>
            </w:pPr>
            <w:r>
              <w:rPr>
                <w:rFonts w:ascii="Arial" w:cs="Arial" w:eastAsia="Arial" w:hAnsi="Arial"/>
                <w:sz w:val="14"/>
                <w:szCs w:val="14"/>
                <w:color w:val="auto"/>
              </w:rPr>
              <w:t>[*CTR]</w:t>
            </w:r>
          </w:p>
        </w:tc>
        <w:tc>
          <w:tcPr>
            <w:tcW w:w="1160" w:type="dxa"/>
            <w:vAlign w:val="bottom"/>
            <w:tcBorders>
              <w:bottom w:val="single" w:sz="8" w:color="auto"/>
              <w:right w:val="single" w:sz="8" w:color="auto"/>
            </w:tcBorders>
            <w:shd w:val="clear" w:color="auto" w:fill="CCCCCC"/>
          </w:tcPr>
          <w:p>
            <w:pPr>
              <w:ind w:left="380"/>
              <w:spacing w:after="0" w:line="142" w:lineRule="exact"/>
              <w:rPr>
                <w:sz w:val="20"/>
                <w:szCs w:val="20"/>
                <w:color w:val="auto"/>
              </w:rPr>
            </w:pPr>
            <w:r>
              <w:rPr>
                <w:rFonts w:ascii="Arial" w:cs="Arial" w:eastAsia="Arial" w:hAnsi="Arial"/>
                <w:sz w:val="14"/>
                <w:szCs w:val="14"/>
                <w:b w:val="1"/>
                <w:bCs w:val="1"/>
                <w:color w:val="auto"/>
              </w:rPr>
              <w:t>[*CTR]</w:t>
            </w:r>
          </w:p>
        </w:tc>
        <w:tc>
          <w:tcPr>
            <w:tcW w:w="1480" w:type="dxa"/>
            <w:vAlign w:val="bottom"/>
            <w:tcBorders>
              <w:bottom w:val="single" w:sz="8" w:color="auto"/>
              <w:right w:val="single" w:sz="8" w:color="auto"/>
            </w:tcBorders>
          </w:tcPr>
          <w:p>
            <w:pPr>
              <w:ind w:left="540"/>
              <w:spacing w:after="0" w:line="142" w:lineRule="exact"/>
              <w:rPr>
                <w:sz w:val="20"/>
                <w:szCs w:val="20"/>
                <w:color w:val="auto"/>
              </w:rPr>
            </w:pPr>
            <w:r>
              <w:rPr>
                <w:rFonts w:ascii="Arial" w:cs="Arial" w:eastAsia="Arial" w:hAnsi="Arial"/>
                <w:sz w:val="14"/>
                <w:szCs w:val="14"/>
                <w:color w:val="auto"/>
              </w:rPr>
              <w:t>[*CTR]</w:t>
            </w:r>
          </w:p>
        </w:tc>
        <w:tc>
          <w:tcPr>
            <w:tcW w:w="860" w:type="dxa"/>
            <w:vAlign w:val="bottom"/>
            <w:tcBorders>
              <w:bottom w:val="single" w:sz="8" w:color="auto"/>
            </w:tcBorders>
          </w:tcPr>
          <w:p>
            <w:pPr>
              <w:jc w:val="center"/>
              <w:ind w:left="148"/>
              <w:spacing w:after="0" w:line="142" w:lineRule="exact"/>
              <w:rPr>
                <w:sz w:val="20"/>
                <w:szCs w:val="20"/>
                <w:color w:val="auto"/>
              </w:rPr>
            </w:pPr>
            <w:r>
              <w:rPr>
                <w:rFonts w:ascii="Arial" w:cs="Arial" w:eastAsia="Arial" w:hAnsi="Arial"/>
                <w:sz w:val="14"/>
                <w:szCs w:val="14"/>
                <w:color w:val="auto"/>
              </w:rPr>
              <w:t>[*CTR]</w:t>
            </w:r>
          </w:p>
        </w:tc>
        <w:tc>
          <w:tcPr>
            <w:tcW w:w="160" w:type="dxa"/>
            <w:vAlign w:val="bottom"/>
            <w:tcBorders>
              <w:bottom w:val="single" w:sz="8" w:color="auto"/>
              <w:right w:val="single" w:sz="8" w:color="auto"/>
            </w:tcBorders>
          </w:tcPr>
          <w:p>
            <w:pPr>
              <w:spacing w:after="0"/>
              <w:rPr>
                <w:sz w:val="12"/>
                <w:szCs w:val="12"/>
                <w:color w:val="auto"/>
              </w:rPr>
            </w:pPr>
          </w:p>
        </w:tc>
        <w:tc>
          <w:tcPr>
            <w:tcW w:w="10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rPr>
              <w:t>[*CTR]</w:t>
            </w:r>
          </w:p>
        </w:tc>
        <w:tc>
          <w:tcPr>
            <w:tcW w:w="102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rPr>
              <w:t>[*CTR]</w:t>
            </w:r>
          </w:p>
        </w:tc>
        <w:tc>
          <w:tcPr>
            <w:tcW w:w="360" w:type="dxa"/>
            <w:vAlign w:val="bottom"/>
            <w:tcBorders>
              <w:bottom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jc w:val="center"/>
              <w:ind w:right="267"/>
              <w:spacing w:after="0" w:line="142" w:lineRule="exact"/>
              <w:rPr>
                <w:sz w:val="20"/>
                <w:szCs w:val="20"/>
                <w:color w:val="auto"/>
              </w:rPr>
            </w:pPr>
            <w:r>
              <w:rPr>
                <w:rFonts w:ascii="Arial" w:cs="Arial" w:eastAsia="Arial" w:hAnsi="Arial"/>
                <w:sz w:val="14"/>
                <w:szCs w:val="14"/>
                <w:color w:val="auto"/>
              </w:rPr>
              <w:t>[*CTR]</w:t>
            </w:r>
          </w:p>
        </w:tc>
        <w:tc>
          <w:tcPr>
            <w:tcW w:w="0" w:type="dxa"/>
            <w:vAlign w:val="bottom"/>
          </w:tcPr>
          <w:p>
            <w:pPr>
              <w:spacing w:after="0"/>
              <w:rPr>
                <w:sz w:val="1"/>
                <w:szCs w:val="1"/>
                <w:color w:val="auto"/>
              </w:rPr>
            </w:pPr>
          </w:p>
        </w:tc>
      </w:tr>
      <w:tr>
        <w:trPr>
          <w:trHeight w:val="142"/>
        </w:trPr>
        <w:tc>
          <w:tcPr>
            <w:tcW w:w="1200" w:type="dxa"/>
            <w:vAlign w:val="bottom"/>
            <w:tcBorders>
              <w:left w:val="single" w:sz="8" w:color="auto"/>
              <w:bottom w:val="single" w:sz="8" w:color="auto"/>
              <w:right w:val="single" w:sz="8" w:color="auto"/>
            </w:tcBorders>
          </w:tcPr>
          <w:p>
            <w:pPr>
              <w:ind w:left="240"/>
              <w:spacing w:after="0" w:line="142" w:lineRule="exact"/>
              <w:rPr>
                <w:sz w:val="20"/>
                <w:szCs w:val="20"/>
                <w:color w:val="auto"/>
              </w:rPr>
            </w:pPr>
            <w:r>
              <w:rPr>
                <w:rFonts w:ascii="Arial" w:cs="Arial" w:eastAsia="Arial" w:hAnsi="Arial"/>
                <w:sz w:val="14"/>
                <w:szCs w:val="14"/>
                <w:color w:val="auto"/>
              </w:rPr>
              <w:t>[*CTR]-2018</w:t>
            </w:r>
          </w:p>
        </w:tc>
        <w:tc>
          <w:tcPr>
            <w:tcW w:w="1080" w:type="dxa"/>
            <w:vAlign w:val="bottom"/>
            <w:tcBorders>
              <w:bottom w:val="single" w:sz="8" w:color="auto"/>
              <w:right w:val="single" w:sz="8" w:color="auto"/>
            </w:tcBorders>
          </w:tcPr>
          <w:p>
            <w:pPr>
              <w:jc w:val="right"/>
              <w:ind w:right="387"/>
              <w:spacing w:after="0" w:line="142" w:lineRule="exact"/>
              <w:rPr>
                <w:sz w:val="20"/>
                <w:szCs w:val="20"/>
                <w:color w:val="auto"/>
              </w:rPr>
            </w:pPr>
            <w:r>
              <w:rPr>
                <w:rFonts w:ascii="Arial" w:cs="Arial" w:eastAsia="Arial" w:hAnsi="Arial"/>
                <w:sz w:val="14"/>
                <w:szCs w:val="14"/>
                <w:color w:val="auto"/>
              </w:rPr>
              <w:t>1</w:t>
            </w:r>
          </w:p>
        </w:tc>
        <w:tc>
          <w:tcPr>
            <w:tcW w:w="1080" w:type="dxa"/>
            <w:vAlign w:val="bottom"/>
            <w:tcBorders>
              <w:bottom w:val="single" w:sz="8" w:color="auto"/>
              <w:right w:val="single" w:sz="8" w:color="auto"/>
            </w:tcBorders>
          </w:tcPr>
          <w:p>
            <w:pPr>
              <w:ind w:left="360"/>
              <w:spacing w:after="0" w:line="142" w:lineRule="exact"/>
              <w:rPr>
                <w:sz w:val="20"/>
                <w:szCs w:val="20"/>
                <w:color w:val="auto"/>
              </w:rPr>
            </w:pPr>
            <w:r>
              <w:rPr>
                <w:rFonts w:ascii="Arial" w:cs="Arial" w:eastAsia="Arial" w:hAnsi="Arial"/>
                <w:sz w:val="14"/>
                <w:szCs w:val="14"/>
                <w:color w:val="auto"/>
              </w:rPr>
              <w:t>[*CTR]</w:t>
            </w:r>
          </w:p>
        </w:tc>
        <w:tc>
          <w:tcPr>
            <w:tcW w:w="1080" w:type="dxa"/>
            <w:vAlign w:val="bottom"/>
            <w:tcBorders>
              <w:bottom w:val="single" w:sz="8" w:color="auto"/>
              <w:right w:val="single" w:sz="8" w:color="auto"/>
            </w:tcBorders>
          </w:tcPr>
          <w:p>
            <w:pPr>
              <w:ind w:left="360"/>
              <w:spacing w:after="0" w:line="142" w:lineRule="exact"/>
              <w:rPr>
                <w:sz w:val="20"/>
                <w:szCs w:val="20"/>
                <w:color w:val="auto"/>
              </w:rPr>
            </w:pPr>
            <w:r>
              <w:rPr>
                <w:rFonts w:ascii="Arial" w:cs="Arial" w:eastAsia="Arial" w:hAnsi="Arial"/>
                <w:sz w:val="14"/>
                <w:szCs w:val="14"/>
                <w:color w:val="auto"/>
              </w:rPr>
              <w:t>[*CTR]</w:t>
            </w:r>
          </w:p>
        </w:tc>
        <w:tc>
          <w:tcPr>
            <w:tcW w:w="1160" w:type="dxa"/>
            <w:vAlign w:val="bottom"/>
            <w:tcBorders>
              <w:bottom w:val="single" w:sz="8" w:color="auto"/>
              <w:right w:val="single" w:sz="8" w:color="auto"/>
            </w:tcBorders>
            <w:shd w:val="clear" w:color="auto" w:fill="CCCCCC"/>
          </w:tcPr>
          <w:p>
            <w:pPr>
              <w:ind w:left="380"/>
              <w:spacing w:after="0" w:line="142" w:lineRule="exact"/>
              <w:rPr>
                <w:sz w:val="20"/>
                <w:szCs w:val="20"/>
                <w:color w:val="auto"/>
              </w:rPr>
            </w:pPr>
            <w:r>
              <w:rPr>
                <w:rFonts w:ascii="Arial" w:cs="Arial" w:eastAsia="Arial" w:hAnsi="Arial"/>
                <w:sz w:val="14"/>
                <w:szCs w:val="14"/>
                <w:b w:val="1"/>
                <w:bCs w:val="1"/>
                <w:color w:val="auto"/>
              </w:rPr>
              <w:t>[*CTR]</w:t>
            </w:r>
          </w:p>
        </w:tc>
        <w:tc>
          <w:tcPr>
            <w:tcW w:w="1480" w:type="dxa"/>
            <w:vAlign w:val="bottom"/>
            <w:tcBorders>
              <w:bottom w:val="single" w:sz="8" w:color="auto"/>
              <w:right w:val="single" w:sz="8" w:color="auto"/>
            </w:tcBorders>
          </w:tcPr>
          <w:p>
            <w:pPr>
              <w:ind w:left="540"/>
              <w:spacing w:after="0" w:line="142" w:lineRule="exact"/>
              <w:rPr>
                <w:sz w:val="20"/>
                <w:szCs w:val="20"/>
                <w:color w:val="auto"/>
              </w:rPr>
            </w:pPr>
            <w:r>
              <w:rPr>
                <w:rFonts w:ascii="Arial" w:cs="Arial" w:eastAsia="Arial" w:hAnsi="Arial"/>
                <w:sz w:val="14"/>
                <w:szCs w:val="14"/>
                <w:color w:val="auto"/>
              </w:rPr>
              <w:t>[*CTR]</w:t>
            </w:r>
          </w:p>
        </w:tc>
        <w:tc>
          <w:tcPr>
            <w:tcW w:w="860" w:type="dxa"/>
            <w:vAlign w:val="bottom"/>
            <w:tcBorders>
              <w:bottom w:val="single" w:sz="8" w:color="auto"/>
            </w:tcBorders>
          </w:tcPr>
          <w:p>
            <w:pPr>
              <w:jc w:val="center"/>
              <w:ind w:left="148"/>
              <w:spacing w:after="0" w:line="142" w:lineRule="exact"/>
              <w:rPr>
                <w:sz w:val="20"/>
                <w:szCs w:val="20"/>
                <w:color w:val="auto"/>
              </w:rPr>
            </w:pPr>
            <w:r>
              <w:rPr>
                <w:rFonts w:ascii="Arial" w:cs="Arial" w:eastAsia="Arial" w:hAnsi="Arial"/>
                <w:sz w:val="14"/>
                <w:szCs w:val="14"/>
                <w:color w:val="auto"/>
              </w:rPr>
              <w:t>[*CTR]</w:t>
            </w:r>
          </w:p>
        </w:tc>
        <w:tc>
          <w:tcPr>
            <w:tcW w:w="160" w:type="dxa"/>
            <w:vAlign w:val="bottom"/>
            <w:tcBorders>
              <w:bottom w:val="single" w:sz="8" w:color="auto"/>
              <w:right w:val="single" w:sz="8" w:color="auto"/>
            </w:tcBorders>
          </w:tcPr>
          <w:p>
            <w:pPr>
              <w:spacing w:after="0"/>
              <w:rPr>
                <w:sz w:val="12"/>
                <w:szCs w:val="12"/>
                <w:color w:val="auto"/>
              </w:rPr>
            </w:pPr>
          </w:p>
        </w:tc>
        <w:tc>
          <w:tcPr>
            <w:tcW w:w="10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rPr>
              <w:t>[*CTR]</w:t>
            </w:r>
          </w:p>
        </w:tc>
        <w:tc>
          <w:tcPr>
            <w:tcW w:w="102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rPr>
              <w:t>[*CTR]</w:t>
            </w:r>
          </w:p>
        </w:tc>
        <w:tc>
          <w:tcPr>
            <w:tcW w:w="360" w:type="dxa"/>
            <w:vAlign w:val="bottom"/>
            <w:tcBorders>
              <w:bottom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jc w:val="center"/>
              <w:ind w:right="267"/>
              <w:spacing w:after="0" w:line="142" w:lineRule="exact"/>
              <w:rPr>
                <w:sz w:val="20"/>
                <w:szCs w:val="20"/>
                <w:color w:val="auto"/>
              </w:rPr>
            </w:pPr>
            <w:r>
              <w:rPr>
                <w:rFonts w:ascii="Arial" w:cs="Arial" w:eastAsia="Arial" w:hAnsi="Arial"/>
                <w:sz w:val="14"/>
                <w:szCs w:val="14"/>
                <w:color w:val="auto"/>
              </w:rPr>
              <w:t>[*CTR]</w:t>
            </w:r>
          </w:p>
        </w:tc>
        <w:tc>
          <w:tcPr>
            <w:tcW w:w="0" w:type="dxa"/>
            <w:vAlign w:val="bottom"/>
          </w:tcPr>
          <w:p>
            <w:pPr>
              <w:spacing w:after="0"/>
              <w:rPr>
                <w:sz w:val="1"/>
                <w:szCs w:val="1"/>
                <w:color w:val="auto"/>
              </w:rPr>
            </w:pPr>
          </w:p>
        </w:tc>
      </w:tr>
      <w:tr>
        <w:trPr>
          <w:trHeight w:val="142"/>
        </w:trPr>
        <w:tc>
          <w:tcPr>
            <w:tcW w:w="1200" w:type="dxa"/>
            <w:vAlign w:val="bottom"/>
            <w:tcBorders>
              <w:left w:val="single" w:sz="8" w:color="auto"/>
              <w:bottom w:val="single" w:sz="8" w:color="auto"/>
              <w:right w:val="single" w:sz="8" w:color="auto"/>
            </w:tcBorders>
          </w:tcPr>
          <w:p>
            <w:pPr>
              <w:ind w:left="240"/>
              <w:spacing w:after="0" w:line="142" w:lineRule="exact"/>
              <w:rPr>
                <w:sz w:val="20"/>
                <w:szCs w:val="20"/>
                <w:color w:val="auto"/>
              </w:rPr>
            </w:pPr>
            <w:r>
              <w:rPr>
                <w:rFonts w:ascii="Arial" w:cs="Arial" w:eastAsia="Arial" w:hAnsi="Arial"/>
                <w:sz w:val="14"/>
                <w:szCs w:val="14"/>
                <w:color w:val="auto"/>
              </w:rPr>
              <w:t>[*CTR]-2018</w:t>
            </w:r>
          </w:p>
        </w:tc>
        <w:tc>
          <w:tcPr>
            <w:tcW w:w="1080" w:type="dxa"/>
            <w:vAlign w:val="bottom"/>
            <w:tcBorders>
              <w:bottom w:val="single" w:sz="8" w:color="auto"/>
              <w:right w:val="single" w:sz="8" w:color="auto"/>
            </w:tcBorders>
          </w:tcPr>
          <w:p>
            <w:pPr>
              <w:jc w:val="right"/>
              <w:ind w:right="387"/>
              <w:spacing w:after="0" w:line="142" w:lineRule="exact"/>
              <w:rPr>
                <w:sz w:val="20"/>
                <w:szCs w:val="20"/>
                <w:color w:val="auto"/>
              </w:rPr>
            </w:pPr>
            <w:r>
              <w:rPr>
                <w:rFonts w:ascii="Arial" w:cs="Arial" w:eastAsia="Arial" w:hAnsi="Arial"/>
                <w:sz w:val="14"/>
                <w:szCs w:val="14"/>
                <w:color w:val="auto"/>
              </w:rPr>
              <w:t>1</w:t>
            </w:r>
          </w:p>
        </w:tc>
        <w:tc>
          <w:tcPr>
            <w:tcW w:w="1080" w:type="dxa"/>
            <w:vAlign w:val="bottom"/>
            <w:tcBorders>
              <w:bottom w:val="single" w:sz="8" w:color="auto"/>
              <w:right w:val="single" w:sz="8" w:color="auto"/>
            </w:tcBorders>
          </w:tcPr>
          <w:p>
            <w:pPr>
              <w:ind w:left="360"/>
              <w:spacing w:after="0" w:line="142" w:lineRule="exact"/>
              <w:rPr>
                <w:sz w:val="20"/>
                <w:szCs w:val="20"/>
                <w:color w:val="auto"/>
              </w:rPr>
            </w:pPr>
            <w:r>
              <w:rPr>
                <w:rFonts w:ascii="Arial" w:cs="Arial" w:eastAsia="Arial" w:hAnsi="Arial"/>
                <w:sz w:val="14"/>
                <w:szCs w:val="14"/>
                <w:color w:val="auto"/>
              </w:rPr>
              <w:t>[*CTR]</w:t>
            </w:r>
          </w:p>
        </w:tc>
        <w:tc>
          <w:tcPr>
            <w:tcW w:w="1080" w:type="dxa"/>
            <w:vAlign w:val="bottom"/>
            <w:tcBorders>
              <w:bottom w:val="single" w:sz="8" w:color="auto"/>
              <w:right w:val="single" w:sz="8" w:color="auto"/>
            </w:tcBorders>
          </w:tcPr>
          <w:p>
            <w:pPr>
              <w:ind w:left="360"/>
              <w:spacing w:after="0" w:line="142" w:lineRule="exact"/>
              <w:rPr>
                <w:sz w:val="20"/>
                <w:szCs w:val="20"/>
                <w:color w:val="auto"/>
              </w:rPr>
            </w:pPr>
            <w:r>
              <w:rPr>
                <w:rFonts w:ascii="Arial" w:cs="Arial" w:eastAsia="Arial" w:hAnsi="Arial"/>
                <w:sz w:val="14"/>
                <w:szCs w:val="14"/>
                <w:color w:val="auto"/>
              </w:rPr>
              <w:t>[*CTR]</w:t>
            </w:r>
          </w:p>
        </w:tc>
        <w:tc>
          <w:tcPr>
            <w:tcW w:w="1160" w:type="dxa"/>
            <w:vAlign w:val="bottom"/>
            <w:tcBorders>
              <w:bottom w:val="single" w:sz="8" w:color="auto"/>
              <w:right w:val="single" w:sz="8" w:color="auto"/>
            </w:tcBorders>
            <w:shd w:val="clear" w:color="auto" w:fill="CCCCCC"/>
          </w:tcPr>
          <w:p>
            <w:pPr>
              <w:ind w:left="380"/>
              <w:spacing w:after="0" w:line="142" w:lineRule="exact"/>
              <w:rPr>
                <w:sz w:val="20"/>
                <w:szCs w:val="20"/>
                <w:color w:val="auto"/>
              </w:rPr>
            </w:pPr>
            <w:r>
              <w:rPr>
                <w:rFonts w:ascii="Arial" w:cs="Arial" w:eastAsia="Arial" w:hAnsi="Arial"/>
                <w:sz w:val="14"/>
                <w:szCs w:val="14"/>
                <w:b w:val="1"/>
                <w:bCs w:val="1"/>
                <w:color w:val="auto"/>
              </w:rPr>
              <w:t>[*CTR]</w:t>
            </w:r>
          </w:p>
        </w:tc>
        <w:tc>
          <w:tcPr>
            <w:tcW w:w="1480" w:type="dxa"/>
            <w:vAlign w:val="bottom"/>
            <w:tcBorders>
              <w:bottom w:val="single" w:sz="8" w:color="auto"/>
              <w:right w:val="single" w:sz="8" w:color="auto"/>
            </w:tcBorders>
          </w:tcPr>
          <w:p>
            <w:pPr>
              <w:ind w:left="540"/>
              <w:spacing w:after="0" w:line="142" w:lineRule="exact"/>
              <w:rPr>
                <w:sz w:val="20"/>
                <w:szCs w:val="20"/>
                <w:color w:val="auto"/>
              </w:rPr>
            </w:pPr>
            <w:r>
              <w:rPr>
                <w:rFonts w:ascii="Arial" w:cs="Arial" w:eastAsia="Arial" w:hAnsi="Arial"/>
                <w:sz w:val="14"/>
                <w:szCs w:val="14"/>
                <w:color w:val="auto"/>
              </w:rPr>
              <w:t>[*CTR]</w:t>
            </w:r>
          </w:p>
        </w:tc>
        <w:tc>
          <w:tcPr>
            <w:tcW w:w="860" w:type="dxa"/>
            <w:vAlign w:val="bottom"/>
            <w:tcBorders>
              <w:bottom w:val="single" w:sz="8" w:color="auto"/>
            </w:tcBorders>
          </w:tcPr>
          <w:p>
            <w:pPr>
              <w:jc w:val="center"/>
              <w:ind w:left="148"/>
              <w:spacing w:after="0" w:line="142" w:lineRule="exact"/>
              <w:rPr>
                <w:sz w:val="20"/>
                <w:szCs w:val="20"/>
                <w:color w:val="auto"/>
              </w:rPr>
            </w:pPr>
            <w:r>
              <w:rPr>
                <w:rFonts w:ascii="Arial" w:cs="Arial" w:eastAsia="Arial" w:hAnsi="Arial"/>
                <w:sz w:val="14"/>
                <w:szCs w:val="14"/>
                <w:color w:val="auto"/>
              </w:rPr>
              <w:t>[*CTR]</w:t>
            </w:r>
          </w:p>
        </w:tc>
        <w:tc>
          <w:tcPr>
            <w:tcW w:w="160" w:type="dxa"/>
            <w:vAlign w:val="bottom"/>
            <w:tcBorders>
              <w:bottom w:val="single" w:sz="8" w:color="auto"/>
              <w:right w:val="single" w:sz="8" w:color="auto"/>
            </w:tcBorders>
          </w:tcPr>
          <w:p>
            <w:pPr>
              <w:spacing w:after="0"/>
              <w:rPr>
                <w:sz w:val="12"/>
                <w:szCs w:val="12"/>
                <w:color w:val="auto"/>
              </w:rPr>
            </w:pPr>
          </w:p>
        </w:tc>
        <w:tc>
          <w:tcPr>
            <w:tcW w:w="10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rPr>
              <w:t>[*CTR]</w:t>
            </w:r>
          </w:p>
        </w:tc>
        <w:tc>
          <w:tcPr>
            <w:tcW w:w="102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rPr>
              <w:t>[*CTR]</w:t>
            </w:r>
          </w:p>
        </w:tc>
        <w:tc>
          <w:tcPr>
            <w:tcW w:w="360" w:type="dxa"/>
            <w:vAlign w:val="bottom"/>
            <w:tcBorders>
              <w:bottom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jc w:val="center"/>
              <w:ind w:right="267"/>
              <w:spacing w:after="0" w:line="142" w:lineRule="exact"/>
              <w:rPr>
                <w:sz w:val="20"/>
                <w:szCs w:val="20"/>
                <w:color w:val="auto"/>
              </w:rPr>
            </w:pPr>
            <w:r>
              <w:rPr>
                <w:rFonts w:ascii="Arial" w:cs="Arial" w:eastAsia="Arial" w:hAnsi="Arial"/>
                <w:sz w:val="14"/>
                <w:szCs w:val="14"/>
                <w:color w:val="auto"/>
              </w:rPr>
              <w:t>[*CTR]</w:t>
            </w:r>
          </w:p>
        </w:tc>
        <w:tc>
          <w:tcPr>
            <w:tcW w:w="0" w:type="dxa"/>
            <w:vAlign w:val="bottom"/>
          </w:tcPr>
          <w:p>
            <w:pPr>
              <w:spacing w:after="0"/>
              <w:rPr>
                <w:sz w:val="1"/>
                <w:szCs w:val="1"/>
                <w:color w:val="auto"/>
              </w:rPr>
            </w:pPr>
          </w:p>
        </w:tc>
      </w:tr>
      <w:tr>
        <w:trPr>
          <w:trHeight w:val="142"/>
        </w:trPr>
        <w:tc>
          <w:tcPr>
            <w:tcW w:w="1200" w:type="dxa"/>
            <w:vAlign w:val="bottom"/>
            <w:tcBorders>
              <w:left w:val="single" w:sz="8" w:color="auto"/>
              <w:bottom w:val="single" w:sz="8" w:color="auto"/>
              <w:right w:val="single" w:sz="8" w:color="auto"/>
            </w:tcBorders>
          </w:tcPr>
          <w:p>
            <w:pPr>
              <w:ind w:left="240"/>
              <w:spacing w:after="0" w:line="142" w:lineRule="exact"/>
              <w:rPr>
                <w:sz w:val="20"/>
                <w:szCs w:val="20"/>
                <w:color w:val="auto"/>
              </w:rPr>
            </w:pPr>
            <w:r>
              <w:rPr>
                <w:rFonts w:ascii="Arial" w:cs="Arial" w:eastAsia="Arial" w:hAnsi="Arial"/>
                <w:sz w:val="14"/>
                <w:szCs w:val="14"/>
                <w:color w:val="auto"/>
              </w:rPr>
              <w:t>[*CTR]-2018</w:t>
            </w:r>
          </w:p>
        </w:tc>
        <w:tc>
          <w:tcPr>
            <w:tcW w:w="1080" w:type="dxa"/>
            <w:vAlign w:val="bottom"/>
            <w:tcBorders>
              <w:bottom w:val="single" w:sz="8" w:color="auto"/>
              <w:right w:val="single" w:sz="8" w:color="auto"/>
            </w:tcBorders>
          </w:tcPr>
          <w:p>
            <w:pPr>
              <w:jc w:val="right"/>
              <w:ind w:right="387"/>
              <w:spacing w:after="0" w:line="142" w:lineRule="exact"/>
              <w:rPr>
                <w:sz w:val="20"/>
                <w:szCs w:val="20"/>
                <w:color w:val="auto"/>
              </w:rPr>
            </w:pPr>
            <w:r>
              <w:rPr>
                <w:rFonts w:ascii="Arial" w:cs="Arial" w:eastAsia="Arial" w:hAnsi="Arial"/>
                <w:sz w:val="14"/>
                <w:szCs w:val="14"/>
                <w:color w:val="auto"/>
              </w:rPr>
              <w:t>1</w:t>
            </w:r>
          </w:p>
        </w:tc>
        <w:tc>
          <w:tcPr>
            <w:tcW w:w="1080" w:type="dxa"/>
            <w:vAlign w:val="bottom"/>
            <w:tcBorders>
              <w:bottom w:val="single" w:sz="8" w:color="auto"/>
              <w:right w:val="single" w:sz="8" w:color="auto"/>
            </w:tcBorders>
          </w:tcPr>
          <w:p>
            <w:pPr>
              <w:ind w:left="360"/>
              <w:spacing w:after="0" w:line="142" w:lineRule="exact"/>
              <w:rPr>
                <w:sz w:val="20"/>
                <w:szCs w:val="20"/>
                <w:color w:val="auto"/>
              </w:rPr>
            </w:pPr>
            <w:r>
              <w:rPr>
                <w:rFonts w:ascii="Arial" w:cs="Arial" w:eastAsia="Arial" w:hAnsi="Arial"/>
                <w:sz w:val="14"/>
                <w:szCs w:val="14"/>
                <w:color w:val="auto"/>
              </w:rPr>
              <w:t>[*CTR]</w:t>
            </w:r>
          </w:p>
        </w:tc>
        <w:tc>
          <w:tcPr>
            <w:tcW w:w="1080" w:type="dxa"/>
            <w:vAlign w:val="bottom"/>
            <w:tcBorders>
              <w:bottom w:val="single" w:sz="8" w:color="auto"/>
              <w:right w:val="single" w:sz="8" w:color="auto"/>
            </w:tcBorders>
          </w:tcPr>
          <w:p>
            <w:pPr>
              <w:ind w:left="360"/>
              <w:spacing w:after="0" w:line="142" w:lineRule="exact"/>
              <w:rPr>
                <w:sz w:val="20"/>
                <w:szCs w:val="20"/>
                <w:color w:val="auto"/>
              </w:rPr>
            </w:pPr>
            <w:r>
              <w:rPr>
                <w:rFonts w:ascii="Arial" w:cs="Arial" w:eastAsia="Arial" w:hAnsi="Arial"/>
                <w:sz w:val="14"/>
                <w:szCs w:val="14"/>
                <w:color w:val="auto"/>
              </w:rPr>
              <w:t>[*CTR]</w:t>
            </w:r>
          </w:p>
        </w:tc>
        <w:tc>
          <w:tcPr>
            <w:tcW w:w="1160" w:type="dxa"/>
            <w:vAlign w:val="bottom"/>
            <w:tcBorders>
              <w:bottom w:val="single" w:sz="8" w:color="auto"/>
              <w:right w:val="single" w:sz="8" w:color="auto"/>
            </w:tcBorders>
            <w:shd w:val="clear" w:color="auto" w:fill="CCCCCC"/>
          </w:tcPr>
          <w:p>
            <w:pPr>
              <w:ind w:left="380"/>
              <w:spacing w:after="0" w:line="142" w:lineRule="exact"/>
              <w:rPr>
                <w:sz w:val="20"/>
                <w:szCs w:val="20"/>
                <w:color w:val="auto"/>
              </w:rPr>
            </w:pPr>
            <w:r>
              <w:rPr>
                <w:rFonts w:ascii="Arial" w:cs="Arial" w:eastAsia="Arial" w:hAnsi="Arial"/>
                <w:sz w:val="14"/>
                <w:szCs w:val="14"/>
                <w:b w:val="1"/>
                <w:bCs w:val="1"/>
                <w:color w:val="auto"/>
              </w:rPr>
              <w:t>[*CTR]</w:t>
            </w:r>
          </w:p>
        </w:tc>
        <w:tc>
          <w:tcPr>
            <w:tcW w:w="1480" w:type="dxa"/>
            <w:vAlign w:val="bottom"/>
            <w:tcBorders>
              <w:bottom w:val="single" w:sz="8" w:color="auto"/>
              <w:right w:val="single" w:sz="8" w:color="auto"/>
            </w:tcBorders>
          </w:tcPr>
          <w:p>
            <w:pPr>
              <w:ind w:left="540"/>
              <w:spacing w:after="0" w:line="142" w:lineRule="exact"/>
              <w:rPr>
                <w:sz w:val="20"/>
                <w:szCs w:val="20"/>
                <w:color w:val="auto"/>
              </w:rPr>
            </w:pPr>
            <w:r>
              <w:rPr>
                <w:rFonts w:ascii="Arial" w:cs="Arial" w:eastAsia="Arial" w:hAnsi="Arial"/>
                <w:sz w:val="14"/>
                <w:szCs w:val="14"/>
                <w:color w:val="auto"/>
              </w:rPr>
              <w:t>[*CTR]</w:t>
            </w:r>
          </w:p>
        </w:tc>
        <w:tc>
          <w:tcPr>
            <w:tcW w:w="860" w:type="dxa"/>
            <w:vAlign w:val="bottom"/>
            <w:tcBorders>
              <w:bottom w:val="single" w:sz="8" w:color="auto"/>
            </w:tcBorders>
          </w:tcPr>
          <w:p>
            <w:pPr>
              <w:jc w:val="center"/>
              <w:ind w:left="148"/>
              <w:spacing w:after="0" w:line="142" w:lineRule="exact"/>
              <w:rPr>
                <w:sz w:val="20"/>
                <w:szCs w:val="20"/>
                <w:color w:val="auto"/>
              </w:rPr>
            </w:pPr>
            <w:r>
              <w:rPr>
                <w:rFonts w:ascii="Arial" w:cs="Arial" w:eastAsia="Arial" w:hAnsi="Arial"/>
                <w:sz w:val="14"/>
                <w:szCs w:val="14"/>
                <w:color w:val="auto"/>
              </w:rPr>
              <w:t>[*CTR]</w:t>
            </w:r>
          </w:p>
        </w:tc>
        <w:tc>
          <w:tcPr>
            <w:tcW w:w="160" w:type="dxa"/>
            <w:vAlign w:val="bottom"/>
            <w:tcBorders>
              <w:bottom w:val="single" w:sz="8" w:color="auto"/>
              <w:right w:val="single" w:sz="8" w:color="auto"/>
            </w:tcBorders>
          </w:tcPr>
          <w:p>
            <w:pPr>
              <w:spacing w:after="0"/>
              <w:rPr>
                <w:sz w:val="12"/>
                <w:szCs w:val="12"/>
                <w:color w:val="auto"/>
              </w:rPr>
            </w:pPr>
          </w:p>
        </w:tc>
        <w:tc>
          <w:tcPr>
            <w:tcW w:w="10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rPr>
              <w:t>[*CTR]</w:t>
            </w:r>
          </w:p>
        </w:tc>
        <w:tc>
          <w:tcPr>
            <w:tcW w:w="102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rPr>
              <w:t>[*CTR]</w:t>
            </w:r>
          </w:p>
        </w:tc>
        <w:tc>
          <w:tcPr>
            <w:tcW w:w="360" w:type="dxa"/>
            <w:vAlign w:val="bottom"/>
            <w:tcBorders>
              <w:bottom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jc w:val="center"/>
              <w:ind w:right="267"/>
              <w:spacing w:after="0" w:line="142" w:lineRule="exact"/>
              <w:rPr>
                <w:sz w:val="20"/>
                <w:szCs w:val="20"/>
                <w:color w:val="auto"/>
              </w:rPr>
            </w:pPr>
            <w:r>
              <w:rPr>
                <w:rFonts w:ascii="Arial" w:cs="Arial" w:eastAsia="Arial" w:hAnsi="Arial"/>
                <w:sz w:val="14"/>
                <w:szCs w:val="14"/>
                <w:color w:val="auto"/>
              </w:rPr>
              <w:t>[*CTR]</w:t>
            </w:r>
          </w:p>
        </w:tc>
        <w:tc>
          <w:tcPr>
            <w:tcW w:w="0" w:type="dxa"/>
            <w:vAlign w:val="bottom"/>
          </w:tcPr>
          <w:p>
            <w:pPr>
              <w:spacing w:after="0"/>
              <w:rPr>
                <w:sz w:val="1"/>
                <w:szCs w:val="1"/>
                <w:color w:val="auto"/>
              </w:rPr>
            </w:pPr>
          </w:p>
        </w:tc>
      </w:tr>
      <w:tr>
        <w:trPr>
          <w:trHeight w:val="142"/>
        </w:trPr>
        <w:tc>
          <w:tcPr>
            <w:tcW w:w="1200" w:type="dxa"/>
            <w:vAlign w:val="bottom"/>
            <w:tcBorders>
              <w:left w:val="single" w:sz="8" w:color="auto"/>
              <w:bottom w:val="single" w:sz="8" w:color="auto"/>
              <w:right w:val="single" w:sz="8" w:color="auto"/>
            </w:tcBorders>
          </w:tcPr>
          <w:p>
            <w:pPr>
              <w:ind w:left="240"/>
              <w:spacing w:after="0" w:line="142" w:lineRule="exact"/>
              <w:rPr>
                <w:sz w:val="20"/>
                <w:szCs w:val="20"/>
                <w:color w:val="auto"/>
              </w:rPr>
            </w:pPr>
            <w:r>
              <w:rPr>
                <w:rFonts w:ascii="Arial" w:cs="Arial" w:eastAsia="Arial" w:hAnsi="Arial"/>
                <w:sz w:val="14"/>
                <w:szCs w:val="14"/>
                <w:color w:val="auto"/>
              </w:rPr>
              <w:t>[*CTR]-2018</w:t>
            </w:r>
          </w:p>
        </w:tc>
        <w:tc>
          <w:tcPr>
            <w:tcW w:w="1080" w:type="dxa"/>
            <w:vAlign w:val="bottom"/>
            <w:tcBorders>
              <w:bottom w:val="single" w:sz="8" w:color="auto"/>
              <w:right w:val="single" w:sz="8" w:color="auto"/>
            </w:tcBorders>
          </w:tcPr>
          <w:p>
            <w:pPr>
              <w:jc w:val="right"/>
              <w:ind w:right="387"/>
              <w:spacing w:after="0" w:line="142" w:lineRule="exact"/>
              <w:rPr>
                <w:sz w:val="20"/>
                <w:szCs w:val="20"/>
                <w:color w:val="auto"/>
              </w:rPr>
            </w:pPr>
            <w:r>
              <w:rPr>
                <w:rFonts w:ascii="Arial" w:cs="Arial" w:eastAsia="Arial" w:hAnsi="Arial"/>
                <w:sz w:val="14"/>
                <w:szCs w:val="14"/>
                <w:color w:val="auto"/>
              </w:rPr>
              <w:t>1</w:t>
            </w:r>
          </w:p>
        </w:tc>
        <w:tc>
          <w:tcPr>
            <w:tcW w:w="1080" w:type="dxa"/>
            <w:vAlign w:val="bottom"/>
            <w:tcBorders>
              <w:bottom w:val="single" w:sz="8" w:color="auto"/>
              <w:right w:val="single" w:sz="8" w:color="auto"/>
            </w:tcBorders>
          </w:tcPr>
          <w:p>
            <w:pPr>
              <w:ind w:left="360"/>
              <w:spacing w:after="0" w:line="142" w:lineRule="exact"/>
              <w:rPr>
                <w:sz w:val="20"/>
                <w:szCs w:val="20"/>
                <w:color w:val="auto"/>
              </w:rPr>
            </w:pPr>
            <w:r>
              <w:rPr>
                <w:rFonts w:ascii="Arial" w:cs="Arial" w:eastAsia="Arial" w:hAnsi="Arial"/>
                <w:sz w:val="14"/>
                <w:szCs w:val="14"/>
                <w:color w:val="auto"/>
              </w:rPr>
              <w:t>[*CTR]</w:t>
            </w:r>
          </w:p>
        </w:tc>
        <w:tc>
          <w:tcPr>
            <w:tcW w:w="1080" w:type="dxa"/>
            <w:vAlign w:val="bottom"/>
            <w:tcBorders>
              <w:bottom w:val="single" w:sz="8" w:color="auto"/>
              <w:right w:val="single" w:sz="8" w:color="auto"/>
            </w:tcBorders>
          </w:tcPr>
          <w:p>
            <w:pPr>
              <w:ind w:left="360"/>
              <w:spacing w:after="0" w:line="142" w:lineRule="exact"/>
              <w:rPr>
                <w:sz w:val="20"/>
                <w:szCs w:val="20"/>
                <w:color w:val="auto"/>
              </w:rPr>
            </w:pPr>
            <w:r>
              <w:rPr>
                <w:rFonts w:ascii="Arial" w:cs="Arial" w:eastAsia="Arial" w:hAnsi="Arial"/>
                <w:sz w:val="14"/>
                <w:szCs w:val="14"/>
                <w:color w:val="auto"/>
              </w:rPr>
              <w:t>[*CTR]</w:t>
            </w:r>
          </w:p>
        </w:tc>
        <w:tc>
          <w:tcPr>
            <w:tcW w:w="1160" w:type="dxa"/>
            <w:vAlign w:val="bottom"/>
            <w:tcBorders>
              <w:bottom w:val="single" w:sz="8" w:color="auto"/>
              <w:right w:val="single" w:sz="8" w:color="auto"/>
            </w:tcBorders>
            <w:shd w:val="clear" w:color="auto" w:fill="CCCCCC"/>
          </w:tcPr>
          <w:p>
            <w:pPr>
              <w:ind w:left="380"/>
              <w:spacing w:after="0" w:line="142" w:lineRule="exact"/>
              <w:rPr>
                <w:sz w:val="20"/>
                <w:szCs w:val="20"/>
                <w:color w:val="auto"/>
              </w:rPr>
            </w:pPr>
            <w:r>
              <w:rPr>
                <w:rFonts w:ascii="Arial" w:cs="Arial" w:eastAsia="Arial" w:hAnsi="Arial"/>
                <w:sz w:val="14"/>
                <w:szCs w:val="14"/>
                <w:b w:val="1"/>
                <w:bCs w:val="1"/>
                <w:color w:val="auto"/>
              </w:rPr>
              <w:t>[*CTR]</w:t>
            </w:r>
          </w:p>
        </w:tc>
        <w:tc>
          <w:tcPr>
            <w:tcW w:w="1480" w:type="dxa"/>
            <w:vAlign w:val="bottom"/>
            <w:tcBorders>
              <w:bottom w:val="single" w:sz="8" w:color="auto"/>
              <w:right w:val="single" w:sz="8" w:color="auto"/>
            </w:tcBorders>
          </w:tcPr>
          <w:p>
            <w:pPr>
              <w:ind w:left="540"/>
              <w:spacing w:after="0" w:line="142" w:lineRule="exact"/>
              <w:rPr>
                <w:sz w:val="20"/>
                <w:szCs w:val="20"/>
                <w:color w:val="auto"/>
              </w:rPr>
            </w:pPr>
            <w:r>
              <w:rPr>
                <w:rFonts w:ascii="Arial" w:cs="Arial" w:eastAsia="Arial" w:hAnsi="Arial"/>
                <w:sz w:val="14"/>
                <w:szCs w:val="14"/>
                <w:color w:val="auto"/>
              </w:rPr>
              <w:t>[*CTR]</w:t>
            </w:r>
          </w:p>
        </w:tc>
        <w:tc>
          <w:tcPr>
            <w:tcW w:w="860" w:type="dxa"/>
            <w:vAlign w:val="bottom"/>
            <w:tcBorders>
              <w:bottom w:val="single" w:sz="8" w:color="auto"/>
            </w:tcBorders>
          </w:tcPr>
          <w:p>
            <w:pPr>
              <w:jc w:val="center"/>
              <w:ind w:left="148"/>
              <w:spacing w:after="0" w:line="142" w:lineRule="exact"/>
              <w:rPr>
                <w:sz w:val="20"/>
                <w:szCs w:val="20"/>
                <w:color w:val="auto"/>
              </w:rPr>
            </w:pPr>
            <w:r>
              <w:rPr>
                <w:rFonts w:ascii="Arial" w:cs="Arial" w:eastAsia="Arial" w:hAnsi="Arial"/>
                <w:sz w:val="14"/>
                <w:szCs w:val="14"/>
                <w:color w:val="auto"/>
              </w:rPr>
              <w:t>[*CTR]</w:t>
            </w:r>
          </w:p>
        </w:tc>
        <w:tc>
          <w:tcPr>
            <w:tcW w:w="160" w:type="dxa"/>
            <w:vAlign w:val="bottom"/>
            <w:tcBorders>
              <w:bottom w:val="single" w:sz="8" w:color="auto"/>
              <w:right w:val="single" w:sz="8" w:color="auto"/>
            </w:tcBorders>
          </w:tcPr>
          <w:p>
            <w:pPr>
              <w:spacing w:after="0"/>
              <w:rPr>
                <w:sz w:val="12"/>
                <w:szCs w:val="12"/>
                <w:color w:val="auto"/>
              </w:rPr>
            </w:pPr>
          </w:p>
        </w:tc>
        <w:tc>
          <w:tcPr>
            <w:tcW w:w="10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rPr>
              <w:t>[*CTR]</w:t>
            </w:r>
          </w:p>
        </w:tc>
        <w:tc>
          <w:tcPr>
            <w:tcW w:w="102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rPr>
              <w:t>[*CTR]</w:t>
            </w:r>
          </w:p>
        </w:tc>
        <w:tc>
          <w:tcPr>
            <w:tcW w:w="360" w:type="dxa"/>
            <w:vAlign w:val="bottom"/>
            <w:tcBorders>
              <w:bottom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jc w:val="center"/>
              <w:ind w:right="267"/>
              <w:spacing w:after="0" w:line="142" w:lineRule="exact"/>
              <w:rPr>
                <w:sz w:val="20"/>
                <w:szCs w:val="20"/>
                <w:color w:val="auto"/>
              </w:rPr>
            </w:pPr>
            <w:r>
              <w:rPr>
                <w:rFonts w:ascii="Arial" w:cs="Arial" w:eastAsia="Arial" w:hAnsi="Arial"/>
                <w:sz w:val="14"/>
                <w:szCs w:val="14"/>
                <w:color w:val="auto"/>
              </w:rPr>
              <w:t>[*CTR]</w:t>
            </w:r>
          </w:p>
        </w:tc>
        <w:tc>
          <w:tcPr>
            <w:tcW w:w="0" w:type="dxa"/>
            <w:vAlign w:val="bottom"/>
          </w:tcPr>
          <w:p>
            <w:pPr>
              <w:spacing w:after="0"/>
              <w:rPr>
                <w:sz w:val="1"/>
                <w:szCs w:val="1"/>
                <w:color w:val="auto"/>
              </w:rPr>
            </w:pPr>
          </w:p>
        </w:tc>
      </w:tr>
      <w:tr>
        <w:trPr>
          <w:trHeight w:val="142"/>
        </w:trPr>
        <w:tc>
          <w:tcPr>
            <w:tcW w:w="1200" w:type="dxa"/>
            <w:vAlign w:val="bottom"/>
            <w:tcBorders>
              <w:left w:val="single" w:sz="8" w:color="auto"/>
              <w:bottom w:val="single" w:sz="8" w:color="auto"/>
              <w:right w:val="single" w:sz="8" w:color="auto"/>
            </w:tcBorders>
          </w:tcPr>
          <w:p>
            <w:pPr>
              <w:ind w:left="240"/>
              <w:spacing w:after="0" w:line="142" w:lineRule="exact"/>
              <w:rPr>
                <w:sz w:val="20"/>
                <w:szCs w:val="20"/>
                <w:color w:val="auto"/>
              </w:rPr>
            </w:pPr>
            <w:r>
              <w:rPr>
                <w:rFonts w:ascii="Arial" w:cs="Arial" w:eastAsia="Arial" w:hAnsi="Arial"/>
                <w:sz w:val="14"/>
                <w:szCs w:val="14"/>
                <w:color w:val="auto"/>
              </w:rPr>
              <w:t>[*CTR]-2019</w:t>
            </w:r>
          </w:p>
        </w:tc>
        <w:tc>
          <w:tcPr>
            <w:tcW w:w="1080" w:type="dxa"/>
            <w:vAlign w:val="bottom"/>
            <w:tcBorders>
              <w:bottom w:val="single" w:sz="8" w:color="auto"/>
              <w:right w:val="single" w:sz="8" w:color="auto"/>
            </w:tcBorders>
          </w:tcPr>
          <w:p>
            <w:pPr>
              <w:jc w:val="right"/>
              <w:ind w:right="387"/>
              <w:spacing w:after="0" w:line="142" w:lineRule="exact"/>
              <w:rPr>
                <w:sz w:val="20"/>
                <w:szCs w:val="20"/>
                <w:color w:val="auto"/>
              </w:rPr>
            </w:pPr>
            <w:r>
              <w:rPr>
                <w:rFonts w:ascii="Arial" w:cs="Arial" w:eastAsia="Arial" w:hAnsi="Arial"/>
                <w:sz w:val="14"/>
                <w:szCs w:val="14"/>
                <w:color w:val="auto"/>
              </w:rPr>
              <w:t>1</w:t>
            </w:r>
          </w:p>
        </w:tc>
        <w:tc>
          <w:tcPr>
            <w:tcW w:w="1080" w:type="dxa"/>
            <w:vAlign w:val="bottom"/>
            <w:tcBorders>
              <w:bottom w:val="single" w:sz="8" w:color="auto"/>
              <w:right w:val="single" w:sz="8" w:color="auto"/>
            </w:tcBorders>
          </w:tcPr>
          <w:p>
            <w:pPr>
              <w:ind w:left="360"/>
              <w:spacing w:after="0" w:line="142" w:lineRule="exact"/>
              <w:rPr>
                <w:sz w:val="20"/>
                <w:szCs w:val="20"/>
                <w:color w:val="auto"/>
              </w:rPr>
            </w:pPr>
            <w:r>
              <w:rPr>
                <w:rFonts w:ascii="Arial" w:cs="Arial" w:eastAsia="Arial" w:hAnsi="Arial"/>
                <w:sz w:val="14"/>
                <w:szCs w:val="14"/>
                <w:color w:val="auto"/>
              </w:rPr>
              <w:t>[*CTR]</w:t>
            </w:r>
          </w:p>
        </w:tc>
        <w:tc>
          <w:tcPr>
            <w:tcW w:w="1080" w:type="dxa"/>
            <w:vAlign w:val="bottom"/>
            <w:tcBorders>
              <w:bottom w:val="single" w:sz="8" w:color="auto"/>
              <w:right w:val="single" w:sz="8" w:color="auto"/>
            </w:tcBorders>
          </w:tcPr>
          <w:p>
            <w:pPr>
              <w:ind w:left="360"/>
              <w:spacing w:after="0" w:line="142" w:lineRule="exact"/>
              <w:rPr>
                <w:sz w:val="20"/>
                <w:szCs w:val="20"/>
                <w:color w:val="auto"/>
              </w:rPr>
            </w:pPr>
            <w:r>
              <w:rPr>
                <w:rFonts w:ascii="Arial" w:cs="Arial" w:eastAsia="Arial" w:hAnsi="Arial"/>
                <w:sz w:val="14"/>
                <w:szCs w:val="14"/>
                <w:color w:val="auto"/>
              </w:rPr>
              <w:t>[*CTR]</w:t>
            </w:r>
          </w:p>
        </w:tc>
        <w:tc>
          <w:tcPr>
            <w:tcW w:w="1160" w:type="dxa"/>
            <w:vAlign w:val="bottom"/>
            <w:tcBorders>
              <w:bottom w:val="single" w:sz="8" w:color="auto"/>
              <w:right w:val="single" w:sz="8" w:color="auto"/>
            </w:tcBorders>
            <w:shd w:val="clear" w:color="auto" w:fill="CCCCCC"/>
          </w:tcPr>
          <w:p>
            <w:pPr>
              <w:ind w:left="380"/>
              <w:spacing w:after="0" w:line="142" w:lineRule="exact"/>
              <w:rPr>
                <w:sz w:val="20"/>
                <w:szCs w:val="20"/>
                <w:color w:val="auto"/>
              </w:rPr>
            </w:pPr>
            <w:r>
              <w:rPr>
                <w:rFonts w:ascii="Arial" w:cs="Arial" w:eastAsia="Arial" w:hAnsi="Arial"/>
                <w:sz w:val="14"/>
                <w:szCs w:val="14"/>
                <w:b w:val="1"/>
                <w:bCs w:val="1"/>
                <w:color w:val="auto"/>
              </w:rPr>
              <w:t>[*CTR]</w:t>
            </w:r>
          </w:p>
        </w:tc>
        <w:tc>
          <w:tcPr>
            <w:tcW w:w="1480" w:type="dxa"/>
            <w:vAlign w:val="bottom"/>
            <w:tcBorders>
              <w:bottom w:val="single" w:sz="8" w:color="auto"/>
              <w:right w:val="single" w:sz="8" w:color="auto"/>
            </w:tcBorders>
          </w:tcPr>
          <w:p>
            <w:pPr>
              <w:ind w:left="540"/>
              <w:spacing w:after="0" w:line="142" w:lineRule="exact"/>
              <w:rPr>
                <w:sz w:val="20"/>
                <w:szCs w:val="20"/>
                <w:color w:val="auto"/>
              </w:rPr>
            </w:pPr>
            <w:r>
              <w:rPr>
                <w:rFonts w:ascii="Arial" w:cs="Arial" w:eastAsia="Arial" w:hAnsi="Arial"/>
                <w:sz w:val="14"/>
                <w:szCs w:val="14"/>
                <w:color w:val="auto"/>
              </w:rPr>
              <w:t>[*CTR]</w:t>
            </w:r>
          </w:p>
        </w:tc>
        <w:tc>
          <w:tcPr>
            <w:tcW w:w="860" w:type="dxa"/>
            <w:vAlign w:val="bottom"/>
            <w:tcBorders>
              <w:bottom w:val="single" w:sz="8" w:color="auto"/>
            </w:tcBorders>
          </w:tcPr>
          <w:p>
            <w:pPr>
              <w:jc w:val="center"/>
              <w:ind w:left="148"/>
              <w:spacing w:after="0" w:line="142" w:lineRule="exact"/>
              <w:rPr>
                <w:sz w:val="20"/>
                <w:szCs w:val="20"/>
                <w:color w:val="auto"/>
              </w:rPr>
            </w:pPr>
            <w:r>
              <w:rPr>
                <w:rFonts w:ascii="Arial" w:cs="Arial" w:eastAsia="Arial" w:hAnsi="Arial"/>
                <w:sz w:val="14"/>
                <w:szCs w:val="14"/>
                <w:color w:val="auto"/>
              </w:rPr>
              <w:t>[*CTR]</w:t>
            </w:r>
          </w:p>
        </w:tc>
        <w:tc>
          <w:tcPr>
            <w:tcW w:w="160" w:type="dxa"/>
            <w:vAlign w:val="bottom"/>
            <w:tcBorders>
              <w:bottom w:val="single" w:sz="8" w:color="auto"/>
              <w:right w:val="single" w:sz="8" w:color="auto"/>
            </w:tcBorders>
          </w:tcPr>
          <w:p>
            <w:pPr>
              <w:spacing w:after="0"/>
              <w:rPr>
                <w:sz w:val="12"/>
                <w:szCs w:val="12"/>
                <w:color w:val="auto"/>
              </w:rPr>
            </w:pPr>
          </w:p>
        </w:tc>
        <w:tc>
          <w:tcPr>
            <w:tcW w:w="10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rPr>
              <w:t>[*CTR]</w:t>
            </w:r>
          </w:p>
        </w:tc>
        <w:tc>
          <w:tcPr>
            <w:tcW w:w="102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rPr>
              <w:t>[*CTR]</w:t>
            </w:r>
          </w:p>
        </w:tc>
        <w:tc>
          <w:tcPr>
            <w:tcW w:w="360" w:type="dxa"/>
            <w:vAlign w:val="bottom"/>
            <w:tcBorders>
              <w:bottom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jc w:val="center"/>
              <w:ind w:right="267"/>
              <w:spacing w:after="0" w:line="142" w:lineRule="exact"/>
              <w:rPr>
                <w:sz w:val="20"/>
                <w:szCs w:val="20"/>
                <w:color w:val="auto"/>
              </w:rPr>
            </w:pPr>
            <w:r>
              <w:rPr>
                <w:rFonts w:ascii="Arial" w:cs="Arial" w:eastAsia="Arial" w:hAnsi="Arial"/>
                <w:sz w:val="14"/>
                <w:szCs w:val="14"/>
                <w:color w:val="auto"/>
              </w:rPr>
              <w:t>[*CTR]</w:t>
            </w:r>
          </w:p>
        </w:tc>
        <w:tc>
          <w:tcPr>
            <w:tcW w:w="0" w:type="dxa"/>
            <w:vAlign w:val="bottom"/>
          </w:tcPr>
          <w:p>
            <w:pPr>
              <w:spacing w:after="0"/>
              <w:rPr>
                <w:sz w:val="1"/>
                <w:szCs w:val="1"/>
                <w:color w:val="auto"/>
              </w:rPr>
            </w:pPr>
          </w:p>
        </w:tc>
      </w:tr>
      <w:tr>
        <w:trPr>
          <w:trHeight w:val="142"/>
        </w:trPr>
        <w:tc>
          <w:tcPr>
            <w:tcW w:w="1200" w:type="dxa"/>
            <w:vAlign w:val="bottom"/>
            <w:tcBorders>
              <w:left w:val="single" w:sz="8" w:color="auto"/>
              <w:bottom w:val="single" w:sz="8" w:color="auto"/>
              <w:right w:val="single" w:sz="8" w:color="auto"/>
            </w:tcBorders>
          </w:tcPr>
          <w:p>
            <w:pPr>
              <w:ind w:left="240"/>
              <w:spacing w:after="0" w:line="142" w:lineRule="exact"/>
              <w:rPr>
                <w:sz w:val="20"/>
                <w:szCs w:val="20"/>
                <w:color w:val="auto"/>
              </w:rPr>
            </w:pPr>
            <w:r>
              <w:rPr>
                <w:rFonts w:ascii="Arial" w:cs="Arial" w:eastAsia="Arial" w:hAnsi="Arial"/>
                <w:sz w:val="14"/>
                <w:szCs w:val="14"/>
                <w:color w:val="auto"/>
              </w:rPr>
              <w:t>[*CTR]-2019</w:t>
            </w:r>
          </w:p>
        </w:tc>
        <w:tc>
          <w:tcPr>
            <w:tcW w:w="1080" w:type="dxa"/>
            <w:vAlign w:val="bottom"/>
            <w:tcBorders>
              <w:bottom w:val="single" w:sz="8" w:color="auto"/>
              <w:right w:val="single" w:sz="8" w:color="auto"/>
            </w:tcBorders>
          </w:tcPr>
          <w:p>
            <w:pPr>
              <w:jc w:val="right"/>
              <w:ind w:right="387"/>
              <w:spacing w:after="0" w:line="142" w:lineRule="exact"/>
              <w:rPr>
                <w:sz w:val="20"/>
                <w:szCs w:val="20"/>
                <w:color w:val="auto"/>
              </w:rPr>
            </w:pPr>
            <w:r>
              <w:rPr>
                <w:rFonts w:ascii="Arial" w:cs="Arial" w:eastAsia="Arial" w:hAnsi="Arial"/>
                <w:sz w:val="14"/>
                <w:szCs w:val="14"/>
                <w:color w:val="auto"/>
              </w:rPr>
              <w:t>1</w:t>
            </w:r>
          </w:p>
        </w:tc>
        <w:tc>
          <w:tcPr>
            <w:tcW w:w="1080" w:type="dxa"/>
            <w:vAlign w:val="bottom"/>
            <w:tcBorders>
              <w:bottom w:val="single" w:sz="8" w:color="auto"/>
              <w:right w:val="single" w:sz="8" w:color="auto"/>
            </w:tcBorders>
          </w:tcPr>
          <w:p>
            <w:pPr>
              <w:ind w:left="360"/>
              <w:spacing w:after="0" w:line="142" w:lineRule="exact"/>
              <w:rPr>
                <w:sz w:val="20"/>
                <w:szCs w:val="20"/>
                <w:color w:val="auto"/>
              </w:rPr>
            </w:pPr>
            <w:r>
              <w:rPr>
                <w:rFonts w:ascii="Arial" w:cs="Arial" w:eastAsia="Arial" w:hAnsi="Arial"/>
                <w:sz w:val="14"/>
                <w:szCs w:val="14"/>
                <w:color w:val="auto"/>
              </w:rPr>
              <w:t>[*CTR]</w:t>
            </w:r>
          </w:p>
        </w:tc>
        <w:tc>
          <w:tcPr>
            <w:tcW w:w="1080" w:type="dxa"/>
            <w:vAlign w:val="bottom"/>
            <w:tcBorders>
              <w:bottom w:val="single" w:sz="8" w:color="auto"/>
              <w:right w:val="single" w:sz="8" w:color="auto"/>
            </w:tcBorders>
          </w:tcPr>
          <w:p>
            <w:pPr>
              <w:ind w:left="360"/>
              <w:spacing w:after="0" w:line="142" w:lineRule="exact"/>
              <w:rPr>
                <w:sz w:val="20"/>
                <w:szCs w:val="20"/>
                <w:color w:val="auto"/>
              </w:rPr>
            </w:pPr>
            <w:r>
              <w:rPr>
                <w:rFonts w:ascii="Arial" w:cs="Arial" w:eastAsia="Arial" w:hAnsi="Arial"/>
                <w:sz w:val="14"/>
                <w:szCs w:val="14"/>
                <w:color w:val="auto"/>
              </w:rPr>
              <w:t>[*CTR]</w:t>
            </w:r>
          </w:p>
        </w:tc>
        <w:tc>
          <w:tcPr>
            <w:tcW w:w="1160" w:type="dxa"/>
            <w:vAlign w:val="bottom"/>
            <w:tcBorders>
              <w:bottom w:val="single" w:sz="8" w:color="auto"/>
              <w:right w:val="single" w:sz="8" w:color="auto"/>
            </w:tcBorders>
            <w:shd w:val="clear" w:color="auto" w:fill="CCCCCC"/>
          </w:tcPr>
          <w:p>
            <w:pPr>
              <w:ind w:left="380"/>
              <w:spacing w:after="0" w:line="142" w:lineRule="exact"/>
              <w:rPr>
                <w:sz w:val="20"/>
                <w:szCs w:val="20"/>
                <w:color w:val="auto"/>
              </w:rPr>
            </w:pPr>
            <w:r>
              <w:rPr>
                <w:rFonts w:ascii="Arial" w:cs="Arial" w:eastAsia="Arial" w:hAnsi="Arial"/>
                <w:sz w:val="14"/>
                <w:szCs w:val="14"/>
                <w:b w:val="1"/>
                <w:bCs w:val="1"/>
                <w:color w:val="auto"/>
              </w:rPr>
              <w:t>[*CTR]</w:t>
            </w:r>
          </w:p>
        </w:tc>
        <w:tc>
          <w:tcPr>
            <w:tcW w:w="1480" w:type="dxa"/>
            <w:vAlign w:val="bottom"/>
            <w:tcBorders>
              <w:bottom w:val="single" w:sz="8" w:color="auto"/>
              <w:right w:val="single" w:sz="8" w:color="auto"/>
            </w:tcBorders>
          </w:tcPr>
          <w:p>
            <w:pPr>
              <w:ind w:left="540"/>
              <w:spacing w:after="0" w:line="142" w:lineRule="exact"/>
              <w:rPr>
                <w:sz w:val="20"/>
                <w:szCs w:val="20"/>
                <w:color w:val="auto"/>
              </w:rPr>
            </w:pPr>
            <w:r>
              <w:rPr>
                <w:rFonts w:ascii="Arial" w:cs="Arial" w:eastAsia="Arial" w:hAnsi="Arial"/>
                <w:sz w:val="14"/>
                <w:szCs w:val="14"/>
                <w:color w:val="auto"/>
              </w:rPr>
              <w:t>[*CTR]</w:t>
            </w:r>
          </w:p>
        </w:tc>
        <w:tc>
          <w:tcPr>
            <w:tcW w:w="860" w:type="dxa"/>
            <w:vAlign w:val="bottom"/>
            <w:tcBorders>
              <w:bottom w:val="single" w:sz="8" w:color="auto"/>
            </w:tcBorders>
          </w:tcPr>
          <w:p>
            <w:pPr>
              <w:jc w:val="center"/>
              <w:ind w:left="148"/>
              <w:spacing w:after="0" w:line="142" w:lineRule="exact"/>
              <w:rPr>
                <w:sz w:val="20"/>
                <w:szCs w:val="20"/>
                <w:color w:val="auto"/>
              </w:rPr>
            </w:pPr>
            <w:r>
              <w:rPr>
                <w:rFonts w:ascii="Arial" w:cs="Arial" w:eastAsia="Arial" w:hAnsi="Arial"/>
                <w:sz w:val="14"/>
                <w:szCs w:val="14"/>
                <w:color w:val="auto"/>
              </w:rPr>
              <w:t>[*CTR]</w:t>
            </w:r>
          </w:p>
        </w:tc>
        <w:tc>
          <w:tcPr>
            <w:tcW w:w="160" w:type="dxa"/>
            <w:vAlign w:val="bottom"/>
            <w:tcBorders>
              <w:bottom w:val="single" w:sz="8" w:color="auto"/>
              <w:right w:val="single" w:sz="8" w:color="auto"/>
            </w:tcBorders>
          </w:tcPr>
          <w:p>
            <w:pPr>
              <w:spacing w:after="0"/>
              <w:rPr>
                <w:sz w:val="12"/>
                <w:szCs w:val="12"/>
                <w:color w:val="auto"/>
              </w:rPr>
            </w:pPr>
          </w:p>
        </w:tc>
        <w:tc>
          <w:tcPr>
            <w:tcW w:w="10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rPr>
              <w:t>[*CTR]</w:t>
            </w:r>
          </w:p>
        </w:tc>
        <w:tc>
          <w:tcPr>
            <w:tcW w:w="102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rPr>
              <w:t>[*CTR]</w:t>
            </w:r>
          </w:p>
        </w:tc>
        <w:tc>
          <w:tcPr>
            <w:tcW w:w="360" w:type="dxa"/>
            <w:vAlign w:val="bottom"/>
            <w:tcBorders>
              <w:bottom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jc w:val="center"/>
              <w:ind w:right="267"/>
              <w:spacing w:after="0" w:line="142" w:lineRule="exact"/>
              <w:rPr>
                <w:sz w:val="20"/>
                <w:szCs w:val="20"/>
                <w:color w:val="auto"/>
              </w:rPr>
            </w:pPr>
            <w:r>
              <w:rPr>
                <w:rFonts w:ascii="Arial" w:cs="Arial" w:eastAsia="Arial" w:hAnsi="Arial"/>
                <w:sz w:val="14"/>
                <w:szCs w:val="14"/>
                <w:color w:val="auto"/>
              </w:rPr>
              <w:t>[*CTR]</w:t>
            </w:r>
          </w:p>
        </w:tc>
        <w:tc>
          <w:tcPr>
            <w:tcW w:w="0" w:type="dxa"/>
            <w:vAlign w:val="bottom"/>
          </w:tcPr>
          <w:p>
            <w:pPr>
              <w:spacing w:after="0"/>
              <w:rPr>
                <w:sz w:val="1"/>
                <w:szCs w:val="1"/>
                <w:color w:val="auto"/>
              </w:rPr>
            </w:pPr>
          </w:p>
        </w:tc>
      </w:tr>
      <w:tr>
        <w:trPr>
          <w:trHeight w:val="283"/>
        </w:trPr>
        <w:tc>
          <w:tcPr>
            <w:tcW w:w="1200" w:type="dxa"/>
            <w:vAlign w:val="bottom"/>
          </w:tcPr>
          <w:p>
            <w:pPr>
              <w:ind w:left="240"/>
              <w:spacing w:after="0"/>
              <w:rPr>
                <w:sz w:val="20"/>
                <w:szCs w:val="20"/>
                <w:color w:val="auto"/>
              </w:rPr>
            </w:pPr>
            <w:r>
              <w:rPr>
                <w:rFonts w:ascii="Arial" w:cs="Arial" w:eastAsia="Arial" w:hAnsi="Arial"/>
                <w:sz w:val="15"/>
                <w:szCs w:val="15"/>
                <w:color w:val="auto"/>
              </w:rPr>
              <w:t>Total:</w:t>
            </w:r>
          </w:p>
        </w:tc>
        <w:tc>
          <w:tcPr>
            <w:tcW w:w="1080" w:type="dxa"/>
            <w:vAlign w:val="bottom"/>
          </w:tcPr>
          <w:p>
            <w:pPr>
              <w:ind w:left="200"/>
              <w:spacing w:after="0"/>
              <w:rPr>
                <w:sz w:val="20"/>
                <w:szCs w:val="20"/>
                <w:color w:val="auto"/>
              </w:rPr>
            </w:pPr>
            <w:r>
              <w:rPr>
                <w:rFonts w:ascii="Arial" w:cs="Arial" w:eastAsia="Arial" w:hAnsi="Arial"/>
                <w:sz w:val="15"/>
                <w:szCs w:val="15"/>
                <w:color w:val="auto"/>
              </w:rPr>
              <w:t>22</w:t>
            </w:r>
          </w:p>
        </w:tc>
        <w:tc>
          <w:tcPr>
            <w:tcW w:w="10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2280" w:type="dxa"/>
            <w:vAlign w:val="bottom"/>
            <w:gridSpan w:val="2"/>
          </w:tcPr>
          <w:p>
            <w:pPr>
              <w:spacing w:after="0"/>
              <w:rPr>
                <w:sz w:val="20"/>
                <w:szCs w:val="20"/>
                <w:color w:val="auto"/>
              </w:rPr>
            </w:pPr>
            <w:r>
              <w:rPr>
                <w:rFonts w:ascii="Arial" w:cs="Arial" w:eastAsia="Arial" w:hAnsi="Arial"/>
                <w:sz w:val="15"/>
                <w:szCs w:val="15"/>
                <w:color w:val="auto"/>
              </w:rPr>
              <w:t>AAL-PA-03219 105140-1F.txt</w:t>
            </w:r>
          </w:p>
        </w:tc>
        <w:tc>
          <w:tcPr>
            <w:tcW w:w="10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40" w:type="dxa"/>
            <w:vAlign w:val="bottom"/>
            <w:gridSpan w:val="2"/>
          </w:tcPr>
          <w:p>
            <w:pPr>
              <w:ind w:left="740"/>
              <w:spacing w:after="0"/>
              <w:rPr>
                <w:sz w:val="20"/>
                <w:szCs w:val="20"/>
                <w:color w:val="auto"/>
              </w:rPr>
            </w:pPr>
            <w:r>
              <w:rPr>
                <w:rFonts w:ascii="Arial" w:cs="Arial" w:eastAsia="Arial" w:hAnsi="Arial"/>
                <w:sz w:val="19"/>
                <w:szCs w:val="19"/>
                <w:b w:val="1"/>
                <w:bCs w:val="1"/>
                <w:color w:val="auto"/>
              </w:rPr>
              <w:t>Boeing Proprietary</w:t>
            </w: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300" w:type="dxa"/>
            <w:vAlign w:val="bottom"/>
            <w:gridSpan w:val="3"/>
          </w:tcPr>
          <w:p>
            <w:pPr>
              <w:jc w:val="right"/>
              <w:spacing w:after="0"/>
              <w:rPr>
                <w:sz w:val="20"/>
                <w:szCs w:val="20"/>
                <w:color w:val="auto"/>
              </w:rPr>
            </w:pPr>
            <w:r>
              <w:rPr>
                <w:rFonts w:ascii="Arial" w:cs="Arial" w:eastAsia="Arial" w:hAnsi="Arial"/>
                <w:sz w:val="15"/>
                <w:szCs w:val="15"/>
                <w:color w:val="auto"/>
              </w:rPr>
              <w:t>SA-10, Table 1(R7),</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Page 2</w:t>
            </w:r>
          </w:p>
        </w:tc>
        <w:tc>
          <w:tcPr>
            <w:tcW w:w="0" w:type="dxa"/>
            <w:vAlign w:val="bottom"/>
          </w:tcPr>
          <w:p>
            <w:pPr>
              <w:spacing w:after="0"/>
              <w:rPr>
                <w:sz w:val="1"/>
                <w:szCs w:val="1"/>
                <w:color w:val="auto"/>
              </w:rPr>
            </w:pPr>
          </w:p>
        </w:tc>
      </w:tr>
    </w:tbl>
    <w:p>
      <w:pPr>
        <w:spacing w:after="0" w:line="128"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[*CTR]=[CONFIDENTIAL PORTION OMITTED AND FILED SEPARATELY WITH THE COMMISSION PURSUANT TO A REQUEST FOR CONFIDENTIAL TREATMENT]</w:t>
      </w:r>
    </w:p>
    <w:p>
      <w:pPr>
        <w:sectPr>
          <w:pgSz w:w="11900" w:h="16838" w:orient="portrait"/>
          <w:cols w:equalWidth="0" w:num="1">
            <w:col w:w="11440"/>
          </w:cols>
          <w:pgMar w:left="240" w:top="264" w:right="219" w:bottom="1440" w:gutter="0" w:footer="0" w:header="0"/>
        </w:sectPr>
      </w:pPr>
    </w:p>
    <w:bookmarkStart w:id="124" w:name="page125"/>
    <w:bookmarkEnd w:id="124"/>
    <w:p>
      <w:pPr>
        <w:ind w:left="8920"/>
        <w:spacing w:after="0"/>
        <w:rPr>
          <w:sz w:val="20"/>
          <w:szCs w:val="20"/>
          <w:color w:val="auto"/>
        </w:rPr>
      </w:pPr>
      <w:r>
        <w:rPr>
          <w:rFonts w:ascii="Arial" w:cs="Arial" w:eastAsia="Arial" w:hAnsi="Arial"/>
          <w:sz w:val="14"/>
          <w:szCs w:val="14"/>
          <w:color w:val="B2B2B2"/>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4718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471805"/>
                    </a:xfrm>
                    <a:prstGeom prst="rect">
                      <a:avLst/>
                    </a:prstGeom>
                    <a:noFill/>
                  </pic:spPr>
                </pic:pic>
              </a:graphicData>
            </a:graphic>
          </wp:anchor>
        </w:drawing>
        <w:t>The Boeing Company</w:t>
      </w:r>
    </w:p>
    <w:p>
      <w:pPr>
        <w:spacing w:after="0" w:line="1" w:lineRule="exact"/>
        <w:rPr>
          <w:sz w:val="20"/>
          <w:szCs w:val="20"/>
          <w:color w:val="auto"/>
        </w:rPr>
      </w:pPr>
    </w:p>
    <w:p>
      <w:pPr>
        <w:ind w:left="8920"/>
        <w:spacing w:after="0"/>
        <w:rPr>
          <w:sz w:val="20"/>
          <w:szCs w:val="20"/>
          <w:color w:val="auto"/>
        </w:rPr>
      </w:pPr>
      <w:r>
        <w:rPr>
          <w:rFonts w:ascii="Arial" w:cs="Arial" w:eastAsia="Arial" w:hAnsi="Arial"/>
          <w:sz w:val="14"/>
          <w:szCs w:val="14"/>
          <w:color w:val="B2B2B2"/>
        </w:rPr>
        <w:t>P.O. Box 3707</w:t>
      </w:r>
    </w:p>
    <w:p>
      <w:pPr>
        <w:spacing w:after="0" w:line="1" w:lineRule="exact"/>
        <w:rPr>
          <w:sz w:val="20"/>
          <w:szCs w:val="20"/>
          <w:color w:val="auto"/>
        </w:rPr>
      </w:pPr>
    </w:p>
    <w:p>
      <w:pPr>
        <w:ind w:left="8920"/>
        <w:spacing w:after="0"/>
        <w:rPr>
          <w:sz w:val="20"/>
          <w:szCs w:val="20"/>
          <w:color w:val="auto"/>
        </w:rPr>
      </w:pPr>
      <w:r>
        <w:rPr>
          <w:rFonts w:ascii="Arial" w:cs="Arial" w:eastAsia="Arial" w:hAnsi="Arial"/>
          <w:sz w:val="14"/>
          <w:szCs w:val="14"/>
          <w:color w:val="B2B2B2"/>
        </w:rPr>
        <w:t>Seattle, WA 98124-2207</w:t>
      </w: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color w:val="auto"/>
        </w:rPr>
        <w:t>AAL-PA-3219-LA-1701988</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color w:val="auto"/>
        </w:rPr>
        <w:t>American Airlines, Inc.</w:t>
      </w:r>
    </w:p>
    <w:p>
      <w:pPr>
        <w:spacing w:after="0" w:line="230" w:lineRule="auto"/>
        <w:rPr>
          <w:sz w:val="20"/>
          <w:szCs w:val="20"/>
          <w:color w:val="auto"/>
        </w:rPr>
      </w:pPr>
      <w:r>
        <w:rPr>
          <w:rFonts w:ascii="Arial" w:cs="Arial" w:eastAsia="Arial" w:hAnsi="Arial"/>
          <w:sz w:val="22"/>
          <w:szCs w:val="22"/>
          <w:color w:val="auto"/>
        </w:rPr>
        <w:t>P.O. Box 619616</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Dallas-Fort Worth Airport, Texas 75261-9616</w:t>
      </w:r>
    </w:p>
    <w:p>
      <w:pPr>
        <w:sectPr>
          <w:pgSz w:w="11900" w:h="16838" w:orient="portrait"/>
          <w:cols w:equalWidth="0" w:num="1">
            <w:col w:w="11420"/>
          </w:cols>
          <w:pgMar w:left="240" w:top="293" w:right="239" w:bottom="1440" w:gutter="0" w:footer="0" w:header="0"/>
        </w:sectPr>
      </w:pPr>
    </w:p>
    <w:p>
      <w:pPr>
        <w:spacing w:after="0" w:line="233" w:lineRule="exact"/>
        <w:rPr>
          <w:sz w:val="20"/>
          <w:szCs w:val="20"/>
          <w:color w:val="auto"/>
        </w:rPr>
      </w:pPr>
    </w:p>
    <w:p>
      <w:pPr>
        <w:spacing w:after="0"/>
        <w:rPr>
          <w:sz w:val="20"/>
          <w:szCs w:val="20"/>
          <w:color w:val="auto"/>
        </w:rPr>
      </w:pPr>
      <w:r>
        <w:rPr>
          <w:rFonts w:ascii="Arial" w:cs="Arial" w:eastAsia="Arial" w:hAnsi="Arial"/>
          <w:sz w:val="21"/>
          <w:szCs w:val="21"/>
          <w:color w:val="auto"/>
        </w:rPr>
        <w:t>Subject:</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[*CTR]</w:t>
      </w:r>
    </w:p>
    <w:p>
      <w:pPr>
        <w:spacing w:after="0" w:line="200" w:lineRule="exact"/>
        <w:rPr>
          <w:sz w:val="20"/>
          <w:szCs w:val="20"/>
          <w:color w:val="auto"/>
        </w:rPr>
      </w:pPr>
    </w:p>
    <w:p>
      <w:pPr>
        <w:sectPr>
          <w:pgSz w:w="11900" w:h="16838" w:orient="portrait"/>
          <w:cols w:equalWidth="0" w:num="2">
            <w:col w:w="980" w:space="720"/>
            <w:col w:w="9720"/>
          </w:cols>
          <w:pgMar w:left="240" w:top="293" w:right="239" w:bottom="1440" w:gutter="0" w:footer="0" w:header="0"/>
          <w:type w:val="continuous"/>
        </w:sectPr>
      </w:pPr>
    </w:p>
    <w:p>
      <w:pPr>
        <w:spacing w:after="0" w:line="33" w:lineRule="exact"/>
        <w:rPr>
          <w:sz w:val="20"/>
          <w:szCs w:val="20"/>
          <w:color w:val="auto"/>
        </w:rPr>
      </w:pPr>
    </w:p>
    <w:p>
      <w:pPr>
        <w:spacing w:after="0"/>
        <w:rPr>
          <w:sz w:val="20"/>
          <w:szCs w:val="20"/>
          <w:color w:val="auto"/>
        </w:rPr>
      </w:pPr>
      <w:r>
        <w:rPr>
          <w:rFonts w:ascii="Arial" w:cs="Arial" w:eastAsia="Arial" w:hAnsi="Arial"/>
          <w:sz w:val="21"/>
          <w:szCs w:val="21"/>
          <w:color w:val="auto"/>
        </w:rPr>
        <w:t>Reference: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color w:val="auto"/>
        </w:rPr>
        <w:t>Purchase Agreement No. PA-3219 (</w:t>
      </w:r>
      <w:r>
        <w:rPr>
          <w:rFonts w:ascii="Arial" w:cs="Arial" w:eastAsia="Arial" w:hAnsi="Arial"/>
          <w:sz w:val="21"/>
          <w:szCs w:val="21"/>
          <w:b w:val="1"/>
          <w:bCs w:val="1"/>
          <w:color w:val="auto"/>
        </w:rPr>
        <w:t>Purchase Agreement</w:t>
      </w:r>
      <w:r>
        <w:rPr>
          <w:rFonts w:ascii="Arial" w:cs="Arial" w:eastAsia="Arial" w:hAnsi="Arial"/>
          <w:sz w:val="21"/>
          <w:szCs w:val="21"/>
          <w:color w:val="auto"/>
        </w:rPr>
        <w:t>) between The Boeing Company (</w:t>
      </w:r>
      <w:r>
        <w:rPr>
          <w:rFonts w:ascii="Arial" w:cs="Arial" w:eastAsia="Arial" w:hAnsi="Arial"/>
          <w:sz w:val="21"/>
          <w:szCs w:val="21"/>
          <w:b w:val="1"/>
          <w:bCs w:val="1"/>
          <w:color w:val="auto"/>
        </w:rPr>
        <w:t>Boeing</w:t>
      </w:r>
      <w:r>
        <w:rPr>
          <w:rFonts w:ascii="Arial" w:cs="Arial" w:eastAsia="Arial" w:hAnsi="Arial"/>
          <w:sz w:val="21"/>
          <w:szCs w:val="21"/>
          <w:color w:val="auto"/>
        </w:rPr>
        <w:t>)</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color w:val="auto"/>
        </w:rPr>
        <w:t>and American Airlines, Inc. (</w:t>
      </w:r>
      <w:r>
        <w:rPr>
          <w:rFonts w:ascii="Arial" w:cs="Arial" w:eastAsia="Arial" w:hAnsi="Arial"/>
          <w:sz w:val="22"/>
          <w:szCs w:val="22"/>
          <w:b w:val="1"/>
          <w:bCs w:val="1"/>
          <w:color w:val="auto"/>
        </w:rPr>
        <w:t>Customer</w:t>
      </w:r>
      <w:r>
        <w:rPr>
          <w:rFonts w:ascii="Arial" w:cs="Arial" w:eastAsia="Arial" w:hAnsi="Arial"/>
          <w:sz w:val="22"/>
          <w:szCs w:val="22"/>
          <w:color w:val="auto"/>
        </w:rPr>
        <w:t>) relating to Model 787 aircraft (</w:t>
      </w:r>
      <w:r>
        <w:rPr>
          <w:rFonts w:ascii="Arial" w:cs="Arial" w:eastAsia="Arial" w:hAnsi="Arial"/>
          <w:sz w:val="22"/>
          <w:szCs w:val="22"/>
          <w:b w:val="1"/>
          <w:bCs w:val="1"/>
          <w:color w:val="auto"/>
        </w:rPr>
        <w:t>Aircraft</w:t>
      </w:r>
      <w:r>
        <w:rPr>
          <w:rFonts w:ascii="Arial" w:cs="Arial" w:eastAsia="Arial" w:hAnsi="Arial"/>
          <w:sz w:val="22"/>
          <w:szCs w:val="22"/>
          <w:color w:val="auto"/>
        </w:rPr>
        <w:t>)</w:t>
      </w:r>
    </w:p>
    <w:p>
      <w:pPr>
        <w:spacing w:after="0" w:line="180" w:lineRule="exact"/>
        <w:rPr>
          <w:sz w:val="20"/>
          <w:szCs w:val="20"/>
          <w:color w:val="auto"/>
        </w:rPr>
      </w:pPr>
    </w:p>
    <w:p>
      <w:pPr>
        <w:sectPr>
          <w:pgSz w:w="11900" w:h="16838" w:orient="portrait"/>
          <w:cols w:equalWidth="0" w:num="2">
            <w:col w:w="1060" w:space="640"/>
            <w:col w:w="9720"/>
          </w:cols>
          <w:pgMar w:left="240" w:top="293" w:right="239" w:bottom="1440" w:gutter="0" w:footer="0" w:header="0"/>
          <w:type w:val="continuous"/>
        </w:sectPr>
      </w:pPr>
    </w:p>
    <w:p>
      <w:pPr>
        <w:jc w:val="both"/>
        <w:ind w:right="20" w:firstLine="799"/>
        <w:spacing w:after="0" w:line="246" w:lineRule="auto"/>
        <w:rPr>
          <w:sz w:val="20"/>
          <w:szCs w:val="20"/>
          <w:color w:val="auto"/>
        </w:rPr>
      </w:pPr>
      <w:r>
        <w:rPr>
          <w:rFonts w:ascii="Arial" w:cs="Arial" w:eastAsia="Arial" w:hAnsi="Arial"/>
          <w:sz w:val="22"/>
          <w:szCs w:val="22"/>
          <w:color w:val="auto"/>
        </w:rPr>
        <w:t>This letter agreement (</w:t>
      </w:r>
      <w:r>
        <w:rPr>
          <w:rFonts w:ascii="Arial" w:cs="Arial" w:eastAsia="Arial" w:hAnsi="Arial"/>
          <w:sz w:val="22"/>
          <w:szCs w:val="22"/>
          <w:b w:val="1"/>
          <w:bCs w:val="1"/>
          <w:color w:val="auto"/>
        </w:rPr>
        <w:t>Letter Agreement</w:t>
      </w:r>
      <w:r>
        <w:rPr>
          <w:rFonts w:ascii="Arial" w:cs="Arial" w:eastAsia="Arial" w:hAnsi="Arial"/>
          <w:sz w:val="22"/>
          <w:szCs w:val="22"/>
          <w:color w:val="auto"/>
        </w:rPr>
        <w:t>) is entered into on the date below and amends and supplements the Purchase Agreement referenced above. All capitalized terms used in but not otherwise defined in this Letter Agreement shall have the same meaning as in the Purchase Agreement.</w:t>
      </w:r>
    </w:p>
    <w:p>
      <w:pPr>
        <w:spacing w:after="0" w:line="193" w:lineRule="exact"/>
        <w:rPr>
          <w:sz w:val="20"/>
          <w:szCs w:val="20"/>
          <w:color w:val="auto"/>
        </w:rPr>
      </w:pPr>
    </w:p>
    <w:p>
      <w:pPr>
        <w:jc w:val="both"/>
        <w:ind w:firstLine="799"/>
        <w:spacing w:after="0" w:line="235" w:lineRule="auto"/>
        <w:rPr>
          <w:sz w:val="20"/>
          <w:szCs w:val="20"/>
          <w:color w:val="auto"/>
        </w:rPr>
      </w:pPr>
      <w:r>
        <w:rPr>
          <w:rFonts w:ascii="Arial" w:cs="Arial" w:eastAsia="Arial" w:hAnsi="Arial"/>
          <w:sz w:val="22"/>
          <w:szCs w:val="22"/>
          <w:color w:val="auto"/>
        </w:rPr>
        <w:t>Customer and Boeing previously entered into the [*CTR] Letter Agreement which [*CTR] described in Attachment A to the [*CTR] Letter Agreement (collectively referred to as [*CTR] or [*CTR]). Customer has requested and Boeing agrees to the [*CTR].</w:t>
      </w:r>
    </w:p>
    <w:p>
      <w:pPr>
        <w:spacing w:after="0" w:line="94" w:lineRule="exact"/>
        <w:rPr>
          <w:sz w:val="20"/>
          <w:szCs w:val="20"/>
          <w:color w:val="auto"/>
        </w:rPr>
      </w:pPr>
    </w:p>
    <w:p>
      <w:pPr>
        <w:jc w:val="both"/>
        <w:ind w:firstLine="799"/>
        <w:spacing w:after="0" w:line="238" w:lineRule="auto"/>
        <w:rPr>
          <w:sz w:val="20"/>
          <w:szCs w:val="20"/>
          <w:color w:val="auto"/>
        </w:rPr>
      </w:pPr>
      <w:r>
        <w:rPr>
          <w:rFonts w:ascii="Arial" w:cs="Arial" w:eastAsia="Arial" w:hAnsi="Arial"/>
          <w:sz w:val="22"/>
          <w:szCs w:val="22"/>
          <w:color w:val="auto"/>
        </w:rPr>
        <w:t>In order to accomplish this [*CTR], Customer and Boeing agree that [*CTR] (as defined below) will be utilized for the [*CTR] identified in Attachment A hereto that will be [*CTR].</w:t>
      </w:r>
    </w:p>
    <w:p>
      <w:pPr>
        <w:spacing w:after="0" w:line="93" w:lineRule="exact"/>
        <w:rPr>
          <w:sz w:val="20"/>
          <w:szCs w:val="20"/>
          <w:color w:val="auto"/>
        </w:rPr>
      </w:pPr>
    </w:p>
    <w:p>
      <w:pPr>
        <w:ind w:left="800"/>
        <w:spacing w:after="0"/>
        <w:rPr>
          <w:sz w:val="20"/>
          <w:szCs w:val="20"/>
          <w:color w:val="auto"/>
        </w:rPr>
      </w:pPr>
      <w:r>
        <w:rPr>
          <w:rFonts w:ascii="Arial" w:cs="Arial" w:eastAsia="Arial" w:hAnsi="Arial"/>
          <w:sz w:val="22"/>
          <w:szCs w:val="22"/>
          <w:color w:val="auto"/>
        </w:rPr>
        <w:t>In order to document the use of the [*CTR], the parties agree as follows:</w:t>
      </w:r>
    </w:p>
    <w:p>
      <w:pPr>
        <w:spacing w:after="0" w:line="206" w:lineRule="exact"/>
        <w:rPr>
          <w:sz w:val="20"/>
          <w:szCs w:val="20"/>
          <w:color w:val="auto"/>
        </w:rPr>
      </w:pPr>
    </w:p>
    <w:p>
      <w:pPr>
        <w:ind w:left="720" w:hanging="712"/>
        <w:spacing w:after="0"/>
        <w:tabs>
          <w:tab w:leader="none" w:pos="720" w:val="left"/>
        </w:tabs>
        <w:numPr>
          <w:ilvl w:val="0"/>
          <w:numId w:val="101"/>
        </w:numPr>
        <w:rPr>
          <w:rFonts w:ascii="Arial" w:cs="Arial" w:eastAsia="Arial" w:hAnsi="Arial"/>
          <w:sz w:val="22"/>
          <w:szCs w:val="22"/>
          <w:color w:val="auto"/>
        </w:rPr>
      </w:pPr>
      <w:r>
        <w:rPr>
          <w:rFonts w:ascii="Arial" w:cs="Arial" w:eastAsia="Arial" w:hAnsi="Arial"/>
          <w:sz w:val="22"/>
          <w:szCs w:val="22"/>
          <w:u w:val="single" w:color="auto"/>
          <w:color w:val="auto"/>
        </w:rPr>
        <w:t>Revisions to the [*CTR] Letter Agreement</w:t>
      </w:r>
      <w:r>
        <w:rPr>
          <w:rFonts w:ascii="Arial" w:cs="Arial" w:eastAsia="Arial" w:hAnsi="Arial"/>
          <w:sz w:val="22"/>
          <w:szCs w:val="22"/>
          <w:color w:val="auto"/>
        </w:rPr>
        <w:t>. [*CTR], the [*CTR] Letter Agreement is revised as follows:</w:t>
      </w:r>
    </w:p>
    <w:p>
      <w:pPr>
        <w:spacing w:after="0" w:line="233"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21"/>
          <w:szCs w:val="21"/>
          <w:color w:val="auto"/>
        </w:rPr>
        <w:t>Section 1.1.5 is deleted in its entirety and replaced with the following:</w:t>
      </w:r>
    </w:p>
    <w:p>
      <w:pPr>
        <w:spacing w:after="0" w:line="206" w:lineRule="exact"/>
        <w:rPr>
          <w:sz w:val="20"/>
          <w:szCs w:val="20"/>
          <w:color w:val="auto"/>
        </w:rPr>
      </w:pPr>
    </w:p>
    <w:p>
      <w:pPr>
        <w:ind w:left="1720"/>
        <w:spacing w:after="0"/>
        <w:rPr>
          <w:sz w:val="20"/>
          <w:szCs w:val="20"/>
          <w:color w:val="auto"/>
        </w:rPr>
      </w:pPr>
      <w:r>
        <w:rPr>
          <w:rFonts w:ascii="Arial" w:cs="Arial" w:eastAsia="Arial" w:hAnsi="Arial"/>
          <w:sz w:val="22"/>
          <w:szCs w:val="22"/>
          <w:color w:val="auto"/>
        </w:rPr>
        <w:t>“1.1.5 [*CTR], but such [*CTR]:</w:t>
      </w:r>
    </w:p>
    <w:p>
      <w:pPr>
        <w:spacing w:after="0" w:line="233" w:lineRule="exact"/>
        <w:rPr>
          <w:sz w:val="20"/>
          <w:szCs w:val="20"/>
          <w:color w:val="auto"/>
        </w:rPr>
      </w:pPr>
    </w:p>
    <w:tbl>
      <w:tblPr>
        <w:tblLayout w:type="fixed"/>
        <w:tblInd w:w="2620" w:type="dxa"/>
        <w:tblCellMar>
          <w:top w:w="0" w:type="dxa"/>
          <w:left w:w="0" w:type="dxa"/>
          <w:bottom w:w="0" w:type="dxa"/>
          <w:right w:w="0" w:type="dxa"/>
        </w:tblCellMar>
      </w:tblPr>
      <w:tr>
        <w:trPr>
          <w:trHeight w:val="260"/>
        </w:trPr>
        <w:tc>
          <w:tcPr>
            <w:tcW w:w="1080" w:type="dxa"/>
            <w:vAlign w:val="bottom"/>
          </w:tcPr>
          <w:p>
            <w:pPr>
              <w:jc w:val="right"/>
              <w:ind w:right="312"/>
              <w:spacing w:after="0"/>
              <w:rPr>
                <w:sz w:val="20"/>
                <w:szCs w:val="20"/>
                <w:color w:val="auto"/>
              </w:rPr>
            </w:pPr>
            <w:r>
              <w:rPr>
                <w:rFonts w:ascii="Arial" w:cs="Arial" w:eastAsia="Arial" w:hAnsi="Arial"/>
                <w:sz w:val="22"/>
                <w:szCs w:val="22"/>
                <w:color w:val="auto"/>
                <w:w w:val="95"/>
              </w:rPr>
              <w:t>1.1.5.1</w:t>
            </w:r>
          </w:p>
        </w:tc>
        <w:tc>
          <w:tcPr>
            <w:tcW w:w="2260" w:type="dxa"/>
            <w:vAlign w:val="bottom"/>
          </w:tcPr>
          <w:p>
            <w:pPr>
              <w:ind w:left="400"/>
              <w:spacing w:after="0"/>
              <w:rPr>
                <w:sz w:val="20"/>
                <w:szCs w:val="20"/>
                <w:color w:val="auto"/>
              </w:rPr>
            </w:pPr>
            <w:r>
              <w:rPr>
                <w:rFonts w:ascii="Arial" w:cs="Arial" w:eastAsia="Arial" w:hAnsi="Arial"/>
                <w:sz w:val="22"/>
                <w:szCs w:val="22"/>
                <w:color w:val="auto"/>
                <w:w w:val="97"/>
              </w:rPr>
              <w:t>specify that [*CTR];</w:t>
            </w:r>
          </w:p>
        </w:tc>
      </w:tr>
      <w:tr>
        <w:trPr>
          <w:trHeight w:val="486"/>
        </w:trPr>
        <w:tc>
          <w:tcPr>
            <w:tcW w:w="1080" w:type="dxa"/>
            <w:vAlign w:val="bottom"/>
          </w:tcPr>
          <w:p>
            <w:pPr>
              <w:jc w:val="right"/>
              <w:ind w:right="312"/>
              <w:spacing w:after="0"/>
              <w:rPr>
                <w:sz w:val="20"/>
                <w:szCs w:val="20"/>
                <w:color w:val="auto"/>
              </w:rPr>
            </w:pPr>
            <w:r>
              <w:rPr>
                <w:rFonts w:ascii="Arial" w:cs="Arial" w:eastAsia="Arial" w:hAnsi="Arial"/>
                <w:sz w:val="22"/>
                <w:szCs w:val="22"/>
                <w:color w:val="auto"/>
                <w:w w:val="95"/>
              </w:rPr>
              <w:t>1.1.5.2</w:t>
            </w:r>
          </w:p>
        </w:tc>
        <w:tc>
          <w:tcPr>
            <w:tcW w:w="2260" w:type="dxa"/>
            <w:vAlign w:val="bottom"/>
          </w:tcPr>
          <w:p>
            <w:pPr>
              <w:ind w:left="400"/>
              <w:spacing w:after="0"/>
              <w:rPr>
                <w:sz w:val="20"/>
                <w:szCs w:val="20"/>
                <w:color w:val="auto"/>
              </w:rPr>
            </w:pPr>
            <w:r>
              <w:rPr>
                <w:rFonts w:ascii="Arial" w:cs="Arial" w:eastAsia="Arial" w:hAnsi="Arial"/>
                <w:sz w:val="22"/>
                <w:szCs w:val="22"/>
                <w:color w:val="auto"/>
              </w:rPr>
              <w:t>specify the [*CTR];</w:t>
            </w:r>
          </w:p>
        </w:tc>
      </w:tr>
      <w:tr>
        <w:trPr>
          <w:trHeight w:val="486"/>
        </w:trPr>
        <w:tc>
          <w:tcPr>
            <w:tcW w:w="1080" w:type="dxa"/>
            <w:vAlign w:val="bottom"/>
          </w:tcPr>
          <w:p>
            <w:pPr>
              <w:jc w:val="right"/>
              <w:ind w:right="312"/>
              <w:spacing w:after="0"/>
              <w:rPr>
                <w:sz w:val="20"/>
                <w:szCs w:val="20"/>
                <w:color w:val="auto"/>
              </w:rPr>
            </w:pPr>
            <w:r>
              <w:rPr>
                <w:rFonts w:ascii="Arial" w:cs="Arial" w:eastAsia="Arial" w:hAnsi="Arial"/>
                <w:sz w:val="22"/>
                <w:szCs w:val="22"/>
                <w:color w:val="auto"/>
                <w:w w:val="95"/>
              </w:rPr>
              <w:t>1.1.5.3</w:t>
            </w:r>
          </w:p>
        </w:tc>
        <w:tc>
          <w:tcPr>
            <w:tcW w:w="2260" w:type="dxa"/>
            <w:vAlign w:val="bottom"/>
          </w:tcPr>
          <w:p>
            <w:pPr>
              <w:ind w:left="400"/>
              <w:spacing w:after="0"/>
              <w:rPr>
                <w:sz w:val="20"/>
                <w:szCs w:val="20"/>
                <w:color w:val="auto"/>
              </w:rPr>
            </w:pPr>
            <w:r>
              <w:rPr>
                <w:rFonts w:ascii="Arial" w:cs="Arial" w:eastAsia="Arial" w:hAnsi="Arial"/>
                <w:sz w:val="22"/>
                <w:szCs w:val="22"/>
                <w:color w:val="auto"/>
                <w:w w:val="97"/>
              </w:rPr>
              <w:t>require [*CTR]; and</w:t>
            </w:r>
          </w:p>
        </w:tc>
      </w:tr>
      <w:tr>
        <w:trPr>
          <w:trHeight w:val="486"/>
        </w:trPr>
        <w:tc>
          <w:tcPr>
            <w:tcW w:w="1080" w:type="dxa"/>
            <w:vAlign w:val="bottom"/>
          </w:tcPr>
          <w:p>
            <w:pPr>
              <w:jc w:val="right"/>
              <w:ind w:right="312"/>
              <w:spacing w:after="0"/>
              <w:rPr>
                <w:sz w:val="20"/>
                <w:szCs w:val="20"/>
                <w:color w:val="auto"/>
              </w:rPr>
            </w:pPr>
            <w:r>
              <w:rPr>
                <w:rFonts w:ascii="Arial" w:cs="Arial" w:eastAsia="Arial" w:hAnsi="Arial"/>
                <w:sz w:val="22"/>
                <w:szCs w:val="22"/>
                <w:color w:val="auto"/>
                <w:w w:val="95"/>
              </w:rPr>
              <w:t>1.1.5.4</w:t>
            </w:r>
          </w:p>
        </w:tc>
        <w:tc>
          <w:tcPr>
            <w:tcW w:w="2260" w:type="dxa"/>
            <w:vAlign w:val="bottom"/>
          </w:tcPr>
          <w:p>
            <w:pPr>
              <w:ind w:left="400"/>
              <w:spacing w:after="0"/>
              <w:rPr>
                <w:sz w:val="20"/>
                <w:szCs w:val="20"/>
                <w:color w:val="auto"/>
              </w:rPr>
            </w:pPr>
            <w:r>
              <w:rPr>
                <w:rFonts w:ascii="Arial" w:cs="Arial" w:eastAsia="Arial" w:hAnsi="Arial"/>
                <w:sz w:val="22"/>
                <w:szCs w:val="22"/>
                <w:color w:val="auto"/>
              </w:rPr>
              <w:t>require [*CTR];”</w:t>
            </w:r>
          </w:p>
        </w:tc>
      </w:tr>
    </w:tbl>
    <w:p>
      <w:pPr>
        <w:spacing w:after="0" w:line="227"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21"/>
          <w:szCs w:val="21"/>
          <w:color w:val="auto"/>
        </w:rPr>
        <w:t>Section 1.1.6 is deleted in its entirety and replaced with the following:</w:t>
      </w:r>
    </w:p>
    <w:p>
      <w:pPr>
        <w:sectPr>
          <w:pgSz w:w="11900" w:h="16838" w:orient="portrait"/>
          <w:cols w:equalWidth="0" w:num="1">
            <w:col w:w="11420"/>
          </w:cols>
          <w:pgMar w:left="240" w:top="293" w:right="239" w:bottom="1440" w:gutter="0" w:footer="0" w:header="0"/>
          <w:type w:val="continuous"/>
        </w:sectPr>
      </w:pPr>
    </w:p>
    <w:p>
      <w:pPr>
        <w:spacing w:after="0" w:line="139" w:lineRule="exact"/>
        <w:rPr>
          <w:sz w:val="20"/>
          <w:szCs w:val="20"/>
          <w:color w:val="auto"/>
        </w:rPr>
      </w:pPr>
    </w:p>
    <w:p>
      <w:pPr>
        <w:spacing w:after="0"/>
        <w:rPr>
          <w:sz w:val="20"/>
          <w:szCs w:val="20"/>
          <w:color w:val="auto"/>
        </w:rPr>
      </w:pPr>
      <w:r>
        <w:rPr>
          <w:rFonts w:ascii="Arial" w:cs="Arial" w:eastAsia="Arial" w:hAnsi="Arial"/>
          <w:sz w:val="21"/>
          <w:szCs w:val="21"/>
          <w:color w:val="auto"/>
        </w:rPr>
        <w:t>AAL-PA-3219-LA-1701988</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rPr>
          <w:sz w:val="20"/>
          <w:szCs w:val="20"/>
          <w:color w:val="auto"/>
        </w:rPr>
      </w:pPr>
      <w:r>
        <w:rPr>
          <w:rFonts w:ascii="Arial" w:cs="Arial" w:eastAsia="Arial" w:hAnsi="Arial"/>
          <w:sz w:val="21"/>
          <w:szCs w:val="21"/>
          <w:color w:val="auto"/>
        </w:rPr>
        <w:t>SA-9</w:t>
      </w:r>
    </w:p>
    <w:p>
      <w:pPr>
        <w:spacing w:after="0" w:line="18" w:lineRule="exact"/>
        <w:rPr>
          <w:sz w:val="20"/>
          <w:szCs w:val="20"/>
          <w:color w:val="auto"/>
        </w:rPr>
      </w:pPr>
    </w:p>
    <w:p>
      <w:pPr>
        <w:sectPr>
          <w:pgSz w:w="11900" w:h="16838" w:orient="portrait"/>
          <w:cols w:equalWidth="0" w:num="2">
            <w:col w:w="10220" w:space="720"/>
            <w:col w:w="480"/>
          </w:cols>
          <w:pgMar w:left="240" w:top="293" w:right="239" w:bottom="1440" w:gutter="0" w:footer="0" w:header="0"/>
          <w:type w:val="continuous"/>
        </w:sectPr>
      </w:pPr>
    </w:p>
    <w:p>
      <w:pPr>
        <w:spacing w:after="0"/>
        <w:rPr>
          <w:sz w:val="20"/>
          <w:szCs w:val="20"/>
          <w:color w:val="auto"/>
        </w:rPr>
      </w:pPr>
      <w:r>
        <w:rPr>
          <w:rFonts w:ascii="Arial" w:cs="Arial" w:eastAsia="Arial" w:hAnsi="Arial"/>
          <w:sz w:val="21"/>
          <w:szCs w:val="21"/>
          <w:color w:val="auto"/>
        </w:rPr>
        <w:t>[*CTR],</w:t>
      </w:r>
    </w:p>
    <w:p>
      <w:pPr>
        <w:sectPr>
          <w:pgSz w:w="11900" w:h="16838" w:orient="portrait"/>
          <w:cols w:equalWidth="0" w:num="1">
            <w:col w:w="11420"/>
          </w:cols>
          <w:pgMar w:left="240" w:top="293" w:right="239"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Letter Agreement AAL-PA-3219-LA-1302236R1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color w:val="auto"/>
        </w:rPr>
        <w:t>LA Page 1</w:t>
      </w:r>
    </w:p>
    <w:p>
      <w:pPr>
        <w:spacing w:after="0" w:line="2" w:lineRule="exact"/>
        <w:rPr>
          <w:sz w:val="20"/>
          <w:szCs w:val="20"/>
          <w:color w:val="auto"/>
        </w:rPr>
      </w:pPr>
    </w:p>
    <w:p>
      <w:pPr>
        <w:sectPr>
          <w:pgSz w:w="11900" w:h="16838" w:orient="portrait"/>
          <w:cols w:equalWidth="0" w:num="2">
            <w:col w:w="9700" w:space="720"/>
            <w:col w:w="1000"/>
          </w:cols>
          <w:pgMar w:left="240" w:top="293" w:right="239" w:bottom="1440" w:gutter="0" w:footer="0" w:header="0"/>
          <w:type w:val="continuous"/>
        </w:sectPr>
      </w:pPr>
    </w:p>
    <w:p>
      <w:pPr>
        <w:jc w:val="center"/>
        <w:spacing w:after="0"/>
        <w:rPr>
          <w:sz w:val="20"/>
          <w:szCs w:val="20"/>
          <w:color w:val="auto"/>
        </w:rPr>
      </w:pPr>
      <w:r>
        <w:rPr>
          <w:rFonts w:ascii="Arial" w:cs="Arial" w:eastAsia="Arial" w:hAnsi="Arial"/>
          <w:sz w:val="22"/>
          <w:szCs w:val="22"/>
          <w:b w:val="1"/>
          <w:bCs w:val="1"/>
          <w:color w:val="auto"/>
        </w:rPr>
        <w:t>BOEING PROPRIETARY</w:t>
      </w:r>
    </w:p>
    <w:p>
      <w:pPr>
        <w:spacing w:after="0" w:line="6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[*CTR]=[CONFIDENTIAL PORTION OMITTED AND FILED SEPARATELY WITH THE COMMISSION PURSUANT TO A REQUEST FOR CONFIDENTIAL TREATMENT]</w:t>
      </w:r>
    </w:p>
    <w:p>
      <w:pPr>
        <w:sectPr>
          <w:pgSz w:w="11900" w:h="16838" w:orient="portrait"/>
          <w:cols w:equalWidth="0" w:num="1">
            <w:col w:w="11420"/>
          </w:cols>
          <w:pgMar w:left="240" w:top="293" w:right="239" w:bottom="1440" w:gutter="0" w:footer="0" w:header="0"/>
          <w:type w:val="continuous"/>
        </w:sectPr>
      </w:pPr>
    </w:p>
    <w:bookmarkStart w:id="125" w:name="page126"/>
    <w:bookmarkEnd w:id="125"/>
    <w:p>
      <w:pPr>
        <w:ind w:left="172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182880</wp:posOffset>
            </wp:positionV>
            <wp:extent cx="1380490" cy="3689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clrChange>
                        <a:clrFrom>
                          <a:srgbClr val="FFFFFF"/>
                        </a:clrFrom>
                        <a:clrTo>
                          <a:srgbClr val="FFFFFF">
                            <a:alpha val="0"/>
                          </a:srgbClr>
                        </a:clrTo>
                      </a:clrChange>
                      <a:extLst>
                        <a:ext uri="{28A0092B-C50C-407E-A947-70E740481C1C}"/>
                      </a:extLst>
                    </a:blip>
                    <a:srcRect/>
                    <a:stretch>
                      <a:fillRect/>
                    </a:stretch>
                  </pic:blipFill>
                  <pic:spPr bwMode="auto">
                    <a:xfrm>
                      <a:off x="0" y="0"/>
                      <a:ext cx="1380490" cy="368935"/>
                    </a:xfrm>
                    <a:prstGeom prst="rect">
                      <a:avLst/>
                    </a:prstGeom>
                    <a:noFill/>
                  </pic:spPr>
                </pic:pic>
              </a:graphicData>
            </a:graphic>
          </wp:anchor>
        </w:drawing>
        <w:t>“1.1.6 Intentionally Omitted”</w:t>
      </w:r>
    </w:p>
    <w:p>
      <w:pPr>
        <w:spacing w:after="0" w:line="166" w:lineRule="exact"/>
        <w:rPr>
          <w:sz w:val="20"/>
          <w:szCs w:val="20"/>
          <w:color w:val="auto"/>
        </w:rPr>
      </w:pPr>
    </w:p>
    <w:p>
      <w:pPr>
        <w:ind w:left="800"/>
        <w:spacing w:after="0"/>
        <w:tabs>
          <w:tab w:leader="none" w:pos="1500" w:val="left"/>
        </w:tabs>
        <w:rPr>
          <w:sz w:val="20"/>
          <w:szCs w:val="20"/>
          <w:color w:val="auto"/>
        </w:rPr>
      </w:pPr>
      <w:r>
        <w:rPr>
          <w:rFonts w:ascii="Arial" w:cs="Arial" w:eastAsia="Arial" w:hAnsi="Arial"/>
          <w:sz w:val="22"/>
          <w:szCs w:val="22"/>
          <w:color w:val="auto"/>
        </w:rPr>
        <w:t>1.3</w:t>
      </w:r>
      <w:r>
        <w:rPr>
          <w:sz w:val="20"/>
          <w:szCs w:val="20"/>
          <w:color w:val="auto"/>
        </w:rPr>
        <w:tab/>
      </w:r>
      <w:r>
        <w:rPr>
          <w:rFonts w:ascii="Arial" w:cs="Arial" w:eastAsia="Arial" w:hAnsi="Arial"/>
          <w:sz w:val="21"/>
          <w:szCs w:val="21"/>
          <w:color w:val="auto"/>
        </w:rPr>
        <w:t>Section 1.2.4 is deleted in its entirety and replaced with the following:</w:t>
      </w:r>
    </w:p>
    <w:p>
      <w:pPr>
        <w:spacing w:after="0" w:line="179" w:lineRule="exact"/>
        <w:rPr>
          <w:sz w:val="20"/>
          <w:szCs w:val="20"/>
          <w:color w:val="auto"/>
        </w:rPr>
      </w:pPr>
    </w:p>
    <w:p>
      <w:pPr>
        <w:ind w:left="1540"/>
        <w:spacing w:after="0"/>
        <w:rPr>
          <w:sz w:val="20"/>
          <w:szCs w:val="20"/>
          <w:color w:val="auto"/>
        </w:rPr>
      </w:pPr>
      <w:r>
        <w:rPr>
          <w:rFonts w:ascii="Arial" w:cs="Arial" w:eastAsia="Arial" w:hAnsi="Arial"/>
          <w:sz w:val="22"/>
          <w:szCs w:val="22"/>
          <w:color w:val="auto"/>
        </w:rPr>
        <w:t>“1.2.4 place, [*CTR] and which shall also include a statement that [*CTR]; additionally the [*CTR];”</w:t>
      </w:r>
    </w:p>
    <w:p>
      <w:pPr>
        <w:spacing w:after="0" w:line="166" w:lineRule="exact"/>
        <w:rPr>
          <w:sz w:val="20"/>
          <w:szCs w:val="20"/>
          <w:color w:val="auto"/>
        </w:rPr>
      </w:pPr>
    </w:p>
    <w:p>
      <w:pPr>
        <w:ind w:firstLine="799"/>
        <w:spacing w:after="0" w:line="238" w:lineRule="auto"/>
        <w:rPr>
          <w:sz w:val="20"/>
          <w:szCs w:val="20"/>
          <w:color w:val="auto"/>
        </w:rPr>
      </w:pPr>
      <w:r>
        <w:rPr>
          <w:rFonts w:ascii="Arial" w:cs="Arial" w:eastAsia="Arial" w:hAnsi="Arial"/>
          <w:sz w:val="22"/>
          <w:szCs w:val="22"/>
          <w:color w:val="auto"/>
        </w:rPr>
        <w:t>1.4 Sections 1.2.5 through 1.2.8 are renumbered so that Section 1.2.5 becomes 1.2.7, Section 1.2.6 becomes Section 1.2.8, Section 1.2.7 becomes Section 1.2.9, and Section 1.2.8 becomes Section 1.2.10.</w:t>
      </w:r>
    </w:p>
    <w:p>
      <w:pPr>
        <w:spacing w:after="0" w:line="160" w:lineRule="exact"/>
        <w:rPr>
          <w:sz w:val="20"/>
          <w:szCs w:val="20"/>
          <w:color w:val="auto"/>
        </w:rPr>
      </w:pPr>
    </w:p>
    <w:p>
      <w:pPr>
        <w:ind w:left="1520" w:right="4400" w:hanging="742"/>
        <w:spacing w:after="0" w:line="401" w:lineRule="auto"/>
        <w:tabs>
          <w:tab w:leader="none" w:pos="1500" w:val="left"/>
        </w:tabs>
        <w:rPr>
          <w:sz w:val="20"/>
          <w:szCs w:val="20"/>
          <w:color w:val="auto"/>
        </w:rPr>
      </w:pPr>
      <w:r>
        <w:rPr>
          <w:rFonts w:ascii="Arial" w:cs="Arial" w:eastAsia="Arial" w:hAnsi="Arial"/>
          <w:sz w:val="22"/>
          <w:szCs w:val="22"/>
          <w:color w:val="auto"/>
        </w:rPr>
        <w:t>1.5</w:t>
      </w:r>
      <w:r>
        <w:rPr>
          <w:sz w:val="20"/>
          <w:szCs w:val="20"/>
          <w:color w:val="auto"/>
        </w:rPr>
        <w:tab/>
      </w:r>
      <w:r>
        <w:rPr>
          <w:rFonts w:ascii="Arial" w:cs="Arial" w:eastAsia="Arial" w:hAnsi="Arial"/>
          <w:sz w:val="22"/>
          <w:szCs w:val="22"/>
          <w:color w:val="auto"/>
        </w:rPr>
        <w:t>After Section 1.2.4, the following new sections are added: “1.2.5 notify Customer as soon as possible [*CTR]; 1.2.6 manage all [*CTR],”</w:t>
      </w:r>
    </w:p>
    <w:p>
      <w:pPr>
        <w:spacing w:after="0" w:line="2" w:lineRule="exact"/>
        <w:rPr>
          <w:sz w:val="20"/>
          <w:szCs w:val="20"/>
          <w:color w:val="auto"/>
        </w:rPr>
      </w:pPr>
    </w:p>
    <w:p>
      <w:pPr>
        <w:ind w:left="800"/>
        <w:spacing w:after="0"/>
        <w:tabs>
          <w:tab w:leader="none" w:pos="1500" w:val="left"/>
        </w:tabs>
        <w:rPr>
          <w:sz w:val="20"/>
          <w:szCs w:val="20"/>
          <w:color w:val="auto"/>
        </w:rPr>
      </w:pPr>
      <w:r>
        <w:rPr>
          <w:rFonts w:ascii="Arial" w:cs="Arial" w:eastAsia="Arial" w:hAnsi="Arial"/>
          <w:sz w:val="22"/>
          <w:szCs w:val="22"/>
          <w:color w:val="auto"/>
        </w:rPr>
        <w:t>1.6</w:t>
      </w:r>
      <w:r>
        <w:rPr>
          <w:sz w:val="20"/>
          <w:szCs w:val="20"/>
          <w:color w:val="auto"/>
        </w:rPr>
        <w:tab/>
      </w:r>
      <w:r>
        <w:rPr>
          <w:rFonts w:ascii="Arial" w:cs="Arial" w:eastAsia="Arial" w:hAnsi="Arial"/>
          <w:sz w:val="21"/>
          <w:szCs w:val="21"/>
          <w:color w:val="auto"/>
        </w:rPr>
        <w:t>Section 4.1.1 is amended by replacing the words “the [*CTR]” with “the [*CTR].”</w:t>
      </w:r>
    </w:p>
    <w:p>
      <w:pPr>
        <w:spacing w:after="0" w:line="179" w:lineRule="exact"/>
        <w:rPr>
          <w:sz w:val="20"/>
          <w:szCs w:val="20"/>
          <w:color w:val="auto"/>
        </w:rPr>
      </w:pPr>
    </w:p>
    <w:p>
      <w:pPr>
        <w:ind w:left="800"/>
        <w:spacing w:after="0"/>
        <w:tabs>
          <w:tab w:leader="none" w:pos="1500" w:val="left"/>
        </w:tabs>
        <w:rPr>
          <w:sz w:val="20"/>
          <w:szCs w:val="20"/>
          <w:color w:val="auto"/>
        </w:rPr>
      </w:pPr>
      <w:r>
        <w:rPr>
          <w:rFonts w:ascii="Arial" w:cs="Arial" w:eastAsia="Arial" w:hAnsi="Arial"/>
          <w:sz w:val="22"/>
          <w:szCs w:val="22"/>
          <w:color w:val="auto"/>
        </w:rPr>
        <w:t>1.7</w:t>
      </w:r>
      <w:r>
        <w:rPr>
          <w:sz w:val="20"/>
          <w:szCs w:val="20"/>
          <w:color w:val="auto"/>
        </w:rPr>
        <w:tab/>
      </w:r>
      <w:r>
        <w:rPr>
          <w:rFonts w:ascii="Arial" w:cs="Arial" w:eastAsia="Arial" w:hAnsi="Arial"/>
          <w:sz w:val="21"/>
          <w:szCs w:val="21"/>
          <w:color w:val="auto"/>
        </w:rPr>
        <w:t>Section 6.1 is amended by replacing the words “[*CTR]” with “[*CTR].”</w:t>
      </w:r>
    </w:p>
    <w:p>
      <w:pPr>
        <w:spacing w:after="0" w:line="166" w:lineRule="exact"/>
        <w:rPr>
          <w:sz w:val="20"/>
          <w:szCs w:val="20"/>
          <w:color w:val="auto"/>
        </w:rPr>
      </w:pPr>
    </w:p>
    <w:p>
      <w:pPr>
        <w:ind w:left="800"/>
        <w:spacing w:after="0"/>
        <w:tabs>
          <w:tab w:leader="none" w:pos="1500" w:val="left"/>
        </w:tabs>
        <w:rPr>
          <w:sz w:val="20"/>
          <w:szCs w:val="20"/>
          <w:color w:val="auto"/>
        </w:rPr>
      </w:pPr>
      <w:r>
        <w:rPr>
          <w:rFonts w:ascii="Arial" w:cs="Arial" w:eastAsia="Arial" w:hAnsi="Arial"/>
          <w:sz w:val="22"/>
          <w:szCs w:val="22"/>
          <w:color w:val="auto"/>
        </w:rPr>
        <w:t>1.8</w:t>
      </w:r>
      <w:r>
        <w:rPr>
          <w:sz w:val="20"/>
          <w:szCs w:val="20"/>
          <w:color w:val="auto"/>
        </w:rPr>
        <w:tab/>
      </w:r>
      <w:r>
        <w:rPr>
          <w:rFonts w:ascii="Arial" w:cs="Arial" w:eastAsia="Arial" w:hAnsi="Arial"/>
          <w:sz w:val="21"/>
          <w:szCs w:val="21"/>
          <w:color w:val="auto"/>
        </w:rPr>
        <w:t>Section 8.1 is deleted in its entirety and replaced with the following:</w:t>
      </w:r>
    </w:p>
    <w:p>
      <w:pPr>
        <w:spacing w:after="0" w:line="166" w:lineRule="exact"/>
        <w:rPr>
          <w:sz w:val="20"/>
          <w:szCs w:val="20"/>
          <w:color w:val="auto"/>
        </w:rPr>
      </w:pPr>
    </w:p>
    <w:p>
      <w:pPr>
        <w:ind w:left="800" w:firstLine="743"/>
        <w:spacing w:after="0" w:line="238" w:lineRule="auto"/>
        <w:rPr>
          <w:sz w:val="20"/>
          <w:szCs w:val="20"/>
          <w:color w:val="auto"/>
        </w:rPr>
      </w:pPr>
      <w:r>
        <w:rPr>
          <w:rFonts w:ascii="Arial" w:cs="Arial" w:eastAsia="Arial" w:hAnsi="Arial"/>
          <w:sz w:val="22"/>
          <w:szCs w:val="22"/>
          <w:color w:val="auto"/>
        </w:rPr>
        <w:t>“8.1 [</w:t>
      </w:r>
      <w:r>
        <w:rPr>
          <w:rFonts w:ascii="Arial" w:cs="Arial" w:eastAsia="Arial" w:hAnsi="Arial"/>
          <w:sz w:val="22"/>
          <w:szCs w:val="22"/>
          <w:u w:val="single" w:color="auto"/>
          <w:color w:val="auto"/>
        </w:rPr>
        <w:t>*CTR]</w:t>
      </w:r>
      <w:r>
        <w:rPr>
          <w:rFonts w:ascii="Arial" w:cs="Arial" w:eastAsia="Arial" w:hAnsi="Arial"/>
          <w:sz w:val="22"/>
          <w:szCs w:val="22"/>
          <w:color w:val="auto"/>
        </w:rPr>
        <w:t>. An [*CTR] for each Aircraft. Boeing and Customer agree that the [*CTR] for such Aircraft.”</w:t>
      </w:r>
    </w:p>
    <w:p>
      <w:pPr>
        <w:spacing w:after="0" w:line="93" w:lineRule="exact"/>
        <w:rPr>
          <w:sz w:val="20"/>
          <w:szCs w:val="20"/>
          <w:color w:val="auto"/>
        </w:rPr>
      </w:pPr>
    </w:p>
    <w:p>
      <w:pPr>
        <w:jc w:val="center"/>
        <w:ind w:right="2680"/>
        <w:spacing w:after="0"/>
        <w:tabs>
          <w:tab w:leader="none" w:pos="400" w:val="left"/>
        </w:tabs>
        <w:rPr>
          <w:sz w:val="20"/>
          <w:szCs w:val="20"/>
          <w:color w:val="auto"/>
        </w:rPr>
      </w:pPr>
      <w:r>
        <w:rPr>
          <w:rFonts w:ascii="Arial" w:cs="Arial" w:eastAsia="Arial" w:hAnsi="Arial"/>
          <w:sz w:val="22"/>
          <w:szCs w:val="22"/>
          <w:color w:val="auto"/>
        </w:rPr>
        <w:t>1.9</w:t>
      </w:r>
      <w:r>
        <w:rPr>
          <w:sz w:val="20"/>
          <w:szCs w:val="20"/>
          <w:color w:val="auto"/>
        </w:rPr>
        <w:tab/>
      </w:r>
      <w:r>
        <w:rPr>
          <w:rFonts w:ascii="Arial" w:cs="Arial" w:eastAsia="Arial" w:hAnsi="Arial"/>
          <w:sz w:val="21"/>
          <w:szCs w:val="21"/>
          <w:color w:val="auto"/>
        </w:rPr>
        <w:t>Section 8.2 is deleted in its entirety and replaced with the following:</w:t>
      </w:r>
    </w:p>
    <w:p>
      <w:pPr>
        <w:spacing w:after="0" w:line="98" w:lineRule="exact"/>
        <w:rPr>
          <w:sz w:val="20"/>
          <w:szCs w:val="20"/>
          <w:color w:val="auto"/>
        </w:rPr>
      </w:pPr>
    </w:p>
    <w:p>
      <w:pPr>
        <w:jc w:val="center"/>
        <w:ind w:right="1140"/>
        <w:spacing w:after="0"/>
        <w:tabs>
          <w:tab w:leader="none" w:pos="340" w:val="left"/>
        </w:tabs>
        <w:rPr>
          <w:sz w:val="20"/>
          <w:szCs w:val="20"/>
          <w:color w:val="auto"/>
        </w:rPr>
      </w:pPr>
      <w:r>
        <w:rPr>
          <w:rFonts w:ascii="Arial" w:cs="Arial" w:eastAsia="Arial" w:hAnsi="Arial"/>
          <w:sz w:val="22"/>
          <w:szCs w:val="22"/>
          <w:color w:val="auto"/>
        </w:rPr>
        <w:t>“8.2</w:t>
      </w:r>
      <w:r>
        <w:rPr>
          <w:sz w:val="20"/>
          <w:szCs w:val="20"/>
          <w:color w:val="auto"/>
        </w:rPr>
        <w:tab/>
      </w:r>
      <w:r>
        <w:rPr>
          <w:rFonts w:ascii="Arial" w:cs="Arial" w:eastAsia="Arial" w:hAnsi="Arial"/>
          <w:sz w:val="22"/>
          <w:szCs w:val="22"/>
          <w:u w:val="single" w:color="auto"/>
          <w:color w:val="auto"/>
        </w:rPr>
        <w:t>Aircraft [*CTR]</w:t>
      </w:r>
      <w:r>
        <w:rPr>
          <w:rFonts w:ascii="Arial" w:cs="Arial" w:eastAsia="Arial" w:hAnsi="Arial"/>
          <w:sz w:val="22"/>
          <w:szCs w:val="22"/>
          <w:color w:val="auto"/>
        </w:rPr>
        <w:t>. The Aircraft [*CTR] for the [*CTR]..”</w:t>
      </w:r>
    </w:p>
    <w:p>
      <w:pPr>
        <w:spacing w:after="0" w:line="98" w:lineRule="exact"/>
        <w:rPr>
          <w:sz w:val="20"/>
          <w:szCs w:val="20"/>
          <w:color w:val="auto"/>
        </w:rPr>
      </w:pPr>
    </w:p>
    <w:p>
      <w:pPr>
        <w:jc w:val="center"/>
        <w:ind w:right="2740"/>
        <w:spacing w:after="0"/>
        <w:tabs>
          <w:tab w:leader="none" w:pos="280" w:val="left"/>
        </w:tabs>
        <w:rPr>
          <w:sz w:val="20"/>
          <w:szCs w:val="20"/>
          <w:color w:val="auto"/>
        </w:rPr>
      </w:pPr>
      <w:r>
        <w:rPr>
          <w:rFonts w:ascii="Arial" w:cs="Arial" w:eastAsia="Arial" w:hAnsi="Arial"/>
          <w:sz w:val="22"/>
          <w:szCs w:val="22"/>
          <w:color w:val="auto"/>
        </w:rPr>
        <w:t>1.10</w:t>
      </w:r>
      <w:r>
        <w:rPr>
          <w:sz w:val="20"/>
          <w:szCs w:val="20"/>
          <w:color w:val="auto"/>
        </w:rPr>
        <w:tab/>
      </w:r>
      <w:r>
        <w:rPr>
          <w:rFonts w:ascii="Arial" w:cs="Arial" w:eastAsia="Arial" w:hAnsi="Arial"/>
          <w:sz w:val="21"/>
          <w:szCs w:val="21"/>
          <w:color w:val="auto"/>
        </w:rPr>
        <w:t>Section 10 is deleted in its entirety and replaced with the following:</w:t>
      </w:r>
    </w:p>
    <w:p>
      <w:pPr>
        <w:spacing w:after="0" w:line="98" w:lineRule="exact"/>
        <w:rPr>
          <w:sz w:val="20"/>
          <w:szCs w:val="20"/>
          <w:color w:val="auto"/>
        </w:rPr>
      </w:pPr>
    </w:p>
    <w:p>
      <w:pPr>
        <w:ind w:left="800" w:firstLine="743"/>
        <w:spacing w:after="0" w:line="238" w:lineRule="auto"/>
        <w:rPr>
          <w:sz w:val="20"/>
          <w:szCs w:val="20"/>
          <w:color w:val="auto"/>
        </w:rPr>
      </w:pPr>
      <w:r>
        <w:rPr>
          <w:rFonts w:ascii="Arial" w:cs="Arial" w:eastAsia="Arial" w:hAnsi="Arial"/>
          <w:sz w:val="22"/>
          <w:szCs w:val="22"/>
          <w:color w:val="auto"/>
        </w:rPr>
        <w:t>“10. [</w:t>
      </w:r>
      <w:r>
        <w:rPr>
          <w:rFonts w:ascii="Arial" w:cs="Arial" w:eastAsia="Arial" w:hAnsi="Arial"/>
          <w:sz w:val="22"/>
          <w:szCs w:val="22"/>
          <w:u w:val="single" w:color="auto"/>
          <w:color w:val="auto"/>
        </w:rPr>
        <w:t>*CTR]</w:t>
      </w:r>
      <w:r>
        <w:rPr>
          <w:rFonts w:ascii="Arial" w:cs="Arial" w:eastAsia="Arial" w:hAnsi="Arial"/>
          <w:sz w:val="22"/>
          <w:szCs w:val="22"/>
          <w:color w:val="auto"/>
        </w:rPr>
        <w:t>. [*CTR] will at all times [*CTR] with Customer [*CTR] and Boeing will have [*CTR] would have, but will not be [*CTR].”</w:t>
      </w:r>
    </w:p>
    <w:p>
      <w:pPr>
        <w:sectPr>
          <w:pgSz w:w="11900" w:h="16838" w:orient="portrait"/>
          <w:cols w:equalWidth="0" w:num="1">
            <w:col w:w="11420"/>
          </w:cols>
          <w:pgMar w:left="240" w:top="1011" w:right="239" w:bottom="1440" w:gutter="0" w:footer="0" w:header="0"/>
        </w:sectPr>
      </w:pP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color w:val="auto"/>
        </w:rPr>
        <w:t>AAL-PA-3219-LA-1701988</w:t>
      </w:r>
    </w:p>
    <w:p>
      <w:pPr>
        <w:spacing w:after="0" w:line="230" w:lineRule="auto"/>
        <w:rPr>
          <w:sz w:val="20"/>
          <w:szCs w:val="20"/>
          <w:color w:val="auto"/>
        </w:rPr>
      </w:pPr>
      <w:r>
        <w:rPr>
          <w:rFonts w:ascii="Arial" w:cs="Arial" w:eastAsia="Arial" w:hAnsi="Arial"/>
          <w:sz w:val="22"/>
          <w:szCs w:val="22"/>
          <w:color w:val="auto"/>
        </w:rPr>
        <w:t>[*CTR],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Letter Agreement AAL-PA-3219-LA-1302236R1</w:t>
      </w:r>
    </w:p>
    <w:p>
      <w:pPr>
        <w:spacing w:after="0" w:line="4" w:lineRule="exact"/>
        <w:rPr>
          <w:sz w:val="20"/>
          <w:szCs w:val="20"/>
          <w:color w:val="auto"/>
        </w:rPr>
      </w:pPr>
    </w:p>
    <w:p>
      <w:pPr>
        <w:ind w:left="4480"/>
        <w:spacing w:after="0"/>
        <w:rPr>
          <w:sz w:val="20"/>
          <w:szCs w:val="20"/>
          <w:color w:val="auto"/>
        </w:rPr>
      </w:pPr>
      <w:r>
        <w:rPr>
          <w:rFonts w:ascii="Arial" w:cs="Arial" w:eastAsia="Arial" w:hAnsi="Arial"/>
          <w:sz w:val="21"/>
          <w:szCs w:val="21"/>
          <w:b w:val="1"/>
          <w:bCs w:val="1"/>
          <w:color w:val="auto"/>
        </w:rPr>
        <w:t>BOEING PROPRIETARY</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22"/>
          <w:szCs w:val="22"/>
          <w:color w:val="auto"/>
        </w:rPr>
        <w:t>SA-9</w:t>
      </w:r>
    </w:p>
    <w:p>
      <w:pPr>
        <w:spacing w:after="0" w:line="233" w:lineRule="exact"/>
        <w:rPr>
          <w:sz w:val="20"/>
          <w:szCs w:val="20"/>
          <w:color w:val="auto"/>
        </w:rPr>
      </w:pPr>
    </w:p>
    <w:p>
      <w:pPr>
        <w:jc w:val="right"/>
        <w:spacing w:after="0"/>
        <w:rPr>
          <w:sz w:val="20"/>
          <w:szCs w:val="20"/>
          <w:color w:val="auto"/>
        </w:rPr>
      </w:pPr>
      <w:r>
        <w:rPr>
          <w:rFonts w:ascii="Arial" w:cs="Arial" w:eastAsia="Arial" w:hAnsi="Arial"/>
          <w:sz w:val="21"/>
          <w:szCs w:val="21"/>
          <w:color w:val="auto"/>
        </w:rPr>
        <w:t>LA Page 2</w:t>
      </w:r>
    </w:p>
    <w:p>
      <w:pPr>
        <w:spacing w:after="0" w:line="347" w:lineRule="exact"/>
        <w:rPr>
          <w:sz w:val="20"/>
          <w:szCs w:val="20"/>
          <w:color w:val="auto"/>
        </w:rPr>
      </w:pPr>
    </w:p>
    <w:p>
      <w:pPr>
        <w:sectPr>
          <w:pgSz w:w="11900" w:h="16838" w:orient="portrait"/>
          <w:cols w:equalWidth="0" w:num="2">
            <w:col w:w="9700" w:space="720"/>
            <w:col w:w="1000"/>
          </w:cols>
          <w:pgMar w:left="240" w:top="1011" w:right="239" w:bottom="1440" w:gutter="0" w:footer="0" w:header="0"/>
          <w:type w:val="continuous"/>
        </w:sectPr>
      </w:pPr>
    </w:p>
    <w:p>
      <w:pPr>
        <w:spacing w:after="0" w:line="260" w:lineRule="auto"/>
        <w:rPr>
          <w:sz w:val="20"/>
          <w:szCs w:val="20"/>
          <w:color w:val="auto"/>
        </w:rPr>
      </w:pPr>
      <w:r>
        <w:rPr>
          <w:rFonts w:ascii="Arial" w:cs="Arial" w:eastAsia="Arial" w:hAnsi="Arial"/>
          <w:sz w:val="16"/>
          <w:szCs w:val="16"/>
          <w:color w:val="auto"/>
        </w:rPr>
        <w:t>[*CTR]=[CONFIDENTIAL PORTION OMITTED AND FILED SEPARATELY WITH THE COMMISSION PURSUANT TO A REQUEST FOR CONFIDENTIAL TREATMENT]</w:t>
      </w:r>
    </w:p>
    <w:p>
      <w:pPr>
        <w:sectPr>
          <w:pgSz w:w="11900" w:h="16838" w:orient="portrait"/>
          <w:cols w:equalWidth="0" w:num="1">
            <w:col w:w="11420"/>
          </w:cols>
          <w:pgMar w:left="240" w:top="1011" w:right="239" w:bottom="1440" w:gutter="0" w:footer="0" w:header="0"/>
          <w:type w:val="continuous"/>
        </w:sectPr>
      </w:pPr>
    </w:p>
    <w:bookmarkStart w:id="126" w:name="page127"/>
    <w:bookmarkEnd w:id="126"/>
    <w:p>
      <w:pPr>
        <w:ind w:left="800" w:hanging="792"/>
        <w:spacing w:after="0"/>
        <w:tabs>
          <w:tab w:leader="none" w:pos="800" w:val="left"/>
        </w:tabs>
        <w:numPr>
          <w:ilvl w:val="0"/>
          <w:numId w:val="102"/>
        </w:numPr>
        <w:rPr>
          <w:rFonts w:ascii="Arial" w:cs="Arial" w:eastAsia="Arial" w:hAnsi="Arial"/>
          <w:sz w:val="22"/>
          <w:szCs w:val="22"/>
          <w:color w:val="auto"/>
        </w:rPr>
      </w:pPr>
      <w:r>
        <w:rPr>
          <w:rFonts w:ascii="Arial" w:cs="Arial" w:eastAsia="Arial" w:hAnsi="Arial"/>
          <w:sz w:val="22"/>
          <w:szCs w:val="22"/>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380490" cy="3689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clrChange>
                        <a:clrFrom>
                          <a:srgbClr val="FFFFFF"/>
                        </a:clrFrom>
                        <a:clrTo>
                          <a:srgbClr val="FFFFFF">
                            <a:alpha val="0"/>
                          </a:srgbClr>
                        </a:clrTo>
                      </a:clrChange>
                      <a:extLst>
                        <a:ext uri="{28A0092B-C50C-407E-A947-70E740481C1C}"/>
                      </a:extLst>
                    </a:blip>
                    <a:srcRect/>
                    <a:stretch>
                      <a:fillRect/>
                    </a:stretch>
                  </pic:blipFill>
                  <pic:spPr bwMode="auto">
                    <a:xfrm>
                      <a:off x="0" y="0"/>
                      <a:ext cx="1380490" cy="368935"/>
                    </a:xfrm>
                    <a:prstGeom prst="rect">
                      <a:avLst/>
                    </a:prstGeom>
                    <a:noFill/>
                  </pic:spPr>
                </pic:pic>
              </a:graphicData>
            </a:graphic>
          </wp:anchor>
        </w:drawing>
        <w:t>Confidential Treatment</w:t>
      </w:r>
      <w:r>
        <w:rPr>
          <w:rFonts w:ascii="Arial" w:cs="Arial" w:eastAsia="Arial" w:hAnsi="Arial"/>
          <w:sz w:val="22"/>
          <w:szCs w:val="22"/>
          <w:color w:val="auto"/>
        </w:rPr>
        <w:t>.</w:t>
      </w:r>
    </w:p>
    <w:p>
      <w:pPr>
        <w:spacing w:after="0" w:line="206" w:lineRule="exact"/>
        <w:rPr>
          <w:sz w:val="20"/>
          <w:szCs w:val="20"/>
          <w:color w:val="auto"/>
        </w:rPr>
      </w:pPr>
    </w:p>
    <w:p>
      <w:pPr>
        <w:jc w:val="both"/>
        <w:ind w:firstLine="799"/>
        <w:spacing w:after="0" w:line="234" w:lineRule="auto"/>
        <w:rPr>
          <w:sz w:val="20"/>
          <w:szCs w:val="20"/>
          <w:color w:val="auto"/>
        </w:rPr>
      </w:pPr>
      <w:r>
        <w:rPr>
          <w:rFonts w:ascii="Arial" w:cs="Arial" w:eastAsia="Arial" w:hAnsi="Arial"/>
          <w:sz w:val="22"/>
          <w:szCs w:val="22"/>
          <w:color w:val="auto"/>
        </w:rPr>
        <w:t>Customer and Boeing understand and agree that the information contained herein represents confidential business information and has value precisely because it is not generally available to other parties. This Letter Agreement shall be subject to the terms and conditions of Letter Agreement 6-1162-TRW-0673R1 entitled “</w:t>
      </w:r>
      <w:r>
        <w:rPr>
          <w:rFonts w:ascii="Arial" w:cs="Arial" w:eastAsia="Arial" w:hAnsi="Arial"/>
          <w:sz w:val="22"/>
          <w:szCs w:val="22"/>
          <w:u w:val="single" w:color="auto"/>
          <w:color w:val="auto"/>
        </w:rPr>
        <w:t>Confidentiality</w:t>
      </w:r>
      <w:r>
        <w:rPr>
          <w:rFonts w:ascii="Arial" w:cs="Arial" w:eastAsia="Arial" w:hAnsi="Arial"/>
          <w:sz w:val="22"/>
          <w:szCs w:val="22"/>
          <w:color w:val="auto"/>
        </w:rPr>
        <w:t>”.</w:t>
      </w:r>
    </w:p>
    <w:p>
      <w:pPr>
        <w:spacing w:after="0" w:line="202" w:lineRule="exact"/>
        <w:rPr>
          <w:sz w:val="20"/>
          <w:szCs w:val="20"/>
          <w:color w:val="auto"/>
        </w:rPr>
      </w:pPr>
    </w:p>
    <w:p>
      <w:pPr>
        <w:jc w:val="both"/>
        <w:ind w:right="20" w:firstLine="799"/>
        <w:spacing w:after="0" w:line="238" w:lineRule="auto"/>
        <w:rPr>
          <w:sz w:val="20"/>
          <w:szCs w:val="20"/>
          <w:color w:val="auto"/>
        </w:rPr>
      </w:pPr>
      <w:r>
        <w:rPr>
          <w:rFonts w:ascii="Arial" w:cs="Arial" w:eastAsia="Arial" w:hAnsi="Arial"/>
          <w:sz w:val="22"/>
          <w:szCs w:val="22"/>
          <w:color w:val="auto"/>
        </w:rPr>
        <w:t>If the foregoing correctly sets forth your understanding of our agreement with respect to the matters treated above, please indicate your acceptance and approval below.</w:t>
      </w:r>
    </w:p>
    <w:p>
      <w:pPr>
        <w:sectPr>
          <w:pgSz w:w="11900" w:h="16838" w:orient="portrait"/>
          <w:cols w:equalWidth="0" w:num="1">
            <w:col w:w="11420"/>
          </w:cols>
          <w:pgMar w:left="240" w:top="1132" w:right="239" w:bottom="1440" w:gutter="0" w:footer="0" w:header="0"/>
        </w:sectPr>
      </w:pPr>
    </w:p>
    <w:p>
      <w:pPr>
        <w:spacing w:after="0" w:line="133" w:lineRule="exact"/>
        <w:rPr>
          <w:sz w:val="20"/>
          <w:szCs w:val="20"/>
          <w:color w:val="auto"/>
        </w:rPr>
      </w:pPr>
    </w:p>
    <w:p>
      <w:pPr>
        <w:spacing w:after="0"/>
        <w:rPr>
          <w:sz w:val="20"/>
          <w:szCs w:val="20"/>
          <w:color w:val="auto"/>
        </w:rPr>
      </w:pPr>
      <w:r>
        <w:rPr>
          <w:rFonts w:ascii="Arial" w:cs="Arial" w:eastAsia="Arial" w:hAnsi="Arial"/>
          <w:sz w:val="21"/>
          <w:szCs w:val="21"/>
          <w:color w:val="auto"/>
        </w:rPr>
        <w:t>AAL-PA-3219-LA-1701988</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rPr>
          <w:sz w:val="20"/>
          <w:szCs w:val="20"/>
          <w:color w:val="auto"/>
        </w:rPr>
      </w:pPr>
      <w:r>
        <w:rPr>
          <w:rFonts w:ascii="Arial" w:cs="Arial" w:eastAsia="Arial" w:hAnsi="Arial"/>
          <w:sz w:val="21"/>
          <w:szCs w:val="21"/>
          <w:color w:val="auto"/>
        </w:rPr>
        <w:t>SA-9</w:t>
      </w:r>
    </w:p>
    <w:p>
      <w:pPr>
        <w:spacing w:after="0" w:line="18" w:lineRule="exact"/>
        <w:rPr>
          <w:sz w:val="20"/>
          <w:szCs w:val="20"/>
          <w:color w:val="auto"/>
        </w:rPr>
      </w:pPr>
    </w:p>
    <w:p>
      <w:pPr>
        <w:sectPr>
          <w:pgSz w:w="11900" w:h="16838" w:orient="portrait"/>
          <w:cols w:equalWidth="0" w:num="2">
            <w:col w:w="10220" w:space="720"/>
            <w:col w:w="480"/>
          </w:cols>
          <w:pgMar w:left="240" w:top="1132" w:right="239" w:bottom="1440" w:gutter="0" w:footer="0" w:header="0"/>
          <w:type w:val="continuous"/>
        </w:sectPr>
      </w:pPr>
    </w:p>
    <w:p>
      <w:pPr>
        <w:spacing w:after="0"/>
        <w:rPr>
          <w:sz w:val="20"/>
          <w:szCs w:val="20"/>
          <w:color w:val="auto"/>
        </w:rPr>
      </w:pPr>
      <w:r>
        <w:rPr>
          <w:rFonts w:ascii="Arial" w:cs="Arial" w:eastAsia="Arial" w:hAnsi="Arial"/>
          <w:sz w:val="21"/>
          <w:szCs w:val="21"/>
          <w:color w:val="auto"/>
        </w:rPr>
        <w:t>[*CTR],</w:t>
      </w:r>
    </w:p>
    <w:p>
      <w:pPr>
        <w:sectPr>
          <w:pgSz w:w="11900" w:h="16838" w:orient="portrait"/>
          <w:cols w:equalWidth="0" w:num="1">
            <w:col w:w="11420"/>
          </w:cols>
          <w:pgMar w:left="240" w:top="1132" w:right="239"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Letter Agreement AAL-PA-3219-LA-1302236R1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color w:val="auto"/>
        </w:rPr>
        <w:t>LA Page 3</w:t>
      </w:r>
    </w:p>
    <w:p>
      <w:pPr>
        <w:spacing w:after="0" w:line="2" w:lineRule="exact"/>
        <w:rPr>
          <w:sz w:val="20"/>
          <w:szCs w:val="20"/>
          <w:color w:val="auto"/>
        </w:rPr>
      </w:pPr>
    </w:p>
    <w:p>
      <w:pPr>
        <w:sectPr>
          <w:pgSz w:w="11900" w:h="16838" w:orient="portrait"/>
          <w:cols w:equalWidth="0" w:num="2">
            <w:col w:w="9700" w:space="720"/>
            <w:col w:w="1000"/>
          </w:cols>
          <w:pgMar w:left="240" w:top="1132" w:right="239" w:bottom="1440" w:gutter="0" w:footer="0" w:header="0"/>
          <w:type w:val="continuous"/>
        </w:sectPr>
      </w:pPr>
    </w:p>
    <w:p>
      <w:pPr>
        <w:jc w:val="center"/>
        <w:spacing w:after="0"/>
        <w:rPr>
          <w:sz w:val="20"/>
          <w:szCs w:val="20"/>
          <w:color w:val="auto"/>
        </w:rPr>
      </w:pPr>
      <w:r>
        <w:rPr>
          <w:rFonts w:ascii="Arial" w:cs="Arial" w:eastAsia="Arial" w:hAnsi="Arial"/>
          <w:sz w:val="21"/>
          <w:szCs w:val="21"/>
          <w:b w:val="1"/>
          <w:bCs w:val="1"/>
          <w:color w:val="auto"/>
        </w:rPr>
        <w:t>BOEING PROPRIETARY</w:t>
      </w:r>
    </w:p>
    <w:p>
      <w:pPr>
        <w:sectPr>
          <w:pgSz w:w="11900" w:h="16838" w:orient="portrait"/>
          <w:cols w:equalWidth="0" w:num="1">
            <w:col w:w="11420"/>
          </w:cols>
          <w:pgMar w:left="240" w:top="1132" w:right="239" w:bottom="1440" w:gutter="0" w:footer="0" w:header="0"/>
          <w:type w:val="continuous"/>
        </w:sectPr>
      </w:pPr>
    </w:p>
    <w:p>
      <w:pPr>
        <w:spacing w:after="0" w:line="75"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[*CTR]=[CONFIDENTIAL PORTION OMITTED AND FILED SEPARATELY WITH THE COMMISSION PURSUANT TO A REQUEST FOR CONFIDENTIAL TREATMENT]</w:t>
      </w:r>
    </w:p>
    <w:p>
      <w:pPr>
        <w:sectPr>
          <w:pgSz w:w="11900" w:h="16838" w:orient="portrait"/>
          <w:cols w:equalWidth="0" w:num="1">
            <w:col w:w="11420"/>
          </w:cols>
          <w:pgMar w:left="240" w:top="1132" w:right="239" w:bottom="1440" w:gutter="0" w:footer="0" w:header="0"/>
          <w:type w:val="continuous"/>
        </w:sectPr>
      </w:pPr>
    </w:p>
    <w:bookmarkStart w:id="127" w:name="page128"/>
    <w:bookmarkEnd w:id="127"/>
    <w:p>
      <w:pPr>
        <w:spacing w:after="0" w:line="26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380490" cy="3689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clrChange>
                        <a:clrFrom>
                          <a:srgbClr val="FFFFFF"/>
                        </a:clrFrom>
                        <a:clrTo>
                          <a:srgbClr val="FFFFFF">
                            <a:alpha val="0"/>
                          </a:srgbClr>
                        </a:clrTo>
                      </a:clrChange>
                      <a:extLst>
                        <a:ext uri="{28A0092B-C50C-407E-A947-70E740481C1C}"/>
                      </a:extLst>
                    </a:blip>
                    <a:srcRect/>
                    <a:stretch>
                      <a:fillRect/>
                    </a:stretch>
                  </pic:blipFill>
                  <pic:spPr bwMode="auto">
                    <a:xfrm>
                      <a:off x="0" y="0"/>
                      <a:ext cx="1380490" cy="36893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Very truly yours,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THE BOEING COMPANY</w:t>
      </w:r>
    </w:p>
    <w:p>
      <w:pPr>
        <w:spacing w:after="0" w:line="206" w:lineRule="exact"/>
        <w:rPr>
          <w:sz w:val="20"/>
          <w:szCs w:val="20"/>
          <w:color w:val="auto"/>
        </w:rPr>
      </w:pPr>
    </w:p>
    <w:p>
      <w:pPr>
        <w:spacing w:after="0"/>
        <w:tabs>
          <w:tab w:leader="none" w:pos="9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The Boeing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-1270</wp:posOffset>
            </wp:positionV>
            <wp:extent cx="307022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070225" cy="8890"/>
                    </a:xfrm>
                    <a:prstGeom prst="rect">
                      <a:avLst/>
                    </a:prstGeom>
                    <a:noFill/>
                  </pic:spPr>
                </pic:pic>
              </a:graphicData>
            </a:graphic>
          </wp:anchor>
        </w:drawing>
      </w:r>
    </w:p>
    <w:p>
      <w:pPr>
        <w:spacing w:after="0" w:line="213" w:lineRule="exact"/>
        <w:rPr>
          <w:sz w:val="20"/>
          <w:szCs w:val="20"/>
          <w:color w:val="auto"/>
        </w:rPr>
      </w:pPr>
    </w:p>
    <w:p>
      <w:pPr>
        <w:spacing w:after="0"/>
        <w:tabs>
          <w:tab w:leader="none" w:pos="960" w:val="left"/>
        </w:tabs>
        <w:rPr>
          <w:sz w:val="20"/>
          <w:szCs w:val="20"/>
          <w:color w:val="auto"/>
        </w:rPr>
      </w:pPr>
      <w:r>
        <w:rPr>
          <w:rFonts w:ascii="Arial" w:cs="Arial" w:eastAsia="Arial" w:hAnsi="Arial"/>
          <w:sz w:val="22"/>
          <w:szCs w:val="22"/>
          <w:color w:val="auto"/>
        </w:rPr>
        <w:t>Its</w:t>
      </w:r>
      <w:r>
        <w:rPr>
          <w:sz w:val="20"/>
          <w:szCs w:val="20"/>
          <w:color w:val="auto"/>
        </w:rPr>
        <w:tab/>
      </w:r>
      <w:r>
        <w:rPr>
          <w:rFonts w:ascii="Arial" w:cs="Arial" w:eastAsia="Arial" w:hAnsi="Arial"/>
          <w:sz w:val="22"/>
          <w:szCs w:val="22"/>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-1270</wp:posOffset>
            </wp:positionV>
            <wp:extent cx="307022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0702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5700" w:type="dxa"/>
            <w:vAlign w:val="bottom"/>
            <w:gridSpan w:val="2"/>
          </w:tcPr>
          <w:p>
            <w:pPr>
              <w:spacing w:after="0"/>
              <w:rPr>
                <w:sz w:val="20"/>
                <w:szCs w:val="20"/>
                <w:color w:val="auto"/>
              </w:rPr>
            </w:pPr>
            <w:r>
              <w:rPr>
                <w:rFonts w:ascii="Arial" w:cs="Arial" w:eastAsia="Arial" w:hAnsi="Arial"/>
                <w:sz w:val="22"/>
                <w:szCs w:val="22"/>
                <w:color w:val="auto"/>
              </w:rPr>
              <w:t>ACCEPTED AND AGREED TO this</w:t>
            </w:r>
          </w:p>
        </w:tc>
      </w:tr>
      <w:tr>
        <w:trPr>
          <w:trHeight w:val="449"/>
        </w:trPr>
        <w:tc>
          <w:tcPr>
            <w:tcW w:w="880" w:type="dxa"/>
            <w:vAlign w:val="bottom"/>
          </w:tcPr>
          <w:p>
            <w:pPr>
              <w:spacing w:after="0"/>
              <w:rPr>
                <w:sz w:val="20"/>
                <w:szCs w:val="20"/>
                <w:color w:val="auto"/>
              </w:rPr>
            </w:pPr>
            <w:r>
              <w:rPr>
                <w:rFonts w:ascii="Arial" w:cs="Arial" w:eastAsia="Arial" w:hAnsi="Arial"/>
                <w:sz w:val="22"/>
                <w:szCs w:val="22"/>
                <w:color w:val="auto"/>
              </w:rPr>
              <w:t>Date:</w:t>
            </w:r>
          </w:p>
        </w:tc>
        <w:tc>
          <w:tcPr>
            <w:tcW w:w="4820" w:type="dxa"/>
            <w:vAlign w:val="bottom"/>
            <w:tcBorders>
              <w:bottom w:val="single" w:sz="8" w:color="auto"/>
            </w:tcBorders>
          </w:tcPr>
          <w:p>
            <w:pPr>
              <w:ind w:left="120"/>
              <w:spacing w:after="0"/>
              <w:rPr>
                <w:sz w:val="20"/>
                <w:szCs w:val="20"/>
                <w:color w:val="auto"/>
              </w:rPr>
            </w:pPr>
            <w:r>
              <w:rPr>
                <w:rFonts w:ascii="Arial" w:cs="Arial" w:eastAsia="Arial" w:hAnsi="Arial"/>
                <w:sz w:val="22"/>
                <w:szCs w:val="22"/>
                <w:color w:val="auto"/>
              </w:rPr>
              <w:t>May 11, 2017</w:t>
            </w:r>
          </w:p>
        </w:tc>
      </w:tr>
      <w:tr>
        <w:trPr>
          <w:trHeight w:val="476"/>
        </w:trPr>
        <w:tc>
          <w:tcPr>
            <w:tcW w:w="5700" w:type="dxa"/>
            <w:vAlign w:val="bottom"/>
            <w:gridSpan w:val="2"/>
          </w:tcPr>
          <w:p>
            <w:pPr>
              <w:spacing w:after="0"/>
              <w:rPr>
                <w:sz w:val="20"/>
                <w:szCs w:val="20"/>
                <w:color w:val="auto"/>
              </w:rPr>
            </w:pPr>
            <w:r>
              <w:rPr>
                <w:rFonts w:ascii="Arial" w:cs="Arial" w:eastAsia="Arial" w:hAnsi="Arial"/>
                <w:sz w:val="22"/>
                <w:szCs w:val="22"/>
                <w:color w:val="auto"/>
              </w:rPr>
              <w:t>AMERICAN AIRLINES, INC.</w:t>
            </w:r>
          </w:p>
        </w:tc>
      </w:tr>
      <w:tr>
        <w:trPr>
          <w:trHeight w:val="449"/>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4820" w:type="dxa"/>
            <w:vAlign w:val="bottom"/>
            <w:tcBorders>
              <w:bottom w:val="single" w:sz="8" w:color="auto"/>
            </w:tcBorders>
          </w:tcPr>
          <w:p>
            <w:pPr>
              <w:ind w:left="120"/>
              <w:spacing w:after="0"/>
              <w:rPr>
                <w:sz w:val="20"/>
                <w:szCs w:val="20"/>
                <w:color w:val="auto"/>
              </w:rPr>
            </w:pPr>
            <w:r>
              <w:rPr>
                <w:rFonts w:ascii="Arial" w:cs="Arial" w:eastAsia="Arial" w:hAnsi="Arial"/>
                <w:sz w:val="22"/>
                <w:szCs w:val="22"/>
                <w:color w:val="auto"/>
              </w:rPr>
              <w:t>/s/ American Airlines, Inc.</w:t>
            </w:r>
          </w:p>
        </w:tc>
      </w:tr>
      <w:tr>
        <w:trPr>
          <w:trHeight w:val="466"/>
        </w:trPr>
        <w:tc>
          <w:tcPr>
            <w:tcW w:w="880" w:type="dxa"/>
            <w:vAlign w:val="bottom"/>
          </w:tcPr>
          <w:p>
            <w:pPr>
              <w:spacing w:after="0"/>
              <w:rPr>
                <w:sz w:val="20"/>
                <w:szCs w:val="20"/>
                <w:color w:val="auto"/>
              </w:rPr>
            </w:pPr>
            <w:r>
              <w:rPr>
                <w:rFonts w:ascii="Arial" w:cs="Arial" w:eastAsia="Arial" w:hAnsi="Arial"/>
                <w:sz w:val="22"/>
                <w:szCs w:val="22"/>
                <w:color w:val="auto"/>
              </w:rPr>
              <w:t>Its</w:t>
            </w:r>
          </w:p>
        </w:tc>
        <w:tc>
          <w:tcPr>
            <w:tcW w:w="4820" w:type="dxa"/>
            <w:vAlign w:val="bottom"/>
            <w:tcBorders>
              <w:bottom w:val="single" w:sz="8" w:color="auto"/>
            </w:tcBorders>
          </w:tcPr>
          <w:p>
            <w:pPr>
              <w:ind w:left="120"/>
              <w:spacing w:after="0"/>
              <w:rPr>
                <w:sz w:val="20"/>
                <w:szCs w:val="20"/>
                <w:color w:val="auto"/>
              </w:rPr>
            </w:pPr>
            <w:r>
              <w:rPr>
                <w:rFonts w:ascii="Arial" w:cs="Arial" w:eastAsia="Arial" w:hAnsi="Arial"/>
                <w:sz w:val="22"/>
                <w:szCs w:val="22"/>
                <w:color w:val="auto"/>
              </w:rPr>
              <w:t>VP and Treasurer</w:t>
            </w:r>
          </w:p>
        </w:tc>
      </w:tr>
    </w:tbl>
    <w:p>
      <w:pPr>
        <w:spacing w:after="0" w:line="115" w:lineRule="exact"/>
        <w:rPr>
          <w:sz w:val="20"/>
          <w:szCs w:val="20"/>
          <w:color w:val="auto"/>
        </w:rPr>
      </w:pPr>
    </w:p>
    <w:p>
      <w:pPr>
        <w:spacing w:after="0"/>
        <w:rPr>
          <w:sz w:val="20"/>
          <w:szCs w:val="20"/>
          <w:color w:val="auto"/>
        </w:rPr>
      </w:pPr>
      <w:r>
        <w:rPr>
          <w:rFonts w:ascii="Arial" w:cs="Arial" w:eastAsia="Arial" w:hAnsi="Arial"/>
          <w:sz w:val="22"/>
          <w:szCs w:val="22"/>
          <w:color w:val="auto"/>
        </w:rPr>
        <w:t>Attachments</w:t>
      </w:r>
    </w:p>
    <w:p>
      <w:pPr>
        <w:sectPr>
          <w:pgSz w:w="11900" w:h="16838" w:orient="portrait"/>
          <w:cols w:equalWidth="0" w:num="1">
            <w:col w:w="11420"/>
          </w:cols>
          <w:pgMar w:left="240" w:top="1440" w:right="239" w:bottom="1440" w:gutter="0" w:footer="0" w:header="0"/>
        </w:sectPr>
      </w:pPr>
    </w:p>
    <w:p>
      <w:pPr>
        <w:spacing w:after="0" w:line="139" w:lineRule="exact"/>
        <w:rPr>
          <w:sz w:val="20"/>
          <w:szCs w:val="20"/>
          <w:color w:val="auto"/>
        </w:rPr>
      </w:pPr>
    </w:p>
    <w:p>
      <w:pPr>
        <w:spacing w:after="0"/>
        <w:rPr>
          <w:sz w:val="20"/>
          <w:szCs w:val="20"/>
          <w:color w:val="auto"/>
        </w:rPr>
      </w:pPr>
      <w:r>
        <w:rPr>
          <w:rFonts w:ascii="Arial" w:cs="Arial" w:eastAsia="Arial" w:hAnsi="Arial"/>
          <w:sz w:val="21"/>
          <w:szCs w:val="21"/>
          <w:color w:val="auto"/>
        </w:rPr>
        <w:t>AAL-PA-3219-LA-1701988</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rPr>
          <w:sz w:val="20"/>
          <w:szCs w:val="20"/>
          <w:color w:val="auto"/>
        </w:rPr>
      </w:pPr>
      <w:r>
        <w:rPr>
          <w:rFonts w:ascii="Arial" w:cs="Arial" w:eastAsia="Arial" w:hAnsi="Arial"/>
          <w:sz w:val="21"/>
          <w:szCs w:val="21"/>
          <w:color w:val="auto"/>
        </w:rPr>
        <w:t>SA-9</w:t>
      </w:r>
    </w:p>
    <w:p>
      <w:pPr>
        <w:spacing w:after="0" w:line="18" w:lineRule="exact"/>
        <w:rPr>
          <w:sz w:val="20"/>
          <w:szCs w:val="20"/>
          <w:color w:val="auto"/>
        </w:rPr>
      </w:pPr>
    </w:p>
    <w:p>
      <w:pPr>
        <w:sectPr>
          <w:pgSz w:w="11900" w:h="16838" w:orient="portrait"/>
          <w:cols w:equalWidth="0" w:num="2">
            <w:col w:w="10220" w:space="720"/>
            <w:col w:w="480"/>
          </w:cols>
          <w:pgMar w:left="240" w:top="1440" w:right="239" w:bottom="1440" w:gutter="0" w:footer="0" w:header="0"/>
          <w:type w:val="continuous"/>
        </w:sectPr>
      </w:pPr>
    </w:p>
    <w:p>
      <w:pPr>
        <w:spacing w:after="0"/>
        <w:rPr>
          <w:sz w:val="20"/>
          <w:szCs w:val="20"/>
          <w:color w:val="auto"/>
        </w:rPr>
      </w:pPr>
      <w:r>
        <w:rPr>
          <w:rFonts w:ascii="Arial" w:cs="Arial" w:eastAsia="Arial" w:hAnsi="Arial"/>
          <w:sz w:val="21"/>
          <w:szCs w:val="21"/>
          <w:color w:val="auto"/>
        </w:rPr>
        <w:t>[*CTR],</w:t>
      </w:r>
    </w:p>
    <w:p>
      <w:pPr>
        <w:sectPr>
          <w:pgSz w:w="11900" w:h="16838" w:orient="portrait"/>
          <w:cols w:equalWidth="0" w:num="1">
            <w:col w:w="11420"/>
          </w:cols>
          <w:pgMar w:left="240" w:top="1440" w:right="239"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Letter Agreement AAL-PA-3219-LA-1302236R1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color w:val="auto"/>
        </w:rPr>
        <w:t>LA Page 4</w:t>
      </w:r>
    </w:p>
    <w:p>
      <w:pPr>
        <w:spacing w:after="0" w:line="2" w:lineRule="exact"/>
        <w:rPr>
          <w:sz w:val="20"/>
          <w:szCs w:val="20"/>
          <w:color w:val="auto"/>
        </w:rPr>
      </w:pPr>
    </w:p>
    <w:p>
      <w:pPr>
        <w:sectPr>
          <w:pgSz w:w="11900" w:h="16838" w:orient="portrait"/>
          <w:cols w:equalWidth="0" w:num="2">
            <w:col w:w="9700" w:space="720"/>
            <w:col w:w="1000"/>
          </w:cols>
          <w:pgMar w:left="240" w:top="1440" w:right="239" w:bottom="1440" w:gutter="0" w:footer="0" w:header="0"/>
          <w:type w:val="continuous"/>
        </w:sectPr>
      </w:pPr>
    </w:p>
    <w:p>
      <w:pPr>
        <w:jc w:val="center"/>
        <w:spacing w:after="0"/>
        <w:rPr>
          <w:sz w:val="20"/>
          <w:szCs w:val="20"/>
          <w:color w:val="auto"/>
        </w:rPr>
      </w:pPr>
      <w:r>
        <w:rPr>
          <w:rFonts w:ascii="Arial" w:cs="Arial" w:eastAsia="Arial" w:hAnsi="Arial"/>
          <w:sz w:val="21"/>
          <w:szCs w:val="21"/>
          <w:b w:val="1"/>
          <w:bCs w:val="1"/>
          <w:color w:val="auto"/>
        </w:rPr>
        <w:t>BOEING PROPRIETARY</w:t>
      </w:r>
    </w:p>
    <w:p>
      <w:pPr>
        <w:sectPr>
          <w:pgSz w:w="11900" w:h="16838" w:orient="portrait"/>
          <w:cols w:equalWidth="0" w:num="1">
            <w:col w:w="11420"/>
          </w:cols>
          <w:pgMar w:left="240" w:top="1440" w:right="239" w:bottom="1440" w:gutter="0" w:footer="0" w:header="0"/>
          <w:type w:val="continuous"/>
        </w:sectPr>
      </w:pPr>
    </w:p>
    <w:p>
      <w:pPr>
        <w:spacing w:after="0" w:line="75"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[*CTR]=[CONFIDENTIAL PORTION OMITTED AND FILED SEPARATELY WITH THE COMMISSION PURSUANT TO A REQUEST FOR CONFIDENTIAL TREATMENT]</w:t>
      </w:r>
    </w:p>
    <w:p>
      <w:pPr>
        <w:sectPr>
          <w:pgSz w:w="11900" w:h="16838" w:orient="portrait"/>
          <w:cols w:equalWidth="0" w:num="1">
            <w:col w:w="11420"/>
          </w:cols>
          <w:pgMar w:left="240" w:top="1440" w:right="239" w:bottom="1440" w:gutter="0" w:footer="0" w:header="0"/>
          <w:type w:val="continuous"/>
        </w:sectPr>
      </w:pPr>
    </w:p>
    <w:bookmarkStart w:id="128" w:name="page129"/>
    <w:bookmarkEnd w:id="128"/>
    <w:tbl>
      <w:tblPr>
        <w:tblLayout w:type="fixed"/>
        <w:tblInd w:w="10" w:type="dxa"/>
        <w:tblCellMar>
          <w:top w:w="0" w:type="dxa"/>
          <w:left w:w="0" w:type="dxa"/>
          <w:bottom w:w="0" w:type="dxa"/>
          <w:right w:w="0" w:type="dxa"/>
        </w:tblCellMar>
      </w:tblPr>
      <w:tr>
        <w:trPr>
          <w:trHeight w:val="253"/>
        </w:trPr>
        <w:tc>
          <w:tcPr>
            <w:tcW w:w="1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120" w:type="dxa"/>
            <w:vAlign w:val="bottom"/>
            <w:gridSpan w:val="2"/>
          </w:tcPr>
          <w:p>
            <w:pPr>
              <w:ind w:left="560"/>
              <w:spacing w:after="0"/>
              <w:rPr>
                <w:sz w:val="20"/>
                <w:szCs w:val="20"/>
                <w:color w:val="auto"/>
              </w:rPr>
            </w:pPr>
            <w:r>
              <w:rPr>
                <w:rFonts w:ascii="Arial" w:cs="Arial" w:eastAsia="Arial" w:hAnsi="Arial"/>
                <w:sz w:val="22"/>
                <w:szCs w:val="22"/>
                <w:b w:val="1"/>
                <w:bCs w:val="1"/>
                <w:color w:val="auto"/>
              </w:rPr>
              <w:t>Attachment A</w:t>
            </w: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340" w:type="dxa"/>
            <w:vAlign w:val="bottom"/>
          </w:tcPr>
          <w:p>
            <w:pPr>
              <w:ind w:left="160"/>
              <w:spacing w:after="0"/>
              <w:rPr>
                <w:sz w:val="20"/>
                <w:szCs w:val="20"/>
                <w:color w:val="auto"/>
              </w:rPr>
            </w:pPr>
            <w:r>
              <w:rPr>
                <w:rFonts w:ascii="Arial" w:cs="Arial" w:eastAsia="Arial" w:hAnsi="Arial"/>
                <w:sz w:val="22"/>
                <w:szCs w:val="22"/>
                <w:b w:val="1"/>
                <w:bCs w:val="1"/>
                <w:color w:val="auto"/>
              </w:rPr>
              <w:t>[*CTR]</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1"/>
        </w:trPr>
        <w:tc>
          <w:tcPr>
            <w:tcW w:w="1340" w:type="dxa"/>
            <w:vAlign w:val="bottom"/>
            <w:tcBorders>
              <w:left w:val="single" w:sz="8" w:color="auto"/>
              <w:right w:val="single" w:sz="8" w:color="CCCCCC"/>
            </w:tcBorders>
            <w:shd w:val="clear" w:color="auto" w:fill="CCCCCC"/>
          </w:tcPr>
          <w:p>
            <w:pPr>
              <w:ind w:left="460"/>
              <w:spacing w:after="0"/>
              <w:rPr>
                <w:sz w:val="20"/>
                <w:szCs w:val="20"/>
                <w:color w:val="auto"/>
              </w:rPr>
            </w:pPr>
            <w:r>
              <w:rPr>
                <w:rFonts w:ascii="Arial" w:cs="Arial" w:eastAsia="Arial" w:hAnsi="Arial"/>
                <w:sz w:val="18"/>
                <w:szCs w:val="18"/>
                <w:b w:val="1"/>
                <w:bCs w:val="1"/>
                <w:color w:val="auto"/>
              </w:rPr>
              <w:t>[*CTR]</w:t>
            </w:r>
          </w:p>
        </w:tc>
        <w:tc>
          <w:tcPr>
            <w:tcW w:w="940" w:type="dxa"/>
            <w:vAlign w:val="bottom"/>
            <w:tcBorders>
              <w:right w:val="single" w:sz="8" w:color="auto"/>
            </w:tcBorders>
            <w:shd w:val="clear" w:color="auto" w:fill="CCCCCC"/>
          </w:tcPr>
          <w:p>
            <w:pPr>
              <w:jc w:val="right"/>
              <w:ind w:right="67"/>
              <w:spacing w:after="0"/>
              <w:rPr>
                <w:sz w:val="20"/>
                <w:szCs w:val="20"/>
                <w:color w:val="auto"/>
              </w:rPr>
            </w:pPr>
            <w:r>
              <w:rPr>
                <w:rFonts w:ascii="Arial" w:cs="Arial" w:eastAsia="Arial" w:hAnsi="Arial"/>
                <w:sz w:val="18"/>
                <w:szCs w:val="18"/>
                <w:b w:val="1"/>
                <w:bCs w:val="1"/>
                <w:color w:val="auto"/>
              </w:rPr>
              <w:t>[*CTR]</w:t>
            </w:r>
          </w:p>
        </w:tc>
        <w:tc>
          <w:tcPr>
            <w:tcW w:w="1540" w:type="dxa"/>
            <w:vAlign w:val="bottom"/>
            <w:shd w:val="clear" w:color="auto" w:fill="CCCCCC"/>
          </w:tcPr>
          <w:p>
            <w:pPr>
              <w:ind w:left="940"/>
              <w:spacing w:after="0"/>
              <w:rPr>
                <w:sz w:val="20"/>
                <w:szCs w:val="20"/>
                <w:color w:val="auto"/>
              </w:rPr>
            </w:pPr>
            <w:r>
              <w:rPr>
                <w:rFonts w:ascii="Arial" w:cs="Arial" w:eastAsia="Arial" w:hAnsi="Arial"/>
                <w:sz w:val="18"/>
                <w:szCs w:val="18"/>
                <w:b w:val="1"/>
                <w:bCs w:val="1"/>
                <w:color w:val="auto"/>
              </w:rPr>
              <w:t>[*CTR]</w:t>
            </w:r>
          </w:p>
        </w:tc>
        <w:tc>
          <w:tcPr>
            <w:tcW w:w="780" w:type="dxa"/>
            <w:vAlign w:val="bottom"/>
            <w:tcBorders>
              <w:right w:val="single" w:sz="8" w:color="auto"/>
            </w:tcBorders>
            <w:shd w:val="clear" w:color="auto" w:fill="CCCCCC"/>
          </w:tcPr>
          <w:p>
            <w:pPr>
              <w:spacing w:after="0"/>
              <w:rPr>
                <w:sz w:val="24"/>
                <w:szCs w:val="24"/>
                <w:color w:val="auto"/>
              </w:rPr>
            </w:pPr>
          </w:p>
        </w:tc>
        <w:tc>
          <w:tcPr>
            <w:tcW w:w="2340" w:type="dxa"/>
            <w:vAlign w:val="bottom"/>
            <w:tcBorders>
              <w:right w:val="single" w:sz="8" w:color="auto"/>
            </w:tcBorders>
            <w:shd w:val="clear" w:color="auto" w:fill="CCCCCC"/>
          </w:tcPr>
          <w:p>
            <w:pPr>
              <w:ind w:left="960"/>
              <w:spacing w:after="0"/>
              <w:rPr>
                <w:sz w:val="20"/>
                <w:szCs w:val="20"/>
                <w:color w:val="auto"/>
              </w:rPr>
            </w:pPr>
            <w:r>
              <w:rPr>
                <w:rFonts w:ascii="Arial" w:cs="Arial" w:eastAsia="Arial" w:hAnsi="Arial"/>
                <w:sz w:val="18"/>
                <w:szCs w:val="18"/>
                <w:b w:val="1"/>
                <w:bCs w:val="1"/>
                <w:color w:val="auto"/>
              </w:rPr>
              <w:t>[*CTR]</w:t>
            </w:r>
          </w:p>
        </w:tc>
        <w:tc>
          <w:tcPr>
            <w:tcW w:w="1200" w:type="dxa"/>
            <w:vAlign w:val="bottom"/>
            <w:tcBorders>
              <w:right w:val="single" w:sz="8" w:color="auto"/>
            </w:tcBorders>
            <w:shd w:val="clear" w:color="auto" w:fill="CCCCCC"/>
          </w:tcPr>
          <w:p>
            <w:pPr>
              <w:ind w:left="360"/>
              <w:spacing w:after="0"/>
              <w:rPr>
                <w:sz w:val="20"/>
                <w:szCs w:val="20"/>
                <w:color w:val="auto"/>
              </w:rPr>
            </w:pPr>
            <w:r>
              <w:rPr>
                <w:rFonts w:ascii="Arial" w:cs="Arial" w:eastAsia="Arial" w:hAnsi="Arial"/>
                <w:sz w:val="18"/>
                <w:szCs w:val="18"/>
                <w:b w:val="1"/>
                <w:bCs w:val="1"/>
                <w:color w:val="auto"/>
              </w:rPr>
              <w:t>[*CTR]</w:t>
            </w:r>
          </w:p>
        </w:tc>
        <w:tc>
          <w:tcPr>
            <w:tcW w:w="0" w:type="dxa"/>
            <w:vAlign w:val="bottom"/>
          </w:tcPr>
          <w:p>
            <w:pPr>
              <w:spacing w:after="0"/>
              <w:rPr>
                <w:sz w:val="1"/>
                <w:szCs w:val="1"/>
                <w:color w:val="auto"/>
              </w:rPr>
            </w:pPr>
          </w:p>
        </w:tc>
      </w:tr>
      <w:tr>
        <w:trPr>
          <w:trHeight w:val="122"/>
        </w:trPr>
        <w:tc>
          <w:tcPr>
            <w:tcW w:w="1340" w:type="dxa"/>
            <w:vAlign w:val="bottom"/>
            <w:tcBorders>
              <w:left w:val="single" w:sz="8" w:color="auto"/>
              <w:bottom w:val="single" w:sz="8" w:color="auto"/>
              <w:right w:val="single" w:sz="8" w:color="CCCCCC"/>
            </w:tcBorders>
            <w:shd w:val="clear" w:color="auto" w:fill="CCCCCC"/>
          </w:tcPr>
          <w:p>
            <w:pPr>
              <w:spacing w:after="0"/>
              <w:rPr>
                <w:sz w:val="10"/>
                <w:szCs w:val="10"/>
                <w:color w:val="auto"/>
              </w:rPr>
            </w:pPr>
          </w:p>
        </w:tc>
        <w:tc>
          <w:tcPr>
            <w:tcW w:w="940" w:type="dxa"/>
            <w:vAlign w:val="bottom"/>
            <w:tcBorders>
              <w:bottom w:val="single" w:sz="8" w:color="auto"/>
              <w:right w:val="single" w:sz="8" w:color="auto"/>
            </w:tcBorders>
            <w:shd w:val="clear" w:color="auto" w:fill="CCCCCC"/>
          </w:tcPr>
          <w:p>
            <w:pPr>
              <w:spacing w:after="0"/>
              <w:rPr>
                <w:sz w:val="10"/>
                <w:szCs w:val="10"/>
                <w:color w:val="auto"/>
              </w:rPr>
            </w:pPr>
          </w:p>
        </w:tc>
        <w:tc>
          <w:tcPr>
            <w:tcW w:w="1540" w:type="dxa"/>
            <w:vAlign w:val="bottom"/>
            <w:tcBorders>
              <w:bottom w:val="single" w:sz="8" w:color="auto"/>
            </w:tcBorders>
            <w:shd w:val="clear" w:color="auto" w:fill="CCCCCC"/>
          </w:tcPr>
          <w:p>
            <w:pPr>
              <w:spacing w:after="0"/>
              <w:rPr>
                <w:sz w:val="10"/>
                <w:szCs w:val="10"/>
                <w:color w:val="auto"/>
              </w:rPr>
            </w:pPr>
          </w:p>
        </w:tc>
        <w:tc>
          <w:tcPr>
            <w:tcW w:w="780" w:type="dxa"/>
            <w:vAlign w:val="bottom"/>
            <w:tcBorders>
              <w:bottom w:val="single" w:sz="8" w:color="auto"/>
              <w:right w:val="single" w:sz="8" w:color="auto"/>
            </w:tcBorders>
            <w:shd w:val="clear" w:color="auto" w:fill="CCCCCC"/>
          </w:tcPr>
          <w:p>
            <w:pPr>
              <w:spacing w:after="0"/>
              <w:rPr>
                <w:sz w:val="10"/>
                <w:szCs w:val="10"/>
                <w:color w:val="auto"/>
              </w:rPr>
            </w:pPr>
          </w:p>
        </w:tc>
        <w:tc>
          <w:tcPr>
            <w:tcW w:w="2340" w:type="dxa"/>
            <w:vAlign w:val="bottom"/>
            <w:tcBorders>
              <w:bottom w:val="single" w:sz="8" w:color="auto"/>
              <w:right w:val="single" w:sz="8" w:color="auto"/>
            </w:tcBorders>
            <w:shd w:val="clear" w:color="auto" w:fill="CCCCCC"/>
          </w:tcPr>
          <w:p>
            <w:pPr>
              <w:spacing w:after="0"/>
              <w:rPr>
                <w:sz w:val="10"/>
                <w:szCs w:val="10"/>
                <w:color w:val="auto"/>
              </w:rPr>
            </w:pPr>
          </w:p>
        </w:tc>
        <w:tc>
          <w:tcPr>
            <w:tcW w:w="1200" w:type="dxa"/>
            <w:vAlign w:val="bottom"/>
            <w:tcBorders>
              <w:bottom w:val="single" w:sz="8" w:color="auto"/>
              <w:right w:val="single" w:sz="8" w:color="auto"/>
            </w:tcBorders>
            <w:shd w:val="clear" w:color="auto" w:fill="CCCCCC"/>
          </w:tcPr>
          <w:p>
            <w:pPr>
              <w:spacing w:after="0"/>
              <w:rPr>
                <w:sz w:val="10"/>
                <w:szCs w:val="10"/>
                <w:color w:val="auto"/>
              </w:rPr>
            </w:pPr>
          </w:p>
        </w:tc>
        <w:tc>
          <w:tcPr>
            <w:tcW w:w="0" w:type="dxa"/>
            <w:vAlign w:val="bottom"/>
          </w:tcPr>
          <w:p>
            <w:pPr>
              <w:spacing w:after="0"/>
              <w:rPr>
                <w:sz w:val="1"/>
                <w:szCs w:val="1"/>
                <w:color w:val="auto"/>
              </w:rPr>
            </w:pPr>
          </w:p>
        </w:tc>
      </w:tr>
      <w:tr>
        <w:trPr>
          <w:trHeight w:val="1006"/>
        </w:trPr>
        <w:tc>
          <w:tcPr>
            <w:tcW w:w="1340" w:type="dxa"/>
            <w:vAlign w:val="bottom"/>
            <w:tcBorders>
              <w:left w:val="single" w:sz="8" w:color="auto"/>
              <w:bottom w:val="single" w:sz="8" w:color="auto"/>
              <w:right w:val="single" w:sz="8" w:color="0070C0"/>
            </w:tcBorders>
            <w:shd w:val="clear" w:color="auto" w:fill="0070C0"/>
          </w:tcPr>
          <w:p>
            <w:pPr>
              <w:spacing w:after="0"/>
              <w:rPr>
                <w:sz w:val="24"/>
                <w:szCs w:val="24"/>
                <w:color w:val="auto"/>
              </w:rPr>
            </w:pPr>
          </w:p>
        </w:tc>
        <w:tc>
          <w:tcPr>
            <w:tcW w:w="940" w:type="dxa"/>
            <w:vAlign w:val="bottom"/>
            <w:tcBorders>
              <w:bottom w:val="single" w:sz="8" w:color="auto"/>
              <w:right w:val="single" w:sz="8" w:color="0070C0"/>
            </w:tcBorders>
            <w:shd w:val="clear" w:color="auto" w:fill="0070C0"/>
          </w:tcPr>
          <w:p>
            <w:pPr>
              <w:spacing w:after="0"/>
              <w:rPr>
                <w:sz w:val="24"/>
                <w:szCs w:val="24"/>
                <w:color w:val="auto"/>
              </w:rPr>
            </w:pPr>
          </w:p>
        </w:tc>
        <w:tc>
          <w:tcPr>
            <w:tcW w:w="1540" w:type="dxa"/>
            <w:vAlign w:val="bottom"/>
            <w:tcBorders>
              <w:bottom w:val="single" w:sz="8" w:color="auto"/>
            </w:tcBorders>
            <w:shd w:val="clear" w:color="auto" w:fill="0070C0"/>
          </w:tcPr>
          <w:p>
            <w:pPr>
              <w:spacing w:after="0"/>
              <w:rPr>
                <w:sz w:val="24"/>
                <w:szCs w:val="24"/>
                <w:color w:val="auto"/>
              </w:rPr>
            </w:pPr>
          </w:p>
        </w:tc>
        <w:tc>
          <w:tcPr>
            <w:tcW w:w="3120" w:type="dxa"/>
            <w:vAlign w:val="bottom"/>
            <w:tcBorders>
              <w:bottom w:val="single" w:sz="8" w:color="auto"/>
              <w:right w:val="single" w:sz="8" w:color="0070C0"/>
            </w:tcBorders>
            <w:gridSpan w:val="2"/>
            <w:shd w:val="clear" w:color="auto" w:fill="0070C0"/>
          </w:tcPr>
          <w:p>
            <w:pPr>
              <w:ind w:left="20"/>
              <w:spacing w:after="0"/>
              <w:rPr>
                <w:sz w:val="20"/>
                <w:szCs w:val="20"/>
                <w:color w:val="auto"/>
              </w:rPr>
            </w:pPr>
            <w:r>
              <w:rPr>
                <w:rFonts w:ascii="Arial" w:cs="Arial" w:eastAsia="Arial" w:hAnsi="Arial"/>
                <w:sz w:val="18"/>
                <w:szCs w:val="18"/>
                <w:b w:val="1"/>
                <w:bCs w:val="1"/>
                <w:color w:val="FFFFFF"/>
              </w:rPr>
              <w:t>[*CTR]</w:t>
            </w:r>
          </w:p>
        </w:tc>
        <w:tc>
          <w:tcPr>
            <w:tcW w:w="1200" w:type="dxa"/>
            <w:vAlign w:val="bottom"/>
            <w:tcBorders>
              <w:bottom w:val="single" w:sz="8" w:color="auto"/>
              <w:right w:val="single" w:sz="8" w:color="auto"/>
            </w:tcBorders>
            <w:shd w:val="clear" w:color="auto" w:fill="0070C0"/>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340" w:type="dxa"/>
            <w:vAlign w:val="bottom"/>
            <w:tcBorders>
              <w:left w:val="single" w:sz="8" w:color="auto"/>
              <w:right w:val="single" w:sz="8" w:color="auto"/>
            </w:tcBorders>
            <w:vMerge w:val="restart"/>
          </w:tcPr>
          <w:p>
            <w:pPr>
              <w:ind w:left="800"/>
              <w:spacing w:after="0"/>
              <w:rPr>
                <w:sz w:val="20"/>
                <w:szCs w:val="20"/>
                <w:color w:val="auto"/>
              </w:rPr>
            </w:pPr>
            <w:r>
              <w:rPr>
                <w:rFonts w:ascii="Arial" w:cs="Arial" w:eastAsia="Arial" w:hAnsi="Arial"/>
                <w:sz w:val="14"/>
                <w:szCs w:val="14"/>
                <w:color w:val="auto"/>
              </w:rPr>
              <w:t>[*CTR]</w:t>
            </w:r>
          </w:p>
        </w:tc>
        <w:tc>
          <w:tcPr>
            <w:tcW w:w="940" w:type="dxa"/>
            <w:vAlign w:val="bottom"/>
            <w:tcBorders>
              <w:right w:val="single" w:sz="8" w:color="auto"/>
            </w:tcBorders>
          </w:tcPr>
          <w:p>
            <w:pPr>
              <w:spacing w:after="0"/>
              <w:rPr>
                <w:sz w:val="14"/>
                <w:szCs w:val="14"/>
                <w:color w:val="auto"/>
              </w:rPr>
            </w:pPr>
          </w:p>
        </w:tc>
        <w:tc>
          <w:tcPr>
            <w:tcW w:w="1540" w:type="dxa"/>
            <w:vAlign w:val="bottom"/>
          </w:tcPr>
          <w:p>
            <w:pPr>
              <w:ind w:left="140"/>
              <w:spacing w:after="0"/>
              <w:rPr>
                <w:sz w:val="20"/>
                <w:szCs w:val="20"/>
                <w:color w:val="auto"/>
              </w:rPr>
            </w:pPr>
            <w:r>
              <w:rPr>
                <w:rFonts w:ascii="Arial" w:cs="Arial" w:eastAsia="Arial" w:hAnsi="Arial"/>
                <w:sz w:val="14"/>
                <w:szCs w:val="14"/>
                <w:color w:val="auto"/>
              </w:rPr>
              <w:t>[*CTR]</w:t>
            </w:r>
          </w:p>
        </w:tc>
        <w:tc>
          <w:tcPr>
            <w:tcW w:w="780" w:type="dxa"/>
            <w:vAlign w:val="bottom"/>
            <w:tcBorders>
              <w:right w:val="single" w:sz="8" w:color="auto"/>
            </w:tcBorders>
          </w:tcPr>
          <w:p>
            <w:pPr>
              <w:spacing w:after="0"/>
              <w:rPr>
                <w:sz w:val="14"/>
                <w:szCs w:val="14"/>
                <w:color w:val="auto"/>
              </w:rPr>
            </w:pPr>
          </w:p>
        </w:tc>
        <w:tc>
          <w:tcPr>
            <w:tcW w:w="2340" w:type="dxa"/>
            <w:vAlign w:val="bottom"/>
            <w:tcBorders>
              <w:right w:val="single" w:sz="8" w:color="auto"/>
            </w:tcBorders>
          </w:tcPr>
          <w:p>
            <w:pPr>
              <w:ind w:left="1820"/>
              <w:spacing w:after="0"/>
              <w:rPr>
                <w:sz w:val="20"/>
                <w:szCs w:val="20"/>
                <w:color w:val="auto"/>
              </w:rPr>
            </w:pPr>
            <w:r>
              <w:rPr>
                <w:rFonts w:ascii="Arial" w:cs="Arial" w:eastAsia="Arial" w:hAnsi="Arial"/>
                <w:sz w:val="14"/>
                <w:szCs w:val="14"/>
                <w:color w:val="auto"/>
              </w:rPr>
              <w:t>[*CTR]</w:t>
            </w:r>
          </w:p>
        </w:tc>
        <w:tc>
          <w:tcPr>
            <w:tcW w:w="1200" w:type="dxa"/>
            <w:vAlign w:val="bottom"/>
            <w:tcBorders>
              <w:right w:val="single" w:sz="8" w:color="auto"/>
            </w:tcBorders>
          </w:tcPr>
          <w:p>
            <w:pPr>
              <w:ind w:left="640"/>
              <w:spacing w:after="0"/>
              <w:rPr>
                <w:sz w:val="20"/>
                <w:szCs w:val="20"/>
                <w:color w:val="auto"/>
              </w:rPr>
            </w:pPr>
            <w:r>
              <w:rPr>
                <w:rFonts w:ascii="Arial" w:cs="Arial" w:eastAsia="Arial" w:hAnsi="Arial"/>
                <w:sz w:val="14"/>
                <w:szCs w:val="14"/>
                <w:color w:val="auto"/>
              </w:rPr>
              <w:t>[*CTR]</w:t>
            </w:r>
          </w:p>
        </w:tc>
        <w:tc>
          <w:tcPr>
            <w:tcW w:w="0" w:type="dxa"/>
            <w:vAlign w:val="bottom"/>
          </w:tcPr>
          <w:p>
            <w:pPr>
              <w:spacing w:after="0"/>
              <w:rPr>
                <w:sz w:val="1"/>
                <w:szCs w:val="1"/>
                <w:color w:val="auto"/>
              </w:rPr>
            </w:pPr>
          </w:p>
        </w:tc>
      </w:tr>
      <w:tr>
        <w:trPr>
          <w:trHeight w:val="122"/>
        </w:trPr>
        <w:tc>
          <w:tcPr>
            <w:tcW w:w="1340" w:type="dxa"/>
            <w:vAlign w:val="bottom"/>
            <w:tcBorders>
              <w:left w:val="single" w:sz="8" w:color="auto"/>
              <w:right w:val="single" w:sz="8" w:color="auto"/>
            </w:tcBorders>
            <w:vMerge w:val="continue"/>
          </w:tcPr>
          <w:p>
            <w:pPr>
              <w:spacing w:after="0"/>
              <w:rPr>
                <w:sz w:val="10"/>
                <w:szCs w:val="10"/>
                <w:color w:val="auto"/>
              </w:rPr>
            </w:pPr>
          </w:p>
        </w:tc>
        <w:tc>
          <w:tcPr>
            <w:tcW w:w="940" w:type="dxa"/>
            <w:vAlign w:val="bottom"/>
            <w:tcBorders>
              <w:right w:val="single" w:sz="8" w:color="auto"/>
            </w:tcBorders>
            <w:vMerge w:val="restart"/>
          </w:tcPr>
          <w:p>
            <w:pPr>
              <w:jc w:val="right"/>
              <w:ind w:right="27"/>
              <w:spacing w:after="0"/>
              <w:rPr>
                <w:sz w:val="20"/>
                <w:szCs w:val="20"/>
                <w:color w:val="auto"/>
              </w:rPr>
            </w:pPr>
            <w:r>
              <w:rPr>
                <w:rFonts w:ascii="Arial" w:cs="Arial" w:eastAsia="Arial" w:hAnsi="Arial"/>
                <w:sz w:val="14"/>
                <w:szCs w:val="14"/>
                <w:color w:val="auto"/>
              </w:rPr>
              <w:t>1</w:t>
            </w:r>
          </w:p>
        </w:tc>
        <w:tc>
          <w:tcPr>
            <w:tcW w:w="1540" w:type="dxa"/>
            <w:vAlign w:val="bottom"/>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234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340" w:type="dxa"/>
            <w:vAlign w:val="bottom"/>
            <w:tcBorders>
              <w:left w:val="single" w:sz="8" w:color="auto"/>
              <w:bottom w:val="single" w:sz="8" w:color="auto"/>
              <w:right w:val="single" w:sz="8" w:color="auto"/>
            </w:tcBorders>
          </w:tcPr>
          <w:p>
            <w:pPr>
              <w:spacing w:after="0"/>
              <w:rPr>
                <w:sz w:val="10"/>
                <w:szCs w:val="10"/>
                <w:color w:val="auto"/>
              </w:rPr>
            </w:pPr>
          </w:p>
        </w:tc>
        <w:tc>
          <w:tcPr>
            <w:tcW w:w="940" w:type="dxa"/>
            <w:vAlign w:val="bottom"/>
            <w:tcBorders>
              <w:bottom w:val="single" w:sz="8" w:color="auto"/>
              <w:right w:val="single" w:sz="8" w:color="auto"/>
            </w:tcBorders>
            <w:vMerge w:val="continue"/>
          </w:tcPr>
          <w:p>
            <w:pPr>
              <w:spacing w:after="0"/>
              <w:rPr>
                <w:sz w:val="10"/>
                <w:szCs w:val="10"/>
                <w:color w:val="auto"/>
              </w:rPr>
            </w:pPr>
          </w:p>
        </w:tc>
        <w:tc>
          <w:tcPr>
            <w:tcW w:w="1540" w:type="dxa"/>
            <w:vAlign w:val="bottom"/>
            <w:tcBorders>
              <w:bottom w:val="single" w:sz="8" w:color="auto"/>
            </w:tcBorders>
          </w:tcPr>
          <w:p>
            <w:pPr>
              <w:spacing w:after="0"/>
              <w:rPr>
                <w:sz w:val="10"/>
                <w:szCs w:val="10"/>
                <w:color w:val="auto"/>
              </w:rPr>
            </w:pPr>
          </w:p>
        </w:tc>
        <w:tc>
          <w:tcPr>
            <w:tcW w:w="780" w:type="dxa"/>
            <w:vAlign w:val="bottom"/>
            <w:tcBorders>
              <w:bottom w:val="single" w:sz="8" w:color="auto"/>
              <w:right w:val="single" w:sz="8" w:color="auto"/>
            </w:tcBorders>
          </w:tcPr>
          <w:p>
            <w:pPr>
              <w:spacing w:after="0"/>
              <w:rPr>
                <w:sz w:val="10"/>
                <w:szCs w:val="10"/>
                <w:color w:val="auto"/>
              </w:rPr>
            </w:pPr>
          </w:p>
        </w:tc>
        <w:tc>
          <w:tcPr>
            <w:tcW w:w="2340" w:type="dxa"/>
            <w:vAlign w:val="bottom"/>
            <w:tcBorders>
              <w:bottom w:val="single" w:sz="8" w:color="auto"/>
              <w:right w:val="single" w:sz="8" w:color="auto"/>
            </w:tcBorders>
          </w:tcPr>
          <w:p>
            <w:pPr>
              <w:spacing w:after="0"/>
              <w:rPr>
                <w:sz w:val="10"/>
                <w:szCs w:val="10"/>
                <w:color w:val="auto"/>
              </w:rPr>
            </w:pPr>
          </w:p>
        </w:tc>
        <w:tc>
          <w:tcPr>
            <w:tcW w:w="12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1340" w:type="dxa"/>
            <w:vAlign w:val="bottom"/>
            <w:tcBorders>
              <w:left w:val="single" w:sz="8" w:color="auto"/>
              <w:right w:val="single" w:sz="8" w:color="auto"/>
            </w:tcBorders>
          </w:tcPr>
          <w:p>
            <w:pPr>
              <w:ind w:left="800"/>
              <w:spacing w:after="0" w:line="155" w:lineRule="exact"/>
              <w:rPr>
                <w:sz w:val="20"/>
                <w:szCs w:val="20"/>
                <w:color w:val="auto"/>
              </w:rPr>
            </w:pPr>
            <w:r>
              <w:rPr>
                <w:rFonts w:ascii="Arial" w:cs="Arial" w:eastAsia="Arial" w:hAnsi="Arial"/>
                <w:sz w:val="14"/>
                <w:szCs w:val="14"/>
                <w:color w:val="auto"/>
              </w:rPr>
              <w:t>[*CTR]</w:t>
            </w:r>
          </w:p>
        </w:tc>
        <w:tc>
          <w:tcPr>
            <w:tcW w:w="940" w:type="dxa"/>
            <w:vAlign w:val="bottom"/>
            <w:tcBorders>
              <w:bottom w:val="single" w:sz="8" w:color="auto"/>
              <w:right w:val="single" w:sz="8" w:color="auto"/>
            </w:tcBorders>
          </w:tcPr>
          <w:p>
            <w:pPr>
              <w:jc w:val="right"/>
              <w:ind w:right="27"/>
              <w:spacing w:after="0" w:line="155" w:lineRule="exact"/>
              <w:rPr>
                <w:sz w:val="20"/>
                <w:szCs w:val="20"/>
                <w:color w:val="auto"/>
              </w:rPr>
            </w:pPr>
            <w:r>
              <w:rPr>
                <w:rFonts w:ascii="Arial" w:cs="Arial" w:eastAsia="Arial" w:hAnsi="Arial"/>
                <w:sz w:val="14"/>
                <w:szCs w:val="14"/>
                <w:color w:val="auto"/>
              </w:rPr>
              <w:t>2</w:t>
            </w:r>
          </w:p>
        </w:tc>
        <w:tc>
          <w:tcPr>
            <w:tcW w:w="1540" w:type="dxa"/>
            <w:vAlign w:val="bottom"/>
            <w:tcBorders>
              <w:bottom w:val="single" w:sz="8" w:color="auto"/>
            </w:tcBorders>
          </w:tcPr>
          <w:p>
            <w:pPr>
              <w:ind w:left="140"/>
              <w:spacing w:after="0" w:line="155" w:lineRule="exact"/>
              <w:rPr>
                <w:sz w:val="20"/>
                <w:szCs w:val="20"/>
                <w:color w:val="auto"/>
              </w:rPr>
            </w:pPr>
            <w:r>
              <w:rPr>
                <w:rFonts w:ascii="Arial" w:cs="Arial" w:eastAsia="Arial" w:hAnsi="Arial"/>
                <w:sz w:val="14"/>
                <w:szCs w:val="14"/>
                <w:color w:val="auto"/>
              </w:rPr>
              <w:t>[*CTR]</w:t>
            </w:r>
          </w:p>
        </w:tc>
        <w:tc>
          <w:tcPr>
            <w:tcW w:w="780" w:type="dxa"/>
            <w:vAlign w:val="bottom"/>
            <w:tcBorders>
              <w:bottom w:val="single" w:sz="8" w:color="auto"/>
              <w:right w:val="single" w:sz="8" w:color="auto"/>
            </w:tcBorders>
          </w:tcPr>
          <w:p>
            <w:pPr>
              <w:spacing w:after="0"/>
              <w:rPr>
                <w:sz w:val="13"/>
                <w:szCs w:val="13"/>
                <w:color w:val="auto"/>
              </w:rPr>
            </w:pPr>
          </w:p>
        </w:tc>
        <w:tc>
          <w:tcPr>
            <w:tcW w:w="2340" w:type="dxa"/>
            <w:vAlign w:val="bottom"/>
            <w:tcBorders>
              <w:bottom w:val="single" w:sz="8" w:color="auto"/>
              <w:right w:val="single" w:sz="8" w:color="auto"/>
            </w:tcBorders>
          </w:tcPr>
          <w:p>
            <w:pPr>
              <w:ind w:left="1820"/>
              <w:spacing w:after="0" w:line="155" w:lineRule="exact"/>
              <w:rPr>
                <w:sz w:val="20"/>
                <w:szCs w:val="20"/>
                <w:color w:val="auto"/>
              </w:rPr>
            </w:pPr>
            <w:r>
              <w:rPr>
                <w:rFonts w:ascii="Arial" w:cs="Arial" w:eastAsia="Arial" w:hAnsi="Arial"/>
                <w:sz w:val="14"/>
                <w:szCs w:val="14"/>
                <w:color w:val="auto"/>
              </w:rPr>
              <w:t>[*CTR]</w:t>
            </w:r>
          </w:p>
        </w:tc>
        <w:tc>
          <w:tcPr>
            <w:tcW w:w="1200" w:type="dxa"/>
            <w:vAlign w:val="bottom"/>
            <w:tcBorders>
              <w:bottom w:val="single" w:sz="8" w:color="auto"/>
              <w:right w:val="single" w:sz="8" w:color="auto"/>
            </w:tcBorders>
          </w:tcPr>
          <w:p>
            <w:pPr>
              <w:ind w:left="640"/>
              <w:spacing w:after="0" w:line="155" w:lineRule="exact"/>
              <w:rPr>
                <w:sz w:val="20"/>
                <w:szCs w:val="20"/>
                <w:color w:val="auto"/>
              </w:rPr>
            </w:pPr>
            <w:r>
              <w:rPr>
                <w:rFonts w:ascii="Arial" w:cs="Arial" w:eastAsia="Arial" w:hAnsi="Arial"/>
                <w:sz w:val="14"/>
                <w:szCs w:val="14"/>
                <w:color w:val="auto"/>
              </w:rPr>
              <w:t>[*CTR]</w:t>
            </w:r>
          </w:p>
        </w:tc>
        <w:tc>
          <w:tcPr>
            <w:tcW w:w="0" w:type="dxa"/>
            <w:vAlign w:val="bottom"/>
          </w:tcPr>
          <w:p>
            <w:pPr>
              <w:spacing w:after="0"/>
              <w:rPr>
                <w:sz w:val="1"/>
                <w:szCs w:val="1"/>
                <w:color w:val="auto"/>
              </w:rPr>
            </w:pPr>
          </w:p>
        </w:tc>
      </w:tr>
      <w:tr>
        <w:trPr>
          <w:trHeight w:val="171"/>
        </w:trPr>
        <w:tc>
          <w:tcPr>
            <w:tcW w:w="1340" w:type="dxa"/>
            <w:vAlign w:val="bottom"/>
            <w:tcBorders>
              <w:left w:val="single" w:sz="8" w:color="auto"/>
            </w:tcBorders>
          </w:tcPr>
          <w:p>
            <w:pPr>
              <w:spacing w:after="0"/>
              <w:rPr>
                <w:sz w:val="14"/>
                <w:szCs w:val="14"/>
                <w:color w:val="auto"/>
              </w:rPr>
            </w:pPr>
          </w:p>
        </w:tc>
        <w:tc>
          <w:tcPr>
            <w:tcW w:w="940" w:type="dxa"/>
            <w:vAlign w:val="bottom"/>
            <w:tcBorders>
              <w:right w:val="single" w:sz="8" w:color="auto"/>
            </w:tcBorders>
          </w:tcPr>
          <w:p>
            <w:pPr>
              <w:spacing w:after="0"/>
              <w:rPr>
                <w:sz w:val="14"/>
                <w:szCs w:val="14"/>
                <w:color w:val="auto"/>
              </w:rPr>
            </w:pPr>
          </w:p>
        </w:tc>
        <w:tc>
          <w:tcPr>
            <w:tcW w:w="1540" w:type="dxa"/>
            <w:vAlign w:val="bottom"/>
          </w:tcPr>
          <w:p>
            <w:pPr>
              <w:ind w:left="140"/>
              <w:spacing w:after="0"/>
              <w:rPr>
                <w:sz w:val="20"/>
                <w:szCs w:val="20"/>
                <w:color w:val="auto"/>
              </w:rPr>
            </w:pPr>
            <w:r>
              <w:rPr>
                <w:rFonts w:ascii="Arial" w:cs="Arial" w:eastAsia="Arial" w:hAnsi="Arial"/>
                <w:sz w:val="14"/>
                <w:szCs w:val="14"/>
                <w:color w:val="auto"/>
              </w:rPr>
              <w:t>[*CTR]</w:t>
            </w:r>
          </w:p>
        </w:tc>
        <w:tc>
          <w:tcPr>
            <w:tcW w:w="780" w:type="dxa"/>
            <w:vAlign w:val="bottom"/>
            <w:tcBorders>
              <w:right w:val="single" w:sz="8" w:color="auto"/>
            </w:tcBorders>
          </w:tcPr>
          <w:p>
            <w:pPr>
              <w:spacing w:after="0"/>
              <w:rPr>
                <w:sz w:val="14"/>
                <w:szCs w:val="14"/>
                <w:color w:val="auto"/>
              </w:rPr>
            </w:pPr>
          </w:p>
        </w:tc>
        <w:tc>
          <w:tcPr>
            <w:tcW w:w="2340" w:type="dxa"/>
            <w:vAlign w:val="bottom"/>
            <w:tcBorders>
              <w:right w:val="single" w:sz="8" w:color="auto"/>
            </w:tcBorders>
          </w:tcPr>
          <w:p>
            <w:pPr>
              <w:ind w:left="1820"/>
              <w:spacing w:after="0"/>
              <w:rPr>
                <w:sz w:val="20"/>
                <w:szCs w:val="20"/>
                <w:color w:val="auto"/>
              </w:rPr>
            </w:pPr>
            <w:r>
              <w:rPr>
                <w:rFonts w:ascii="Arial" w:cs="Arial" w:eastAsia="Arial" w:hAnsi="Arial"/>
                <w:sz w:val="14"/>
                <w:szCs w:val="14"/>
                <w:color w:val="auto"/>
              </w:rPr>
              <w:t>[*CTR]</w:t>
            </w:r>
          </w:p>
        </w:tc>
        <w:tc>
          <w:tcPr>
            <w:tcW w:w="1200" w:type="dxa"/>
            <w:vAlign w:val="bottom"/>
            <w:tcBorders>
              <w:right w:val="single" w:sz="8" w:color="auto"/>
            </w:tcBorders>
          </w:tcPr>
          <w:p>
            <w:pPr>
              <w:ind w:left="640"/>
              <w:spacing w:after="0"/>
              <w:rPr>
                <w:sz w:val="20"/>
                <w:szCs w:val="20"/>
                <w:color w:val="auto"/>
              </w:rPr>
            </w:pPr>
            <w:r>
              <w:rPr>
                <w:rFonts w:ascii="Arial" w:cs="Arial" w:eastAsia="Arial" w:hAnsi="Arial"/>
                <w:sz w:val="14"/>
                <w:szCs w:val="14"/>
                <w:color w:val="auto"/>
              </w:rPr>
              <w:t>[*CTR]</w:t>
            </w:r>
          </w:p>
        </w:tc>
        <w:tc>
          <w:tcPr>
            <w:tcW w:w="0" w:type="dxa"/>
            <w:vAlign w:val="bottom"/>
          </w:tcPr>
          <w:p>
            <w:pPr>
              <w:spacing w:after="0"/>
              <w:rPr>
                <w:sz w:val="1"/>
                <w:szCs w:val="1"/>
                <w:color w:val="auto"/>
              </w:rPr>
            </w:pPr>
          </w:p>
        </w:tc>
      </w:tr>
      <w:tr>
        <w:trPr>
          <w:trHeight w:val="242"/>
        </w:trPr>
        <w:tc>
          <w:tcPr>
            <w:tcW w:w="1340" w:type="dxa"/>
            <w:vAlign w:val="bottom"/>
            <w:tcBorders>
              <w:left w:val="single" w:sz="8" w:color="auto"/>
            </w:tcBorders>
          </w:tcPr>
          <w:p>
            <w:pPr>
              <w:spacing w:after="0"/>
              <w:rPr>
                <w:sz w:val="21"/>
                <w:szCs w:val="21"/>
                <w:color w:val="auto"/>
              </w:rPr>
            </w:pPr>
          </w:p>
        </w:tc>
        <w:tc>
          <w:tcPr>
            <w:tcW w:w="940" w:type="dxa"/>
            <w:vAlign w:val="bottom"/>
            <w:tcBorders>
              <w:bottom w:val="single" w:sz="8" w:color="auto"/>
              <w:right w:val="single" w:sz="8" w:color="auto"/>
            </w:tcBorders>
          </w:tcPr>
          <w:p>
            <w:pPr>
              <w:jc w:val="right"/>
              <w:ind w:right="27"/>
              <w:spacing w:after="0"/>
              <w:rPr>
                <w:sz w:val="20"/>
                <w:szCs w:val="20"/>
                <w:color w:val="auto"/>
              </w:rPr>
            </w:pPr>
            <w:r>
              <w:rPr>
                <w:rFonts w:ascii="Arial" w:cs="Arial" w:eastAsia="Arial" w:hAnsi="Arial"/>
                <w:sz w:val="14"/>
                <w:szCs w:val="14"/>
                <w:color w:val="auto"/>
              </w:rPr>
              <w:t>3</w:t>
            </w:r>
          </w:p>
        </w:tc>
        <w:tc>
          <w:tcPr>
            <w:tcW w:w="1540" w:type="dxa"/>
            <w:vAlign w:val="bottom"/>
            <w:tcBorders>
              <w:bottom w:val="single" w:sz="8" w:color="auto"/>
            </w:tcBorders>
          </w:tcPr>
          <w:p>
            <w:pPr>
              <w:spacing w:after="0"/>
              <w:rPr>
                <w:sz w:val="21"/>
                <w:szCs w:val="21"/>
                <w:color w:val="auto"/>
              </w:rPr>
            </w:pPr>
          </w:p>
        </w:tc>
        <w:tc>
          <w:tcPr>
            <w:tcW w:w="780" w:type="dxa"/>
            <w:vAlign w:val="bottom"/>
            <w:tcBorders>
              <w:bottom w:val="single" w:sz="8" w:color="auto"/>
              <w:right w:val="single" w:sz="8" w:color="auto"/>
            </w:tcBorders>
          </w:tcPr>
          <w:p>
            <w:pPr>
              <w:spacing w:after="0"/>
              <w:rPr>
                <w:sz w:val="21"/>
                <w:szCs w:val="21"/>
                <w:color w:val="auto"/>
              </w:rPr>
            </w:pPr>
          </w:p>
        </w:tc>
        <w:tc>
          <w:tcPr>
            <w:tcW w:w="2340" w:type="dxa"/>
            <w:vAlign w:val="bottom"/>
            <w:tcBorders>
              <w:bottom w:val="single" w:sz="8" w:color="auto"/>
              <w:right w:val="single" w:sz="8" w:color="auto"/>
            </w:tcBorders>
          </w:tcPr>
          <w:p>
            <w:pPr>
              <w:spacing w:after="0"/>
              <w:rPr>
                <w:sz w:val="21"/>
                <w:szCs w:val="21"/>
                <w:color w:val="auto"/>
              </w:rPr>
            </w:pPr>
          </w:p>
        </w:tc>
        <w:tc>
          <w:tcPr>
            <w:tcW w:w="12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1"/>
        </w:trPr>
        <w:tc>
          <w:tcPr>
            <w:tcW w:w="1340" w:type="dxa"/>
            <w:vAlign w:val="bottom"/>
            <w:tcBorders>
              <w:left w:val="single" w:sz="8" w:color="auto"/>
            </w:tcBorders>
          </w:tcPr>
          <w:p>
            <w:pPr>
              <w:spacing w:after="0"/>
              <w:rPr>
                <w:sz w:val="14"/>
                <w:szCs w:val="14"/>
                <w:color w:val="auto"/>
              </w:rPr>
            </w:pPr>
          </w:p>
        </w:tc>
        <w:tc>
          <w:tcPr>
            <w:tcW w:w="940" w:type="dxa"/>
            <w:vAlign w:val="bottom"/>
            <w:tcBorders>
              <w:right w:val="single" w:sz="8" w:color="auto"/>
            </w:tcBorders>
          </w:tcPr>
          <w:p>
            <w:pPr>
              <w:spacing w:after="0"/>
              <w:rPr>
                <w:sz w:val="14"/>
                <w:szCs w:val="14"/>
                <w:color w:val="auto"/>
              </w:rPr>
            </w:pPr>
          </w:p>
        </w:tc>
        <w:tc>
          <w:tcPr>
            <w:tcW w:w="1540" w:type="dxa"/>
            <w:vAlign w:val="bottom"/>
          </w:tcPr>
          <w:p>
            <w:pPr>
              <w:ind w:left="140"/>
              <w:spacing w:after="0"/>
              <w:rPr>
                <w:sz w:val="20"/>
                <w:szCs w:val="20"/>
                <w:color w:val="auto"/>
              </w:rPr>
            </w:pPr>
            <w:r>
              <w:rPr>
                <w:rFonts w:ascii="Arial" w:cs="Arial" w:eastAsia="Arial" w:hAnsi="Arial"/>
                <w:sz w:val="14"/>
                <w:szCs w:val="14"/>
                <w:color w:val="auto"/>
              </w:rPr>
              <w:t>[*CTR]</w:t>
            </w:r>
          </w:p>
        </w:tc>
        <w:tc>
          <w:tcPr>
            <w:tcW w:w="780" w:type="dxa"/>
            <w:vAlign w:val="bottom"/>
            <w:tcBorders>
              <w:right w:val="single" w:sz="8" w:color="auto"/>
            </w:tcBorders>
          </w:tcPr>
          <w:p>
            <w:pPr>
              <w:spacing w:after="0"/>
              <w:rPr>
                <w:sz w:val="14"/>
                <w:szCs w:val="14"/>
                <w:color w:val="auto"/>
              </w:rPr>
            </w:pPr>
          </w:p>
        </w:tc>
        <w:tc>
          <w:tcPr>
            <w:tcW w:w="2340" w:type="dxa"/>
            <w:vAlign w:val="bottom"/>
            <w:tcBorders>
              <w:right w:val="single" w:sz="8" w:color="auto"/>
            </w:tcBorders>
          </w:tcPr>
          <w:p>
            <w:pPr>
              <w:ind w:left="1820"/>
              <w:spacing w:after="0"/>
              <w:rPr>
                <w:sz w:val="20"/>
                <w:szCs w:val="20"/>
                <w:color w:val="auto"/>
              </w:rPr>
            </w:pPr>
            <w:r>
              <w:rPr>
                <w:rFonts w:ascii="Arial" w:cs="Arial" w:eastAsia="Arial" w:hAnsi="Arial"/>
                <w:sz w:val="14"/>
                <w:szCs w:val="14"/>
                <w:color w:val="auto"/>
              </w:rPr>
              <w:t>[*CTR]</w:t>
            </w:r>
          </w:p>
        </w:tc>
        <w:tc>
          <w:tcPr>
            <w:tcW w:w="1200" w:type="dxa"/>
            <w:vAlign w:val="bottom"/>
            <w:tcBorders>
              <w:right w:val="single" w:sz="8" w:color="auto"/>
            </w:tcBorders>
          </w:tcPr>
          <w:p>
            <w:pPr>
              <w:ind w:left="640"/>
              <w:spacing w:after="0"/>
              <w:rPr>
                <w:sz w:val="20"/>
                <w:szCs w:val="20"/>
                <w:color w:val="auto"/>
              </w:rPr>
            </w:pPr>
            <w:r>
              <w:rPr>
                <w:rFonts w:ascii="Arial" w:cs="Arial" w:eastAsia="Arial" w:hAnsi="Arial"/>
                <w:sz w:val="14"/>
                <w:szCs w:val="14"/>
                <w:color w:val="auto"/>
              </w:rPr>
              <w:t>[*CTR]</w:t>
            </w:r>
          </w:p>
        </w:tc>
        <w:tc>
          <w:tcPr>
            <w:tcW w:w="0" w:type="dxa"/>
            <w:vAlign w:val="bottom"/>
          </w:tcPr>
          <w:p>
            <w:pPr>
              <w:spacing w:after="0"/>
              <w:rPr>
                <w:sz w:val="1"/>
                <w:szCs w:val="1"/>
                <w:color w:val="auto"/>
              </w:rPr>
            </w:pPr>
          </w:p>
        </w:tc>
      </w:tr>
      <w:tr>
        <w:trPr>
          <w:trHeight w:val="242"/>
        </w:trPr>
        <w:tc>
          <w:tcPr>
            <w:tcW w:w="1340" w:type="dxa"/>
            <w:vAlign w:val="bottom"/>
            <w:tcBorders>
              <w:left w:val="single" w:sz="8" w:color="auto"/>
            </w:tcBorders>
          </w:tcPr>
          <w:p>
            <w:pPr>
              <w:spacing w:after="0"/>
              <w:rPr>
                <w:sz w:val="21"/>
                <w:szCs w:val="21"/>
                <w:color w:val="auto"/>
              </w:rPr>
            </w:pPr>
          </w:p>
        </w:tc>
        <w:tc>
          <w:tcPr>
            <w:tcW w:w="940" w:type="dxa"/>
            <w:vAlign w:val="bottom"/>
            <w:tcBorders>
              <w:bottom w:val="single" w:sz="8" w:color="auto"/>
              <w:right w:val="single" w:sz="8" w:color="auto"/>
            </w:tcBorders>
          </w:tcPr>
          <w:p>
            <w:pPr>
              <w:jc w:val="right"/>
              <w:ind w:right="27"/>
              <w:spacing w:after="0"/>
              <w:rPr>
                <w:sz w:val="20"/>
                <w:szCs w:val="20"/>
                <w:color w:val="auto"/>
              </w:rPr>
            </w:pPr>
            <w:r>
              <w:rPr>
                <w:rFonts w:ascii="Arial" w:cs="Arial" w:eastAsia="Arial" w:hAnsi="Arial"/>
                <w:sz w:val="14"/>
                <w:szCs w:val="14"/>
                <w:color w:val="auto"/>
              </w:rPr>
              <w:t>4</w:t>
            </w:r>
          </w:p>
        </w:tc>
        <w:tc>
          <w:tcPr>
            <w:tcW w:w="1540" w:type="dxa"/>
            <w:vAlign w:val="bottom"/>
            <w:tcBorders>
              <w:bottom w:val="single" w:sz="8" w:color="auto"/>
            </w:tcBorders>
          </w:tcPr>
          <w:p>
            <w:pPr>
              <w:spacing w:after="0"/>
              <w:rPr>
                <w:sz w:val="21"/>
                <w:szCs w:val="21"/>
                <w:color w:val="auto"/>
              </w:rPr>
            </w:pPr>
          </w:p>
        </w:tc>
        <w:tc>
          <w:tcPr>
            <w:tcW w:w="780" w:type="dxa"/>
            <w:vAlign w:val="bottom"/>
            <w:tcBorders>
              <w:bottom w:val="single" w:sz="8" w:color="auto"/>
              <w:right w:val="single" w:sz="8" w:color="auto"/>
            </w:tcBorders>
          </w:tcPr>
          <w:p>
            <w:pPr>
              <w:spacing w:after="0"/>
              <w:rPr>
                <w:sz w:val="21"/>
                <w:szCs w:val="21"/>
                <w:color w:val="auto"/>
              </w:rPr>
            </w:pPr>
          </w:p>
        </w:tc>
        <w:tc>
          <w:tcPr>
            <w:tcW w:w="2340" w:type="dxa"/>
            <w:vAlign w:val="bottom"/>
            <w:tcBorders>
              <w:bottom w:val="single" w:sz="8" w:color="auto"/>
              <w:right w:val="single" w:sz="8" w:color="auto"/>
            </w:tcBorders>
          </w:tcPr>
          <w:p>
            <w:pPr>
              <w:spacing w:after="0"/>
              <w:rPr>
                <w:sz w:val="21"/>
                <w:szCs w:val="21"/>
                <w:color w:val="auto"/>
              </w:rPr>
            </w:pPr>
          </w:p>
        </w:tc>
        <w:tc>
          <w:tcPr>
            <w:tcW w:w="12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1340" w:type="dxa"/>
            <w:vAlign w:val="bottom"/>
            <w:tcBorders>
              <w:left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jc w:val="right"/>
              <w:ind w:right="27"/>
              <w:spacing w:after="0" w:line="155" w:lineRule="exact"/>
              <w:rPr>
                <w:sz w:val="20"/>
                <w:szCs w:val="20"/>
                <w:color w:val="auto"/>
              </w:rPr>
            </w:pPr>
            <w:r>
              <w:rPr>
                <w:rFonts w:ascii="Arial" w:cs="Arial" w:eastAsia="Arial" w:hAnsi="Arial"/>
                <w:sz w:val="14"/>
                <w:szCs w:val="14"/>
                <w:color w:val="auto"/>
              </w:rPr>
              <w:t>5</w:t>
            </w:r>
          </w:p>
        </w:tc>
        <w:tc>
          <w:tcPr>
            <w:tcW w:w="1540" w:type="dxa"/>
            <w:vAlign w:val="bottom"/>
            <w:tcBorders>
              <w:bottom w:val="single" w:sz="8" w:color="auto"/>
            </w:tcBorders>
          </w:tcPr>
          <w:p>
            <w:pPr>
              <w:ind w:left="140"/>
              <w:spacing w:after="0" w:line="155" w:lineRule="exact"/>
              <w:rPr>
                <w:sz w:val="20"/>
                <w:szCs w:val="20"/>
                <w:color w:val="auto"/>
              </w:rPr>
            </w:pPr>
            <w:r>
              <w:rPr>
                <w:rFonts w:ascii="Arial" w:cs="Arial" w:eastAsia="Arial" w:hAnsi="Arial"/>
                <w:sz w:val="14"/>
                <w:szCs w:val="14"/>
                <w:color w:val="auto"/>
              </w:rPr>
              <w:t>[*CTR]</w:t>
            </w:r>
          </w:p>
        </w:tc>
        <w:tc>
          <w:tcPr>
            <w:tcW w:w="780" w:type="dxa"/>
            <w:vAlign w:val="bottom"/>
            <w:tcBorders>
              <w:bottom w:val="single" w:sz="8" w:color="auto"/>
              <w:right w:val="single" w:sz="8" w:color="auto"/>
            </w:tcBorders>
          </w:tcPr>
          <w:p>
            <w:pPr>
              <w:spacing w:after="0"/>
              <w:rPr>
                <w:sz w:val="13"/>
                <w:szCs w:val="13"/>
                <w:color w:val="auto"/>
              </w:rPr>
            </w:pPr>
          </w:p>
        </w:tc>
        <w:tc>
          <w:tcPr>
            <w:tcW w:w="2340" w:type="dxa"/>
            <w:vAlign w:val="bottom"/>
            <w:tcBorders>
              <w:bottom w:val="single" w:sz="8" w:color="auto"/>
              <w:right w:val="single" w:sz="8" w:color="auto"/>
            </w:tcBorders>
          </w:tcPr>
          <w:p>
            <w:pPr>
              <w:ind w:left="1820"/>
              <w:spacing w:after="0" w:line="155" w:lineRule="exact"/>
              <w:rPr>
                <w:sz w:val="20"/>
                <w:szCs w:val="20"/>
                <w:color w:val="auto"/>
              </w:rPr>
            </w:pPr>
            <w:r>
              <w:rPr>
                <w:rFonts w:ascii="Arial" w:cs="Arial" w:eastAsia="Arial" w:hAnsi="Arial"/>
                <w:sz w:val="14"/>
                <w:szCs w:val="14"/>
                <w:color w:val="auto"/>
              </w:rPr>
              <w:t>[*CTR]</w:t>
            </w:r>
          </w:p>
        </w:tc>
        <w:tc>
          <w:tcPr>
            <w:tcW w:w="1200" w:type="dxa"/>
            <w:vAlign w:val="bottom"/>
            <w:tcBorders>
              <w:bottom w:val="single" w:sz="8" w:color="auto"/>
              <w:right w:val="single" w:sz="8" w:color="auto"/>
            </w:tcBorders>
          </w:tcPr>
          <w:p>
            <w:pPr>
              <w:ind w:left="640"/>
              <w:spacing w:after="0" w:line="155" w:lineRule="exact"/>
              <w:rPr>
                <w:sz w:val="20"/>
                <w:szCs w:val="20"/>
                <w:color w:val="auto"/>
              </w:rPr>
            </w:pPr>
            <w:r>
              <w:rPr>
                <w:rFonts w:ascii="Arial" w:cs="Arial" w:eastAsia="Arial" w:hAnsi="Arial"/>
                <w:sz w:val="14"/>
                <w:szCs w:val="14"/>
                <w:color w:val="auto"/>
              </w:rPr>
              <w:t>[*CTR]</w:t>
            </w:r>
          </w:p>
        </w:tc>
        <w:tc>
          <w:tcPr>
            <w:tcW w:w="0" w:type="dxa"/>
            <w:vAlign w:val="bottom"/>
          </w:tcPr>
          <w:p>
            <w:pPr>
              <w:spacing w:after="0"/>
              <w:rPr>
                <w:sz w:val="1"/>
                <w:szCs w:val="1"/>
                <w:color w:val="auto"/>
              </w:rPr>
            </w:pPr>
          </w:p>
        </w:tc>
      </w:tr>
      <w:tr>
        <w:trPr>
          <w:trHeight w:val="156"/>
        </w:trPr>
        <w:tc>
          <w:tcPr>
            <w:tcW w:w="1340" w:type="dxa"/>
            <w:vAlign w:val="bottom"/>
            <w:tcBorders>
              <w:left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jc w:val="right"/>
              <w:ind w:right="27"/>
              <w:spacing w:after="0" w:line="155" w:lineRule="exact"/>
              <w:rPr>
                <w:sz w:val="20"/>
                <w:szCs w:val="20"/>
                <w:color w:val="auto"/>
              </w:rPr>
            </w:pPr>
            <w:r>
              <w:rPr>
                <w:rFonts w:ascii="Arial" w:cs="Arial" w:eastAsia="Arial" w:hAnsi="Arial"/>
                <w:sz w:val="14"/>
                <w:szCs w:val="14"/>
                <w:color w:val="auto"/>
              </w:rPr>
              <w:t>6</w:t>
            </w:r>
          </w:p>
        </w:tc>
        <w:tc>
          <w:tcPr>
            <w:tcW w:w="1540" w:type="dxa"/>
            <w:vAlign w:val="bottom"/>
            <w:tcBorders>
              <w:bottom w:val="single" w:sz="8" w:color="auto"/>
            </w:tcBorders>
          </w:tcPr>
          <w:p>
            <w:pPr>
              <w:ind w:left="140"/>
              <w:spacing w:after="0" w:line="155" w:lineRule="exact"/>
              <w:rPr>
                <w:sz w:val="20"/>
                <w:szCs w:val="20"/>
                <w:color w:val="auto"/>
              </w:rPr>
            </w:pPr>
            <w:r>
              <w:rPr>
                <w:rFonts w:ascii="Arial" w:cs="Arial" w:eastAsia="Arial" w:hAnsi="Arial"/>
                <w:sz w:val="14"/>
                <w:szCs w:val="14"/>
                <w:color w:val="auto"/>
              </w:rPr>
              <w:t>[*CTR]</w:t>
            </w:r>
          </w:p>
        </w:tc>
        <w:tc>
          <w:tcPr>
            <w:tcW w:w="780" w:type="dxa"/>
            <w:vAlign w:val="bottom"/>
            <w:tcBorders>
              <w:bottom w:val="single" w:sz="8" w:color="auto"/>
              <w:right w:val="single" w:sz="8" w:color="auto"/>
            </w:tcBorders>
          </w:tcPr>
          <w:p>
            <w:pPr>
              <w:spacing w:after="0"/>
              <w:rPr>
                <w:sz w:val="13"/>
                <w:szCs w:val="13"/>
                <w:color w:val="auto"/>
              </w:rPr>
            </w:pPr>
          </w:p>
        </w:tc>
        <w:tc>
          <w:tcPr>
            <w:tcW w:w="2340" w:type="dxa"/>
            <w:vAlign w:val="bottom"/>
            <w:tcBorders>
              <w:bottom w:val="single" w:sz="8" w:color="auto"/>
              <w:right w:val="single" w:sz="8" w:color="auto"/>
            </w:tcBorders>
          </w:tcPr>
          <w:p>
            <w:pPr>
              <w:ind w:left="1820"/>
              <w:spacing w:after="0" w:line="155" w:lineRule="exact"/>
              <w:rPr>
                <w:sz w:val="20"/>
                <w:szCs w:val="20"/>
                <w:color w:val="auto"/>
              </w:rPr>
            </w:pPr>
            <w:r>
              <w:rPr>
                <w:rFonts w:ascii="Arial" w:cs="Arial" w:eastAsia="Arial" w:hAnsi="Arial"/>
                <w:sz w:val="14"/>
                <w:szCs w:val="14"/>
                <w:color w:val="auto"/>
              </w:rPr>
              <w:t>[*CTR]</w:t>
            </w:r>
          </w:p>
        </w:tc>
        <w:tc>
          <w:tcPr>
            <w:tcW w:w="1200" w:type="dxa"/>
            <w:vAlign w:val="bottom"/>
            <w:tcBorders>
              <w:bottom w:val="single" w:sz="8" w:color="auto"/>
              <w:right w:val="single" w:sz="8" w:color="auto"/>
            </w:tcBorders>
          </w:tcPr>
          <w:p>
            <w:pPr>
              <w:ind w:left="640"/>
              <w:spacing w:after="0" w:line="155" w:lineRule="exact"/>
              <w:rPr>
                <w:sz w:val="20"/>
                <w:szCs w:val="20"/>
                <w:color w:val="auto"/>
              </w:rPr>
            </w:pPr>
            <w:r>
              <w:rPr>
                <w:rFonts w:ascii="Arial" w:cs="Arial" w:eastAsia="Arial" w:hAnsi="Arial"/>
                <w:sz w:val="14"/>
                <w:szCs w:val="14"/>
                <w:color w:val="auto"/>
              </w:rPr>
              <w:t>[*CTR]</w:t>
            </w:r>
          </w:p>
        </w:tc>
        <w:tc>
          <w:tcPr>
            <w:tcW w:w="0" w:type="dxa"/>
            <w:vAlign w:val="bottom"/>
          </w:tcPr>
          <w:p>
            <w:pPr>
              <w:spacing w:after="0"/>
              <w:rPr>
                <w:sz w:val="1"/>
                <w:szCs w:val="1"/>
                <w:color w:val="auto"/>
              </w:rPr>
            </w:pPr>
          </w:p>
        </w:tc>
      </w:tr>
      <w:tr>
        <w:trPr>
          <w:trHeight w:val="156"/>
        </w:trPr>
        <w:tc>
          <w:tcPr>
            <w:tcW w:w="1340" w:type="dxa"/>
            <w:vAlign w:val="bottom"/>
            <w:tcBorders>
              <w:left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jc w:val="right"/>
              <w:ind w:right="27"/>
              <w:spacing w:after="0" w:line="155" w:lineRule="exact"/>
              <w:rPr>
                <w:sz w:val="20"/>
                <w:szCs w:val="20"/>
                <w:color w:val="auto"/>
              </w:rPr>
            </w:pPr>
            <w:r>
              <w:rPr>
                <w:rFonts w:ascii="Arial" w:cs="Arial" w:eastAsia="Arial" w:hAnsi="Arial"/>
                <w:sz w:val="14"/>
                <w:szCs w:val="14"/>
                <w:color w:val="auto"/>
              </w:rPr>
              <w:t>7</w:t>
            </w:r>
          </w:p>
        </w:tc>
        <w:tc>
          <w:tcPr>
            <w:tcW w:w="1540" w:type="dxa"/>
            <w:vAlign w:val="bottom"/>
            <w:tcBorders>
              <w:bottom w:val="single" w:sz="8" w:color="auto"/>
            </w:tcBorders>
          </w:tcPr>
          <w:p>
            <w:pPr>
              <w:ind w:left="140"/>
              <w:spacing w:after="0" w:line="155" w:lineRule="exact"/>
              <w:rPr>
                <w:sz w:val="20"/>
                <w:szCs w:val="20"/>
                <w:color w:val="auto"/>
              </w:rPr>
            </w:pPr>
            <w:r>
              <w:rPr>
                <w:rFonts w:ascii="Arial" w:cs="Arial" w:eastAsia="Arial" w:hAnsi="Arial"/>
                <w:sz w:val="14"/>
                <w:szCs w:val="14"/>
                <w:color w:val="auto"/>
              </w:rPr>
              <w:t>[*CTR]</w:t>
            </w:r>
          </w:p>
        </w:tc>
        <w:tc>
          <w:tcPr>
            <w:tcW w:w="780" w:type="dxa"/>
            <w:vAlign w:val="bottom"/>
            <w:tcBorders>
              <w:bottom w:val="single" w:sz="8" w:color="auto"/>
              <w:right w:val="single" w:sz="8" w:color="auto"/>
            </w:tcBorders>
          </w:tcPr>
          <w:p>
            <w:pPr>
              <w:spacing w:after="0"/>
              <w:rPr>
                <w:sz w:val="13"/>
                <w:szCs w:val="13"/>
                <w:color w:val="auto"/>
              </w:rPr>
            </w:pPr>
          </w:p>
        </w:tc>
        <w:tc>
          <w:tcPr>
            <w:tcW w:w="2340" w:type="dxa"/>
            <w:vAlign w:val="bottom"/>
            <w:tcBorders>
              <w:bottom w:val="single" w:sz="8" w:color="auto"/>
              <w:right w:val="single" w:sz="8" w:color="auto"/>
            </w:tcBorders>
          </w:tcPr>
          <w:p>
            <w:pPr>
              <w:ind w:left="1820"/>
              <w:spacing w:after="0" w:line="155" w:lineRule="exact"/>
              <w:rPr>
                <w:sz w:val="20"/>
                <w:szCs w:val="20"/>
                <w:color w:val="auto"/>
              </w:rPr>
            </w:pPr>
            <w:r>
              <w:rPr>
                <w:rFonts w:ascii="Arial" w:cs="Arial" w:eastAsia="Arial" w:hAnsi="Arial"/>
                <w:sz w:val="14"/>
                <w:szCs w:val="14"/>
                <w:color w:val="auto"/>
              </w:rPr>
              <w:t>[*CTR]</w:t>
            </w:r>
          </w:p>
        </w:tc>
        <w:tc>
          <w:tcPr>
            <w:tcW w:w="1200" w:type="dxa"/>
            <w:vAlign w:val="bottom"/>
            <w:tcBorders>
              <w:bottom w:val="single" w:sz="8" w:color="auto"/>
              <w:right w:val="single" w:sz="8" w:color="auto"/>
            </w:tcBorders>
          </w:tcPr>
          <w:p>
            <w:pPr>
              <w:ind w:left="640"/>
              <w:spacing w:after="0" w:line="155" w:lineRule="exact"/>
              <w:rPr>
                <w:sz w:val="20"/>
                <w:szCs w:val="20"/>
                <w:color w:val="auto"/>
              </w:rPr>
            </w:pPr>
            <w:r>
              <w:rPr>
                <w:rFonts w:ascii="Arial" w:cs="Arial" w:eastAsia="Arial" w:hAnsi="Arial"/>
                <w:sz w:val="14"/>
                <w:szCs w:val="14"/>
                <w:color w:val="auto"/>
              </w:rPr>
              <w:t>[*CTR]</w:t>
            </w:r>
          </w:p>
        </w:tc>
        <w:tc>
          <w:tcPr>
            <w:tcW w:w="0" w:type="dxa"/>
            <w:vAlign w:val="bottom"/>
          </w:tcPr>
          <w:p>
            <w:pPr>
              <w:spacing w:after="0"/>
              <w:rPr>
                <w:sz w:val="1"/>
                <w:szCs w:val="1"/>
                <w:color w:val="auto"/>
              </w:rPr>
            </w:pPr>
          </w:p>
        </w:tc>
      </w:tr>
      <w:tr>
        <w:trPr>
          <w:trHeight w:val="171"/>
        </w:trPr>
        <w:tc>
          <w:tcPr>
            <w:tcW w:w="1340" w:type="dxa"/>
            <w:vAlign w:val="bottom"/>
            <w:tcBorders>
              <w:left w:val="single" w:sz="8" w:color="auto"/>
            </w:tcBorders>
          </w:tcPr>
          <w:p>
            <w:pPr>
              <w:spacing w:after="0"/>
              <w:rPr>
                <w:sz w:val="14"/>
                <w:szCs w:val="14"/>
                <w:color w:val="auto"/>
              </w:rPr>
            </w:pPr>
          </w:p>
        </w:tc>
        <w:tc>
          <w:tcPr>
            <w:tcW w:w="940" w:type="dxa"/>
            <w:vAlign w:val="bottom"/>
            <w:tcBorders>
              <w:right w:val="single" w:sz="8" w:color="auto"/>
            </w:tcBorders>
          </w:tcPr>
          <w:p>
            <w:pPr>
              <w:spacing w:after="0"/>
              <w:rPr>
                <w:sz w:val="14"/>
                <w:szCs w:val="14"/>
                <w:color w:val="auto"/>
              </w:rPr>
            </w:pPr>
          </w:p>
        </w:tc>
        <w:tc>
          <w:tcPr>
            <w:tcW w:w="1540" w:type="dxa"/>
            <w:vAlign w:val="bottom"/>
          </w:tcPr>
          <w:p>
            <w:pPr>
              <w:ind w:left="140"/>
              <w:spacing w:after="0"/>
              <w:rPr>
                <w:sz w:val="20"/>
                <w:szCs w:val="20"/>
                <w:color w:val="auto"/>
              </w:rPr>
            </w:pPr>
            <w:r>
              <w:rPr>
                <w:rFonts w:ascii="Arial" w:cs="Arial" w:eastAsia="Arial" w:hAnsi="Arial"/>
                <w:sz w:val="14"/>
                <w:szCs w:val="14"/>
                <w:color w:val="auto"/>
              </w:rPr>
              <w:t>[*CTR]</w:t>
            </w:r>
          </w:p>
        </w:tc>
        <w:tc>
          <w:tcPr>
            <w:tcW w:w="780" w:type="dxa"/>
            <w:vAlign w:val="bottom"/>
            <w:tcBorders>
              <w:right w:val="single" w:sz="8" w:color="auto"/>
            </w:tcBorders>
          </w:tcPr>
          <w:p>
            <w:pPr>
              <w:spacing w:after="0"/>
              <w:rPr>
                <w:sz w:val="14"/>
                <w:szCs w:val="14"/>
                <w:color w:val="auto"/>
              </w:rPr>
            </w:pPr>
          </w:p>
        </w:tc>
        <w:tc>
          <w:tcPr>
            <w:tcW w:w="2340" w:type="dxa"/>
            <w:vAlign w:val="bottom"/>
            <w:tcBorders>
              <w:right w:val="single" w:sz="8" w:color="auto"/>
            </w:tcBorders>
          </w:tcPr>
          <w:p>
            <w:pPr>
              <w:ind w:left="1820"/>
              <w:spacing w:after="0"/>
              <w:rPr>
                <w:sz w:val="20"/>
                <w:szCs w:val="20"/>
                <w:color w:val="auto"/>
              </w:rPr>
            </w:pPr>
            <w:r>
              <w:rPr>
                <w:rFonts w:ascii="Arial" w:cs="Arial" w:eastAsia="Arial" w:hAnsi="Arial"/>
                <w:sz w:val="14"/>
                <w:szCs w:val="14"/>
                <w:color w:val="auto"/>
              </w:rPr>
              <w:t>[*CTR]</w:t>
            </w:r>
          </w:p>
        </w:tc>
        <w:tc>
          <w:tcPr>
            <w:tcW w:w="1200" w:type="dxa"/>
            <w:vAlign w:val="bottom"/>
            <w:tcBorders>
              <w:right w:val="single" w:sz="8" w:color="auto"/>
            </w:tcBorders>
          </w:tcPr>
          <w:p>
            <w:pPr>
              <w:ind w:left="640"/>
              <w:spacing w:after="0"/>
              <w:rPr>
                <w:sz w:val="20"/>
                <w:szCs w:val="20"/>
                <w:color w:val="auto"/>
              </w:rPr>
            </w:pPr>
            <w:r>
              <w:rPr>
                <w:rFonts w:ascii="Arial" w:cs="Arial" w:eastAsia="Arial" w:hAnsi="Arial"/>
                <w:sz w:val="14"/>
                <w:szCs w:val="14"/>
                <w:color w:val="auto"/>
              </w:rPr>
              <w:t>[*CTR]</w:t>
            </w:r>
          </w:p>
        </w:tc>
        <w:tc>
          <w:tcPr>
            <w:tcW w:w="0" w:type="dxa"/>
            <w:vAlign w:val="bottom"/>
          </w:tcPr>
          <w:p>
            <w:pPr>
              <w:spacing w:after="0"/>
              <w:rPr>
                <w:sz w:val="1"/>
                <w:szCs w:val="1"/>
                <w:color w:val="auto"/>
              </w:rPr>
            </w:pPr>
          </w:p>
        </w:tc>
      </w:tr>
      <w:tr>
        <w:trPr>
          <w:trHeight w:val="728"/>
        </w:trPr>
        <w:tc>
          <w:tcPr>
            <w:tcW w:w="1340" w:type="dxa"/>
            <w:vAlign w:val="bottom"/>
            <w:tcBorders>
              <w:left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jc w:val="right"/>
              <w:ind w:right="27"/>
              <w:spacing w:after="0"/>
              <w:rPr>
                <w:sz w:val="20"/>
                <w:szCs w:val="20"/>
                <w:color w:val="auto"/>
              </w:rPr>
            </w:pPr>
            <w:r>
              <w:rPr>
                <w:rFonts w:ascii="Arial" w:cs="Arial" w:eastAsia="Arial" w:hAnsi="Arial"/>
                <w:sz w:val="14"/>
                <w:szCs w:val="14"/>
                <w:color w:val="auto"/>
              </w:rPr>
              <w:t>8</w:t>
            </w:r>
          </w:p>
        </w:tc>
        <w:tc>
          <w:tcPr>
            <w:tcW w:w="1540" w:type="dxa"/>
            <w:vAlign w:val="bottom"/>
            <w:tcBorders>
              <w:bottom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2340" w:type="dxa"/>
            <w:vAlign w:val="bottom"/>
            <w:tcBorders>
              <w:bottom w:val="single" w:sz="8" w:color="auto"/>
              <w:right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340" w:type="dxa"/>
            <w:vAlign w:val="bottom"/>
            <w:tcBorders>
              <w:left w:val="single" w:sz="8" w:color="auto"/>
            </w:tcBorders>
          </w:tcPr>
          <w:p>
            <w:pPr>
              <w:spacing w:after="0"/>
              <w:rPr>
                <w:sz w:val="14"/>
                <w:szCs w:val="14"/>
                <w:color w:val="auto"/>
              </w:rPr>
            </w:pPr>
          </w:p>
        </w:tc>
        <w:tc>
          <w:tcPr>
            <w:tcW w:w="940" w:type="dxa"/>
            <w:vAlign w:val="bottom"/>
            <w:tcBorders>
              <w:right w:val="single" w:sz="8" w:color="auto"/>
            </w:tcBorders>
          </w:tcPr>
          <w:p>
            <w:pPr>
              <w:spacing w:after="0"/>
              <w:rPr>
                <w:sz w:val="14"/>
                <w:szCs w:val="14"/>
                <w:color w:val="auto"/>
              </w:rPr>
            </w:pPr>
          </w:p>
        </w:tc>
        <w:tc>
          <w:tcPr>
            <w:tcW w:w="1540" w:type="dxa"/>
            <w:vAlign w:val="bottom"/>
          </w:tcPr>
          <w:p>
            <w:pPr>
              <w:ind w:left="140"/>
              <w:spacing w:after="0"/>
              <w:rPr>
                <w:sz w:val="20"/>
                <w:szCs w:val="20"/>
                <w:color w:val="auto"/>
              </w:rPr>
            </w:pPr>
            <w:r>
              <w:rPr>
                <w:rFonts w:ascii="Arial" w:cs="Arial" w:eastAsia="Arial" w:hAnsi="Arial"/>
                <w:sz w:val="14"/>
                <w:szCs w:val="14"/>
                <w:color w:val="auto"/>
              </w:rPr>
              <w:t>[*CTR]</w:t>
            </w:r>
          </w:p>
        </w:tc>
        <w:tc>
          <w:tcPr>
            <w:tcW w:w="780" w:type="dxa"/>
            <w:vAlign w:val="bottom"/>
            <w:tcBorders>
              <w:right w:val="single" w:sz="8" w:color="auto"/>
            </w:tcBorders>
          </w:tcPr>
          <w:p>
            <w:pPr>
              <w:spacing w:after="0"/>
              <w:rPr>
                <w:sz w:val="14"/>
                <w:szCs w:val="14"/>
                <w:color w:val="auto"/>
              </w:rPr>
            </w:pPr>
          </w:p>
        </w:tc>
        <w:tc>
          <w:tcPr>
            <w:tcW w:w="2340" w:type="dxa"/>
            <w:vAlign w:val="bottom"/>
            <w:tcBorders>
              <w:right w:val="single" w:sz="8" w:color="auto"/>
            </w:tcBorders>
          </w:tcPr>
          <w:p>
            <w:pPr>
              <w:ind w:left="1820"/>
              <w:spacing w:after="0"/>
              <w:rPr>
                <w:sz w:val="20"/>
                <w:szCs w:val="20"/>
                <w:color w:val="auto"/>
              </w:rPr>
            </w:pPr>
            <w:r>
              <w:rPr>
                <w:rFonts w:ascii="Arial" w:cs="Arial" w:eastAsia="Arial" w:hAnsi="Arial"/>
                <w:sz w:val="14"/>
                <w:szCs w:val="14"/>
                <w:color w:val="auto"/>
              </w:rPr>
              <w:t>[*CTR]</w:t>
            </w:r>
          </w:p>
        </w:tc>
        <w:tc>
          <w:tcPr>
            <w:tcW w:w="1200" w:type="dxa"/>
            <w:vAlign w:val="bottom"/>
            <w:tcBorders>
              <w:right w:val="single" w:sz="8" w:color="auto"/>
            </w:tcBorders>
          </w:tcPr>
          <w:p>
            <w:pPr>
              <w:ind w:left="640"/>
              <w:spacing w:after="0"/>
              <w:rPr>
                <w:sz w:val="20"/>
                <w:szCs w:val="20"/>
                <w:color w:val="auto"/>
              </w:rPr>
            </w:pPr>
            <w:r>
              <w:rPr>
                <w:rFonts w:ascii="Arial" w:cs="Arial" w:eastAsia="Arial" w:hAnsi="Arial"/>
                <w:sz w:val="14"/>
                <w:szCs w:val="14"/>
                <w:color w:val="auto"/>
              </w:rPr>
              <w:t>[*CTR]</w:t>
            </w:r>
          </w:p>
        </w:tc>
        <w:tc>
          <w:tcPr>
            <w:tcW w:w="0" w:type="dxa"/>
            <w:vAlign w:val="bottom"/>
          </w:tcPr>
          <w:p>
            <w:pPr>
              <w:spacing w:after="0"/>
              <w:rPr>
                <w:sz w:val="1"/>
                <w:szCs w:val="1"/>
                <w:color w:val="auto"/>
              </w:rPr>
            </w:pPr>
          </w:p>
        </w:tc>
      </w:tr>
      <w:tr>
        <w:trPr>
          <w:trHeight w:val="485"/>
        </w:trPr>
        <w:tc>
          <w:tcPr>
            <w:tcW w:w="1340" w:type="dxa"/>
            <w:vAlign w:val="bottom"/>
            <w:tcBorders>
              <w:left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jc w:val="right"/>
              <w:ind w:right="27"/>
              <w:spacing w:after="0"/>
              <w:rPr>
                <w:sz w:val="20"/>
                <w:szCs w:val="20"/>
                <w:color w:val="auto"/>
              </w:rPr>
            </w:pPr>
            <w:r>
              <w:rPr>
                <w:rFonts w:ascii="Arial" w:cs="Arial" w:eastAsia="Arial" w:hAnsi="Arial"/>
                <w:sz w:val="14"/>
                <w:szCs w:val="14"/>
                <w:color w:val="auto"/>
              </w:rPr>
              <w:t>9</w:t>
            </w:r>
          </w:p>
        </w:tc>
        <w:tc>
          <w:tcPr>
            <w:tcW w:w="1540" w:type="dxa"/>
            <w:vAlign w:val="bottom"/>
            <w:tcBorders>
              <w:bottom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2340" w:type="dxa"/>
            <w:vAlign w:val="bottom"/>
            <w:tcBorders>
              <w:bottom w:val="single" w:sz="8" w:color="auto"/>
              <w:right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340" w:type="dxa"/>
            <w:vAlign w:val="bottom"/>
            <w:tcBorders>
              <w:left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jc w:val="right"/>
              <w:ind w:right="27"/>
              <w:spacing w:after="0" w:line="155" w:lineRule="exact"/>
              <w:rPr>
                <w:sz w:val="20"/>
                <w:szCs w:val="20"/>
                <w:color w:val="auto"/>
              </w:rPr>
            </w:pPr>
            <w:r>
              <w:rPr>
                <w:rFonts w:ascii="Arial" w:cs="Arial" w:eastAsia="Arial" w:hAnsi="Arial"/>
                <w:sz w:val="14"/>
                <w:szCs w:val="14"/>
                <w:color w:val="auto"/>
              </w:rPr>
              <w:t>10</w:t>
            </w:r>
          </w:p>
        </w:tc>
        <w:tc>
          <w:tcPr>
            <w:tcW w:w="1540" w:type="dxa"/>
            <w:vAlign w:val="bottom"/>
            <w:tcBorders>
              <w:bottom w:val="single" w:sz="8" w:color="auto"/>
            </w:tcBorders>
          </w:tcPr>
          <w:p>
            <w:pPr>
              <w:ind w:left="140"/>
              <w:spacing w:after="0" w:line="155" w:lineRule="exact"/>
              <w:rPr>
                <w:sz w:val="20"/>
                <w:szCs w:val="20"/>
                <w:color w:val="auto"/>
              </w:rPr>
            </w:pPr>
            <w:r>
              <w:rPr>
                <w:rFonts w:ascii="Arial" w:cs="Arial" w:eastAsia="Arial" w:hAnsi="Arial"/>
                <w:sz w:val="14"/>
                <w:szCs w:val="14"/>
                <w:color w:val="auto"/>
              </w:rPr>
              <w:t>[*CTR]</w:t>
            </w:r>
          </w:p>
        </w:tc>
        <w:tc>
          <w:tcPr>
            <w:tcW w:w="780" w:type="dxa"/>
            <w:vAlign w:val="bottom"/>
            <w:tcBorders>
              <w:bottom w:val="single" w:sz="8" w:color="auto"/>
              <w:right w:val="single" w:sz="8" w:color="auto"/>
            </w:tcBorders>
          </w:tcPr>
          <w:p>
            <w:pPr>
              <w:spacing w:after="0"/>
              <w:rPr>
                <w:sz w:val="13"/>
                <w:szCs w:val="13"/>
                <w:color w:val="auto"/>
              </w:rPr>
            </w:pPr>
          </w:p>
        </w:tc>
        <w:tc>
          <w:tcPr>
            <w:tcW w:w="2340" w:type="dxa"/>
            <w:vAlign w:val="bottom"/>
            <w:tcBorders>
              <w:bottom w:val="single" w:sz="8" w:color="auto"/>
              <w:right w:val="single" w:sz="8" w:color="auto"/>
            </w:tcBorders>
          </w:tcPr>
          <w:p>
            <w:pPr>
              <w:ind w:left="1820"/>
              <w:spacing w:after="0" w:line="155" w:lineRule="exact"/>
              <w:rPr>
                <w:sz w:val="20"/>
                <w:szCs w:val="20"/>
                <w:color w:val="auto"/>
              </w:rPr>
            </w:pPr>
            <w:r>
              <w:rPr>
                <w:rFonts w:ascii="Arial" w:cs="Arial" w:eastAsia="Arial" w:hAnsi="Arial"/>
                <w:sz w:val="14"/>
                <w:szCs w:val="14"/>
                <w:color w:val="auto"/>
              </w:rPr>
              <w:t>[*CTR]</w:t>
            </w:r>
          </w:p>
        </w:tc>
        <w:tc>
          <w:tcPr>
            <w:tcW w:w="1200" w:type="dxa"/>
            <w:vAlign w:val="bottom"/>
            <w:tcBorders>
              <w:bottom w:val="single" w:sz="8" w:color="auto"/>
              <w:right w:val="single" w:sz="8" w:color="auto"/>
            </w:tcBorders>
          </w:tcPr>
          <w:p>
            <w:pPr>
              <w:ind w:left="640"/>
              <w:spacing w:after="0" w:line="155" w:lineRule="exact"/>
              <w:rPr>
                <w:sz w:val="20"/>
                <w:szCs w:val="20"/>
                <w:color w:val="auto"/>
              </w:rPr>
            </w:pPr>
            <w:r>
              <w:rPr>
                <w:rFonts w:ascii="Arial" w:cs="Arial" w:eastAsia="Arial" w:hAnsi="Arial"/>
                <w:sz w:val="14"/>
                <w:szCs w:val="14"/>
                <w:color w:val="auto"/>
              </w:rPr>
              <w:t>[*CTR]</w:t>
            </w:r>
          </w:p>
        </w:tc>
        <w:tc>
          <w:tcPr>
            <w:tcW w:w="0" w:type="dxa"/>
            <w:vAlign w:val="bottom"/>
          </w:tcPr>
          <w:p>
            <w:pPr>
              <w:spacing w:after="0"/>
              <w:rPr>
                <w:sz w:val="1"/>
                <w:szCs w:val="1"/>
                <w:color w:val="auto"/>
              </w:rPr>
            </w:pPr>
          </w:p>
        </w:tc>
      </w:tr>
      <w:tr>
        <w:trPr>
          <w:trHeight w:val="156"/>
        </w:trPr>
        <w:tc>
          <w:tcPr>
            <w:tcW w:w="1340" w:type="dxa"/>
            <w:vAlign w:val="bottom"/>
            <w:tcBorders>
              <w:left w:val="single" w:sz="8" w:color="auto"/>
              <w:bottom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jc w:val="right"/>
              <w:ind w:right="27"/>
              <w:spacing w:after="0" w:line="155" w:lineRule="exact"/>
              <w:rPr>
                <w:sz w:val="20"/>
                <w:szCs w:val="20"/>
                <w:color w:val="auto"/>
              </w:rPr>
            </w:pPr>
            <w:r>
              <w:rPr>
                <w:rFonts w:ascii="Arial" w:cs="Arial" w:eastAsia="Arial" w:hAnsi="Arial"/>
                <w:sz w:val="14"/>
                <w:szCs w:val="14"/>
                <w:color w:val="auto"/>
              </w:rPr>
              <w:t>11</w:t>
            </w:r>
          </w:p>
        </w:tc>
        <w:tc>
          <w:tcPr>
            <w:tcW w:w="1540" w:type="dxa"/>
            <w:vAlign w:val="bottom"/>
            <w:tcBorders>
              <w:bottom w:val="single" w:sz="8" w:color="auto"/>
            </w:tcBorders>
          </w:tcPr>
          <w:p>
            <w:pPr>
              <w:ind w:left="140"/>
              <w:spacing w:after="0" w:line="155" w:lineRule="exact"/>
              <w:rPr>
                <w:sz w:val="20"/>
                <w:szCs w:val="20"/>
                <w:color w:val="auto"/>
              </w:rPr>
            </w:pPr>
            <w:r>
              <w:rPr>
                <w:rFonts w:ascii="Arial" w:cs="Arial" w:eastAsia="Arial" w:hAnsi="Arial"/>
                <w:sz w:val="14"/>
                <w:szCs w:val="14"/>
                <w:color w:val="auto"/>
              </w:rPr>
              <w:t>[*CTR]</w:t>
            </w:r>
          </w:p>
        </w:tc>
        <w:tc>
          <w:tcPr>
            <w:tcW w:w="780" w:type="dxa"/>
            <w:vAlign w:val="bottom"/>
            <w:tcBorders>
              <w:bottom w:val="single" w:sz="8" w:color="auto"/>
              <w:right w:val="single" w:sz="8" w:color="auto"/>
            </w:tcBorders>
          </w:tcPr>
          <w:p>
            <w:pPr>
              <w:spacing w:after="0"/>
              <w:rPr>
                <w:sz w:val="13"/>
                <w:szCs w:val="13"/>
                <w:color w:val="auto"/>
              </w:rPr>
            </w:pPr>
          </w:p>
        </w:tc>
        <w:tc>
          <w:tcPr>
            <w:tcW w:w="2340" w:type="dxa"/>
            <w:vAlign w:val="bottom"/>
            <w:tcBorders>
              <w:bottom w:val="single" w:sz="8" w:color="auto"/>
              <w:right w:val="single" w:sz="8" w:color="auto"/>
            </w:tcBorders>
          </w:tcPr>
          <w:p>
            <w:pPr>
              <w:ind w:left="1820"/>
              <w:spacing w:after="0" w:line="155" w:lineRule="exact"/>
              <w:rPr>
                <w:sz w:val="20"/>
                <w:szCs w:val="20"/>
                <w:color w:val="auto"/>
              </w:rPr>
            </w:pPr>
            <w:r>
              <w:rPr>
                <w:rFonts w:ascii="Arial" w:cs="Arial" w:eastAsia="Arial" w:hAnsi="Arial"/>
                <w:sz w:val="14"/>
                <w:szCs w:val="14"/>
                <w:color w:val="auto"/>
              </w:rPr>
              <w:t>[*CTR]</w:t>
            </w:r>
          </w:p>
        </w:tc>
        <w:tc>
          <w:tcPr>
            <w:tcW w:w="1200" w:type="dxa"/>
            <w:vAlign w:val="bottom"/>
            <w:tcBorders>
              <w:bottom w:val="single" w:sz="8" w:color="auto"/>
              <w:right w:val="single" w:sz="8" w:color="auto"/>
            </w:tcBorders>
          </w:tcPr>
          <w:p>
            <w:pPr>
              <w:ind w:left="640"/>
              <w:spacing w:after="0" w:line="155" w:lineRule="exact"/>
              <w:rPr>
                <w:sz w:val="20"/>
                <w:szCs w:val="20"/>
                <w:color w:val="auto"/>
              </w:rPr>
            </w:pPr>
            <w:r>
              <w:rPr>
                <w:rFonts w:ascii="Arial" w:cs="Arial" w:eastAsia="Arial" w:hAnsi="Arial"/>
                <w:sz w:val="14"/>
                <w:szCs w:val="14"/>
                <w:color w:val="auto"/>
              </w:rPr>
              <w:t>[*CTR]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380490" cy="3689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clrChange>
                        <a:clrFrom>
                          <a:srgbClr val="FFFFFF"/>
                        </a:clrFrom>
                        <a:clrTo>
                          <a:srgbClr val="FFFFFF">
                            <a:alpha val="0"/>
                          </a:srgbClr>
                        </a:clrTo>
                      </a:clrChange>
                      <a:extLst>
                        <a:ext uri="{28A0092B-C50C-407E-A947-70E740481C1C}"/>
                      </a:extLst>
                    </a:blip>
                    <a:srcRect/>
                    <a:stretch>
                      <a:fillRect/>
                    </a:stretch>
                  </pic:blipFill>
                  <pic:spPr bwMode="auto">
                    <a:xfrm>
                      <a:off x="0" y="0"/>
                      <a:ext cx="1380490" cy="368935"/>
                    </a:xfrm>
                    <a:prstGeom prst="rect">
                      <a:avLst/>
                    </a:prstGeom>
                    <a:noFill/>
                  </pic:spPr>
                </pic:pic>
              </a:graphicData>
            </a:graphic>
          </wp:anchor>
        </w:drawing>
        <w:drawing>
          <wp:anchor simplePos="0" relativeHeight="251657728" behindDoc="1" locked="0" layoutInCell="0" allowOverlap="1">
            <wp:simplePos x="0" y="0"/>
            <wp:positionH relativeFrom="column">
              <wp:posOffset>6668770</wp:posOffset>
            </wp:positionH>
            <wp:positionV relativeFrom="paragraph">
              <wp:posOffset>-3926840</wp:posOffset>
            </wp:positionV>
            <wp:extent cx="111760" cy="16554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11760" cy="1655445"/>
                    </a:xfrm>
                    <a:prstGeom prst="rect">
                      <a:avLst/>
                    </a:prstGeom>
                    <a:noFill/>
                  </pic:spPr>
                </pic:pic>
              </a:graphicData>
            </a:graphic>
          </wp:anchor>
        </w:drawing>
        <w:drawing>
          <wp:anchor simplePos="0" relativeHeight="251657728" behindDoc="1" locked="0" layoutInCell="0" allowOverlap="1">
            <wp:simplePos x="0" y="0"/>
            <wp:positionH relativeFrom="column">
              <wp:posOffset>6668770</wp:posOffset>
            </wp:positionH>
            <wp:positionV relativeFrom="paragraph">
              <wp:posOffset>-1645920</wp:posOffset>
            </wp:positionV>
            <wp:extent cx="111760" cy="16554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11760" cy="1655445"/>
                    </a:xfrm>
                    <a:prstGeom prst="rect">
                      <a:avLst/>
                    </a:prstGeom>
                    <a:noFill/>
                  </pic:spPr>
                </pic:pic>
              </a:graphicData>
            </a:graphic>
          </wp:anchor>
        </w:drawing>
        <w:drawing>
          <wp:anchor simplePos="0" relativeHeight="251657728" behindDoc="1" locked="0" layoutInCell="0" allowOverlap="1">
            <wp:simplePos x="0" y="0"/>
            <wp:positionH relativeFrom="column">
              <wp:posOffset>6668770</wp:posOffset>
            </wp:positionH>
            <wp:positionV relativeFrom="paragraph">
              <wp:posOffset>634365</wp:posOffset>
            </wp:positionV>
            <wp:extent cx="111760" cy="16554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11760" cy="1655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2"/>
          <w:szCs w:val="22"/>
          <w:color w:val="auto"/>
        </w:rPr>
        <w:t>Attachment A to AAL-PA-3219-LA-1701988</w:t>
      </w:r>
    </w:p>
    <w:p>
      <w:pPr>
        <w:spacing w:after="0" w:line="230" w:lineRule="auto"/>
        <w:rPr>
          <w:sz w:val="20"/>
          <w:szCs w:val="20"/>
          <w:color w:val="auto"/>
        </w:rPr>
      </w:pPr>
      <w:r>
        <w:rPr>
          <w:rFonts w:ascii="Arial" w:cs="Arial" w:eastAsia="Arial" w:hAnsi="Arial"/>
          <w:sz w:val="22"/>
          <w:szCs w:val="22"/>
          <w:color w:val="auto"/>
        </w:rPr>
        <w:t>[*CTR],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Letter Agreement AAL-PA-3219-LA-1302236R1</w:t>
      </w:r>
    </w:p>
    <w:p>
      <w:pPr>
        <w:spacing w:after="0" w:line="4" w:lineRule="exact"/>
        <w:rPr>
          <w:sz w:val="20"/>
          <w:szCs w:val="20"/>
          <w:color w:val="auto"/>
        </w:rPr>
      </w:pPr>
    </w:p>
    <w:p>
      <w:pPr>
        <w:ind w:left="4480"/>
        <w:spacing w:after="0"/>
        <w:rPr>
          <w:sz w:val="20"/>
          <w:szCs w:val="20"/>
          <w:color w:val="auto"/>
        </w:rPr>
      </w:pPr>
      <w:r>
        <w:rPr>
          <w:rFonts w:ascii="Arial" w:cs="Arial" w:eastAsia="Arial" w:hAnsi="Arial"/>
          <w:sz w:val="22"/>
          <w:szCs w:val="22"/>
          <w:b w:val="1"/>
          <w:bCs w:val="1"/>
          <w:color w:val="auto"/>
        </w:rPr>
        <w:t>BOEING PROPRIETARY</w:t>
      </w:r>
    </w:p>
    <w:p>
      <w:pPr>
        <w:spacing w:after="0" w:line="66"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[*CTR]=[CONFIDENTIAL PORTION OMITTED AND FILED SEPARATELY WITH THE COMMISSION PURSUANT TO A REQUEST FOR CONFIDENTIAL TREATMENT]</w:t>
      </w:r>
    </w:p>
    <w:p>
      <w:pPr>
        <w:sectPr>
          <w:pgSz w:w="11900" w:h="16838" w:orient="portrait"/>
          <w:cols w:equalWidth="0" w:num="1">
            <w:col w:w="11420"/>
          </w:cols>
          <w:pgMar w:left="240" w:top="1029" w:right="239" w:bottom="1440" w:gutter="0" w:footer="0" w:header="0"/>
        </w:sectPr>
      </w:pPr>
    </w:p>
    <w:bookmarkStart w:id="129" w:name="page130"/>
    <w:bookmarkEnd w:id="129"/>
    <w:tbl>
      <w:tblPr>
        <w:tblLayout w:type="fixed"/>
        <w:tblInd w:w="10" w:type="dxa"/>
        <w:tblCellMar>
          <w:top w:w="0" w:type="dxa"/>
          <w:left w:w="0" w:type="dxa"/>
          <w:bottom w:w="0" w:type="dxa"/>
          <w:right w:w="0" w:type="dxa"/>
        </w:tblCellMar>
      </w:tblPr>
      <w:tr>
        <w:trPr>
          <w:trHeight w:val="351"/>
        </w:trPr>
        <w:tc>
          <w:tcPr>
            <w:tcW w:w="1180" w:type="dxa"/>
            <w:vAlign w:val="bottom"/>
            <w:tcBorders>
              <w:top w:val="single" w:sz="8" w:color="auto"/>
              <w:left w:val="single" w:sz="8" w:color="auto"/>
              <w:right w:val="single" w:sz="8" w:color="CCCCCC"/>
            </w:tcBorders>
            <w:shd w:val="clear" w:color="auto" w:fill="CCCCCC"/>
          </w:tcPr>
          <w:p>
            <w:pPr>
              <w:ind w:left="380"/>
              <w:spacing w:after="0"/>
              <w:rPr>
                <w:sz w:val="20"/>
                <w:szCs w:val="20"/>
                <w:color w:val="auto"/>
              </w:rPr>
            </w:pPr>
            <w:r>
              <w:rPr>
                <w:rFonts w:ascii="Arial" w:cs="Arial" w:eastAsia="Arial" w:hAnsi="Arial"/>
                <w:sz w:val="18"/>
                <w:szCs w:val="18"/>
                <w:b w:val="1"/>
                <w:bCs w:val="1"/>
                <w:color w:val="auto"/>
              </w:rPr>
              <w:t>[*CTR]</w:t>
            </w:r>
          </w:p>
        </w:tc>
        <w:tc>
          <w:tcPr>
            <w:tcW w:w="800" w:type="dxa"/>
            <w:vAlign w:val="bottom"/>
            <w:tcBorders>
              <w:top w:val="single" w:sz="8" w:color="auto"/>
              <w:right w:val="single" w:sz="8" w:color="auto"/>
            </w:tcBorders>
            <w:shd w:val="clear" w:color="auto" w:fill="CCCCCC"/>
          </w:tcPr>
          <w:p>
            <w:pPr>
              <w:jc w:val="right"/>
              <w:ind w:right="47"/>
              <w:spacing w:after="0"/>
              <w:rPr>
                <w:sz w:val="20"/>
                <w:szCs w:val="20"/>
                <w:color w:val="auto"/>
              </w:rPr>
            </w:pPr>
            <w:r>
              <w:rPr>
                <w:rFonts w:ascii="Arial" w:cs="Arial" w:eastAsia="Arial" w:hAnsi="Arial"/>
                <w:sz w:val="18"/>
                <w:szCs w:val="18"/>
                <w:b w:val="1"/>
                <w:bCs w:val="1"/>
                <w:color w:val="auto"/>
              </w:rPr>
              <w:t>[*CTR]</w:t>
            </w:r>
          </w:p>
        </w:tc>
        <w:tc>
          <w:tcPr>
            <w:tcW w:w="2660" w:type="dxa"/>
            <w:vAlign w:val="bottom"/>
            <w:tcBorders>
              <w:top w:val="single" w:sz="8" w:color="auto"/>
              <w:right w:val="single" w:sz="8" w:color="auto"/>
            </w:tcBorders>
            <w:shd w:val="clear" w:color="auto" w:fill="CCCCCC"/>
          </w:tcPr>
          <w:p>
            <w:pPr>
              <w:ind w:left="1100"/>
              <w:spacing w:after="0"/>
              <w:rPr>
                <w:sz w:val="20"/>
                <w:szCs w:val="20"/>
                <w:color w:val="auto"/>
              </w:rPr>
            </w:pPr>
            <w:r>
              <w:rPr>
                <w:rFonts w:ascii="Arial" w:cs="Arial" w:eastAsia="Arial" w:hAnsi="Arial"/>
                <w:sz w:val="18"/>
                <w:szCs w:val="18"/>
                <w:b w:val="1"/>
                <w:bCs w:val="1"/>
                <w:color w:val="auto"/>
              </w:rPr>
              <w:t>[*CTR]</w:t>
            </w:r>
          </w:p>
        </w:tc>
        <w:tc>
          <w:tcPr>
            <w:tcW w:w="2580" w:type="dxa"/>
            <w:vAlign w:val="bottom"/>
            <w:tcBorders>
              <w:top w:val="single" w:sz="8" w:color="auto"/>
              <w:right w:val="single" w:sz="8" w:color="auto"/>
            </w:tcBorders>
            <w:shd w:val="clear" w:color="auto" w:fill="CCCCCC"/>
          </w:tcPr>
          <w:p>
            <w:pPr>
              <w:ind w:left="1060"/>
              <w:spacing w:after="0"/>
              <w:rPr>
                <w:sz w:val="20"/>
                <w:szCs w:val="20"/>
                <w:color w:val="auto"/>
              </w:rPr>
            </w:pPr>
            <w:r>
              <w:rPr>
                <w:rFonts w:ascii="Arial" w:cs="Arial" w:eastAsia="Arial" w:hAnsi="Arial"/>
                <w:sz w:val="18"/>
                <w:szCs w:val="18"/>
                <w:b w:val="1"/>
                <w:bCs w:val="1"/>
                <w:color w:val="auto"/>
              </w:rPr>
              <w:t>[*CTR]</w:t>
            </w:r>
          </w:p>
        </w:tc>
        <w:tc>
          <w:tcPr>
            <w:tcW w:w="740" w:type="dxa"/>
            <w:vAlign w:val="bottom"/>
            <w:tcBorders>
              <w:top w:val="single" w:sz="8" w:color="auto"/>
              <w:right w:val="single" w:sz="8" w:color="auto"/>
            </w:tcBorders>
            <w:shd w:val="clear" w:color="auto" w:fill="CCCCCC"/>
          </w:tcPr>
          <w:p>
            <w:pPr>
              <w:jc w:val="center"/>
              <w:spacing w:after="0"/>
              <w:rPr>
                <w:sz w:val="20"/>
                <w:szCs w:val="20"/>
                <w:color w:val="auto"/>
              </w:rPr>
            </w:pPr>
            <w:r>
              <w:rPr>
                <w:rFonts w:ascii="Arial" w:cs="Arial" w:eastAsia="Arial" w:hAnsi="Arial"/>
                <w:sz w:val="18"/>
                <w:szCs w:val="18"/>
                <w:b w:val="1"/>
                <w:bCs w:val="1"/>
                <w:color w:val="auto"/>
                <w:w w:val="99"/>
              </w:rPr>
              <w:t>[*CTR]</w:t>
            </w:r>
          </w:p>
        </w:tc>
      </w:tr>
      <w:tr>
        <w:trPr>
          <w:trHeight w:val="122"/>
        </w:trPr>
        <w:tc>
          <w:tcPr>
            <w:tcW w:w="1180" w:type="dxa"/>
            <w:vAlign w:val="bottom"/>
            <w:tcBorders>
              <w:left w:val="single" w:sz="8" w:color="auto"/>
              <w:bottom w:val="single" w:sz="8" w:color="auto"/>
              <w:right w:val="single" w:sz="8" w:color="CCCCCC"/>
            </w:tcBorders>
            <w:shd w:val="clear" w:color="auto" w:fill="CCCCCC"/>
          </w:tcPr>
          <w:p>
            <w:pPr>
              <w:spacing w:after="0"/>
              <w:rPr>
                <w:sz w:val="10"/>
                <w:szCs w:val="10"/>
                <w:color w:val="auto"/>
              </w:rPr>
            </w:pPr>
          </w:p>
        </w:tc>
        <w:tc>
          <w:tcPr>
            <w:tcW w:w="800" w:type="dxa"/>
            <w:vAlign w:val="bottom"/>
            <w:tcBorders>
              <w:bottom w:val="single" w:sz="8" w:color="auto"/>
              <w:right w:val="single" w:sz="8" w:color="auto"/>
            </w:tcBorders>
            <w:shd w:val="clear" w:color="auto" w:fill="CCCCCC"/>
          </w:tcPr>
          <w:p>
            <w:pPr>
              <w:spacing w:after="0"/>
              <w:rPr>
                <w:sz w:val="10"/>
                <w:szCs w:val="10"/>
                <w:color w:val="auto"/>
              </w:rPr>
            </w:pPr>
          </w:p>
        </w:tc>
        <w:tc>
          <w:tcPr>
            <w:tcW w:w="2660" w:type="dxa"/>
            <w:vAlign w:val="bottom"/>
            <w:tcBorders>
              <w:bottom w:val="single" w:sz="8" w:color="auto"/>
              <w:right w:val="single" w:sz="8" w:color="auto"/>
            </w:tcBorders>
            <w:shd w:val="clear" w:color="auto" w:fill="CCCCCC"/>
          </w:tcPr>
          <w:p>
            <w:pPr>
              <w:spacing w:after="0"/>
              <w:rPr>
                <w:sz w:val="10"/>
                <w:szCs w:val="10"/>
                <w:color w:val="auto"/>
              </w:rPr>
            </w:pPr>
          </w:p>
        </w:tc>
        <w:tc>
          <w:tcPr>
            <w:tcW w:w="2580" w:type="dxa"/>
            <w:vAlign w:val="bottom"/>
            <w:tcBorders>
              <w:bottom w:val="single" w:sz="8" w:color="auto"/>
              <w:right w:val="single" w:sz="8" w:color="auto"/>
            </w:tcBorders>
            <w:shd w:val="clear" w:color="auto" w:fill="CCCCCC"/>
          </w:tcPr>
          <w:p>
            <w:pPr>
              <w:spacing w:after="0"/>
              <w:rPr>
                <w:sz w:val="10"/>
                <w:szCs w:val="10"/>
                <w:color w:val="auto"/>
              </w:rPr>
            </w:pPr>
          </w:p>
        </w:tc>
        <w:tc>
          <w:tcPr>
            <w:tcW w:w="740" w:type="dxa"/>
            <w:vAlign w:val="bottom"/>
            <w:tcBorders>
              <w:bottom w:val="single" w:sz="8" w:color="auto"/>
              <w:right w:val="single" w:sz="8" w:color="auto"/>
            </w:tcBorders>
            <w:shd w:val="clear" w:color="auto" w:fill="CCCCCC"/>
          </w:tcPr>
          <w:p>
            <w:pPr>
              <w:spacing w:after="0"/>
              <w:rPr>
                <w:sz w:val="10"/>
                <w:szCs w:val="10"/>
                <w:color w:val="auto"/>
              </w:rPr>
            </w:pPr>
          </w:p>
        </w:tc>
      </w:tr>
      <w:tr>
        <w:trPr>
          <w:trHeight w:val="1006"/>
        </w:trPr>
        <w:tc>
          <w:tcPr>
            <w:tcW w:w="1180" w:type="dxa"/>
            <w:vAlign w:val="bottom"/>
            <w:tcBorders>
              <w:left w:val="single" w:sz="8" w:color="auto"/>
              <w:bottom w:val="single" w:sz="8" w:color="auto"/>
              <w:right w:val="single" w:sz="8" w:color="0070C0"/>
            </w:tcBorders>
            <w:shd w:val="clear" w:color="auto" w:fill="0070C0"/>
          </w:tcPr>
          <w:p>
            <w:pPr>
              <w:spacing w:after="0"/>
              <w:rPr>
                <w:sz w:val="24"/>
                <w:szCs w:val="24"/>
                <w:color w:val="auto"/>
              </w:rPr>
            </w:pPr>
          </w:p>
        </w:tc>
        <w:tc>
          <w:tcPr>
            <w:tcW w:w="800" w:type="dxa"/>
            <w:vAlign w:val="bottom"/>
            <w:tcBorders>
              <w:bottom w:val="single" w:sz="8" w:color="auto"/>
              <w:right w:val="single" w:sz="8" w:color="0070C0"/>
            </w:tcBorders>
            <w:shd w:val="clear" w:color="auto" w:fill="0070C0"/>
          </w:tcPr>
          <w:p>
            <w:pPr>
              <w:spacing w:after="0"/>
              <w:rPr>
                <w:sz w:val="24"/>
                <w:szCs w:val="24"/>
                <w:color w:val="auto"/>
              </w:rPr>
            </w:pPr>
          </w:p>
        </w:tc>
        <w:tc>
          <w:tcPr>
            <w:tcW w:w="2660" w:type="dxa"/>
            <w:vAlign w:val="bottom"/>
            <w:tcBorders>
              <w:bottom w:val="single" w:sz="8" w:color="auto"/>
              <w:right w:val="single" w:sz="8" w:color="0070C0"/>
            </w:tcBorders>
            <w:shd w:val="clear" w:color="auto" w:fill="0070C0"/>
          </w:tcPr>
          <w:p>
            <w:pPr>
              <w:ind w:left="1780"/>
              <w:spacing w:after="0"/>
              <w:rPr>
                <w:sz w:val="20"/>
                <w:szCs w:val="20"/>
                <w:color w:val="auto"/>
              </w:rPr>
            </w:pPr>
            <w:r>
              <w:rPr>
                <w:rFonts w:ascii="Arial" w:cs="Arial" w:eastAsia="Arial" w:hAnsi="Arial"/>
                <w:sz w:val="18"/>
                <w:szCs w:val="18"/>
                <w:b w:val="1"/>
                <w:bCs w:val="1"/>
                <w:color w:val="FFFFFF"/>
              </w:rPr>
              <w:t>[*CTR]</w:t>
            </w:r>
          </w:p>
        </w:tc>
        <w:tc>
          <w:tcPr>
            <w:tcW w:w="2580" w:type="dxa"/>
            <w:vAlign w:val="bottom"/>
            <w:tcBorders>
              <w:bottom w:val="single" w:sz="8" w:color="auto"/>
              <w:right w:val="single" w:sz="8" w:color="0070C0"/>
            </w:tcBorders>
            <w:shd w:val="clear" w:color="auto" w:fill="0070C0"/>
          </w:tcPr>
          <w:p>
            <w:pPr>
              <w:spacing w:after="0"/>
              <w:rPr>
                <w:sz w:val="24"/>
                <w:szCs w:val="24"/>
                <w:color w:val="auto"/>
              </w:rPr>
            </w:pPr>
          </w:p>
        </w:tc>
        <w:tc>
          <w:tcPr>
            <w:tcW w:w="740" w:type="dxa"/>
            <w:vAlign w:val="bottom"/>
            <w:tcBorders>
              <w:bottom w:val="single" w:sz="8" w:color="auto"/>
              <w:right w:val="single" w:sz="8" w:color="auto"/>
            </w:tcBorders>
            <w:shd w:val="clear" w:color="auto" w:fill="0070C0"/>
          </w:tcPr>
          <w:p>
            <w:pPr>
              <w:spacing w:after="0"/>
              <w:rPr>
                <w:sz w:val="24"/>
                <w:szCs w:val="24"/>
                <w:color w:val="auto"/>
              </w:rPr>
            </w:pPr>
          </w:p>
        </w:tc>
      </w:tr>
      <w:tr>
        <w:trPr>
          <w:trHeight w:val="171"/>
        </w:trPr>
        <w:tc>
          <w:tcPr>
            <w:tcW w:w="1180" w:type="dxa"/>
            <w:vAlign w:val="bottom"/>
            <w:tcBorders>
              <w:left w:val="single" w:sz="8" w:color="auto"/>
              <w:right w:val="single" w:sz="8" w:color="auto"/>
            </w:tcBorders>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2660" w:type="dxa"/>
            <w:vAlign w:val="bottom"/>
            <w:tcBorders>
              <w:right w:val="single" w:sz="8" w:color="auto"/>
            </w:tcBorders>
          </w:tcPr>
          <w:p>
            <w:pPr>
              <w:ind w:left="2120"/>
              <w:spacing w:after="0"/>
              <w:rPr>
                <w:sz w:val="20"/>
                <w:szCs w:val="20"/>
                <w:color w:val="auto"/>
              </w:rPr>
            </w:pPr>
            <w:r>
              <w:rPr>
                <w:rFonts w:ascii="Arial" w:cs="Arial" w:eastAsia="Arial" w:hAnsi="Arial"/>
                <w:sz w:val="14"/>
                <w:szCs w:val="14"/>
                <w:color w:val="auto"/>
              </w:rPr>
              <w:t>[*CTR]</w:t>
            </w:r>
          </w:p>
        </w:tc>
        <w:tc>
          <w:tcPr>
            <w:tcW w:w="2580" w:type="dxa"/>
            <w:vAlign w:val="bottom"/>
            <w:tcBorders>
              <w:right w:val="single" w:sz="8" w:color="auto"/>
            </w:tcBorders>
          </w:tcPr>
          <w:p>
            <w:pPr>
              <w:ind w:left="2040"/>
              <w:spacing w:after="0"/>
              <w:rPr>
                <w:sz w:val="20"/>
                <w:szCs w:val="20"/>
                <w:color w:val="auto"/>
              </w:rPr>
            </w:pPr>
            <w:r>
              <w:rPr>
                <w:rFonts w:ascii="Arial" w:cs="Arial" w:eastAsia="Arial" w:hAnsi="Arial"/>
                <w:sz w:val="14"/>
                <w:szCs w:val="14"/>
                <w:color w:val="auto"/>
              </w:rPr>
              <w:t>[*CTR]</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[*CTR]</w:t>
            </w:r>
          </w:p>
        </w:tc>
      </w:tr>
      <w:tr>
        <w:trPr>
          <w:trHeight w:val="498"/>
        </w:trPr>
        <w:tc>
          <w:tcPr>
            <w:tcW w:w="1180" w:type="dxa"/>
            <w:vAlign w:val="bottom"/>
            <w:tcBorders>
              <w:left w:val="single" w:sz="8" w:color="auto"/>
              <w:bottom w:val="single" w:sz="8" w:color="auto"/>
              <w:right w:val="single" w:sz="8" w:color="auto"/>
            </w:tcBorders>
          </w:tcPr>
          <w:p>
            <w:pPr>
              <w:ind w:left="640"/>
              <w:spacing w:after="0"/>
              <w:rPr>
                <w:sz w:val="20"/>
                <w:szCs w:val="20"/>
                <w:color w:val="auto"/>
              </w:rPr>
            </w:pPr>
            <w:r>
              <w:rPr>
                <w:rFonts w:ascii="Arial" w:cs="Arial" w:eastAsia="Arial" w:hAnsi="Arial"/>
                <w:sz w:val="14"/>
                <w:szCs w:val="14"/>
                <w:color w:val="auto"/>
              </w:rPr>
              <w:t>[*CTR]</w:t>
            </w:r>
          </w:p>
        </w:tc>
        <w:tc>
          <w:tcPr>
            <w:tcW w:w="800" w:type="dxa"/>
            <w:vAlign w:val="bottom"/>
            <w:tcBorders>
              <w:bottom w:val="single" w:sz="8" w:color="auto"/>
              <w:right w:val="single" w:sz="8" w:color="auto"/>
            </w:tcBorders>
          </w:tcPr>
          <w:p>
            <w:pPr>
              <w:jc w:val="right"/>
              <w:ind w:right="27"/>
              <w:spacing w:after="0"/>
              <w:rPr>
                <w:sz w:val="20"/>
                <w:szCs w:val="20"/>
                <w:color w:val="auto"/>
              </w:rPr>
            </w:pPr>
            <w:r>
              <w:rPr>
                <w:rFonts w:ascii="Arial" w:cs="Arial" w:eastAsia="Arial" w:hAnsi="Arial"/>
                <w:sz w:val="14"/>
                <w:szCs w:val="14"/>
                <w:color w:val="auto"/>
              </w:rPr>
              <w:t>1</w:t>
            </w:r>
          </w:p>
        </w:tc>
        <w:tc>
          <w:tcPr>
            <w:tcW w:w="2660" w:type="dxa"/>
            <w:vAlign w:val="bottom"/>
            <w:tcBorders>
              <w:bottom w:val="single" w:sz="8" w:color="auto"/>
              <w:right w:val="single" w:sz="8" w:color="auto"/>
            </w:tcBorders>
          </w:tcPr>
          <w:p>
            <w:pPr>
              <w:spacing w:after="0"/>
              <w:rPr>
                <w:sz w:val="24"/>
                <w:szCs w:val="24"/>
                <w:color w:val="auto"/>
              </w:rPr>
            </w:pPr>
          </w:p>
        </w:tc>
        <w:tc>
          <w:tcPr>
            <w:tcW w:w="258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r>
      <w:tr>
        <w:trPr>
          <w:trHeight w:val="156"/>
        </w:trPr>
        <w:tc>
          <w:tcPr>
            <w:tcW w:w="1180" w:type="dxa"/>
            <w:vAlign w:val="bottom"/>
            <w:tcBorders>
              <w:left w:val="single" w:sz="8" w:color="auto"/>
              <w:right w:val="single" w:sz="8" w:color="auto"/>
            </w:tcBorders>
          </w:tcPr>
          <w:p>
            <w:pPr>
              <w:ind w:left="660"/>
              <w:spacing w:after="0" w:line="155" w:lineRule="exact"/>
              <w:rPr>
                <w:sz w:val="20"/>
                <w:szCs w:val="20"/>
                <w:color w:val="auto"/>
              </w:rPr>
            </w:pPr>
            <w:r>
              <w:rPr>
                <w:rFonts w:ascii="Arial" w:cs="Arial" w:eastAsia="Arial" w:hAnsi="Arial"/>
                <w:sz w:val="14"/>
                <w:szCs w:val="14"/>
                <w:color w:val="auto"/>
              </w:rPr>
              <w:t>[*CTR]</w:t>
            </w:r>
          </w:p>
        </w:tc>
        <w:tc>
          <w:tcPr>
            <w:tcW w:w="800" w:type="dxa"/>
            <w:vAlign w:val="bottom"/>
            <w:tcBorders>
              <w:bottom w:val="single" w:sz="8" w:color="auto"/>
              <w:right w:val="single" w:sz="8" w:color="auto"/>
            </w:tcBorders>
          </w:tcPr>
          <w:p>
            <w:pPr>
              <w:jc w:val="right"/>
              <w:ind w:right="27"/>
              <w:spacing w:after="0" w:line="155" w:lineRule="exact"/>
              <w:rPr>
                <w:sz w:val="20"/>
                <w:szCs w:val="20"/>
                <w:color w:val="auto"/>
              </w:rPr>
            </w:pPr>
            <w:r>
              <w:rPr>
                <w:rFonts w:ascii="Arial" w:cs="Arial" w:eastAsia="Arial" w:hAnsi="Arial"/>
                <w:sz w:val="14"/>
                <w:szCs w:val="14"/>
                <w:color w:val="auto"/>
              </w:rPr>
              <w:t>2</w:t>
            </w:r>
          </w:p>
        </w:tc>
        <w:tc>
          <w:tcPr>
            <w:tcW w:w="2660" w:type="dxa"/>
            <w:vAlign w:val="bottom"/>
            <w:tcBorders>
              <w:bottom w:val="single" w:sz="8" w:color="auto"/>
              <w:right w:val="single" w:sz="8" w:color="auto"/>
            </w:tcBorders>
          </w:tcPr>
          <w:p>
            <w:pPr>
              <w:ind w:left="2120"/>
              <w:spacing w:after="0" w:line="155" w:lineRule="exact"/>
              <w:rPr>
                <w:sz w:val="20"/>
                <w:szCs w:val="20"/>
                <w:color w:val="auto"/>
              </w:rPr>
            </w:pPr>
            <w:r>
              <w:rPr>
                <w:rFonts w:ascii="Arial" w:cs="Arial" w:eastAsia="Arial" w:hAnsi="Arial"/>
                <w:sz w:val="14"/>
                <w:szCs w:val="14"/>
                <w:color w:val="auto"/>
              </w:rPr>
              <w:t>[*CTR]</w:t>
            </w:r>
          </w:p>
        </w:tc>
        <w:tc>
          <w:tcPr>
            <w:tcW w:w="2580" w:type="dxa"/>
            <w:vAlign w:val="bottom"/>
            <w:tcBorders>
              <w:bottom w:val="single" w:sz="8" w:color="auto"/>
              <w:right w:val="single" w:sz="8" w:color="auto"/>
            </w:tcBorders>
          </w:tcPr>
          <w:p>
            <w:pPr>
              <w:ind w:left="2040"/>
              <w:spacing w:after="0" w:line="155" w:lineRule="exact"/>
              <w:rPr>
                <w:sz w:val="20"/>
                <w:szCs w:val="20"/>
                <w:color w:val="auto"/>
              </w:rPr>
            </w:pPr>
            <w:r>
              <w:rPr>
                <w:rFonts w:ascii="Arial" w:cs="Arial" w:eastAsia="Arial" w:hAnsi="Arial"/>
                <w:sz w:val="14"/>
                <w:szCs w:val="14"/>
                <w:color w:val="auto"/>
              </w:rPr>
              <w:t>[*CTR]</w:t>
            </w:r>
          </w:p>
        </w:tc>
        <w:tc>
          <w:tcPr>
            <w:tcW w:w="74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rPr>
              <w:t>[*CTR]</w:t>
            </w:r>
          </w:p>
        </w:tc>
      </w:tr>
      <w:tr>
        <w:trPr>
          <w:trHeight w:val="156"/>
        </w:trPr>
        <w:tc>
          <w:tcPr>
            <w:tcW w:w="1180" w:type="dxa"/>
            <w:vAlign w:val="bottom"/>
            <w:tcBorders>
              <w:left w:val="single" w:sz="8" w:color="auto"/>
            </w:tcBorders>
          </w:tcPr>
          <w:p>
            <w:pPr>
              <w:spacing w:after="0"/>
              <w:rPr>
                <w:sz w:val="13"/>
                <w:szCs w:val="13"/>
                <w:color w:val="auto"/>
              </w:rPr>
            </w:pPr>
          </w:p>
        </w:tc>
        <w:tc>
          <w:tcPr>
            <w:tcW w:w="800" w:type="dxa"/>
            <w:vAlign w:val="bottom"/>
            <w:tcBorders>
              <w:bottom w:val="single" w:sz="8" w:color="auto"/>
              <w:right w:val="single" w:sz="8" w:color="auto"/>
            </w:tcBorders>
          </w:tcPr>
          <w:p>
            <w:pPr>
              <w:jc w:val="right"/>
              <w:ind w:right="27"/>
              <w:spacing w:after="0" w:line="155" w:lineRule="exact"/>
              <w:rPr>
                <w:sz w:val="20"/>
                <w:szCs w:val="20"/>
                <w:color w:val="auto"/>
              </w:rPr>
            </w:pPr>
            <w:r>
              <w:rPr>
                <w:rFonts w:ascii="Arial" w:cs="Arial" w:eastAsia="Arial" w:hAnsi="Arial"/>
                <w:sz w:val="14"/>
                <w:szCs w:val="14"/>
                <w:color w:val="auto"/>
              </w:rPr>
              <w:t>3</w:t>
            </w:r>
          </w:p>
        </w:tc>
        <w:tc>
          <w:tcPr>
            <w:tcW w:w="2660" w:type="dxa"/>
            <w:vAlign w:val="bottom"/>
            <w:tcBorders>
              <w:bottom w:val="single" w:sz="8" w:color="auto"/>
              <w:right w:val="single" w:sz="8" w:color="auto"/>
            </w:tcBorders>
          </w:tcPr>
          <w:p>
            <w:pPr>
              <w:ind w:left="2120"/>
              <w:spacing w:after="0" w:line="155" w:lineRule="exact"/>
              <w:rPr>
                <w:sz w:val="20"/>
                <w:szCs w:val="20"/>
                <w:color w:val="auto"/>
              </w:rPr>
            </w:pPr>
            <w:r>
              <w:rPr>
                <w:rFonts w:ascii="Arial" w:cs="Arial" w:eastAsia="Arial" w:hAnsi="Arial"/>
                <w:sz w:val="14"/>
                <w:szCs w:val="14"/>
                <w:color w:val="auto"/>
              </w:rPr>
              <w:t>[*CTR]</w:t>
            </w:r>
          </w:p>
        </w:tc>
        <w:tc>
          <w:tcPr>
            <w:tcW w:w="2580" w:type="dxa"/>
            <w:vAlign w:val="bottom"/>
            <w:tcBorders>
              <w:bottom w:val="single" w:sz="8" w:color="auto"/>
              <w:right w:val="single" w:sz="8" w:color="auto"/>
            </w:tcBorders>
          </w:tcPr>
          <w:p>
            <w:pPr>
              <w:ind w:left="2040"/>
              <w:spacing w:after="0" w:line="155" w:lineRule="exact"/>
              <w:rPr>
                <w:sz w:val="20"/>
                <w:szCs w:val="20"/>
                <w:color w:val="auto"/>
              </w:rPr>
            </w:pPr>
            <w:r>
              <w:rPr>
                <w:rFonts w:ascii="Arial" w:cs="Arial" w:eastAsia="Arial" w:hAnsi="Arial"/>
                <w:sz w:val="14"/>
                <w:szCs w:val="14"/>
                <w:color w:val="auto"/>
              </w:rPr>
              <w:t>[*CTR]</w:t>
            </w:r>
          </w:p>
        </w:tc>
        <w:tc>
          <w:tcPr>
            <w:tcW w:w="74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rPr>
              <w:t>[*CTR]</w:t>
            </w:r>
          </w:p>
        </w:tc>
      </w:tr>
      <w:tr>
        <w:trPr>
          <w:trHeight w:val="156"/>
        </w:trPr>
        <w:tc>
          <w:tcPr>
            <w:tcW w:w="1180" w:type="dxa"/>
            <w:vAlign w:val="bottom"/>
            <w:tcBorders>
              <w:left w:val="single" w:sz="8" w:color="auto"/>
            </w:tcBorders>
          </w:tcPr>
          <w:p>
            <w:pPr>
              <w:spacing w:after="0"/>
              <w:rPr>
                <w:sz w:val="13"/>
                <w:szCs w:val="13"/>
                <w:color w:val="auto"/>
              </w:rPr>
            </w:pPr>
          </w:p>
        </w:tc>
        <w:tc>
          <w:tcPr>
            <w:tcW w:w="800" w:type="dxa"/>
            <w:vAlign w:val="bottom"/>
            <w:tcBorders>
              <w:bottom w:val="single" w:sz="8" w:color="auto"/>
              <w:right w:val="single" w:sz="8" w:color="auto"/>
            </w:tcBorders>
          </w:tcPr>
          <w:p>
            <w:pPr>
              <w:jc w:val="right"/>
              <w:ind w:right="27"/>
              <w:spacing w:after="0" w:line="155" w:lineRule="exact"/>
              <w:rPr>
                <w:sz w:val="20"/>
                <w:szCs w:val="20"/>
                <w:color w:val="auto"/>
              </w:rPr>
            </w:pPr>
            <w:r>
              <w:rPr>
                <w:rFonts w:ascii="Arial" w:cs="Arial" w:eastAsia="Arial" w:hAnsi="Arial"/>
                <w:sz w:val="14"/>
                <w:szCs w:val="14"/>
                <w:color w:val="auto"/>
              </w:rPr>
              <w:t>4</w:t>
            </w:r>
          </w:p>
        </w:tc>
        <w:tc>
          <w:tcPr>
            <w:tcW w:w="2660" w:type="dxa"/>
            <w:vAlign w:val="bottom"/>
            <w:tcBorders>
              <w:bottom w:val="single" w:sz="8" w:color="auto"/>
              <w:right w:val="single" w:sz="8" w:color="auto"/>
            </w:tcBorders>
          </w:tcPr>
          <w:p>
            <w:pPr>
              <w:ind w:left="2120"/>
              <w:spacing w:after="0" w:line="155" w:lineRule="exact"/>
              <w:rPr>
                <w:sz w:val="20"/>
                <w:szCs w:val="20"/>
                <w:color w:val="auto"/>
              </w:rPr>
            </w:pPr>
            <w:r>
              <w:rPr>
                <w:rFonts w:ascii="Arial" w:cs="Arial" w:eastAsia="Arial" w:hAnsi="Arial"/>
                <w:sz w:val="14"/>
                <w:szCs w:val="14"/>
                <w:color w:val="auto"/>
              </w:rPr>
              <w:t>[*CTR]</w:t>
            </w:r>
          </w:p>
        </w:tc>
        <w:tc>
          <w:tcPr>
            <w:tcW w:w="2580" w:type="dxa"/>
            <w:vAlign w:val="bottom"/>
            <w:tcBorders>
              <w:bottom w:val="single" w:sz="8" w:color="auto"/>
              <w:right w:val="single" w:sz="8" w:color="auto"/>
            </w:tcBorders>
          </w:tcPr>
          <w:p>
            <w:pPr>
              <w:ind w:left="2040"/>
              <w:spacing w:after="0" w:line="155" w:lineRule="exact"/>
              <w:rPr>
                <w:sz w:val="20"/>
                <w:szCs w:val="20"/>
                <w:color w:val="auto"/>
              </w:rPr>
            </w:pPr>
            <w:r>
              <w:rPr>
                <w:rFonts w:ascii="Arial" w:cs="Arial" w:eastAsia="Arial" w:hAnsi="Arial"/>
                <w:sz w:val="14"/>
                <w:szCs w:val="14"/>
                <w:color w:val="auto"/>
              </w:rPr>
              <w:t>[*CTR]</w:t>
            </w:r>
          </w:p>
        </w:tc>
        <w:tc>
          <w:tcPr>
            <w:tcW w:w="74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rPr>
              <w:t>[*CTR]</w:t>
            </w:r>
          </w:p>
        </w:tc>
      </w:tr>
      <w:tr>
        <w:trPr>
          <w:trHeight w:val="156"/>
        </w:trPr>
        <w:tc>
          <w:tcPr>
            <w:tcW w:w="1180" w:type="dxa"/>
            <w:vAlign w:val="bottom"/>
            <w:tcBorders>
              <w:left w:val="single" w:sz="8" w:color="auto"/>
            </w:tcBorders>
          </w:tcPr>
          <w:p>
            <w:pPr>
              <w:spacing w:after="0"/>
              <w:rPr>
                <w:sz w:val="13"/>
                <w:szCs w:val="13"/>
                <w:color w:val="auto"/>
              </w:rPr>
            </w:pPr>
          </w:p>
        </w:tc>
        <w:tc>
          <w:tcPr>
            <w:tcW w:w="800" w:type="dxa"/>
            <w:vAlign w:val="bottom"/>
            <w:tcBorders>
              <w:bottom w:val="single" w:sz="8" w:color="auto"/>
              <w:right w:val="single" w:sz="8" w:color="auto"/>
            </w:tcBorders>
          </w:tcPr>
          <w:p>
            <w:pPr>
              <w:jc w:val="right"/>
              <w:ind w:right="27"/>
              <w:spacing w:after="0" w:line="155" w:lineRule="exact"/>
              <w:rPr>
                <w:sz w:val="20"/>
                <w:szCs w:val="20"/>
                <w:color w:val="auto"/>
              </w:rPr>
            </w:pPr>
            <w:r>
              <w:rPr>
                <w:rFonts w:ascii="Arial" w:cs="Arial" w:eastAsia="Arial" w:hAnsi="Arial"/>
                <w:sz w:val="14"/>
                <w:szCs w:val="14"/>
                <w:color w:val="auto"/>
              </w:rPr>
              <w:t>5</w:t>
            </w:r>
          </w:p>
        </w:tc>
        <w:tc>
          <w:tcPr>
            <w:tcW w:w="2660" w:type="dxa"/>
            <w:vAlign w:val="bottom"/>
            <w:tcBorders>
              <w:bottom w:val="single" w:sz="8" w:color="auto"/>
              <w:right w:val="single" w:sz="8" w:color="auto"/>
            </w:tcBorders>
          </w:tcPr>
          <w:p>
            <w:pPr>
              <w:ind w:left="2120"/>
              <w:spacing w:after="0" w:line="155" w:lineRule="exact"/>
              <w:rPr>
                <w:sz w:val="20"/>
                <w:szCs w:val="20"/>
                <w:color w:val="auto"/>
              </w:rPr>
            </w:pPr>
            <w:r>
              <w:rPr>
                <w:rFonts w:ascii="Arial" w:cs="Arial" w:eastAsia="Arial" w:hAnsi="Arial"/>
                <w:sz w:val="14"/>
                <w:szCs w:val="14"/>
                <w:color w:val="auto"/>
              </w:rPr>
              <w:t>[*CTR]</w:t>
            </w:r>
          </w:p>
        </w:tc>
        <w:tc>
          <w:tcPr>
            <w:tcW w:w="2580" w:type="dxa"/>
            <w:vAlign w:val="bottom"/>
            <w:tcBorders>
              <w:bottom w:val="single" w:sz="8" w:color="auto"/>
              <w:right w:val="single" w:sz="8" w:color="auto"/>
            </w:tcBorders>
          </w:tcPr>
          <w:p>
            <w:pPr>
              <w:ind w:left="2040"/>
              <w:spacing w:after="0" w:line="155" w:lineRule="exact"/>
              <w:rPr>
                <w:sz w:val="20"/>
                <w:szCs w:val="20"/>
                <w:color w:val="auto"/>
              </w:rPr>
            </w:pPr>
            <w:r>
              <w:rPr>
                <w:rFonts w:ascii="Arial" w:cs="Arial" w:eastAsia="Arial" w:hAnsi="Arial"/>
                <w:sz w:val="14"/>
                <w:szCs w:val="14"/>
                <w:color w:val="auto"/>
              </w:rPr>
              <w:t>[*CTR]</w:t>
            </w:r>
          </w:p>
        </w:tc>
        <w:tc>
          <w:tcPr>
            <w:tcW w:w="74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rPr>
              <w:t>[*CTR]</w:t>
            </w:r>
          </w:p>
        </w:tc>
      </w:tr>
      <w:tr>
        <w:trPr>
          <w:trHeight w:val="156"/>
        </w:trPr>
        <w:tc>
          <w:tcPr>
            <w:tcW w:w="1180" w:type="dxa"/>
            <w:vAlign w:val="bottom"/>
            <w:tcBorders>
              <w:left w:val="single" w:sz="8" w:color="auto"/>
            </w:tcBorders>
          </w:tcPr>
          <w:p>
            <w:pPr>
              <w:spacing w:after="0"/>
              <w:rPr>
                <w:sz w:val="13"/>
                <w:szCs w:val="13"/>
                <w:color w:val="auto"/>
              </w:rPr>
            </w:pPr>
          </w:p>
        </w:tc>
        <w:tc>
          <w:tcPr>
            <w:tcW w:w="800" w:type="dxa"/>
            <w:vAlign w:val="bottom"/>
            <w:tcBorders>
              <w:bottom w:val="single" w:sz="8" w:color="auto"/>
              <w:right w:val="single" w:sz="8" w:color="auto"/>
            </w:tcBorders>
          </w:tcPr>
          <w:p>
            <w:pPr>
              <w:jc w:val="right"/>
              <w:ind w:right="27"/>
              <w:spacing w:after="0" w:line="155" w:lineRule="exact"/>
              <w:rPr>
                <w:sz w:val="20"/>
                <w:szCs w:val="20"/>
                <w:color w:val="auto"/>
              </w:rPr>
            </w:pPr>
            <w:r>
              <w:rPr>
                <w:rFonts w:ascii="Arial" w:cs="Arial" w:eastAsia="Arial" w:hAnsi="Arial"/>
                <w:sz w:val="14"/>
                <w:szCs w:val="14"/>
                <w:color w:val="auto"/>
              </w:rPr>
              <w:t>6</w:t>
            </w:r>
          </w:p>
        </w:tc>
        <w:tc>
          <w:tcPr>
            <w:tcW w:w="2660" w:type="dxa"/>
            <w:vAlign w:val="bottom"/>
            <w:tcBorders>
              <w:bottom w:val="single" w:sz="8" w:color="auto"/>
              <w:right w:val="single" w:sz="8" w:color="auto"/>
            </w:tcBorders>
          </w:tcPr>
          <w:p>
            <w:pPr>
              <w:ind w:left="2120"/>
              <w:spacing w:after="0" w:line="155" w:lineRule="exact"/>
              <w:rPr>
                <w:sz w:val="20"/>
                <w:szCs w:val="20"/>
                <w:color w:val="auto"/>
              </w:rPr>
            </w:pPr>
            <w:r>
              <w:rPr>
                <w:rFonts w:ascii="Arial" w:cs="Arial" w:eastAsia="Arial" w:hAnsi="Arial"/>
                <w:sz w:val="14"/>
                <w:szCs w:val="14"/>
                <w:color w:val="auto"/>
              </w:rPr>
              <w:t>[*CTR]</w:t>
            </w:r>
          </w:p>
        </w:tc>
        <w:tc>
          <w:tcPr>
            <w:tcW w:w="2580" w:type="dxa"/>
            <w:vAlign w:val="bottom"/>
            <w:tcBorders>
              <w:bottom w:val="single" w:sz="8" w:color="auto"/>
              <w:right w:val="single" w:sz="8" w:color="auto"/>
            </w:tcBorders>
          </w:tcPr>
          <w:p>
            <w:pPr>
              <w:ind w:left="2040"/>
              <w:spacing w:after="0" w:line="155" w:lineRule="exact"/>
              <w:rPr>
                <w:sz w:val="20"/>
                <w:szCs w:val="20"/>
                <w:color w:val="auto"/>
              </w:rPr>
            </w:pPr>
            <w:r>
              <w:rPr>
                <w:rFonts w:ascii="Arial" w:cs="Arial" w:eastAsia="Arial" w:hAnsi="Arial"/>
                <w:sz w:val="14"/>
                <w:szCs w:val="14"/>
                <w:color w:val="auto"/>
              </w:rPr>
              <w:t>[*CTR]</w:t>
            </w:r>
          </w:p>
        </w:tc>
        <w:tc>
          <w:tcPr>
            <w:tcW w:w="74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rPr>
              <w:t>[*CTR]</w:t>
            </w:r>
          </w:p>
        </w:tc>
      </w:tr>
      <w:tr>
        <w:trPr>
          <w:trHeight w:val="156"/>
        </w:trPr>
        <w:tc>
          <w:tcPr>
            <w:tcW w:w="1180" w:type="dxa"/>
            <w:vAlign w:val="bottom"/>
            <w:tcBorders>
              <w:left w:val="single" w:sz="8" w:color="auto"/>
            </w:tcBorders>
          </w:tcPr>
          <w:p>
            <w:pPr>
              <w:spacing w:after="0"/>
              <w:rPr>
                <w:sz w:val="13"/>
                <w:szCs w:val="13"/>
                <w:color w:val="auto"/>
              </w:rPr>
            </w:pPr>
          </w:p>
        </w:tc>
        <w:tc>
          <w:tcPr>
            <w:tcW w:w="800" w:type="dxa"/>
            <w:vAlign w:val="bottom"/>
            <w:tcBorders>
              <w:bottom w:val="single" w:sz="8" w:color="auto"/>
              <w:right w:val="single" w:sz="8" w:color="auto"/>
            </w:tcBorders>
          </w:tcPr>
          <w:p>
            <w:pPr>
              <w:jc w:val="right"/>
              <w:ind w:right="27"/>
              <w:spacing w:after="0" w:line="155" w:lineRule="exact"/>
              <w:rPr>
                <w:sz w:val="20"/>
                <w:szCs w:val="20"/>
                <w:color w:val="auto"/>
              </w:rPr>
            </w:pPr>
            <w:r>
              <w:rPr>
                <w:rFonts w:ascii="Arial" w:cs="Arial" w:eastAsia="Arial" w:hAnsi="Arial"/>
                <w:sz w:val="14"/>
                <w:szCs w:val="14"/>
                <w:color w:val="auto"/>
              </w:rPr>
              <w:t>7</w:t>
            </w:r>
          </w:p>
        </w:tc>
        <w:tc>
          <w:tcPr>
            <w:tcW w:w="2660" w:type="dxa"/>
            <w:vAlign w:val="bottom"/>
            <w:tcBorders>
              <w:bottom w:val="single" w:sz="8" w:color="auto"/>
              <w:right w:val="single" w:sz="8" w:color="auto"/>
            </w:tcBorders>
          </w:tcPr>
          <w:p>
            <w:pPr>
              <w:ind w:left="2120"/>
              <w:spacing w:after="0" w:line="155" w:lineRule="exact"/>
              <w:rPr>
                <w:sz w:val="20"/>
                <w:szCs w:val="20"/>
                <w:color w:val="auto"/>
              </w:rPr>
            </w:pPr>
            <w:r>
              <w:rPr>
                <w:rFonts w:ascii="Arial" w:cs="Arial" w:eastAsia="Arial" w:hAnsi="Arial"/>
                <w:sz w:val="14"/>
                <w:szCs w:val="14"/>
                <w:color w:val="auto"/>
              </w:rPr>
              <w:t>[*CTR]</w:t>
            </w:r>
          </w:p>
        </w:tc>
        <w:tc>
          <w:tcPr>
            <w:tcW w:w="2580" w:type="dxa"/>
            <w:vAlign w:val="bottom"/>
            <w:tcBorders>
              <w:bottom w:val="single" w:sz="8" w:color="auto"/>
              <w:right w:val="single" w:sz="8" w:color="auto"/>
            </w:tcBorders>
          </w:tcPr>
          <w:p>
            <w:pPr>
              <w:ind w:left="2040"/>
              <w:spacing w:after="0" w:line="155" w:lineRule="exact"/>
              <w:rPr>
                <w:sz w:val="20"/>
                <w:szCs w:val="20"/>
                <w:color w:val="auto"/>
              </w:rPr>
            </w:pPr>
            <w:r>
              <w:rPr>
                <w:rFonts w:ascii="Arial" w:cs="Arial" w:eastAsia="Arial" w:hAnsi="Arial"/>
                <w:sz w:val="14"/>
                <w:szCs w:val="14"/>
                <w:color w:val="auto"/>
              </w:rPr>
              <w:t>[*CTR]</w:t>
            </w:r>
          </w:p>
        </w:tc>
        <w:tc>
          <w:tcPr>
            <w:tcW w:w="74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rPr>
              <w:t>[*CTR]</w:t>
            </w:r>
          </w:p>
        </w:tc>
      </w:tr>
      <w:tr>
        <w:trPr>
          <w:trHeight w:val="156"/>
        </w:trPr>
        <w:tc>
          <w:tcPr>
            <w:tcW w:w="1180" w:type="dxa"/>
            <w:vAlign w:val="bottom"/>
            <w:tcBorders>
              <w:left w:val="single" w:sz="8" w:color="auto"/>
            </w:tcBorders>
          </w:tcPr>
          <w:p>
            <w:pPr>
              <w:spacing w:after="0"/>
              <w:rPr>
                <w:sz w:val="13"/>
                <w:szCs w:val="13"/>
                <w:color w:val="auto"/>
              </w:rPr>
            </w:pPr>
          </w:p>
        </w:tc>
        <w:tc>
          <w:tcPr>
            <w:tcW w:w="800" w:type="dxa"/>
            <w:vAlign w:val="bottom"/>
            <w:tcBorders>
              <w:bottom w:val="single" w:sz="8" w:color="auto"/>
              <w:right w:val="single" w:sz="8" w:color="auto"/>
            </w:tcBorders>
          </w:tcPr>
          <w:p>
            <w:pPr>
              <w:jc w:val="right"/>
              <w:ind w:right="27"/>
              <w:spacing w:after="0" w:line="155" w:lineRule="exact"/>
              <w:rPr>
                <w:sz w:val="20"/>
                <w:szCs w:val="20"/>
                <w:color w:val="auto"/>
              </w:rPr>
            </w:pPr>
            <w:r>
              <w:rPr>
                <w:rFonts w:ascii="Arial" w:cs="Arial" w:eastAsia="Arial" w:hAnsi="Arial"/>
                <w:sz w:val="14"/>
                <w:szCs w:val="14"/>
                <w:color w:val="auto"/>
              </w:rPr>
              <w:t>8</w:t>
            </w:r>
          </w:p>
        </w:tc>
        <w:tc>
          <w:tcPr>
            <w:tcW w:w="2660" w:type="dxa"/>
            <w:vAlign w:val="bottom"/>
            <w:tcBorders>
              <w:bottom w:val="single" w:sz="8" w:color="auto"/>
              <w:right w:val="single" w:sz="8" w:color="auto"/>
            </w:tcBorders>
          </w:tcPr>
          <w:p>
            <w:pPr>
              <w:ind w:left="2120"/>
              <w:spacing w:after="0" w:line="155" w:lineRule="exact"/>
              <w:rPr>
                <w:sz w:val="20"/>
                <w:szCs w:val="20"/>
                <w:color w:val="auto"/>
              </w:rPr>
            </w:pPr>
            <w:r>
              <w:rPr>
                <w:rFonts w:ascii="Arial" w:cs="Arial" w:eastAsia="Arial" w:hAnsi="Arial"/>
                <w:sz w:val="14"/>
                <w:szCs w:val="14"/>
                <w:color w:val="auto"/>
              </w:rPr>
              <w:t>[*CTR]</w:t>
            </w:r>
          </w:p>
        </w:tc>
        <w:tc>
          <w:tcPr>
            <w:tcW w:w="2580" w:type="dxa"/>
            <w:vAlign w:val="bottom"/>
            <w:tcBorders>
              <w:bottom w:val="single" w:sz="8" w:color="auto"/>
              <w:right w:val="single" w:sz="8" w:color="auto"/>
            </w:tcBorders>
          </w:tcPr>
          <w:p>
            <w:pPr>
              <w:ind w:left="2040"/>
              <w:spacing w:after="0" w:line="155" w:lineRule="exact"/>
              <w:rPr>
                <w:sz w:val="20"/>
                <w:szCs w:val="20"/>
                <w:color w:val="auto"/>
              </w:rPr>
            </w:pPr>
            <w:r>
              <w:rPr>
                <w:rFonts w:ascii="Arial" w:cs="Arial" w:eastAsia="Arial" w:hAnsi="Arial"/>
                <w:sz w:val="14"/>
                <w:szCs w:val="14"/>
                <w:color w:val="auto"/>
              </w:rPr>
              <w:t>[*CTR]</w:t>
            </w:r>
          </w:p>
        </w:tc>
        <w:tc>
          <w:tcPr>
            <w:tcW w:w="74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rPr>
              <w:t>[*CTR]</w:t>
            </w:r>
          </w:p>
        </w:tc>
      </w:tr>
      <w:tr>
        <w:trPr>
          <w:trHeight w:val="156"/>
        </w:trPr>
        <w:tc>
          <w:tcPr>
            <w:tcW w:w="1180" w:type="dxa"/>
            <w:vAlign w:val="bottom"/>
            <w:tcBorders>
              <w:left w:val="single" w:sz="8" w:color="auto"/>
            </w:tcBorders>
          </w:tcPr>
          <w:p>
            <w:pPr>
              <w:spacing w:after="0"/>
              <w:rPr>
                <w:sz w:val="13"/>
                <w:szCs w:val="13"/>
                <w:color w:val="auto"/>
              </w:rPr>
            </w:pPr>
          </w:p>
        </w:tc>
        <w:tc>
          <w:tcPr>
            <w:tcW w:w="800" w:type="dxa"/>
            <w:vAlign w:val="bottom"/>
            <w:tcBorders>
              <w:bottom w:val="single" w:sz="8" w:color="auto"/>
              <w:right w:val="single" w:sz="8" w:color="auto"/>
            </w:tcBorders>
          </w:tcPr>
          <w:p>
            <w:pPr>
              <w:jc w:val="right"/>
              <w:ind w:right="27"/>
              <w:spacing w:after="0" w:line="155" w:lineRule="exact"/>
              <w:rPr>
                <w:sz w:val="20"/>
                <w:szCs w:val="20"/>
                <w:color w:val="auto"/>
              </w:rPr>
            </w:pPr>
            <w:r>
              <w:rPr>
                <w:rFonts w:ascii="Arial" w:cs="Arial" w:eastAsia="Arial" w:hAnsi="Arial"/>
                <w:sz w:val="14"/>
                <w:szCs w:val="14"/>
                <w:color w:val="auto"/>
              </w:rPr>
              <w:t>9</w:t>
            </w:r>
          </w:p>
        </w:tc>
        <w:tc>
          <w:tcPr>
            <w:tcW w:w="2660" w:type="dxa"/>
            <w:vAlign w:val="bottom"/>
            <w:tcBorders>
              <w:bottom w:val="single" w:sz="8" w:color="auto"/>
              <w:right w:val="single" w:sz="8" w:color="auto"/>
            </w:tcBorders>
          </w:tcPr>
          <w:p>
            <w:pPr>
              <w:ind w:left="2120"/>
              <w:spacing w:after="0" w:line="155" w:lineRule="exact"/>
              <w:rPr>
                <w:sz w:val="20"/>
                <w:szCs w:val="20"/>
                <w:color w:val="auto"/>
              </w:rPr>
            </w:pPr>
            <w:r>
              <w:rPr>
                <w:rFonts w:ascii="Arial" w:cs="Arial" w:eastAsia="Arial" w:hAnsi="Arial"/>
                <w:sz w:val="14"/>
                <w:szCs w:val="14"/>
                <w:color w:val="auto"/>
              </w:rPr>
              <w:t>[*CTR]</w:t>
            </w:r>
          </w:p>
        </w:tc>
        <w:tc>
          <w:tcPr>
            <w:tcW w:w="2580" w:type="dxa"/>
            <w:vAlign w:val="bottom"/>
            <w:tcBorders>
              <w:bottom w:val="single" w:sz="8" w:color="auto"/>
              <w:right w:val="single" w:sz="8" w:color="auto"/>
            </w:tcBorders>
          </w:tcPr>
          <w:p>
            <w:pPr>
              <w:ind w:left="2040"/>
              <w:spacing w:after="0" w:line="155" w:lineRule="exact"/>
              <w:rPr>
                <w:sz w:val="20"/>
                <w:szCs w:val="20"/>
                <w:color w:val="auto"/>
              </w:rPr>
            </w:pPr>
            <w:r>
              <w:rPr>
                <w:rFonts w:ascii="Arial" w:cs="Arial" w:eastAsia="Arial" w:hAnsi="Arial"/>
                <w:sz w:val="14"/>
                <w:szCs w:val="14"/>
                <w:color w:val="auto"/>
              </w:rPr>
              <w:t>[*CTR]</w:t>
            </w:r>
          </w:p>
        </w:tc>
        <w:tc>
          <w:tcPr>
            <w:tcW w:w="74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rPr>
              <w:t>[*CTR]</w:t>
            </w:r>
          </w:p>
        </w:tc>
      </w:tr>
      <w:tr>
        <w:trPr>
          <w:trHeight w:val="156"/>
        </w:trPr>
        <w:tc>
          <w:tcPr>
            <w:tcW w:w="1180" w:type="dxa"/>
            <w:vAlign w:val="bottom"/>
            <w:tcBorders>
              <w:left w:val="single" w:sz="8" w:color="auto"/>
            </w:tcBorders>
          </w:tcPr>
          <w:p>
            <w:pPr>
              <w:spacing w:after="0"/>
              <w:rPr>
                <w:sz w:val="13"/>
                <w:szCs w:val="13"/>
                <w:color w:val="auto"/>
              </w:rPr>
            </w:pPr>
          </w:p>
        </w:tc>
        <w:tc>
          <w:tcPr>
            <w:tcW w:w="800" w:type="dxa"/>
            <w:vAlign w:val="bottom"/>
            <w:tcBorders>
              <w:bottom w:val="single" w:sz="8" w:color="auto"/>
              <w:right w:val="single" w:sz="8" w:color="auto"/>
            </w:tcBorders>
          </w:tcPr>
          <w:p>
            <w:pPr>
              <w:jc w:val="right"/>
              <w:ind w:right="27"/>
              <w:spacing w:after="0" w:line="155" w:lineRule="exact"/>
              <w:rPr>
                <w:sz w:val="20"/>
                <w:szCs w:val="20"/>
                <w:color w:val="auto"/>
              </w:rPr>
            </w:pPr>
            <w:r>
              <w:rPr>
                <w:rFonts w:ascii="Arial" w:cs="Arial" w:eastAsia="Arial" w:hAnsi="Arial"/>
                <w:sz w:val="14"/>
                <w:szCs w:val="14"/>
                <w:color w:val="auto"/>
              </w:rPr>
              <w:t>10</w:t>
            </w:r>
          </w:p>
        </w:tc>
        <w:tc>
          <w:tcPr>
            <w:tcW w:w="2660" w:type="dxa"/>
            <w:vAlign w:val="bottom"/>
            <w:tcBorders>
              <w:bottom w:val="single" w:sz="8" w:color="auto"/>
              <w:right w:val="single" w:sz="8" w:color="auto"/>
            </w:tcBorders>
          </w:tcPr>
          <w:p>
            <w:pPr>
              <w:ind w:left="2120"/>
              <w:spacing w:after="0" w:line="155" w:lineRule="exact"/>
              <w:rPr>
                <w:sz w:val="20"/>
                <w:szCs w:val="20"/>
                <w:color w:val="auto"/>
              </w:rPr>
            </w:pPr>
            <w:r>
              <w:rPr>
                <w:rFonts w:ascii="Arial" w:cs="Arial" w:eastAsia="Arial" w:hAnsi="Arial"/>
                <w:sz w:val="14"/>
                <w:szCs w:val="14"/>
                <w:color w:val="auto"/>
              </w:rPr>
              <w:t>[*CTR]</w:t>
            </w:r>
          </w:p>
        </w:tc>
        <w:tc>
          <w:tcPr>
            <w:tcW w:w="2580" w:type="dxa"/>
            <w:vAlign w:val="bottom"/>
            <w:tcBorders>
              <w:bottom w:val="single" w:sz="8" w:color="auto"/>
              <w:right w:val="single" w:sz="8" w:color="auto"/>
            </w:tcBorders>
          </w:tcPr>
          <w:p>
            <w:pPr>
              <w:ind w:left="2040"/>
              <w:spacing w:after="0" w:line="155" w:lineRule="exact"/>
              <w:rPr>
                <w:sz w:val="20"/>
                <w:szCs w:val="20"/>
                <w:color w:val="auto"/>
              </w:rPr>
            </w:pPr>
            <w:r>
              <w:rPr>
                <w:rFonts w:ascii="Arial" w:cs="Arial" w:eastAsia="Arial" w:hAnsi="Arial"/>
                <w:sz w:val="14"/>
                <w:szCs w:val="14"/>
                <w:color w:val="auto"/>
              </w:rPr>
              <w:t>[*CTR]</w:t>
            </w:r>
          </w:p>
        </w:tc>
        <w:tc>
          <w:tcPr>
            <w:tcW w:w="74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rPr>
              <w:t>[*CTR]</w:t>
            </w:r>
          </w:p>
        </w:tc>
      </w:tr>
      <w:tr>
        <w:trPr>
          <w:trHeight w:val="156"/>
        </w:trPr>
        <w:tc>
          <w:tcPr>
            <w:tcW w:w="1180" w:type="dxa"/>
            <w:vAlign w:val="bottom"/>
            <w:tcBorders>
              <w:left w:val="single" w:sz="8" w:color="auto"/>
            </w:tcBorders>
          </w:tcPr>
          <w:p>
            <w:pPr>
              <w:spacing w:after="0"/>
              <w:rPr>
                <w:sz w:val="13"/>
                <w:szCs w:val="13"/>
                <w:color w:val="auto"/>
              </w:rPr>
            </w:pPr>
          </w:p>
        </w:tc>
        <w:tc>
          <w:tcPr>
            <w:tcW w:w="800" w:type="dxa"/>
            <w:vAlign w:val="bottom"/>
            <w:tcBorders>
              <w:bottom w:val="single" w:sz="8" w:color="auto"/>
              <w:right w:val="single" w:sz="8" w:color="auto"/>
            </w:tcBorders>
          </w:tcPr>
          <w:p>
            <w:pPr>
              <w:jc w:val="right"/>
              <w:ind w:right="27"/>
              <w:spacing w:after="0" w:line="155" w:lineRule="exact"/>
              <w:rPr>
                <w:sz w:val="20"/>
                <w:szCs w:val="20"/>
                <w:color w:val="auto"/>
              </w:rPr>
            </w:pPr>
            <w:r>
              <w:rPr>
                <w:rFonts w:ascii="Arial" w:cs="Arial" w:eastAsia="Arial" w:hAnsi="Arial"/>
                <w:sz w:val="14"/>
                <w:szCs w:val="14"/>
                <w:color w:val="auto"/>
              </w:rPr>
              <w:t>11</w:t>
            </w:r>
          </w:p>
        </w:tc>
        <w:tc>
          <w:tcPr>
            <w:tcW w:w="2660" w:type="dxa"/>
            <w:vAlign w:val="bottom"/>
            <w:tcBorders>
              <w:bottom w:val="single" w:sz="8" w:color="auto"/>
              <w:right w:val="single" w:sz="8" w:color="auto"/>
            </w:tcBorders>
          </w:tcPr>
          <w:p>
            <w:pPr>
              <w:ind w:left="2120"/>
              <w:spacing w:after="0" w:line="155" w:lineRule="exact"/>
              <w:rPr>
                <w:sz w:val="20"/>
                <w:szCs w:val="20"/>
                <w:color w:val="auto"/>
              </w:rPr>
            </w:pPr>
            <w:r>
              <w:rPr>
                <w:rFonts w:ascii="Arial" w:cs="Arial" w:eastAsia="Arial" w:hAnsi="Arial"/>
                <w:sz w:val="14"/>
                <w:szCs w:val="14"/>
                <w:color w:val="auto"/>
              </w:rPr>
              <w:t>[*CTR]</w:t>
            </w:r>
          </w:p>
        </w:tc>
        <w:tc>
          <w:tcPr>
            <w:tcW w:w="2580" w:type="dxa"/>
            <w:vAlign w:val="bottom"/>
            <w:tcBorders>
              <w:bottom w:val="single" w:sz="8" w:color="auto"/>
              <w:right w:val="single" w:sz="8" w:color="auto"/>
            </w:tcBorders>
          </w:tcPr>
          <w:p>
            <w:pPr>
              <w:ind w:left="2040"/>
              <w:spacing w:after="0" w:line="155" w:lineRule="exact"/>
              <w:rPr>
                <w:sz w:val="20"/>
                <w:szCs w:val="20"/>
                <w:color w:val="auto"/>
              </w:rPr>
            </w:pPr>
            <w:r>
              <w:rPr>
                <w:rFonts w:ascii="Arial" w:cs="Arial" w:eastAsia="Arial" w:hAnsi="Arial"/>
                <w:sz w:val="14"/>
                <w:szCs w:val="14"/>
                <w:color w:val="auto"/>
              </w:rPr>
              <w:t>[*CTR]</w:t>
            </w:r>
          </w:p>
        </w:tc>
        <w:tc>
          <w:tcPr>
            <w:tcW w:w="74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rPr>
              <w:t>[*CTR]</w:t>
            </w:r>
          </w:p>
        </w:tc>
      </w:tr>
      <w:tr>
        <w:trPr>
          <w:trHeight w:val="156"/>
        </w:trPr>
        <w:tc>
          <w:tcPr>
            <w:tcW w:w="1180" w:type="dxa"/>
            <w:vAlign w:val="bottom"/>
            <w:tcBorders>
              <w:left w:val="single" w:sz="8" w:color="auto"/>
            </w:tcBorders>
          </w:tcPr>
          <w:p>
            <w:pPr>
              <w:spacing w:after="0"/>
              <w:rPr>
                <w:sz w:val="13"/>
                <w:szCs w:val="13"/>
                <w:color w:val="auto"/>
              </w:rPr>
            </w:pPr>
          </w:p>
        </w:tc>
        <w:tc>
          <w:tcPr>
            <w:tcW w:w="800" w:type="dxa"/>
            <w:vAlign w:val="bottom"/>
            <w:tcBorders>
              <w:bottom w:val="single" w:sz="8" w:color="auto"/>
              <w:right w:val="single" w:sz="8" w:color="auto"/>
            </w:tcBorders>
          </w:tcPr>
          <w:p>
            <w:pPr>
              <w:jc w:val="right"/>
              <w:ind w:right="27"/>
              <w:spacing w:after="0" w:line="155" w:lineRule="exact"/>
              <w:rPr>
                <w:sz w:val="20"/>
                <w:szCs w:val="20"/>
                <w:color w:val="auto"/>
              </w:rPr>
            </w:pPr>
            <w:r>
              <w:rPr>
                <w:rFonts w:ascii="Arial" w:cs="Arial" w:eastAsia="Arial" w:hAnsi="Arial"/>
                <w:sz w:val="14"/>
                <w:szCs w:val="14"/>
                <w:color w:val="auto"/>
              </w:rPr>
              <w:t>12</w:t>
            </w:r>
          </w:p>
        </w:tc>
        <w:tc>
          <w:tcPr>
            <w:tcW w:w="2660" w:type="dxa"/>
            <w:vAlign w:val="bottom"/>
            <w:tcBorders>
              <w:bottom w:val="single" w:sz="8" w:color="auto"/>
              <w:right w:val="single" w:sz="8" w:color="auto"/>
            </w:tcBorders>
          </w:tcPr>
          <w:p>
            <w:pPr>
              <w:ind w:left="2120"/>
              <w:spacing w:after="0" w:line="155" w:lineRule="exact"/>
              <w:rPr>
                <w:sz w:val="20"/>
                <w:szCs w:val="20"/>
                <w:color w:val="auto"/>
              </w:rPr>
            </w:pPr>
            <w:r>
              <w:rPr>
                <w:rFonts w:ascii="Arial" w:cs="Arial" w:eastAsia="Arial" w:hAnsi="Arial"/>
                <w:sz w:val="14"/>
                <w:szCs w:val="14"/>
                <w:color w:val="auto"/>
              </w:rPr>
              <w:t>[*CTR]</w:t>
            </w:r>
          </w:p>
        </w:tc>
        <w:tc>
          <w:tcPr>
            <w:tcW w:w="2580" w:type="dxa"/>
            <w:vAlign w:val="bottom"/>
            <w:tcBorders>
              <w:bottom w:val="single" w:sz="8" w:color="auto"/>
              <w:right w:val="single" w:sz="8" w:color="auto"/>
            </w:tcBorders>
          </w:tcPr>
          <w:p>
            <w:pPr>
              <w:ind w:left="2040"/>
              <w:spacing w:after="0" w:line="155" w:lineRule="exact"/>
              <w:rPr>
                <w:sz w:val="20"/>
                <w:szCs w:val="20"/>
                <w:color w:val="auto"/>
              </w:rPr>
            </w:pPr>
            <w:r>
              <w:rPr>
                <w:rFonts w:ascii="Arial" w:cs="Arial" w:eastAsia="Arial" w:hAnsi="Arial"/>
                <w:sz w:val="14"/>
                <w:szCs w:val="14"/>
                <w:color w:val="auto"/>
              </w:rPr>
              <w:t>[*CTR]</w:t>
            </w:r>
          </w:p>
        </w:tc>
        <w:tc>
          <w:tcPr>
            <w:tcW w:w="74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rPr>
              <w:t>[*CTR]</w:t>
            </w:r>
          </w:p>
        </w:tc>
      </w:tr>
      <w:tr>
        <w:trPr>
          <w:trHeight w:val="156"/>
        </w:trPr>
        <w:tc>
          <w:tcPr>
            <w:tcW w:w="1180" w:type="dxa"/>
            <w:vAlign w:val="bottom"/>
            <w:tcBorders>
              <w:left w:val="single" w:sz="8" w:color="auto"/>
            </w:tcBorders>
          </w:tcPr>
          <w:p>
            <w:pPr>
              <w:spacing w:after="0"/>
              <w:rPr>
                <w:sz w:val="13"/>
                <w:szCs w:val="13"/>
                <w:color w:val="auto"/>
              </w:rPr>
            </w:pPr>
          </w:p>
        </w:tc>
        <w:tc>
          <w:tcPr>
            <w:tcW w:w="800" w:type="dxa"/>
            <w:vAlign w:val="bottom"/>
            <w:tcBorders>
              <w:bottom w:val="single" w:sz="8" w:color="auto"/>
              <w:right w:val="single" w:sz="8" w:color="auto"/>
            </w:tcBorders>
          </w:tcPr>
          <w:p>
            <w:pPr>
              <w:jc w:val="right"/>
              <w:ind w:right="27"/>
              <w:spacing w:after="0" w:line="155" w:lineRule="exact"/>
              <w:rPr>
                <w:sz w:val="20"/>
                <w:szCs w:val="20"/>
                <w:color w:val="auto"/>
              </w:rPr>
            </w:pPr>
            <w:r>
              <w:rPr>
                <w:rFonts w:ascii="Arial" w:cs="Arial" w:eastAsia="Arial" w:hAnsi="Arial"/>
                <w:sz w:val="14"/>
                <w:szCs w:val="14"/>
                <w:color w:val="auto"/>
              </w:rPr>
              <w:t>13</w:t>
            </w:r>
          </w:p>
        </w:tc>
        <w:tc>
          <w:tcPr>
            <w:tcW w:w="2660" w:type="dxa"/>
            <w:vAlign w:val="bottom"/>
            <w:tcBorders>
              <w:bottom w:val="single" w:sz="8" w:color="auto"/>
              <w:right w:val="single" w:sz="8" w:color="auto"/>
            </w:tcBorders>
          </w:tcPr>
          <w:p>
            <w:pPr>
              <w:ind w:left="2120"/>
              <w:spacing w:after="0" w:line="155" w:lineRule="exact"/>
              <w:rPr>
                <w:sz w:val="20"/>
                <w:szCs w:val="20"/>
                <w:color w:val="auto"/>
              </w:rPr>
            </w:pPr>
            <w:r>
              <w:rPr>
                <w:rFonts w:ascii="Arial" w:cs="Arial" w:eastAsia="Arial" w:hAnsi="Arial"/>
                <w:sz w:val="14"/>
                <w:szCs w:val="14"/>
                <w:color w:val="auto"/>
              </w:rPr>
              <w:t>[*CTR]</w:t>
            </w:r>
          </w:p>
        </w:tc>
        <w:tc>
          <w:tcPr>
            <w:tcW w:w="2580" w:type="dxa"/>
            <w:vAlign w:val="bottom"/>
            <w:tcBorders>
              <w:bottom w:val="single" w:sz="8" w:color="auto"/>
              <w:right w:val="single" w:sz="8" w:color="auto"/>
            </w:tcBorders>
          </w:tcPr>
          <w:p>
            <w:pPr>
              <w:ind w:left="2040"/>
              <w:spacing w:after="0" w:line="155" w:lineRule="exact"/>
              <w:rPr>
                <w:sz w:val="20"/>
                <w:szCs w:val="20"/>
                <w:color w:val="auto"/>
              </w:rPr>
            </w:pPr>
            <w:r>
              <w:rPr>
                <w:rFonts w:ascii="Arial" w:cs="Arial" w:eastAsia="Arial" w:hAnsi="Arial"/>
                <w:sz w:val="14"/>
                <w:szCs w:val="14"/>
                <w:color w:val="auto"/>
              </w:rPr>
              <w:t>[*CTR]</w:t>
            </w:r>
          </w:p>
        </w:tc>
        <w:tc>
          <w:tcPr>
            <w:tcW w:w="74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rPr>
              <w:t>[*CTR]</w:t>
            </w:r>
          </w:p>
        </w:tc>
      </w:tr>
      <w:tr>
        <w:trPr>
          <w:trHeight w:val="156"/>
        </w:trPr>
        <w:tc>
          <w:tcPr>
            <w:tcW w:w="1180" w:type="dxa"/>
            <w:vAlign w:val="bottom"/>
            <w:tcBorders>
              <w:left w:val="single" w:sz="8" w:color="auto"/>
            </w:tcBorders>
          </w:tcPr>
          <w:p>
            <w:pPr>
              <w:spacing w:after="0"/>
              <w:rPr>
                <w:sz w:val="13"/>
                <w:szCs w:val="13"/>
                <w:color w:val="auto"/>
              </w:rPr>
            </w:pPr>
          </w:p>
        </w:tc>
        <w:tc>
          <w:tcPr>
            <w:tcW w:w="800" w:type="dxa"/>
            <w:vAlign w:val="bottom"/>
            <w:tcBorders>
              <w:bottom w:val="single" w:sz="8" w:color="auto"/>
              <w:right w:val="single" w:sz="8" w:color="auto"/>
            </w:tcBorders>
          </w:tcPr>
          <w:p>
            <w:pPr>
              <w:jc w:val="right"/>
              <w:ind w:right="27"/>
              <w:spacing w:after="0" w:line="155" w:lineRule="exact"/>
              <w:rPr>
                <w:sz w:val="20"/>
                <w:szCs w:val="20"/>
                <w:color w:val="auto"/>
              </w:rPr>
            </w:pPr>
            <w:r>
              <w:rPr>
                <w:rFonts w:ascii="Arial" w:cs="Arial" w:eastAsia="Arial" w:hAnsi="Arial"/>
                <w:sz w:val="14"/>
                <w:szCs w:val="14"/>
                <w:color w:val="auto"/>
              </w:rPr>
              <w:t>14</w:t>
            </w:r>
          </w:p>
        </w:tc>
        <w:tc>
          <w:tcPr>
            <w:tcW w:w="2660" w:type="dxa"/>
            <w:vAlign w:val="bottom"/>
            <w:tcBorders>
              <w:bottom w:val="single" w:sz="8" w:color="auto"/>
              <w:right w:val="single" w:sz="8" w:color="auto"/>
            </w:tcBorders>
          </w:tcPr>
          <w:p>
            <w:pPr>
              <w:ind w:left="2120"/>
              <w:spacing w:after="0" w:line="155" w:lineRule="exact"/>
              <w:rPr>
                <w:sz w:val="20"/>
                <w:szCs w:val="20"/>
                <w:color w:val="auto"/>
              </w:rPr>
            </w:pPr>
            <w:r>
              <w:rPr>
                <w:rFonts w:ascii="Arial" w:cs="Arial" w:eastAsia="Arial" w:hAnsi="Arial"/>
                <w:sz w:val="14"/>
                <w:szCs w:val="14"/>
                <w:color w:val="auto"/>
              </w:rPr>
              <w:t>[*CTR]</w:t>
            </w:r>
          </w:p>
        </w:tc>
        <w:tc>
          <w:tcPr>
            <w:tcW w:w="2580" w:type="dxa"/>
            <w:vAlign w:val="bottom"/>
            <w:tcBorders>
              <w:bottom w:val="single" w:sz="8" w:color="auto"/>
              <w:right w:val="single" w:sz="8" w:color="auto"/>
            </w:tcBorders>
          </w:tcPr>
          <w:p>
            <w:pPr>
              <w:ind w:left="2040"/>
              <w:spacing w:after="0" w:line="155" w:lineRule="exact"/>
              <w:rPr>
                <w:sz w:val="20"/>
                <w:szCs w:val="20"/>
                <w:color w:val="auto"/>
              </w:rPr>
            </w:pPr>
            <w:r>
              <w:rPr>
                <w:rFonts w:ascii="Arial" w:cs="Arial" w:eastAsia="Arial" w:hAnsi="Arial"/>
                <w:sz w:val="14"/>
                <w:szCs w:val="14"/>
                <w:color w:val="auto"/>
              </w:rPr>
              <w:t>[*CTR]</w:t>
            </w:r>
          </w:p>
        </w:tc>
        <w:tc>
          <w:tcPr>
            <w:tcW w:w="74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rPr>
              <w:t>[*CTR]</w:t>
            </w:r>
          </w:p>
        </w:tc>
      </w:tr>
      <w:tr>
        <w:trPr>
          <w:trHeight w:val="156"/>
        </w:trPr>
        <w:tc>
          <w:tcPr>
            <w:tcW w:w="1180" w:type="dxa"/>
            <w:vAlign w:val="bottom"/>
            <w:tcBorders>
              <w:left w:val="single" w:sz="8" w:color="auto"/>
            </w:tcBorders>
          </w:tcPr>
          <w:p>
            <w:pPr>
              <w:spacing w:after="0"/>
              <w:rPr>
                <w:sz w:val="13"/>
                <w:szCs w:val="13"/>
                <w:color w:val="auto"/>
              </w:rPr>
            </w:pPr>
          </w:p>
        </w:tc>
        <w:tc>
          <w:tcPr>
            <w:tcW w:w="800" w:type="dxa"/>
            <w:vAlign w:val="bottom"/>
            <w:tcBorders>
              <w:bottom w:val="single" w:sz="8" w:color="auto"/>
              <w:right w:val="single" w:sz="8" w:color="auto"/>
            </w:tcBorders>
          </w:tcPr>
          <w:p>
            <w:pPr>
              <w:jc w:val="right"/>
              <w:ind w:right="27"/>
              <w:spacing w:after="0" w:line="155" w:lineRule="exact"/>
              <w:rPr>
                <w:sz w:val="20"/>
                <w:szCs w:val="20"/>
                <w:color w:val="auto"/>
              </w:rPr>
            </w:pPr>
            <w:r>
              <w:rPr>
                <w:rFonts w:ascii="Arial" w:cs="Arial" w:eastAsia="Arial" w:hAnsi="Arial"/>
                <w:sz w:val="14"/>
                <w:szCs w:val="14"/>
                <w:color w:val="auto"/>
              </w:rPr>
              <w:t>15</w:t>
            </w:r>
          </w:p>
        </w:tc>
        <w:tc>
          <w:tcPr>
            <w:tcW w:w="2660" w:type="dxa"/>
            <w:vAlign w:val="bottom"/>
            <w:tcBorders>
              <w:bottom w:val="single" w:sz="8" w:color="auto"/>
              <w:right w:val="single" w:sz="8" w:color="auto"/>
            </w:tcBorders>
          </w:tcPr>
          <w:p>
            <w:pPr>
              <w:ind w:left="2120"/>
              <w:spacing w:after="0" w:line="155" w:lineRule="exact"/>
              <w:rPr>
                <w:sz w:val="20"/>
                <w:szCs w:val="20"/>
                <w:color w:val="auto"/>
              </w:rPr>
            </w:pPr>
            <w:r>
              <w:rPr>
                <w:rFonts w:ascii="Arial" w:cs="Arial" w:eastAsia="Arial" w:hAnsi="Arial"/>
                <w:sz w:val="14"/>
                <w:szCs w:val="14"/>
                <w:color w:val="auto"/>
              </w:rPr>
              <w:t>[*CTR]</w:t>
            </w:r>
          </w:p>
        </w:tc>
        <w:tc>
          <w:tcPr>
            <w:tcW w:w="2580" w:type="dxa"/>
            <w:vAlign w:val="bottom"/>
            <w:tcBorders>
              <w:bottom w:val="single" w:sz="8" w:color="auto"/>
              <w:right w:val="single" w:sz="8" w:color="auto"/>
            </w:tcBorders>
          </w:tcPr>
          <w:p>
            <w:pPr>
              <w:ind w:left="2040"/>
              <w:spacing w:after="0" w:line="155" w:lineRule="exact"/>
              <w:rPr>
                <w:sz w:val="20"/>
                <w:szCs w:val="20"/>
                <w:color w:val="auto"/>
              </w:rPr>
            </w:pPr>
            <w:r>
              <w:rPr>
                <w:rFonts w:ascii="Arial" w:cs="Arial" w:eastAsia="Arial" w:hAnsi="Arial"/>
                <w:sz w:val="14"/>
                <w:szCs w:val="14"/>
                <w:color w:val="auto"/>
              </w:rPr>
              <w:t>[*CTR]</w:t>
            </w:r>
          </w:p>
        </w:tc>
        <w:tc>
          <w:tcPr>
            <w:tcW w:w="74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rPr>
              <w:t>[*CTR]</w:t>
            </w:r>
          </w:p>
        </w:tc>
      </w:tr>
      <w:tr>
        <w:trPr>
          <w:trHeight w:val="156"/>
        </w:trPr>
        <w:tc>
          <w:tcPr>
            <w:tcW w:w="1180" w:type="dxa"/>
            <w:vAlign w:val="bottom"/>
            <w:tcBorders>
              <w:left w:val="single" w:sz="8" w:color="auto"/>
              <w:bottom w:val="single" w:sz="8" w:color="auto"/>
            </w:tcBorders>
          </w:tcPr>
          <w:p>
            <w:pPr>
              <w:spacing w:after="0"/>
              <w:rPr>
                <w:sz w:val="13"/>
                <w:szCs w:val="13"/>
                <w:color w:val="auto"/>
              </w:rPr>
            </w:pPr>
          </w:p>
        </w:tc>
        <w:tc>
          <w:tcPr>
            <w:tcW w:w="800" w:type="dxa"/>
            <w:vAlign w:val="bottom"/>
            <w:tcBorders>
              <w:bottom w:val="single" w:sz="8" w:color="auto"/>
              <w:right w:val="single" w:sz="8" w:color="auto"/>
            </w:tcBorders>
          </w:tcPr>
          <w:p>
            <w:pPr>
              <w:jc w:val="right"/>
              <w:ind w:right="27"/>
              <w:spacing w:after="0" w:line="155" w:lineRule="exact"/>
              <w:rPr>
                <w:sz w:val="20"/>
                <w:szCs w:val="20"/>
                <w:color w:val="auto"/>
              </w:rPr>
            </w:pPr>
            <w:r>
              <w:rPr>
                <w:rFonts w:ascii="Arial" w:cs="Arial" w:eastAsia="Arial" w:hAnsi="Arial"/>
                <w:sz w:val="14"/>
                <w:szCs w:val="14"/>
                <w:color w:val="auto"/>
              </w:rPr>
              <w:t>16</w:t>
            </w:r>
          </w:p>
        </w:tc>
        <w:tc>
          <w:tcPr>
            <w:tcW w:w="2660" w:type="dxa"/>
            <w:vAlign w:val="bottom"/>
            <w:tcBorders>
              <w:bottom w:val="single" w:sz="8" w:color="auto"/>
              <w:right w:val="single" w:sz="8" w:color="auto"/>
            </w:tcBorders>
          </w:tcPr>
          <w:p>
            <w:pPr>
              <w:ind w:left="2120"/>
              <w:spacing w:after="0" w:line="155" w:lineRule="exact"/>
              <w:rPr>
                <w:sz w:val="20"/>
                <w:szCs w:val="20"/>
                <w:color w:val="auto"/>
              </w:rPr>
            </w:pPr>
            <w:r>
              <w:rPr>
                <w:rFonts w:ascii="Arial" w:cs="Arial" w:eastAsia="Arial" w:hAnsi="Arial"/>
                <w:sz w:val="14"/>
                <w:szCs w:val="14"/>
                <w:color w:val="auto"/>
              </w:rPr>
              <w:t>[*CTR]</w:t>
            </w:r>
          </w:p>
        </w:tc>
        <w:tc>
          <w:tcPr>
            <w:tcW w:w="2580" w:type="dxa"/>
            <w:vAlign w:val="bottom"/>
            <w:tcBorders>
              <w:bottom w:val="single" w:sz="8" w:color="auto"/>
              <w:right w:val="single" w:sz="8" w:color="auto"/>
            </w:tcBorders>
          </w:tcPr>
          <w:p>
            <w:pPr>
              <w:ind w:left="2040"/>
              <w:spacing w:after="0" w:line="155" w:lineRule="exact"/>
              <w:rPr>
                <w:sz w:val="20"/>
                <w:szCs w:val="20"/>
                <w:color w:val="auto"/>
              </w:rPr>
            </w:pPr>
            <w:r>
              <w:rPr>
                <w:rFonts w:ascii="Arial" w:cs="Arial" w:eastAsia="Arial" w:hAnsi="Arial"/>
                <w:sz w:val="14"/>
                <w:szCs w:val="14"/>
                <w:color w:val="auto"/>
              </w:rPr>
              <w:t>[*CTR]</w:t>
            </w:r>
          </w:p>
        </w:tc>
        <w:tc>
          <w:tcPr>
            <w:tcW w:w="74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rPr>
              <w:t>[*CTR]</w:t>
            </w:r>
          </w:p>
        </w:tc>
      </w:tr>
      <w:tr>
        <w:trPr>
          <w:trHeight w:val="171"/>
        </w:trPr>
        <w:tc>
          <w:tcPr>
            <w:tcW w:w="1180" w:type="dxa"/>
            <w:vAlign w:val="bottom"/>
            <w:tcBorders>
              <w:left w:val="single" w:sz="8" w:color="auto"/>
              <w:right w:val="single" w:sz="8" w:color="auto"/>
            </w:tcBorders>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2660" w:type="dxa"/>
            <w:vAlign w:val="bottom"/>
            <w:tcBorders>
              <w:right w:val="single" w:sz="8" w:color="auto"/>
            </w:tcBorders>
          </w:tcPr>
          <w:p>
            <w:pPr>
              <w:ind w:left="2120"/>
              <w:spacing w:after="0"/>
              <w:rPr>
                <w:sz w:val="20"/>
                <w:szCs w:val="20"/>
                <w:color w:val="auto"/>
              </w:rPr>
            </w:pPr>
            <w:r>
              <w:rPr>
                <w:rFonts w:ascii="Arial" w:cs="Arial" w:eastAsia="Arial" w:hAnsi="Arial"/>
                <w:sz w:val="14"/>
                <w:szCs w:val="14"/>
                <w:color w:val="auto"/>
              </w:rPr>
              <w:t>[*CTR]</w:t>
            </w:r>
          </w:p>
        </w:tc>
        <w:tc>
          <w:tcPr>
            <w:tcW w:w="2580" w:type="dxa"/>
            <w:vAlign w:val="bottom"/>
            <w:tcBorders>
              <w:right w:val="single" w:sz="8" w:color="auto"/>
            </w:tcBorders>
          </w:tcPr>
          <w:p>
            <w:pPr>
              <w:ind w:left="2040"/>
              <w:spacing w:after="0"/>
              <w:rPr>
                <w:sz w:val="20"/>
                <w:szCs w:val="20"/>
                <w:color w:val="auto"/>
              </w:rPr>
            </w:pPr>
            <w:r>
              <w:rPr>
                <w:rFonts w:ascii="Arial" w:cs="Arial" w:eastAsia="Arial" w:hAnsi="Arial"/>
                <w:sz w:val="14"/>
                <w:szCs w:val="14"/>
                <w:color w:val="auto"/>
              </w:rPr>
              <w:t>[*CTR]</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[*CTR]</w:t>
            </w:r>
          </w:p>
        </w:tc>
      </w:tr>
      <w:tr>
        <w:trPr>
          <w:trHeight w:val="242"/>
        </w:trPr>
        <w:tc>
          <w:tcPr>
            <w:tcW w:w="1180" w:type="dxa"/>
            <w:vAlign w:val="bottom"/>
            <w:tcBorders>
              <w:left w:val="single" w:sz="8" w:color="auto"/>
              <w:bottom w:val="single" w:sz="8" w:color="auto"/>
              <w:right w:val="single" w:sz="8" w:color="auto"/>
            </w:tcBorders>
          </w:tcPr>
          <w:p>
            <w:pPr>
              <w:ind w:left="660"/>
              <w:spacing w:after="0"/>
              <w:rPr>
                <w:sz w:val="20"/>
                <w:szCs w:val="20"/>
                <w:color w:val="auto"/>
              </w:rPr>
            </w:pPr>
            <w:r>
              <w:rPr>
                <w:rFonts w:ascii="Arial" w:cs="Arial" w:eastAsia="Arial" w:hAnsi="Arial"/>
                <w:sz w:val="14"/>
                <w:szCs w:val="14"/>
                <w:color w:val="auto"/>
              </w:rPr>
              <w:t>[*CTR]</w:t>
            </w:r>
          </w:p>
        </w:tc>
        <w:tc>
          <w:tcPr>
            <w:tcW w:w="800" w:type="dxa"/>
            <w:vAlign w:val="bottom"/>
            <w:tcBorders>
              <w:bottom w:val="single" w:sz="8" w:color="auto"/>
              <w:right w:val="single" w:sz="8" w:color="auto"/>
            </w:tcBorders>
          </w:tcPr>
          <w:p>
            <w:pPr>
              <w:jc w:val="right"/>
              <w:ind w:right="27"/>
              <w:spacing w:after="0"/>
              <w:rPr>
                <w:sz w:val="20"/>
                <w:szCs w:val="20"/>
                <w:color w:val="auto"/>
              </w:rPr>
            </w:pPr>
            <w:r>
              <w:rPr>
                <w:rFonts w:ascii="Arial" w:cs="Arial" w:eastAsia="Arial" w:hAnsi="Arial"/>
                <w:sz w:val="14"/>
                <w:szCs w:val="14"/>
                <w:color w:val="auto"/>
              </w:rPr>
              <w:t>1</w:t>
            </w:r>
          </w:p>
        </w:tc>
        <w:tc>
          <w:tcPr>
            <w:tcW w:w="2660" w:type="dxa"/>
            <w:vAlign w:val="bottom"/>
            <w:tcBorders>
              <w:bottom w:val="single" w:sz="8" w:color="auto"/>
              <w:right w:val="single" w:sz="8" w:color="auto"/>
            </w:tcBorders>
          </w:tcPr>
          <w:p>
            <w:pPr>
              <w:spacing w:after="0"/>
              <w:rPr>
                <w:sz w:val="21"/>
                <w:szCs w:val="21"/>
                <w:color w:val="auto"/>
              </w:rPr>
            </w:pPr>
          </w:p>
        </w:tc>
        <w:tc>
          <w:tcPr>
            <w:tcW w:w="2580" w:type="dxa"/>
            <w:vAlign w:val="bottom"/>
            <w:tcBorders>
              <w:bottom w:val="single" w:sz="8" w:color="auto"/>
              <w:right w:val="single" w:sz="8" w:color="auto"/>
            </w:tcBorders>
          </w:tcPr>
          <w:p>
            <w:pPr>
              <w:spacing w:after="0"/>
              <w:rPr>
                <w:sz w:val="21"/>
                <w:szCs w:val="21"/>
                <w:color w:val="auto"/>
              </w:rPr>
            </w:pPr>
          </w:p>
        </w:tc>
        <w:tc>
          <w:tcPr>
            <w:tcW w:w="740" w:type="dxa"/>
            <w:vAlign w:val="bottom"/>
            <w:tcBorders>
              <w:bottom w:val="single" w:sz="8" w:color="auto"/>
              <w:right w:val="single" w:sz="8" w:color="auto"/>
            </w:tcBorders>
          </w:tcPr>
          <w:p>
            <w:pPr>
              <w:spacing w:after="0"/>
              <w:rPr>
                <w:sz w:val="21"/>
                <w:szCs w:val="21"/>
                <w:color w:val="auto"/>
              </w:rPr>
            </w:pPr>
          </w:p>
        </w:tc>
      </w:tr>
      <w:tr>
        <w:trPr>
          <w:trHeight w:val="156"/>
        </w:trPr>
        <w:tc>
          <w:tcPr>
            <w:tcW w:w="1180" w:type="dxa"/>
            <w:vAlign w:val="bottom"/>
            <w:tcBorders>
              <w:left w:val="single" w:sz="8" w:color="auto"/>
              <w:right w:val="single" w:sz="8" w:color="auto"/>
            </w:tcBorders>
          </w:tcPr>
          <w:p>
            <w:pPr>
              <w:ind w:left="660"/>
              <w:spacing w:after="0" w:line="155" w:lineRule="exact"/>
              <w:rPr>
                <w:sz w:val="20"/>
                <w:szCs w:val="20"/>
                <w:color w:val="auto"/>
              </w:rPr>
            </w:pPr>
            <w:r>
              <w:rPr>
                <w:rFonts w:ascii="Arial" w:cs="Arial" w:eastAsia="Arial" w:hAnsi="Arial"/>
                <w:sz w:val="14"/>
                <w:szCs w:val="14"/>
                <w:color w:val="auto"/>
              </w:rPr>
              <w:t>[*CTR]</w:t>
            </w:r>
          </w:p>
        </w:tc>
        <w:tc>
          <w:tcPr>
            <w:tcW w:w="800" w:type="dxa"/>
            <w:vAlign w:val="bottom"/>
            <w:tcBorders>
              <w:bottom w:val="single" w:sz="8" w:color="auto"/>
              <w:right w:val="single" w:sz="8" w:color="auto"/>
            </w:tcBorders>
          </w:tcPr>
          <w:p>
            <w:pPr>
              <w:jc w:val="right"/>
              <w:ind w:right="27"/>
              <w:spacing w:after="0" w:line="155" w:lineRule="exact"/>
              <w:rPr>
                <w:sz w:val="20"/>
                <w:szCs w:val="20"/>
                <w:color w:val="auto"/>
              </w:rPr>
            </w:pPr>
            <w:r>
              <w:rPr>
                <w:rFonts w:ascii="Arial" w:cs="Arial" w:eastAsia="Arial" w:hAnsi="Arial"/>
                <w:sz w:val="14"/>
                <w:szCs w:val="14"/>
                <w:color w:val="auto"/>
              </w:rPr>
              <w:t>2</w:t>
            </w:r>
          </w:p>
        </w:tc>
        <w:tc>
          <w:tcPr>
            <w:tcW w:w="2660" w:type="dxa"/>
            <w:vAlign w:val="bottom"/>
            <w:tcBorders>
              <w:bottom w:val="single" w:sz="8" w:color="auto"/>
              <w:right w:val="single" w:sz="8" w:color="auto"/>
            </w:tcBorders>
          </w:tcPr>
          <w:p>
            <w:pPr>
              <w:ind w:left="2120"/>
              <w:spacing w:after="0" w:line="155" w:lineRule="exact"/>
              <w:rPr>
                <w:sz w:val="20"/>
                <w:szCs w:val="20"/>
                <w:color w:val="auto"/>
              </w:rPr>
            </w:pPr>
            <w:r>
              <w:rPr>
                <w:rFonts w:ascii="Arial" w:cs="Arial" w:eastAsia="Arial" w:hAnsi="Arial"/>
                <w:sz w:val="14"/>
                <w:szCs w:val="14"/>
                <w:color w:val="auto"/>
              </w:rPr>
              <w:t>[*CTR]</w:t>
            </w:r>
          </w:p>
        </w:tc>
        <w:tc>
          <w:tcPr>
            <w:tcW w:w="2580" w:type="dxa"/>
            <w:vAlign w:val="bottom"/>
            <w:tcBorders>
              <w:bottom w:val="single" w:sz="8" w:color="auto"/>
              <w:right w:val="single" w:sz="8" w:color="auto"/>
            </w:tcBorders>
          </w:tcPr>
          <w:p>
            <w:pPr>
              <w:ind w:left="2040"/>
              <w:spacing w:after="0" w:line="155" w:lineRule="exact"/>
              <w:rPr>
                <w:sz w:val="20"/>
                <w:szCs w:val="20"/>
                <w:color w:val="auto"/>
              </w:rPr>
            </w:pPr>
            <w:r>
              <w:rPr>
                <w:rFonts w:ascii="Arial" w:cs="Arial" w:eastAsia="Arial" w:hAnsi="Arial"/>
                <w:sz w:val="14"/>
                <w:szCs w:val="14"/>
                <w:color w:val="auto"/>
              </w:rPr>
              <w:t>[*CTR]</w:t>
            </w:r>
          </w:p>
        </w:tc>
        <w:tc>
          <w:tcPr>
            <w:tcW w:w="74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rPr>
              <w:t>[*CTR]</w:t>
            </w:r>
          </w:p>
        </w:tc>
      </w:tr>
      <w:tr>
        <w:trPr>
          <w:trHeight w:val="156"/>
        </w:trPr>
        <w:tc>
          <w:tcPr>
            <w:tcW w:w="1180" w:type="dxa"/>
            <w:vAlign w:val="bottom"/>
            <w:tcBorders>
              <w:left w:val="single" w:sz="8" w:color="auto"/>
            </w:tcBorders>
          </w:tcPr>
          <w:p>
            <w:pPr>
              <w:spacing w:after="0"/>
              <w:rPr>
                <w:sz w:val="13"/>
                <w:szCs w:val="13"/>
                <w:color w:val="auto"/>
              </w:rPr>
            </w:pPr>
          </w:p>
        </w:tc>
        <w:tc>
          <w:tcPr>
            <w:tcW w:w="800" w:type="dxa"/>
            <w:vAlign w:val="bottom"/>
            <w:tcBorders>
              <w:bottom w:val="single" w:sz="8" w:color="auto"/>
              <w:right w:val="single" w:sz="8" w:color="auto"/>
            </w:tcBorders>
          </w:tcPr>
          <w:p>
            <w:pPr>
              <w:jc w:val="right"/>
              <w:ind w:right="27"/>
              <w:spacing w:after="0" w:line="155" w:lineRule="exact"/>
              <w:rPr>
                <w:sz w:val="20"/>
                <w:szCs w:val="20"/>
                <w:color w:val="auto"/>
              </w:rPr>
            </w:pPr>
            <w:r>
              <w:rPr>
                <w:rFonts w:ascii="Arial" w:cs="Arial" w:eastAsia="Arial" w:hAnsi="Arial"/>
                <w:sz w:val="14"/>
                <w:szCs w:val="14"/>
                <w:color w:val="auto"/>
              </w:rPr>
              <w:t>3</w:t>
            </w:r>
          </w:p>
        </w:tc>
        <w:tc>
          <w:tcPr>
            <w:tcW w:w="2660" w:type="dxa"/>
            <w:vAlign w:val="bottom"/>
            <w:tcBorders>
              <w:bottom w:val="single" w:sz="8" w:color="auto"/>
              <w:right w:val="single" w:sz="8" w:color="auto"/>
            </w:tcBorders>
          </w:tcPr>
          <w:p>
            <w:pPr>
              <w:ind w:left="2120"/>
              <w:spacing w:after="0" w:line="155" w:lineRule="exact"/>
              <w:rPr>
                <w:sz w:val="20"/>
                <w:szCs w:val="20"/>
                <w:color w:val="auto"/>
              </w:rPr>
            </w:pPr>
            <w:r>
              <w:rPr>
                <w:rFonts w:ascii="Arial" w:cs="Arial" w:eastAsia="Arial" w:hAnsi="Arial"/>
                <w:sz w:val="14"/>
                <w:szCs w:val="14"/>
                <w:color w:val="auto"/>
              </w:rPr>
              <w:t>[*CTR]</w:t>
            </w:r>
          </w:p>
        </w:tc>
        <w:tc>
          <w:tcPr>
            <w:tcW w:w="2580" w:type="dxa"/>
            <w:vAlign w:val="bottom"/>
            <w:tcBorders>
              <w:bottom w:val="single" w:sz="8" w:color="auto"/>
              <w:right w:val="single" w:sz="8" w:color="auto"/>
            </w:tcBorders>
          </w:tcPr>
          <w:p>
            <w:pPr>
              <w:ind w:left="2040"/>
              <w:spacing w:after="0" w:line="155" w:lineRule="exact"/>
              <w:rPr>
                <w:sz w:val="20"/>
                <w:szCs w:val="20"/>
                <w:color w:val="auto"/>
              </w:rPr>
            </w:pPr>
            <w:r>
              <w:rPr>
                <w:rFonts w:ascii="Arial" w:cs="Arial" w:eastAsia="Arial" w:hAnsi="Arial"/>
                <w:sz w:val="14"/>
                <w:szCs w:val="14"/>
                <w:color w:val="auto"/>
              </w:rPr>
              <w:t>[*CTR]</w:t>
            </w:r>
          </w:p>
        </w:tc>
        <w:tc>
          <w:tcPr>
            <w:tcW w:w="74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rPr>
              <w:t>[*CTR]</w:t>
            </w:r>
          </w:p>
        </w:tc>
      </w:tr>
      <w:tr>
        <w:trPr>
          <w:trHeight w:val="156"/>
        </w:trPr>
        <w:tc>
          <w:tcPr>
            <w:tcW w:w="1180" w:type="dxa"/>
            <w:vAlign w:val="bottom"/>
            <w:tcBorders>
              <w:left w:val="single" w:sz="8" w:color="auto"/>
            </w:tcBorders>
          </w:tcPr>
          <w:p>
            <w:pPr>
              <w:spacing w:after="0"/>
              <w:rPr>
                <w:sz w:val="13"/>
                <w:szCs w:val="13"/>
                <w:color w:val="auto"/>
              </w:rPr>
            </w:pPr>
          </w:p>
        </w:tc>
        <w:tc>
          <w:tcPr>
            <w:tcW w:w="800" w:type="dxa"/>
            <w:vAlign w:val="bottom"/>
            <w:tcBorders>
              <w:bottom w:val="single" w:sz="8" w:color="auto"/>
              <w:right w:val="single" w:sz="8" w:color="auto"/>
            </w:tcBorders>
          </w:tcPr>
          <w:p>
            <w:pPr>
              <w:jc w:val="right"/>
              <w:ind w:right="27"/>
              <w:spacing w:after="0" w:line="155" w:lineRule="exact"/>
              <w:rPr>
                <w:sz w:val="20"/>
                <w:szCs w:val="20"/>
                <w:color w:val="auto"/>
              </w:rPr>
            </w:pPr>
            <w:r>
              <w:rPr>
                <w:rFonts w:ascii="Arial" w:cs="Arial" w:eastAsia="Arial" w:hAnsi="Arial"/>
                <w:sz w:val="14"/>
                <w:szCs w:val="14"/>
                <w:color w:val="auto"/>
              </w:rPr>
              <w:t>4</w:t>
            </w:r>
          </w:p>
        </w:tc>
        <w:tc>
          <w:tcPr>
            <w:tcW w:w="2660" w:type="dxa"/>
            <w:vAlign w:val="bottom"/>
            <w:tcBorders>
              <w:bottom w:val="single" w:sz="8" w:color="auto"/>
              <w:right w:val="single" w:sz="8" w:color="auto"/>
            </w:tcBorders>
          </w:tcPr>
          <w:p>
            <w:pPr>
              <w:ind w:left="2120"/>
              <w:spacing w:after="0" w:line="155" w:lineRule="exact"/>
              <w:rPr>
                <w:sz w:val="20"/>
                <w:szCs w:val="20"/>
                <w:color w:val="auto"/>
              </w:rPr>
            </w:pPr>
            <w:r>
              <w:rPr>
                <w:rFonts w:ascii="Arial" w:cs="Arial" w:eastAsia="Arial" w:hAnsi="Arial"/>
                <w:sz w:val="14"/>
                <w:szCs w:val="14"/>
                <w:color w:val="auto"/>
              </w:rPr>
              <w:t>[*CTR]</w:t>
            </w:r>
          </w:p>
        </w:tc>
        <w:tc>
          <w:tcPr>
            <w:tcW w:w="2580" w:type="dxa"/>
            <w:vAlign w:val="bottom"/>
            <w:tcBorders>
              <w:bottom w:val="single" w:sz="8" w:color="auto"/>
              <w:right w:val="single" w:sz="8" w:color="auto"/>
            </w:tcBorders>
          </w:tcPr>
          <w:p>
            <w:pPr>
              <w:ind w:left="2040"/>
              <w:spacing w:after="0" w:line="155" w:lineRule="exact"/>
              <w:rPr>
                <w:sz w:val="20"/>
                <w:szCs w:val="20"/>
                <w:color w:val="auto"/>
              </w:rPr>
            </w:pPr>
            <w:r>
              <w:rPr>
                <w:rFonts w:ascii="Arial" w:cs="Arial" w:eastAsia="Arial" w:hAnsi="Arial"/>
                <w:sz w:val="14"/>
                <w:szCs w:val="14"/>
                <w:color w:val="auto"/>
              </w:rPr>
              <w:t>[*CTR]</w:t>
            </w:r>
          </w:p>
        </w:tc>
        <w:tc>
          <w:tcPr>
            <w:tcW w:w="74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rPr>
              <w:t>[*CTR]</w:t>
            </w:r>
          </w:p>
        </w:tc>
      </w:tr>
      <w:tr>
        <w:trPr>
          <w:trHeight w:val="156"/>
        </w:trPr>
        <w:tc>
          <w:tcPr>
            <w:tcW w:w="1180" w:type="dxa"/>
            <w:vAlign w:val="bottom"/>
            <w:tcBorders>
              <w:left w:val="single" w:sz="8" w:color="auto"/>
            </w:tcBorders>
          </w:tcPr>
          <w:p>
            <w:pPr>
              <w:spacing w:after="0"/>
              <w:rPr>
                <w:sz w:val="13"/>
                <w:szCs w:val="13"/>
                <w:color w:val="auto"/>
              </w:rPr>
            </w:pPr>
          </w:p>
        </w:tc>
        <w:tc>
          <w:tcPr>
            <w:tcW w:w="800" w:type="dxa"/>
            <w:vAlign w:val="bottom"/>
            <w:tcBorders>
              <w:bottom w:val="single" w:sz="8" w:color="auto"/>
              <w:right w:val="single" w:sz="8" w:color="auto"/>
            </w:tcBorders>
          </w:tcPr>
          <w:p>
            <w:pPr>
              <w:jc w:val="right"/>
              <w:ind w:right="27"/>
              <w:spacing w:after="0" w:line="155" w:lineRule="exact"/>
              <w:rPr>
                <w:sz w:val="20"/>
                <w:szCs w:val="20"/>
                <w:color w:val="auto"/>
              </w:rPr>
            </w:pPr>
            <w:r>
              <w:rPr>
                <w:rFonts w:ascii="Arial" w:cs="Arial" w:eastAsia="Arial" w:hAnsi="Arial"/>
                <w:sz w:val="14"/>
                <w:szCs w:val="14"/>
                <w:color w:val="auto"/>
              </w:rPr>
              <w:t>5</w:t>
            </w:r>
          </w:p>
        </w:tc>
        <w:tc>
          <w:tcPr>
            <w:tcW w:w="2660" w:type="dxa"/>
            <w:vAlign w:val="bottom"/>
            <w:tcBorders>
              <w:bottom w:val="single" w:sz="8" w:color="auto"/>
              <w:right w:val="single" w:sz="8" w:color="auto"/>
            </w:tcBorders>
          </w:tcPr>
          <w:p>
            <w:pPr>
              <w:ind w:left="2120"/>
              <w:spacing w:after="0" w:line="155" w:lineRule="exact"/>
              <w:rPr>
                <w:sz w:val="20"/>
                <w:szCs w:val="20"/>
                <w:color w:val="auto"/>
              </w:rPr>
            </w:pPr>
            <w:r>
              <w:rPr>
                <w:rFonts w:ascii="Arial" w:cs="Arial" w:eastAsia="Arial" w:hAnsi="Arial"/>
                <w:sz w:val="14"/>
                <w:szCs w:val="14"/>
                <w:color w:val="auto"/>
              </w:rPr>
              <w:t>[*CTR]</w:t>
            </w:r>
          </w:p>
        </w:tc>
        <w:tc>
          <w:tcPr>
            <w:tcW w:w="2580" w:type="dxa"/>
            <w:vAlign w:val="bottom"/>
            <w:tcBorders>
              <w:bottom w:val="single" w:sz="8" w:color="auto"/>
              <w:right w:val="single" w:sz="8" w:color="auto"/>
            </w:tcBorders>
          </w:tcPr>
          <w:p>
            <w:pPr>
              <w:ind w:left="2040"/>
              <w:spacing w:after="0" w:line="155" w:lineRule="exact"/>
              <w:rPr>
                <w:sz w:val="20"/>
                <w:szCs w:val="20"/>
                <w:color w:val="auto"/>
              </w:rPr>
            </w:pPr>
            <w:r>
              <w:rPr>
                <w:rFonts w:ascii="Arial" w:cs="Arial" w:eastAsia="Arial" w:hAnsi="Arial"/>
                <w:sz w:val="14"/>
                <w:szCs w:val="14"/>
                <w:color w:val="auto"/>
              </w:rPr>
              <w:t>[*CTR]</w:t>
            </w:r>
          </w:p>
        </w:tc>
        <w:tc>
          <w:tcPr>
            <w:tcW w:w="74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rPr>
              <w:t>[*CTR]</w:t>
            </w:r>
          </w:p>
        </w:tc>
      </w:tr>
      <w:tr>
        <w:trPr>
          <w:trHeight w:val="156"/>
        </w:trPr>
        <w:tc>
          <w:tcPr>
            <w:tcW w:w="1180" w:type="dxa"/>
            <w:vAlign w:val="bottom"/>
            <w:tcBorders>
              <w:left w:val="single" w:sz="8" w:color="auto"/>
            </w:tcBorders>
          </w:tcPr>
          <w:p>
            <w:pPr>
              <w:spacing w:after="0"/>
              <w:rPr>
                <w:sz w:val="13"/>
                <w:szCs w:val="13"/>
                <w:color w:val="auto"/>
              </w:rPr>
            </w:pPr>
          </w:p>
        </w:tc>
        <w:tc>
          <w:tcPr>
            <w:tcW w:w="800" w:type="dxa"/>
            <w:vAlign w:val="bottom"/>
            <w:tcBorders>
              <w:bottom w:val="single" w:sz="8" w:color="auto"/>
              <w:right w:val="single" w:sz="8" w:color="auto"/>
            </w:tcBorders>
          </w:tcPr>
          <w:p>
            <w:pPr>
              <w:jc w:val="right"/>
              <w:ind w:right="27"/>
              <w:spacing w:after="0" w:line="155" w:lineRule="exact"/>
              <w:rPr>
                <w:sz w:val="20"/>
                <w:szCs w:val="20"/>
                <w:color w:val="auto"/>
              </w:rPr>
            </w:pPr>
            <w:r>
              <w:rPr>
                <w:rFonts w:ascii="Arial" w:cs="Arial" w:eastAsia="Arial" w:hAnsi="Arial"/>
                <w:sz w:val="14"/>
                <w:szCs w:val="14"/>
                <w:color w:val="auto"/>
              </w:rPr>
              <w:t>6</w:t>
            </w:r>
          </w:p>
        </w:tc>
        <w:tc>
          <w:tcPr>
            <w:tcW w:w="2660" w:type="dxa"/>
            <w:vAlign w:val="bottom"/>
            <w:tcBorders>
              <w:bottom w:val="single" w:sz="8" w:color="auto"/>
              <w:right w:val="single" w:sz="8" w:color="auto"/>
            </w:tcBorders>
          </w:tcPr>
          <w:p>
            <w:pPr>
              <w:ind w:left="2120"/>
              <w:spacing w:after="0" w:line="155" w:lineRule="exact"/>
              <w:rPr>
                <w:sz w:val="20"/>
                <w:szCs w:val="20"/>
                <w:color w:val="auto"/>
              </w:rPr>
            </w:pPr>
            <w:r>
              <w:rPr>
                <w:rFonts w:ascii="Arial" w:cs="Arial" w:eastAsia="Arial" w:hAnsi="Arial"/>
                <w:sz w:val="14"/>
                <w:szCs w:val="14"/>
                <w:color w:val="auto"/>
              </w:rPr>
              <w:t>[*CTR]</w:t>
            </w:r>
          </w:p>
        </w:tc>
        <w:tc>
          <w:tcPr>
            <w:tcW w:w="2580" w:type="dxa"/>
            <w:vAlign w:val="bottom"/>
            <w:tcBorders>
              <w:bottom w:val="single" w:sz="8" w:color="auto"/>
              <w:right w:val="single" w:sz="8" w:color="auto"/>
            </w:tcBorders>
          </w:tcPr>
          <w:p>
            <w:pPr>
              <w:ind w:left="2040"/>
              <w:spacing w:after="0" w:line="155" w:lineRule="exact"/>
              <w:rPr>
                <w:sz w:val="20"/>
                <w:szCs w:val="20"/>
                <w:color w:val="auto"/>
              </w:rPr>
            </w:pPr>
            <w:r>
              <w:rPr>
                <w:rFonts w:ascii="Arial" w:cs="Arial" w:eastAsia="Arial" w:hAnsi="Arial"/>
                <w:sz w:val="14"/>
                <w:szCs w:val="14"/>
                <w:color w:val="auto"/>
              </w:rPr>
              <w:t>[*CTR]</w:t>
            </w:r>
          </w:p>
        </w:tc>
        <w:tc>
          <w:tcPr>
            <w:tcW w:w="74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rPr>
              <w:t>[*CTR]</w:t>
            </w:r>
          </w:p>
        </w:tc>
      </w:tr>
      <w:tr>
        <w:trPr>
          <w:trHeight w:val="156"/>
        </w:trPr>
        <w:tc>
          <w:tcPr>
            <w:tcW w:w="1180" w:type="dxa"/>
            <w:vAlign w:val="bottom"/>
            <w:tcBorders>
              <w:left w:val="single" w:sz="8" w:color="auto"/>
            </w:tcBorders>
          </w:tcPr>
          <w:p>
            <w:pPr>
              <w:spacing w:after="0"/>
              <w:rPr>
                <w:sz w:val="13"/>
                <w:szCs w:val="13"/>
                <w:color w:val="auto"/>
              </w:rPr>
            </w:pPr>
          </w:p>
        </w:tc>
        <w:tc>
          <w:tcPr>
            <w:tcW w:w="800" w:type="dxa"/>
            <w:vAlign w:val="bottom"/>
            <w:tcBorders>
              <w:bottom w:val="single" w:sz="8" w:color="auto"/>
              <w:right w:val="single" w:sz="8" w:color="auto"/>
            </w:tcBorders>
          </w:tcPr>
          <w:p>
            <w:pPr>
              <w:jc w:val="right"/>
              <w:ind w:right="27"/>
              <w:spacing w:after="0" w:line="155" w:lineRule="exact"/>
              <w:rPr>
                <w:sz w:val="20"/>
                <w:szCs w:val="20"/>
                <w:color w:val="auto"/>
              </w:rPr>
            </w:pPr>
            <w:r>
              <w:rPr>
                <w:rFonts w:ascii="Arial" w:cs="Arial" w:eastAsia="Arial" w:hAnsi="Arial"/>
                <w:sz w:val="14"/>
                <w:szCs w:val="14"/>
                <w:color w:val="auto"/>
              </w:rPr>
              <w:t>7</w:t>
            </w:r>
          </w:p>
        </w:tc>
        <w:tc>
          <w:tcPr>
            <w:tcW w:w="2660" w:type="dxa"/>
            <w:vAlign w:val="bottom"/>
            <w:tcBorders>
              <w:bottom w:val="single" w:sz="8" w:color="auto"/>
              <w:right w:val="single" w:sz="8" w:color="auto"/>
            </w:tcBorders>
          </w:tcPr>
          <w:p>
            <w:pPr>
              <w:ind w:left="2120"/>
              <w:spacing w:after="0" w:line="155" w:lineRule="exact"/>
              <w:rPr>
                <w:sz w:val="20"/>
                <w:szCs w:val="20"/>
                <w:color w:val="auto"/>
              </w:rPr>
            </w:pPr>
            <w:r>
              <w:rPr>
                <w:rFonts w:ascii="Arial" w:cs="Arial" w:eastAsia="Arial" w:hAnsi="Arial"/>
                <w:sz w:val="14"/>
                <w:szCs w:val="14"/>
                <w:color w:val="auto"/>
              </w:rPr>
              <w:t>[*CTR]</w:t>
            </w:r>
          </w:p>
        </w:tc>
        <w:tc>
          <w:tcPr>
            <w:tcW w:w="2580" w:type="dxa"/>
            <w:vAlign w:val="bottom"/>
            <w:tcBorders>
              <w:bottom w:val="single" w:sz="8" w:color="auto"/>
              <w:right w:val="single" w:sz="8" w:color="auto"/>
            </w:tcBorders>
          </w:tcPr>
          <w:p>
            <w:pPr>
              <w:ind w:left="2040"/>
              <w:spacing w:after="0" w:line="155" w:lineRule="exact"/>
              <w:rPr>
                <w:sz w:val="20"/>
                <w:szCs w:val="20"/>
                <w:color w:val="auto"/>
              </w:rPr>
            </w:pPr>
            <w:r>
              <w:rPr>
                <w:rFonts w:ascii="Arial" w:cs="Arial" w:eastAsia="Arial" w:hAnsi="Arial"/>
                <w:sz w:val="14"/>
                <w:szCs w:val="14"/>
                <w:color w:val="auto"/>
              </w:rPr>
              <w:t>[*CTR]</w:t>
            </w:r>
          </w:p>
        </w:tc>
        <w:tc>
          <w:tcPr>
            <w:tcW w:w="74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rPr>
              <w:t>[*CTR]</w:t>
            </w:r>
          </w:p>
        </w:tc>
      </w:tr>
      <w:tr>
        <w:trPr>
          <w:trHeight w:val="156"/>
        </w:trPr>
        <w:tc>
          <w:tcPr>
            <w:tcW w:w="1180" w:type="dxa"/>
            <w:vAlign w:val="bottom"/>
            <w:tcBorders>
              <w:left w:val="single" w:sz="8" w:color="auto"/>
            </w:tcBorders>
          </w:tcPr>
          <w:p>
            <w:pPr>
              <w:spacing w:after="0"/>
              <w:rPr>
                <w:sz w:val="13"/>
                <w:szCs w:val="13"/>
                <w:color w:val="auto"/>
              </w:rPr>
            </w:pPr>
          </w:p>
        </w:tc>
        <w:tc>
          <w:tcPr>
            <w:tcW w:w="800" w:type="dxa"/>
            <w:vAlign w:val="bottom"/>
            <w:tcBorders>
              <w:bottom w:val="single" w:sz="8" w:color="auto"/>
              <w:right w:val="single" w:sz="8" w:color="auto"/>
            </w:tcBorders>
          </w:tcPr>
          <w:p>
            <w:pPr>
              <w:jc w:val="right"/>
              <w:ind w:right="27"/>
              <w:spacing w:after="0" w:line="155" w:lineRule="exact"/>
              <w:rPr>
                <w:sz w:val="20"/>
                <w:szCs w:val="20"/>
                <w:color w:val="auto"/>
              </w:rPr>
            </w:pPr>
            <w:r>
              <w:rPr>
                <w:rFonts w:ascii="Arial" w:cs="Arial" w:eastAsia="Arial" w:hAnsi="Arial"/>
                <w:sz w:val="14"/>
                <w:szCs w:val="14"/>
                <w:color w:val="auto"/>
              </w:rPr>
              <w:t>8</w:t>
            </w:r>
          </w:p>
        </w:tc>
        <w:tc>
          <w:tcPr>
            <w:tcW w:w="2660" w:type="dxa"/>
            <w:vAlign w:val="bottom"/>
            <w:tcBorders>
              <w:bottom w:val="single" w:sz="8" w:color="auto"/>
              <w:right w:val="single" w:sz="8" w:color="auto"/>
            </w:tcBorders>
          </w:tcPr>
          <w:p>
            <w:pPr>
              <w:ind w:left="2120"/>
              <w:spacing w:after="0" w:line="155" w:lineRule="exact"/>
              <w:rPr>
                <w:sz w:val="20"/>
                <w:szCs w:val="20"/>
                <w:color w:val="auto"/>
              </w:rPr>
            </w:pPr>
            <w:r>
              <w:rPr>
                <w:rFonts w:ascii="Arial" w:cs="Arial" w:eastAsia="Arial" w:hAnsi="Arial"/>
                <w:sz w:val="14"/>
                <w:szCs w:val="14"/>
                <w:color w:val="auto"/>
              </w:rPr>
              <w:t>[*CTR]</w:t>
            </w:r>
          </w:p>
        </w:tc>
        <w:tc>
          <w:tcPr>
            <w:tcW w:w="2580" w:type="dxa"/>
            <w:vAlign w:val="bottom"/>
            <w:tcBorders>
              <w:bottom w:val="single" w:sz="8" w:color="auto"/>
              <w:right w:val="single" w:sz="8" w:color="auto"/>
            </w:tcBorders>
          </w:tcPr>
          <w:p>
            <w:pPr>
              <w:ind w:left="2040"/>
              <w:spacing w:after="0" w:line="155" w:lineRule="exact"/>
              <w:rPr>
                <w:sz w:val="20"/>
                <w:szCs w:val="20"/>
                <w:color w:val="auto"/>
              </w:rPr>
            </w:pPr>
            <w:r>
              <w:rPr>
                <w:rFonts w:ascii="Arial" w:cs="Arial" w:eastAsia="Arial" w:hAnsi="Arial"/>
                <w:sz w:val="14"/>
                <w:szCs w:val="14"/>
                <w:color w:val="auto"/>
              </w:rPr>
              <w:t>[*CTR]</w:t>
            </w:r>
          </w:p>
        </w:tc>
        <w:tc>
          <w:tcPr>
            <w:tcW w:w="74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rPr>
              <w:t>[*CTR]</w:t>
            </w:r>
          </w:p>
        </w:tc>
      </w:tr>
      <w:tr>
        <w:trPr>
          <w:trHeight w:val="156"/>
        </w:trPr>
        <w:tc>
          <w:tcPr>
            <w:tcW w:w="1180" w:type="dxa"/>
            <w:vAlign w:val="bottom"/>
            <w:tcBorders>
              <w:left w:val="single" w:sz="8" w:color="auto"/>
            </w:tcBorders>
          </w:tcPr>
          <w:p>
            <w:pPr>
              <w:spacing w:after="0"/>
              <w:rPr>
                <w:sz w:val="13"/>
                <w:szCs w:val="13"/>
                <w:color w:val="auto"/>
              </w:rPr>
            </w:pPr>
          </w:p>
        </w:tc>
        <w:tc>
          <w:tcPr>
            <w:tcW w:w="800" w:type="dxa"/>
            <w:vAlign w:val="bottom"/>
            <w:tcBorders>
              <w:bottom w:val="single" w:sz="8" w:color="auto"/>
              <w:right w:val="single" w:sz="8" w:color="auto"/>
            </w:tcBorders>
          </w:tcPr>
          <w:p>
            <w:pPr>
              <w:jc w:val="right"/>
              <w:ind w:right="27"/>
              <w:spacing w:after="0" w:line="155" w:lineRule="exact"/>
              <w:rPr>
                <w:sz w:val="20"/>
                <w:szCs w:val="20"/>
                <w:color w:val="auto"/>
              </w:rPr>
            </w:pPr>
            <w:r>
              <w:rPr>
                <w:rFonts w:ascii="Arial" w:cs="Arial" w:eastAsia="Arial" w:hAnsi="Arial"/>
                <w:sz w:val="14"/>
                <w:szCs w:val="14"/>
                <w:color w:val="auto"/>
              </w:rPr>
              <w:t>9</w:t>
            </w:r>
          </w:p>
        </w:tc>
        <w:tc>
          <w:tcPr>
            <w:tcW w:w="2660" w:type="dxa"/>
            <w:vAlign w:val="bottom"/>
            <w:tcBorders>
              <w:bottom w:val="single" w:sz="8" w:color="auto"/>
              <w:right w:val="single" w:sz="8" w:color="auto"/>
            </w:tcBorders>
          </w:tcPr>
          <w:p>
            <w:pPr>
              <w:ind w:left="2120"/>
              <w:spacing w:after="0" w:line="155" w:lineRule="exact"/>
              <w:rPr>
                <w:sz w:val="20"/>
                <w:szCs w:val="20"/>
                <w:color w:val="auto"/>
              </w:rPr>
            </w:pPr>
            <w:r>
              <w:rPr>
                <w:rFonts w:ascii="Arial" w:cs="Arial" w:eastAsia="Arial" w:hAnsi="Arial"/>
                <w:sz w:val="14"/>
                <w:szCs w:val="14"/>
                <w:color w:val="auto"/>
              </w:rPr>
              <w:t>[*CTR]</w:t>
            </w:r>
          </w:p>
        </w:tc>
        <w:tc>
          <w:tcPr>
            <w:tcW w:w="2580" w:type="dxa"/>
            <w:vAlign w:val="bottom"/>
            <w:tcBorders>
              <w:bottom w:val="single" w:sz="8" w:color="auto"/>
              <w:right w:val="single" w:sz="8" w:color="auto"/>
            </w:tcBorders>
          </w:tcPr>
          <w:p>
            <w:pPr>
              <w:ind w:left="2040"/>
              <w:spacing w:after="0" w:line="155" w:lineRule="exact"/>
              <w:rPr>
                <w:sz w:val="20"/>
                <w:szCs w:val="20"/>
                <w:color w:val="auto"/>
              </w:rPr>
            </w:pPr>
            <w:r>
              <w:rPr>
                <w:rFonts w:ascii="Arial" w:cs="Arial" w:eastAsia="Arial" w:hAnsi="Arial"/>
                <w:sz w:val="14"/>
                <w:szCs w:val="14"/>
                <w:color w:val="auto"/>
              </w:rPr>
              <w:t>[*CTR]</w:t>
            </w:r>
          </w:p>
        </w:tc>
        <w:tc>
          <w:tcPr>
            <w:tcW w:w="74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rPr>
              <w:t>[*CTR]</w:t>
            </w:r>
          </w:p>
        </w:tc>
      </w:tr>
      <w:tr>
        <w:trPr>
          <w:trHeight w:val="156"/>
        </w:trPr>
        <w:tc>
          <w:tcPr>
            <w:tcW w:w="1180" w:type="dxa"/>
            <w:vAlign w:val="bottom"/>
            <w:tcBorders>
              <w:left w:val="single" w:sz="8" w:color="auto"/>
            </w:tcBorders>
          </w:tcPr>
          <w:p>
            <w:pPr>
              <w:spacing w:after="0"/>
              <w:rPr>
                <w:sz w:val="13"/>
                <w:szCs w:val="13"/>
                <w:color w:val="auto"/>
              </w:rPr>
            </w:pPr>
          </w:p>
        </w:tc>
        <w:tc>
          <w:tcPr>
            <w:tcW w:w="800" w:type="dxa"/>
            <w:vAlign w:val="bottom"/>
            <w:tcBorders>
              <w:bottom w:val="single" w:sz="8" w:color="auto"/>
              <w:right w:val="single" w:sz="8" w:color="auto"/>
            </w:tcBorders>
          </w:tcPr>
          <w:p>
            <w:pPr>
              <w:jc w:val="right"/>
              <w:ind w:right="27"/>
              <w:spacing w:after="0" w:line="155" w:lineRule="exact"/>
              <w:rPr>
                <w:sz w:val="20"/>
                <w:szCs w:val="20"/>
                <w:color w:val="auto"/>
              </w:rPr>
            </w:pPr>
            <w:r>
              <w:rPr>
                <w:rFonts w:ascii="Arial" w:cs="Arial" w:eastAsia="Arial" w:hAnsi="Arial"/>
                <w:sz w:val="14"/>
                <w:szCs w:val="14"/>
                <w:color w:val="auto"/>
              </w:rPr>
              <w:t>10</w:t>
            </w:r>
          </w:p>
        </w:tc>
        <w:tc>
          <w:tcPr>
            <w:tcW w:w="2660" w:type="dxa"/>
            <w:vAlign w:val="bottom"/>
            <w:tcBorders>
              <w:bottom w:val="single" w:sz="8" w:color="auto"/>
              <w:right w:val="single" w:sz="8" w:color="auto"/>
            </w:tcBorders>
          </w:tcPr>
          <w:p>
            <w:pPr>
              <w:ind w:left="2120"/>
              <w:spacing w:after="0" w:line="155" w:lineRule="exact"/>
              <w:rPr>
                <w:sz w:val="20"/>
                <w:szCs w:val="20"/>
                <w:color w:val="auto"/>
              </w:rPr>
            </w:pPr>
            <w:r>
              <w:rPr>
                <w:rFonts w:ascii="Arial" w:cs="Arial" w:eastAsia="Arial" w:hAnsi="Arial"/>
                <w:sz w:val="14"/>
                <w:szCs w:val="14"/>
                <w:color w:val="auto"/>
              </w:rPr>
              <w:t>[*CTR]</w:t>
            </w:r>
          </w:p>
        </w:tc>
        <w:tc>
          <w:tcPr>
            <w:tcW w:w="2580" w:type="dxa"/>
            <w:vAlign w:val="bottom"/>
            <w:tcBorders>
              <w:bottom w:val="single" w:sz="8" w:color="auto"/>
              <w:right w:val="single" w:sz="8" w:color="auto"/>
            </w:tcBorders>
          </w:tcPr>
          <w:p>
            <w:pPr>
              <w:ind w:left="2040"/>
              <w:spacing w:after="0" w:line="155" w:lineRule="exact"/>
              <w:rPr>
                <w:sz w:val="20"/>
                <w:szCs w:val="20"/>
                <w:color w:val="auto"/>
              </w:rPr>
            </w:pPr>
            <w:r>
              <w:rPr>
                <w:rFonts w:ascii="Arial" w:cs="Arial" w:eastAsia="Arial" w:hAnsi="Arial"/>
                <w:sz w:val="14"/>
                <w:szCs w:val="14"/>
                <w:color w:val="auto"/>
              </w:rPr>
              <w:t>[*CTR]</w:t>
            </w:r>
          </w:p>
        </w:tc>
        <w:tc>
          <w:tcPr>
            <w:tcW w:w="74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rPr>
              <w:t>[*CTR]</w:t>
            </w:r>
          </w:p>
        </w:tc>
      </w:tr>
      <w:tr>
        <w:trPr>
          <w:trHeight w:val="156"/>
        </w:trPr>
        <w:tc>
          <w:tcPr>
            <w:tcW w:w="1180" w:type="dxa"/>
            <w:vAlign w:val="bottom"/>
            <w:tcBorders>
              <w:left w:val="single" w:sz="8" w:color="auto"/>
            </w:tcBorders>
          </w:tcPr>
          <w:p>
            <w:pPr>
              <w:spacing w:after="0"/>
              <w:rPr>
                <w:sz w:val="13"/>
                <w:szCs w:val="13"/>
                <w:color w:val="auto"/>
              </w:rPr>
            </w:pPr>
          </w:p>
        </w:tc>
        <w:tc>
          <w:tcPr>
            <w:tcW w:w="800" w:type="dxa"/>
            <w:vAlign w:val="bottom"/>
            <w:tcBorders>
              <w:bottom w:val="single" w:sz="8" w:color="auto"/>
              <w:right w:val="single" w:sz="8" w:color="auto"/>
            </w:tcBorders>
          </w:tcPr>
          <w:p>
            <w:pPr>
              <w:jc w:val="right"/>
              <w:ind w:right="27"/>
              <w:spacing w:after="0" w:line="155" w:lineRule="exact"/>
              <w:rPr>
                <w:sz w:val="20"/>
                <w:szCs w:val="20"/>
                <w:color w:val="auto"/>
              </w:rPr>
            </w:pPr>
            <w:r>
              <w:rPr>
                <w:rFonts w:ascii="Arial" w:cs="Arial" w:eastAsia="Arial" w:hAnsi="Arial"/>
                <w:sz w:val="14"/>
                <w:szCs w:val="14"/>
                <w:color w:val="auto"/>
              </w:rPr>
              <w:t>11</w:t>
            </w:r>
          </w:p>
        </w:tc>
        <w:tc>
          <w:tcPr>
            <w:tcW w:w="2660" w:type="dxa"/>
            <w:vAlign w:val="bottom"/>
            <w:tcBorders>
              <w:bottom w:val="single" w:sz="8" w:color="auto"/>
              <w:right w:val="single" w:sz="8" w:color="auto"/>
            </w:tcBorders>
          </w:tcPr>
          <w:p>
            <w:pPr>
              <w:ind w:left="2120"/>
              <w:spacing w:after="0" w:line="155" w:lineRule="exact"/>
              <w:rPr>
                <w:sz w:val="20"/>
                <w:szCs w:val="20"/>
                <w:color w:val="auto"/>
              </w:rPr>
            </w:pPr>
            <w:r>
              <w:rPr>
                <w:rFonts w:ascii="Arial" w:cs="Arial" w:eastAsia="Arial" w:hAnsi="Arial"/>
                <w:sz w:val="14"/>
                <w:szCs w:val="14"/>
                <w:color w:val="auto"/>
              </w:rPr>
              <w:t>[*CTR]</w:t>
            </w:r>
          </w:p>
        </w:tc>
        <w:tc>
          <w:tcPr>
            <w:tcW w:w="2580" w:type="dxa"/>
            <w:vAlign w:val="bottom"/>
            <w:tcBorders>
              <w:bottom w:val="single" w:sz="8" w:color="auto"/>
              <w:right w:val="single" w:sz="8" w:color="auto"/>
            </w:tcBorders>
          </w:tcPr>
          <w:p>
            <w:pPr>
              <w:ind w:left="2040"/>
              <w:spacing w:after="0" w:line="155" w:lineRule="exact"/>
              <w:rPr>
                <w:sz w:val="20"/>
                <w:szCs w:val="20"/>
                <w:color w:val="auto"/>
              </w:rPr>
            </w:pPr>
            <w:r>
              <w:rPr>
                <w:rFonts w:ascii="Arial" w:cs="Arial" w:eastAsia="Arial" w:hAnsi="Arial"/>
                <w:sz w:val="14"/>
                <w:szCs w:val="14"/>
                <w:color w:val="auto"/>
              </w:rPr>
              <w:t>[*CTR]</w:t>
            </w:r>
          </w:p>
        </w:tc>
        <w:tc>
          <w:tcPr>
            <w:tcW w:w="74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rPr>
              <w:t>[*CTR]</w:t>
            </w:r>
          </w:p>
        </w:tc>
      </w:tr>
      <w:tr>
        <w:trPr>
          <w:trHeight w:val="156"/>
        </w:trPr>
        <w:tc>
          <w:tcPr>
            <w:tcW w:w="1180" w:type="dxa"/>
            <w:vAlign w:val="bottom"/>
            <w:tcBorders>
              <w:left w:val="single" w:sz="8" w:color="auto"/>
            </w:tcBorders>
          </w:tcPr>
          <w:p>
            <w:pPr>
              <w:spacing w:after="0"/>
              <w:rPr>
                <w:sz w:val="13"/>
                <w:szCs w:val="13"/>
                <w:color w:val="auto"/>
              </w:rPr>
            </w:pPr>
          </w:p>
        </w:tc>
        <w:tc>
          <w:tcPr>
            <w:tcW w:w="800" w:type="dxa"/>
            <w:vAlign w:val="bottom"/>
            <w:tcBorders>
              <w:bottom w:val="single" w:sz="8" w:color="auto"/>
              <w:right w:val="single" w:sz="8" w:color="auto"/>
            </w:tcBorders>
          </w:tcPr>
          <w:p>
            <w:pPr>
              <w:jc w:val="right"/>
              <w:ind w:right="27"/>
              <w:spacing w:after="0" w:line="155" w:lineRule="exact"/>
              <w:rPr>
                <w:sz w:val="20"/>
                <w:szCs w:val="20"/>
                <w:color w:val="auto"/>
              </w:rPr>
            </w:pPr>
            <w:r>
              <w:rPr>
                <w:rFonts w:ascii="Arial" w:cs="Arial" w:eastAsia="Arial" w:hAnsi="Arial"/>
                <w:sz w:val="14"/>
                <w:szCs w:val="14"/>
                <w:color w:val="auto"/>
              </w:rPr>
              <w:t>12</w:t>
            </w:r>
          </w:p>
        </w:tc>
        <w:tc>
          <w:tcPr>
            <w:tcW w:w="2660" w:type="dxa"/>
            <w:vAlign w:val="bottom"/>
            <w:tcBorders>
              <w:bottom w:val="single" w:sz="8" w:color="auto"/>
              <w:right w:val="single" w:sz="8" w:color="auto"/>
            </w:tcBorders>
          </w:tcPr>
          <w:p>
            <w:pPr>
              <w:ind w:left="2120"/>
              <w:spacing w:after="0" w:line="155" w:lineRule="exact"/>
              <w:rPr>
                <w:sz w:val="20"/>
                <w:szCs w:val="20"/>
                <w:color w:val="auto"/>
              </w:rPr>
            </w:pPr>
            <w:r>
              <w:rPr>
                <w:rFonts w:ascii="Arial" w:cs="Arial" w:eastAsia="Arial" w:hAnsi="Arial"/>
                <w:sz w:val="14"/>
                <w:szCs w:val="14"/>
                <w:color w:val="auto"/>
              </w:rPr>
              <w:t>[*CTR]</w:t>
            </w:r>
          </w:p>
        </w:tc>
        <w:tc>
          <w:tcPr>
            <w:tcW w:w="2580" w:type="dxa"/>
            <w:vAlign w:val="bottom"/>
            <w:tcBorders>
              <w:bottom w:val="single" w:sz="8" w:color="auto"/>
              <w:right w:val="single" w:sz="8" w:color="auto"/>
            </w:tcBorders>
          </w:tcPr>
          <w:p>
            <w:pPr>
              <w:ind w:left="2040"/>
              <w:spacing w:after="0" w:line="155" w:lineRule="exact"/>
              <w:rPr>
                <w:sz w:val="20"/>
                <w:szCs w:val="20"/>
                <w:color w:val="auto"/>
              </w:rPr>
            </w:pPr>
            <w:r>
              <w:rPr>
                <w:rFonts w:ascii="Arial" w:cs="Arial" w:eastAsia="Arial" w:hAnsi="Arial"/>
                <w:sz w:val="14"/>
                <w:szCs w:val="14"/>
                <w:color w:val="auto"/>
              </w:rPr>
              <w:t>[*CTR]</w:t>
            </w:r>
          </w:p>
        </w:tc>
        <w:tc>
          <w:tcPr>
            <w:tcW w:w="74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rPr>
              <w:t>[*CTR]</w:t>
            </w:r>
          </w:p>
        </w:tc>
      </w:tr>
      <w:tr>
        <w:trPr>
          <w:trHeight w:val="156"/>
        </w:trPr>
        <w:tc>
          <w:tcPr>
            <w:tcW w:w="1180" w:type="dxa"/>
            <w:vAlign w:val="bottom"/>
            <w:tcBorders>
              <w:left w:val="single" w:sz="8" w:color="auto"/>
            </w:tcBorders>
          </w:tcPr>
          <w:p>
            <w:pPr>
              <w:spacing w:after="0"/>
              <w:rPr>
                <w:sz w:val="13"/>
                <w:szCs w:val="13"/>
                <w:color w:val="auto"/>
              </w:rPr>
            </w:pPr>
          </w:p>
        </w:tc>
        <w:tc>
          <w:tcPr>
            <w:tcW w:w="800" w:type="dxa"/>
            <w:vAlign w:val="bottom"/>
            <w:tcBorders>
              <w:bottom w:val="single" w:sz="8" w:color="auto"/>
              <w:right w:val="single" w:sz="8" w:color="auto"/>
            </w:tcBorders>
          </w:tcPr>
          <w:p>
            <w:pPr>
              <w:jc w:val="right"/>
              <w:ind w:right="27"/>
              <w:spacing w:after="0" w:line="155" w:lineRule="exact"/>
              <w:rPr>
                <w:sz w:val="20"/>
                <w:szCs w:val="20"/>
                <w:color w:val="auto"/>
              </w:rPr>
            </w:pPr>
            <w:r>
              <w:rPr>
                <w:rFonts w:ascii="Arial" w:cs="Arial" w:eastAsia="Arial" w:hAnsi="Arial"/>
                <w:sz w:val="14"/>
                <w:szCs w:val="14"/>
                <w:color w:val="auto"/>
              </w:rPr>
              <w:t>13</w:t>
            </w:r>
          </w:p>
        </w:tc>
        <w:tc>
          <w:tcPr>
            <w:tcW w:w="2660" w:type="dxa"/>
            <w:vAlign w:val="bottom"/>
            <w:tcBorders>
              <w:bottom w:val="single" w:sz="8" w:color="auto"/>
              <w:right w:val="single" w:sz="8" w:color="auto"/>
            </w:tcBorders>
          </w:tcPr>
          <w:p>
            <w:pPr>
              <w:ind w:left="2120"/>
              <w:spacing w:after="0" w:line="155" w:lineRule="exact"/>
              <w:rPr>
                <w:sz w:val="20"/>
                <w:szCs w:val="20"/>
                <w:color w:val="auto"/>
              </w:rPr>
            </w:pPr>
            <w:r>
              <w:rPr>
                <w:rFonts w:ascii="Arial" w:cs="Arial" w:eastAsia="Arial" w:hAnsi="Arial"/>
                <w:sz w:val="14"/>
                <w:szCs w:val="14"/>
                <w:color w:val="auto"/>
              </w:rPr>
              <w:t>[*CTR]</w:t>
            </w:r>
          </w:p>
        </w:tc>
        <w:tc>
          <w:tcPr>
            <w:tcW w:w="2580" w:type="dxa"/>
            <w:vAlign w:val="bottom"/>
            <w:tcBorders>
              <w:bottom w:val="single" w:sz="8" w:color="auto"/>
              <w:right w:val="single" w:sz="8" w:color="auto"/>
            </w:tcBorders>
          </w:tcPr>
          <w:p>
            <w:pPr>
              <w:ind w:left="2040"/>
              <w:spacing w:after="0" w:line="155" w:lineRule="exact"/>
              <w:rPr>
                <w:sz w:val="20"/>
                <w:szCs w:val="20"/>
                <w:color w:val="auto"/>
              </w:rPr>
            </w:pPr>
            <w:r>
              <w:rPr>
                <w:rFonts w:ascii="Arial" w:cs="Arial" w:eastAsia="Arial" w:hAnsi="Arial"/>
                <w:sz w:val="14"/>
                <w:szCs w:val="14"/>
                <w:color w:val="auto"/>
              </w:rPr>
              <w:t>[*CTR]</w:t>
            </w:r>
          </w:p>
        </w:tc>
        <w:tc>
          <w:tcPr>
            <w:tcW w:w="74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rPr>
              <w:t>[*CTR]</w:t>
            </w:r>
          </w:p>
        </w:tc>
      </w:tr>
      <w:tr>
        <w:trPr>
          <w:trHeight w:val="156"/>
        </w:trPr>
        <w:tc>
          <w:tcPr>
            <w:tcW w:w="1180" w:type="dxa"/>
            <w:vAlign w:val="bottom"/>
            <w:tcBorders>
              <w:left w:val="single" w:sz="8" w:color="auto"/>
            </w:tcBorders>
          </w:tcPr>
          <w:p>
            <w:pPr>
              <w:spacing w:after="0"/>
              <w:rPr>
                <w:sz w:val="13"/>
                <w:szCs w:val="13"/>
                <w:color w:val="auto"/>
              </w:rPr>
            </w:pPr>
          </w:p>
        </w:tc>
        <w:tc>
          <w:tcPr>
            <w:tcW w:w="800" w:type="dxa"/>
            <w:vAlign w:val="bottom"/>
            <w:tcBorders>
              <w:bottom w:val="single" w:sz="8" w:color="auto"/>
              <w:right w:val="single" w:sz="8" w:color="auto"/>
            </w:tcBorders>
          </w:tcPr>
          <w:p>
            <w:pPr>
              <w:jc w:val="right"/>
              <w:ind w:right="27"/>
              <w:spacing w:after="0" w:line="155" w:lineRule="exact"/>
              <w:rPr>
                <w:sz w:val="20"/>
                <w:szCs w:val="20"/>
                <w:color w:val="auto"/>
              </w:rPr>
            </w:pPr>
            <w:r>
              <w:rPr>
                <w:rFonts w:ascii="Arial" w:cs="Arial" w:eastAsia="Arial" w:hAnsi="Arial"/>
                <w:sz w:val="14"/>
                <w:szCs w:val="14"/>
                <w:color w:val="auto"/>
              </w:rPr>
              <w:t>14</w:t>
            </w:r>
          </w:p>
        </w:tc>
        <w:tc>
          <w:tcPr>
            <w:tcW w:w="2660" w:type="dxa"/>
            <w:vAlign w:val="bottom"/>
            <w:tcBorders>
              <w:bottom w:val="single" w:sz="8" w:color="auto"/>
              <w:right w:val="single" w:sz="8" w:color="auto"/>
            </w:tcBorders>
          </w:tcPr>
          <w:p>
            <w:pPr>
              <w:ind w:left="2120"/>
              <w:spacing w:after="0" w:line="155" w:lineRule="exact"/>
              <w:rPr>
                <w:sz w:val="20"/>
                <w:szCs w:val="20"/>
                <w:color w:val="auto"/>
              </w:rPr>
            </w:pPr>
            <w:r>
              <w:rPr>
                <w:rFonts w:ascii="Arial" w:cs="Arial" w:eastAsia="Arial" w:hAnsi="Arial"/>
                <w:sz w:val="14"/>
                <w:szCs w:val="14"/>
                <w:color w:val="auto"/>
              </w:rPr>
              <w:t>[*CTR]</w:t>
            </w:r>
          </w:p>
        </w:tc>
        <w:tc>
          <w:tcPr>
            <w:tcW w:w="2580" w:type="dxa"/>
            <w:vAlign w:val="bottom"/>
            <w:tcBorders>
              <w:bottom w:val="single" w:sz="8" w:color="auto"/>
              <w:right w:val="single" w:sz="8" w:color="auto"/>
            </w:tcBorders>
          </w:tcPr>
          <w:p>
            <w:pPr>
              <w:ind w:left="2040"/>
              <w:spacing w:after="0" w:line="155" w:lineRule="exact"/>
              <w:rPr>
                <w:sz w:val="20"/>
                <w:szCs w:val="20"/>
                <w:color w:val="auto"/>
              </w:rPr>
            </w:pPr>
            <w:r>
              <w:rPr>
                <w:rFonts w:ascii="Arial" w:cs="Arial" w:eastAsia="Arial" w:hAnsi="Arial"/>
                <w:sz w:val="14"/>
                <w:szCs w:val="14"/>
                <w:color w:val="auto"/>
              </w:rPr>
              <w:t>[*CTR]</w:t>
            </w:r>
          </w:p>
        </w:tc>
        <w:tc>
          <w:tcPr>
            <w:tcW w:w="74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rPr>
              <w:t>[*CTR]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380490" cy="3689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clrChange>
                        <a:clrFrom>
                          <a:srgbClr val="FFFFFF"/>
                        </a:clrFrom>
                        <a:clrTo>
                          <a:srgbClr val="FFFFFF">
                            <a:alpha val="0"/>
                          </a:srgbClr>
                        </a:clrTo>
                      </a:clrChange>
                      <a:extLst>
                        <a:ext uri="{28A0092B-C50C-407E-A947-70E740481C1C}"/>
                      </a:extLst>
                    </a:blip>
                    <a:srcRect/>
                    <a:stretch>
                      <a:fillRect/>
                    </a:stretch>
                  </pic:blipFill>
                  <pic:spPr bwMode="auto">
                    <a:xfrm>
                      <a:off x="0" y="0"/>
                      <a:ext cx="1380490" cy="368935"/>
                    </a:xfrm>
                    <a:prstGeom prst="rect">
                      <a:avLst/>
                    </a:prstGeom>
                    <a:noFill/>
                  </pic:spPr>
                </pic:pic>
              </a:graphicData>
            </a:graphic>
          </wp:anchor>
        </w:drawing>
        <w:drawing>
          <wp:anchor simplePos="0" relativeHeight="251657728" behindDoc="1" locked="0" layoutInCell="0" allowOverlap="1">
            <wp:simplePos x="0" y="0"/>
            <wp:positionH relativeFrom="page">
              <wp:posOffset>6675120</wp:posOffset>
            </wp:positionH>
            <wp:positionV relativeFrom="page">
              <wp:posOffset>680720</wp:posOffset>
            </wp:positionV>
            <wp:extent cx="111760" cy="16554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clrChange>
                        <a:clrFrom>
                          <a:srgbClr val="FFFFFF"/>
                        </a:clrFrom>
                        <a:clrTo>
                          <a:srgbClr val="FFFFFF">
                            <a:alpha val="0"/>
                          </a:srgbClr>
                        </a:clrTo>
                      </a:clrChange>
                      <a:extLst>
                        <a:ext uri="{28A0092B-C50C-407E-A947-70E740481C1C}"/>
                      </a:extLst>
                    </a:blip>
                    <a:srcRect/>
                    <a:stretch>
                      <a:fillRect/>
                    </a:stretch>
                  </pic:blipFill>
                  <pic:spPr bwMode="auto">
                    <a:xfrm>
                      <a:off x="0" y="0"/>
                      <a:ext cx="111760" cy="1655445"/>
                    </a:xfrm>
                    <a:prstGeom prst="rect">
                      <a:avLst/>
                    </a:prstGeom>
                    <a:noFill/>
                  </pic:spPr>
                </pic:pic>
              </a:graphicData>
            </a:graphic>
          </wp:anchor>
        </w:drawing>
        <w:drawing>
          <wp:anchor simplePos="0" relativeHeight="251657728" behindDoc="1" locked="0" layoutInCell="0" allowOverlap="1">
            <wp:simplePos x="0" y="0"/>
            <wp:positionH relativeFrom="column">
              <wp:posOffset>6522720</wp:posOffset>
            </wp:positionH>
            <wp:positionV relativeFrom="paragraph">
              <wp:posOffset>-2666365</wp:posOffset>
            </wp:positionV>
            <wp:extent cx="111760" cy="16554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11760" cy="1655445"/>
                    </a:xfrm>
                    <a:prstGeom prst="rect">
                      <a:avLst/>
                    </a:prstGeom>
                    <a:noFill/>
                  </pic:spPr>
                </pic:pic>
              </a:graphicData>
            </a:graphic>
          </wp:anchor>
        </w:drawing>
        <w:drawing>
          <wp:anchor simplePos="0" relativeHeight="251657728" behindDoc="1" locked="0" layoutInCell="0" allowOverlap="1">
            <wp:simplePos x="0" y="0"/>
            <wp:positionH relativeFrom="column">
              <wp:posOffset>6522720</wp:posOffset>
            </wp:positionH>
            <wp:positionV relativeFrom="paragraph">
              <wp:posOffset>-385445</wp:posOffset>
            </wp:positionV>
            <wp:extent cx="111760" cy="16554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11760" cy="1655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Attachment A to AAL-PA-3219-LA-1701988</w:t>
      </w:r>
    </w:p>
    <w:p>
      <w:pPr>
        <w:spacing w:after="0" w:line="230" w:lineRule="auto"/>
        <w:rPr>
          <w:sz w:val="20"/>
          <w:szCs w:val="20"/>
          <w:color w:val="auto"/>
        </w:rPr>
      </w:pPr>
      <w:r>
        <w:rPr>
          <w:rFonts w:ascii="Arial" w:cs="Arial" w:eastAsia="Arial" w:hAnsi="Arial"/>
          <w:sz w:val="22"/>
          <w:szCs w:val="22"/>
          <w:color w:val="auto"/>
        </w:rPr>
        <w:t>[*CTR],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Letter Agreement AAL-PA-3219-LA-1302236R1</w:t>
      </w:r>
    </w:p>
    <w:p>
      <w:pPr>
        <w:spacing w:after="0" w:line="4"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BOEING PROPRIETARY</w:t>
      </w:r>
    </w:p>
    <w:p>
      <w:pPr>
        <w:spacing w:after="0" w:line="66"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[*CTR]=[CONFIDENTIAL PORTION OMITTED AND FILED SEPARATELY WITH THE COMMISSION PURSUANT TO A REQUEST FOR CONFIDENTIAL TREATMENT]</w:t>
      </w:r>
    </w:p>
    <w:p>
      <w:pPr>
        <w:sectPr>
          <w:pgSz w:w="11900" w:h="16838" w:orient="portrait"/>
          <w:cols w:equalWidth="0" w:num="1">
            <w:col w:w="11420"/>
          </w:cols>
          <w:pgMar w:left="240" w:top="1295" w:right="239" w:bottom="1440" w:gutter="0" w:footer="0" w:header="0"/>
        </w:sectPr>
      </w:pPr>
    </w:p>
    <w:bookmarkStart w:id="130" w:name="page131"/>
    <w:bookmarkEnd w:id="130"/>
    <w:tbl>
      <w:tblPr>
        <w:tblLayout w:type="fixed"/>
        <w:tblInd w:w="10" w:type="dxa"/>
        <w:tblCellMar>
          <w:top w:w="0" w:type="dxa"/>
          <w:left w:w="0" w:type="dxa"/>
          <w:bottom w:w="0" w:type="dxa"/>
          <w:right w:w="0" w:type="dxa"/>
        </w:tblCellMar>
      </w:tblPr>
      <w:tr>
        <w:trPr>
          <w:trHeight w:val="162"/>
        </w:trPr>
        <w:tc>
          <w:tcPr>
            <w:tcW w:w="1180" w:type="dxa"/>
            <w:vAlign w:val="bottom"/>
            <w:tcBorders>
              <w:left w:val="single" w:sz="8" w:color="auto"/>
            </w:tcBorders>
          </w:tcPr>
          <w:p>
            <w:pPr>
              <w:spacing w:after="0"/>
              <w:rPr>
                <w:sz w:val="14"/>
                <w:szCs w:val="14"/>
                <w:color w:val="auto"/>
              </w:rPr>
            </w:pPr>
          </w:p>
        </w:tc>
        <w:tc>
          <w:tcPr>
            <w:tcW w:w="90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15</w:t>
            </w:r>
          </w:p>
        </w:tc>
        <w:tc>
          <w:tcPr>
            <w:tcW w:w="2920" w:type="dxa"/>
            <w:vAlign w:val="bottom"/>
            <w:tcBorders>
              <w:bottom w:val="single" w:sz="8" w:color="auto"/>
              <w:right w:val="single" w:sz="8" w:color="auto"/>
            </w:tcBorders>
          </w:tcPr>
          <w:p>
            <w:pPr>
              <w:ind w:left="2380"/>
              <w:spacing w:after="0"/>
              <w:rPr>
                <w:sz w:val="20"/>
                <w:szCs w:val="20"/>
                <w:color w:val="auto"/>
              </w:rPr>
            </w:pPr>
            <w:r>
              <w:rPr>
                <w:rFonts w:ascii="Arial" w:cs="Arial" w:eastAsia="Arial" w:hAnsi="Arial"/>
                <w:sz w:val="14"/>
                <w:szCs w:val="14"/>
                <w:color w:val="auto"/>
              </w:rPr>
              <w:t>[*CTR]</w:t>
            </w:r>
          </w:p>
        </w:tc>
        <w:tc>
          <w:tcPr>
            <w:tcW w:w="2940" w:type="dxa"/>
            <w:vAlign w:val="bottom"/>
            <w:tcBorders>
              <w:bottom w:val="single" w:sz="8" w:color="auto"/>
              <w:right w:val="single" w:sz="8" w:color="auto"/>
            </w:tcBorders>
          </w:tcPr>
          <w:p>
            <w:pPr>
              <w:ind w:left="2420"/>
              <w:spacing w:after="0"/>
              <w:rPr>
                <w:sz w:val="20"/>
                <w:szCs w:val="20"/>
                <w:color w:val="auto"/>
              </w:rPr>
            </w:pPr>
            <w:r>
              <w:rPr>
                <w:rFonts w:ascii="Arial" w:cs="Arial" w:eastAsia="Arial" w:hAnsi="Arial"/>
                <w:sz w:val="14"/>
                <w:szCs w:val="14"/>
                <w:color w:val="auto"/>
              </w:rPr>
              <w:t>[*CTR]</w:t>
            </w:r>
          </w:p>
        </w:tc>
        <w:tc>
          <w:tcPr>
            <w:tcW w:w="1220" w:type="dxa"/>
            <w:vAlign w:val="bottom"/>
            <w:tcBorders>
              <w:bottom w:val="single" w:sz="8" w:color="auto"/>
              <w:right w:val="single" w:sz="8" w:color="auto"/>
            </w:tcBorders>
          </w:tcPr>
          <w:p>
            <w:pPr>
              <w:ind w:left="660"/>
              <w:spacing w:after="0"/>
              <w:rPr>
                <w:sz w:val="20"/>
                <w:szCs w:val="20"/>
                <w:color w:val="auto"/>
              </w:rPr>
            </w:pPr>
            <w:r>
              <w:rPr>
                <w:rFonts w:ascii="Arial" w:cs="Arial" w:eastAsia="Arial" w:hAnsi="Arial"/>
                <w:sz w:val="14"/>
                <w:szCs w:val="14"/>
                <w:color w:val="auto"/>
              </w:rPr>
              <w:t>[*CTR]</w:t>
            </w:r>
          </w:p>
        </w:tc>
      </w:tr>
      <w:tr>
        <w:trPr>
          <w:trHeight w:val="156"/>
        </w:trPr>
        <w:tc>
          <w:tcPr>
            <w:tcW w:w="1180" w:type="dxa"/>
            <w:vAlign w:val="bottom"/>
            <w:tcBorders>
              <w:left w:val="single" w:sz="8" w:color="auto"/>
            </w:tcBorders>
          </w:tcPr>
          <w:p>
            <w:pPr>
              <w:spacing w:after="0"/>
              <w:rPr>
                <w:sz w:val="13"/>
                <w:szCs w:val="13"/>
                <w:color w:val="auto"/>
              </w:rPr>
            </w:pPr>
          </w:p>
        </w:tc>
        <w:tc>
          <w:tcPr>
            <w:tcW w:w="900" w:type="dxa"/>
            <w:vAlign w:val="bottom"/>
            <w:tcBorders>
              <w:bottom w:val="single" w:sz="8" w:color="auto"/>
              <w:right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16</w:t>
            </w:r>
          </w:p>
        </w:tc>
        <w:tc>
          <w:tcPr>
            <w:tcW w:w="2920" w:type="dxa"/>
            <w:vAlign w:val="bottom"/>
            <w:tcBorders>
              <w:bottom w:val="single" w:sz="8" w:color="auto"/>
              <w:right w:val="single" w:sz="8" w:color="auto"/>
            </w:tcBorders>
          </w:tcPr>
          <w:p>
            <w:pPr>
              <w:ind w:left="2380"/>
              <w:spacing w:after="0" w:line="155" w:lineRule="exact"/>
              <w:rPr>
                <w:sz w:val="20"/>
                <w:szCs w:val="20"/>
                <w:color w:val="auto"/>
              </w:rPr>
            </w:pPr>
            <w:r>
              <w:rPr>
                <w:rFonts w:ascii="Arial" w:cs="Arial" w:eastAsia="Arial" w:hAnsi="Arial"/>
                <w:sz w:val="14"/>
                <w:szCs w:val="14"/>
                <w:color w:val="auto"/>
              </w:rPr>
              <w:t>[*CTR]</w:t>
            </w:r>
          </w:p>
        </w:tc>
        <w:tc>
          <w:tcPr>
            <w:tcW w:w="2940" w:type="dxa"/>
            <w:vAlign w:val="bottom"/>
            <w:tcBorders>
              <w:bottom w:val="single" w:sz="8" w:color="auto"/>
              <w:right w:val="single" w:sz="8" w:color="auto"/>
            </w:tcBorders>
          </w:tcPr>
          <w:p>
            <w:pPr>
              <w:ind w:left="2420"/>
              <w:spacing w:after="0" w:line="155" w:lineRule="exact"/>
              <w:rPr>
                <w:sz w:val="20"/>
                <w:szCs w:val="20"/>
                <w:color w:val="auto"/>
              </w:rPr>
            </w:pPr>
            <w:r>
              <w:rPr>
                <w:rFonts w:ascii="Arial" w:cs="Arial" w:eastAsia="Arial" w:hAnsi="Arial"/>
                <w:sz w:val="14"/>
                <w:szCs w:val="14"/>
                <w:color w:val="auto"/>
              </w:rPr>
              <w:t>[*CTR]</w:t>
            </w:r>
          </w:p>
        </w:tc>
        <w:tc>
          <w:tcPr>
            <w:tcW w:w="1220" w:type="dxa"/>
            <w:vAlign w:val="bottom"/>
            <w:tcBorders>
              <w:bottom w:val="single" w:sz="8" w:color="auto"/>
              <w:right w:val="single" w:sz="8" w:color="auto"/>
            </w:tcBorders>
          </w:tcPr>
          <w:p>
            <w:pPr>
              <w:ind w:left="660"/>
              <w:spacing w:after="0" w:line="155" w:lineRule="exact"/>
              <w:rPr>
                <w:sz w:val="20"/>
                <w:szCs w:val="20"/>
                <w:color w:val="auto"/>
              </w:rPr>
            </w:pPr>
            <w:r>
              <w:rPr>
                <w:rFonts w:ascii="Arial" w:cs="Arial" w:eastAsia="Arial" w:hAnsi="Arial"/>
                <w:sz w:val="14"/>
                <w:szCs w:val="14"/>
                <w:color w:val="auto"/>
              </w:rPr>
              <w:t>[*CTR]</w:t>
            </w:r>
          </w:p>
        </w:tc>
      </w:tr>
      <w:tr>
        <w:trPr>
          <w:trHeight w:val="156"/>
        </w:trPr>
        <w:tc>
          <w:tcPr>
            <w:tcW w:w="1180" w:type="dxa"/>
            <w:vAlign w:val="bottom"/>
            <w:tcBorders>
              <w:left w:val="single" w:sz="8" w:color="auto"/>
              <w:bottom w:val="single" w:sz="8" w:color="auto"/>
            </w:tcBorders>
          </w:tcPr>
          <w:p>
            <w:pPr>
              <w:spacing w:after="0"/>
              <w:rPr>
                <w:sz w:val="13"/>
                <w:szCs w:val="13"/>
                <w:color w:val="auto"/>
              </w:rPr>
            </w:pPr>
          </w:p>
        </w:tc>
        <w:tc>
          <w:tcPr>
            <w:tcW w:w="900" w:type="dxa"/>
            <w:vAlign w:val="bottom"/>
            <w:tcBorders>
              <w:bottom w:val="single" w:sz="8" w:color="auto"/>
              <w:right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17</w:t>
            </w:r>
          </w:p>
        </w:tc>
        <w:tc>
          <w:tcPr>
            <w:tcW w:w="2920" w:type="dxa"/>
            <w:vAlign w:val="bottom"/>
            <w:tcBorders>
              <w:bottom w:val="single" w:sz="8" w:color="auto"/>
              <w:right w:val="single" w:sz="8" w:color="auto"/>
            </w:tcBorders>
          </w:tcPr>
          <w:p>
            <w:pPr>
              <w:ind w:left="2380"/>
              <w:spacing w:after="0" w:line="155" w:lineRule="exact"/>
              <w:rPr>
                <w:sz w:val="20"/>
                <w:szCs w:val="20"/>
                <w:color w:val="auto"/>
              </w:rPr>
            </w:pPr>
            <w:r>
              <w:rPr>
                <w:rFonts w:ascii="Arial" w:cs="Arial" w:eastAsia="Arial" w:hAnsi="Arial"/>
                <w:sz w:val="14"/>
                <w:szCs w:val="14"/>
                <w:color w:val="auto"/>
              </w:rPr>
              <w:t>[*CTR]</w:t>
            </w:r>
          </w:p>
        </w:tc>
        <w:tc>
          <w:tcPr>
            <w:tcW w:w="2940" w:type="dxa"/>
            <w:vAlign w:val="bottom"/>
            <w:tcBorders>
              <w:bottom w:val="single" w:sz="8" w:color="auto"/>
              <w:right w:val="single" w:sz="8" w:color="auto"/>
            </w:tcBorders>
          </w:tcPr>
          <w:p>
            <w:pPr>
              <w:ind w:left="2420"/>
              <w:spacing w:after="0" w:line="155" w:lineRule="exact"/>
              <w:rPr>
                <w:sz w:val="20"/>
                <w:szCs w:val="20"/>
                <w:color w:val="auto"/>
              </w:rPr>
            </w:pPr>
            <w:r>
              <w:rPr>
                <w:rFonts w:ascii="Arial" w:cs="Arial" w:eastAsia="Arial" w:hAnsi="Arial"/>
                <w:sz w:val="14"/>
                <w:szCs w:val="14"/>
                <w:color w:val="auto"/>
              </w:rPr>
              <w:t>[*CTR]</w:t>
            </w:r>
          </w:p>
        </w:tc>
        <w:tc>
          <w:tcPr>
            <w:tcW w:w="1220" w:type="dxa"/>
            <w:vAlign w:val="bottom"/>
            <w:tcBorders>
              <w:bottom w:val="single" w:sz="8" w:color="auto"/>
              <w:right w:val="single" w:sz="8" w:color="auto"/>
            </w:tcBorders>
          </w:tcPr>
          <w:p>
            <w:pPr>
              <w:ind w:left="660"/>
              <w:spacing w:after="0" w:line="155" w:lineRule="exact"/>
              <w:rPr>
                <w:sz w:val="20"/>
                <w:szCs w:val="20"/>
                <w:color w:val="auto"/>
              </w:rPr>
            </w:pPr>
            <w:r>
              <w:rPr>
                <w:rFonts w:ascii="Arial" w:cs="Arial" w:eastAsia="Arial" w:hAnsi="Arial"/>
                <w:sz w:val="14"/>
                <w:szCs w:val="14"/>
                <w:color w:val="auto"/>
              </w:rPr>
              <w:t>[*CTR]</w:t>
            </w:r>
          </w:p>
        </w:tc>
      </w:tr>
      <w:tr>
        <w:trPr>
          <w:trHeight w:val="171"/>
        </w:trPr>
        <w:tc>
          <w:tcPr>
            <w:tcW w:w="1180" w:type="dxa"/>
            <w:vAlign w:val="bottom"/>
            <w:tcBorders>
              <w:left w:val="single" w:sz="8" w:color="auto"/>
              <w:right w:val="single" w:sz="8" w:color="auto"/>
            </w:tcBorders>
          </w:tcPr>
          <w:p>
            <w:pPr>
              <w:spacing w:after="0"/>
              <w:rPr>
                <w:sz w:val="14"/>
                <w:szCs w:val="14"/>
                <w:color w:val="auto"/>
              </w:rPr>
            </w:pPr>
          </w:p>
        </w:tc>
        <w:tc>
          <w:tcPr>
            <w:tcW w:w="900" w:type="dxa"/>
            <w:vAlign w:val="bottom"/>
            <w:tcBorders>
              <w:right w:val="single" w:sz="8" w:color="auto"/>
            </w:tcBorders>
          </w:tcPr>
          <w:p>
            <w:pPr>
              <w:spacing w:after="0"/>
              <w:rPr>
                <w:sz w:val="14"/>
                <w:szCs w:val="14"/>
                <w:color w:val="auto"/>
              </w:rPr>
            </w:pPr>
          </w:p>
        </w:tc>
        <w:tc>
          <w:tcPr>
            <w:tcW w:w="2920" w:type="dxa"/>
            <w:vAlign w:val="bottom"/>
            <w:tcBorders>
              <w:right w:val="single" w:sz="8" w:color="auto"/>
            </w:tcBorders>
          </w:tcPr>
          <w:p>
            <w:pPr>
              <w:ind w:left="2380"/>
              <w:spacing w:after="0"/>
              <w:rPr>
                <w:sz w:val="20"/>
                <w:szCs w:val="20"/>
                <w:color w:val="auto"/>
              </w:rPr>
            </w:pPr>
            <w:r>
              <w:rPr>
                <w:rFonts w:ascii="Arial" w:cs="Arial" w:eastAsia="Arial" w:hAnsi="Arial"/>
                <w:sz w:val="14"/>
                <w:szCs w:val="14"/>
                <w:color w:val="auto"/>
              </w:rPr>
              <w:t>[*CTR]</w:t>
            </w:r>
          </w:p>
        </w:tc>
        <w:tc>
          <w:tcPr>
            <w:tcW w:w="2940" w:type="dxa"/>
            <w:vAlign w:val="bottom"/>
            <w:tcBorders>
              <w:right w:val="single" w:sz="8" w:color="auto"/>
            </w:tcBorders>
          </w:tcPr>
          <w:p>
            <w:pPr>
              <w:ind w:left="2420"/>
              <w:spacing w:after="0"/>
              <w:rPr>
                <w:sz w:val="20"/>
                <w:szCs w:val="20"/>
                <w:color w:val="auto"/>
              </w:rPr>
            </w:pPr>
            <w:r>
              <w:rPr>
                <w:rFonts w:ascii="Arial" w:cs="Arial" w:eastAsia="Arial" w:hAnsi="Arial"/>
                <w:sz w:val="14"/>
                <w:szCs w:val="14"/>
                <w:color w:val="auto"/>
              </w:rPr>
              <w:t>[*CTR]</w:t>
            </w:r>
          </w:p>
        </w:tc>
        <w:tc>
          <w:tcPr>
            <w:tcW w:w="1220" w:type="dxa"/>
            <w:vAlign w:val="bottom"/>
            <w:tcBorders>
              <w:right w:val="single" w:sz="8" w:color="auto"/>
            </w:tcBorders>
          </w:tcPr>
          <w:p>
            <w:pPr>
              <w:ind w:left="660"/>
              <w:spacing w:after="0"/>
              <w:rPr>
                <w:sz w:val="20"/>
                <w:szCs w:val="20"/>
                <w:color w:val="auto"/>
              </w:rPr>
            </w:pPr>
            <w:r>
              <w:rPr>
                <w:rFonts w:ascii="Arial" w:cs="Arial" w:eastAsia="Arial" w:hAnsi="Arial"/>
                <w:sz w:val="14"/>
                <w:szCs w:val="14"/>
                <w:color w:val="auto"/>
              </w:rPr>
              <w:t>[*CTR]</w:t>
            </w:r>
          </w:p>
        </w:tc>
      </w:tr>
      <w:tr>
        <w:trPr>
          <w:trHeight w:val="498"/>
        </w:trPr>
        <w:tc>
          <w:tcPr>
            <w:tcW w:w="1180" w:type="dxa"/>
            <w:vAlign w:val="bottom"/>
            <w:tcBorders>
              <w:left w:val="single" w:sz="8" w:color="auto"/>
              <w:bottom w:val="single" w:sz="8" w:color="auto"/>
              <w:right w:val="single" w:sz="8" w:color="auto"/>
            </w:tcBorders>
          </w:tcPr>
          <w:p>
            <w:pPr>
              <w:ind w:left="660"/>
              <w:spacing w:after="0"/>
              <w:rPr>
                <w:sz w:val="20"/>
                <w:szCs w:val="20"/>
                <w:color w:val="auto"/>
              </w:rPr>
            </w:pPr>
            <w:r>
              <w:rPr>
                <w:rFonts w:ascii="Arial" w:cs="Arial" w:eastAsia="Arial" w:hAnsi="Arial"/>
                <w:sz w:val="14"/>
                <w:szCs w:val="14"/>
                <w:color w:val="auto"/>
              </w:rPr>
              <w:t>[*CTR]</w:t>
            </w:r>
          </w:p>
        </w:tc>
        <w:tc>
          <w:tcPr>
            <w:tcW w:w="90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1</w:t>
            </w:r>
          </w:p>
        </w:tc>
        <w:tc>
          <w:tcPr>
            <w:tcW w:w="2920" w:type="dxa"/>
            <w:vAlign w:val="bottom"/>
            <w:tcBorders>
              <w:bottom w:val="single" w:sz="8" w:color="auto"/>
              <w:right w:val="single" w:sz="8" w:color="auto"/>
            </w:tcBorders>
          </w:tcPr>
          <w:p>
            <w:pPr>
              <w:spacing w:after="0"/>
              <w:rPr>
                <w:sz w:val="24"/>
                <w:szCs w:val="24"/>
                <w:color w:val="auto"/>
              </w:rPr>
            </w:pPr>
          </w:p>
        </w:tc>
        <w:tc>
          <w:tcPr>
            <w:tcW w:w="294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r>
      <w:tr>
        <w:trPr>
          <w:trHeight w:val="156"/>
        </w:trPr>
        <w:tc>
          <w:tcPr>
            <w:tcW w:w="1180" w:type="dxa"/>
            <w:vAlign w:val="bottom"/>
            <w:tcBorders>
              <w:left w:val="single" w:sz="8" w:color="auto"/>
              <w:bottom w:val="single" w:sz="8" w:color="auto"/>
              <w:right w:val="single" w:sz="8" w:color="auto"/>
            </w:tcBorders>
          </w:tcPr>
          <w:p>
            <w:pPr>
              <w:ind w:left="660"/>
              <w:spacing w:after="0" w:line="155" w:lineRule="exact"/>
              <w:rPr>
                <w:sz w:val="20"/>
                <w:szCs w:val="20"/>
                <w:color w:val="auto"/>
              </w:rPr>
            </w:pPr>
            <w:r>
              <w:rPr>
                <w:rFonts w:ascii="Arial" w:cs="Arial" w:eastAsia="Arial" w:hAnsi="Arial"/>
                <w:sz w:val="14"/>
                <w:szCs w:val="14"/>
                <w:color w:val="auto"/>
              </w:rPr>
              <w:t>[*CTR]</w:t>
            </w:r>
          </w:p>
        </w:tc>
        <w:tc>
          <w:tcPr>
            <w:tcW w:w="900" w:type="dxa"/>
            <w:vAlign w:val="bottom"/>
            <w:tcBorders>
              <w:bottom w:val="single" w:sz="8" w:color="auto"/>
              <w:right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2</w:t>
            </w:r>
          </w:p>
        </w:tc>
        <w:tc>
          <w:tcPr>
            <w:tcW w:w="2920" w:type="dxa"/>
            <w:vAlign w:val="bottom"/>
            <w:tcBorders>
              <w:bottom w:val="single" w:sz="8" w:color="auto"/>
              <w:right w:val="single" w:sz="8" w:color="auto"/>
            </w:tcBorders>
          </w:tcPr>
          <w:p>
            <w:pPr>
              <w:ind w:left="2380"/>
              <w:spacing w:after="0" w:line="155" w:lineRule="exact"/>
              <w:rPr>
                <w:sz w:val="20"/>
                <w:szCs w:val="20"/>
                <w:color w:val="auto"/>
              </w:rPr>
            </w:pPr>
            <w:r>
              <w:rPr>
                <w:rFonts w:ascii="Arial" w:cs="Arial" w:eastAsia="Arial" w:hAnsi="Arial"/>
                <w:sz w:val="14"/>
                <w:szCs w:val="14"/>
                <w:color w:val="auto"/>
              </w:rPr>
              <w:t>[*CTR]</w:t>
            </w:r>
          </w:p>
        </w:tc>
        <w:tc>
          <w:tcPr>
            <w:tcW w:w="2940" w:type="dxa"/>
            <w:vAlign w:val="bottom"/>
            <w:tcBorders>
              <w:bottom w:val="single" w:sz="8" w:color="auto"/>
              <w:right w:val="single" w:sz="8" w:color="auto"/>
            </w:tcBorders>
          </w:tcPr>
          <w:p>
            <w:pPr>
              <w:ind w:left="2420"/>
              <w:spacing w:after="0" w:line="155" w:lineRule="exact"/>
              <w:rPr>
                <w:sz w:val="20"/>
                <w:szCs w:val="20"/>
                <w:color w:val="auto"/>
              </w:rPr>
            </w:pPr>
            <w:r>
              <w:rPr>
                <w:rFonts w:ascii="Arial" w:cs="Arial" w:eastAsia="Arial" w:hAnsi="Arial"/>
                <w:sz w:val="14"/>
                <w:szCs w:val="14"/>
                <w:color w:val="auto"/>
              </w:rPr>
              <w:t>[*CTR]</w:t>
            </w:r>
          </w:p>
        </w:tc>
        <w:tc>
          <w:tcPr>
            <w:tcW w:w="1220" w:type="dxa"/>
            <w:vAlign w:val="bottom"/>
            <w:tcBorders>
              <w:bottom w:val="single" w:sz="8" w:color="auto"/>
              <w:right w:val="single" w:sz="8" w:color="auto"/>
            </w:tcBorders>
          </w:tcPr>
          <w:p>
            <w:pPr>
              <w:ind w:left="660"/>
              <w:spacing w:after="0" w:line="155" w:lineRule="exact"/>
              <w:rPr>
                <w:sz w:val="20"/>
                <w:szCs w:val="20"/>
                <w:color w:val="auto"/>
              </w:rPr>
            </w:pPr>
            <w:r>
              <w:rPr>
                <w:rFonts w:ascii="Arial" w:cs="Arial" w:eastAsia="Arial" w:hAnsi="Arial"/>
                <w:sz w:val="14"/>
                <w:szCs w:val="14"/>
                <w:color w:val="auto"/>
              </w:rPr>
              <w:t>[*CTR]</w:t>
            </w:r>
          </w:p>
        </w:tc>
      </w:tr>
      <w:tr>
        <w:trPr>
          <w:trHeight w:val="156"/>
        </w:trPr>
        <w:tc>
          <w:tcPr>
            <w:tcW w:w="1180" w:type="dxa"/>
            <w:vAlign w:val="bottom"/>
            <w:tcBorders>
              <w:left w:val="single" w:sz="8" w:color="auto"/>
            </w:tcBorders>
          </w:tcPr>
          <w:p>
            <w:pPr>
              <w:spacing w:after="0"/>
              <w:rPr>
                <w:sz w:val="13"/>
                <w:szCs w:val="13"/>
                <w:color w:val="auto"/>
              </w:rPr>
            </w:pPr>
          </w:p>
        </w:tc>
        <w:tc>
          <w:tcPr>
            <w:tcW w:w="900" w:type="dxa"/>
            <w:vAlign w:val="bottom"/>
            <w:tcBorders>
              <w:bottom w:val="single" w:sz="8" w:color="auto"/>
              <w:right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3</w:t>
            </w:r>
          </w:p>
        </w:tc>
        <w:tc>
          <w:tcPr>
            <w:tcW w:w="2920" w:type="dxa"/>
            <w:vAlign w:val="bottom"/>
            <w:tcBorders>
              <w:bottom w:val="single" w:sz="8" w:color="auto"/>
              <w:right w:val="single" w:sz="8" w:color="auto"/>
            </w:tcBorders>
          </w:tcPr>
          <w:p>
            <w:pPr>
              <w:ind w:left="2380"/>
              <w:spacing w:after="0" w:line="155" w:lineRule="exact"/>
              <w:rPr>
                <w:sz w:val="20"/>
                <w:szCs w:val="20"/>
                <w:color w:val="auto"/>
              </w:rPr>
            </w:pPr>
            <w:r>
              <w:rPr>
                <w:rFonts w:ascii="Arial" w:cs="Arial" w:eastAsia="Arial" w:hAnsi="Arial"/>
                <w:sz w:val="14"/>
                <w:szCs w:val="14"/>
                <w:color w:val="auto"/>
              </w:rPr>
              <w:t>[*CTR]</w:t>
            </w:r>
          </w:p>
        </w:tc>
        <w:tc>
          <w:tcPr>
            <w:tcW w:w="2940" w:type="dxa"/>
            <w:vAlign w:val="bottom"/>
            <w:tcBorders>
              <w:bottom w:val="single" w:sz="8" w:color="auto"/>
              <w:right w:val="single" w:sz="8" w:color="auto"/>
            </w:tcBorders>
          </w:tcPr>
          <w:p>
            <w:pPr>
              <w:ind w:left="2420"/>
              <w:spacing w:after="0" w:line="155" w:lineRule="exact"/>
              <w:rPr>
                <w:sz w:val="20"/>
                <w:szCs w:val="20"/>
                <w:color w:val="auto"/>
              </w:rPr>
            </w:pPr>
            <w:r>
              <w:rPr>
                <w:rFonts w:ascii="Arial" w:cs="Arial" w:eastAsia="Arial" w:hAnsi="Arial"/>
                <w:sz w:val="14"/>
                <w:szCs w:val="14"/>
                <w:color w:val="auto"/>
              </w:rPr>
              <w:t>[*CTR]</w:t>
            </w:r>
          </w:p>
        </w:tc>
        <w:tc>
          <w:tcPr>
            <w:tcW w:w="1220" w:type="dxa"/>
            <w:vAlign w:val="bottom"/>
            <w:tcBorders>
              <w:bottom w:val="single" w:sz="8" w:color="auto"/>
              <w:right w:val="single" w:sz="8" w:color="auto"/>
            </w:tcBorders>
          </w:tcPr>
          <w:p>
            <w:pPr>
              <w:ind w:left="660"/>
              <w:spacing w:after="0" w:line="155" w:lineRule="exact"/>
              <w:rPr>
                <w:sz w:val="20"/>
                <w:szCs w:val="20"/>
                <w:color w:val="auto"/>
              </w:rPr>
            </w:pPr>
            <w:r>
              <w:rPr>
                <w:rFonts w:ascii="Arial" w:cs="Arial" w:eastAsia="Arial" w:hAnsi="Arial"/>
                <w:sz w:val="14"/>
                <w:szCs w:val="14"/>
                <w:color w:val="auto"/>
              </w:rPr>
              <w:t>[*CTR]</w:t>
            </w:r>
          </w:p>
        </w:tc>
      </w:tr>
      <w:tr>
        <w:trPr>
          <w:trHeight w:val="156"/>
        </w:trPr>
        <w:tc>
          <w:tcPr>
            <w:tcW w:w="1180" w:type="dxa"/>
            <w:vAlign w:val="bottom"/>
            <w:tcBorders>
              <w:left w:val="single" w:sz="8" w:color="auto"/>
            </w:tcBorders>
          </w:tcPr>
          <w:p>
            <w:pPr>
              <w:spacing w:after="0"/>
              <w:rPr>
                <w:sz w:val="13"/>
                <w:szCs w:val="13"/>
                <w:color w:val="auto"/>
              </w:rPr>
            </w:pPr>
          </w:p>
        </w:tc>
        <w:tc>
          <w:tcPr>
            <w:tcW w:w="900" w:type="dxa"/>
            <w:vAlign w:val="bottom"/>
            <w:tcBorders>
              <w:bottom w:val="single" w:sz="8" w:color="auto"/>
              <w:right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4</w:t>
            </w:r>
          </w:p>
        </w:tc>
        <w:tc>
          <w:tcPr>
            <w:tcW w:w="2920" w:type="dxa"/>
            <w:vAlign w:val="bottom"/>
            <w:tcBorders>
              <w:bottom w:val="single" w:sz="8" w:color="auto"/>
              <w:right w:val="single" w:sz="8" w:color="auto"/>
            </w:tcBorders>
          </w:tcPr>
          <w:p>
            <w:pPr>
              <w:ind w:left="2380"/>
              <w:spacing w:after="0" w:line="155" w:lineRule="exact"/>
              <w:rPr>
                <w:sz w:val="20"/>
                <w:szCs w:val="20"/>
                <w:color w:val="auto"/>
              </w:rPr>
            </w:pPr>
            <w:r>
              <w:rPr>
                <w:rFonts w:ascii="Arial" w:cs="Arial" w:eastAsia="Arial" w:hAnsi="Arial"/>
                <w:sz w:val="14"/>
                <w:szCs w:val="14"/>
                <w:color w:val="auto"/>
              </w:rPr>
              <w:t>[*CTR]</w:t>
            </w:r>
          </w:p>
        </w:tc>
        <w:tc>
          <w:tcPr>
            <w:tcW w:w="2940" w:type="dxa"/>
            <w:vAlign w:val="bottom"/>
            <w:tcBorders>
              <w:bottom w:val="single" w:sz="8" w:color="auto"/>
              <w:right w:val="single" w:sz="8" w:color="auto"/>
            </w:tcBorders>
          </w:tcPr>
          <w:p>
            <w:pPr>
              <w:ind w:left="2420"/>
              <w:spacing w:after="0" w:line="155" w:lineRule="exact"/>
              <w:rPr>
                <w:sz w:val="20"/>
                <w:szCs w:val="20"/>
                <w:color w:val="auto"/>
              </w:rPr>
            </w:pPr>
            <w:r>
              <w:rPr>
                <w:rFonts w:ascii="Arial" w:cs="Arial" w:eastAsia="Arial" w:hAnsi="Arial"/>
                <w:sz w:val="14"/>
                <w:szCs w:val="14"/>
                <w:color w:val="auto"/>
              </w:rPr>
              <w:t>[*CTR]</w:t>
            </w:r>
          </w:p>
        </w:tc>
        <w:tc>
          <w:tcPr>
            <w:tcW w:w="1220" w:type="dxa"/>
            <w:vAlign w:val="bottom"/>
            <w:tcBorders>
              <w:bottom w:val="single" w:sz="8" w:color="auto"/>
              <w:right w:val="single" w:sz="8" w:color="auto"/>
            </w:tcBorders>
          </w:tcPr>
          <w:p>
            <w:pPr>
              <w:ind w:left="660"/>
              <w:spacing w:after="0" w:line="155" w:lineRule="exact"/>
              <w:rPr>
                <w:sz w:val="20"/>
                <w:szCs w:val="20"/>
                <w:color w:val="auto"/>
              </w:rPr>
            </w:pPr>
            <w:r>
              <w:rPr>
                <w:rFonts w:ascii="Arial" w:cs="Arial" w:eastAsia="Arial" w:hAnsi="Arial"/>
                <w:sz w:val="14"/>
                <w:szCs w:val="14"/>
                <w:color w:val="auto"/>
              </w:rPr>
              <w:t>[*CTR]</w:t>
            </w:r>
          </w:p>
        </w:tc>
      </w:tr>
      <w:tr>
        <w:trPr>
          <w:trHeight w:val="156"/>
        </w:trPr>
        <w:tc>
          <w:tcPr>
            <w:tcW w:w="1180" w:type="dxa"/>
            <w:vAlign w:val="bottom"/>
            <w:tcBorders>
              <w:left w:val="single" w:sz="8" w:color="auto"/>
            </w:tcBorders>
          </w:tcPr>
          <w:p>
            <w:pPr>
              <w:spacing w:after="0"/>
              <w:rPr>
                <w:sz w:val="13"/>
                <w:szCs w:val="13"/>
                <w:color w:val="auto"/>
              </w:rPr>
            </w:pPr>
          </w:p>
        </w:tc>
        <w:tc>
          <w:tcPr>
            <w:tcW w:w="900" w:type="dxa"/>
            <w:vAlign w:val="bottom"/>
            <w:tcBorders>
              <w:bottom w:val="single" w:sz="8" w:color="auto"/>
              <w:right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5</w:t>
            </w:r>
          </w:p>
        </w:tc>
        <w:tc>
          <w:tcPr>
            <w:tcW w:w="2920" w:type="dxa"/>
            <w:vAlign w:val="bottom"/>
            <w:tcBorders>
              <w:bottom w:val="single" w:sz="8" w:color="auto"/>
              <w:right w:val="single" w:sz="8" w:color="auto"/>
            </w:tcBorders>
          </w:tcPr>
          <w:p>
            <w:pPr>
              <w:ind w:left="2380"/>
              <w:spacing w:after="0" w:line="155" w:lineRule="exact"/>
              <w:rPr>
                <w:sz w:val="20"/>
                <w:szCs w:val="20"/>
                <w:color w:val="auto"/>
              </w:rPr>
            </w:pPr>
            <w:r>
              <w:rPr>
                <w:rFonts w:ascii="Arial" w:cs="Arial" w:eastAsia="Arial" w:hAnsi="Arial"/>
                <w:sz w:val="14"/>
                <w:szCs w:val="14"/>
                <w:color w:val="auto"/>
              </w:rPr>
              <w:t>[*CTR]</w:t>
            </w:r>
          </w:p>
        </w:tc>
        <w:tc>
          <w:tcPr>
            <w:tcW w:w="2940" w:type="dxa"/>
            <w:vAlign w:val="bottom"/>
            <w:tcBorders>
              <w:bottom w:val="single" w:sz="8" w:color="auto"/>
              <w:right w:val="single" w:sz="8" w:color="auto"/>
            </w:tcBorders>
          </w:tcPr>
          <w:p>
            <w:pPr>
              <w:ind w:left="2420"/>
              <w:spacing w:after="0" w:line="155" w:lineRule="exact"/>
              <w:rPr>
                <w:sz w:val="20"/>
                <w:szCs w:val="20"/>
                <w:color w:val="auto"/>
              </w:rPr>
            </w:pPr>
            <w:r>
              <w:rPr>
                <w:rFonts w:ascii="Arial" w:cs="Arial" w:eastAsia="Arial" w:hAnsi="Arial"/>
                <w:sz w:val="14"/>
                <w:szCs w:val="14"/>
                <w:color w:val="auto"/>
              </w:rPr>
              <w:t>[*CTR]</w:t>
            </w:r>
          </w:p>
        </w:tc>
        <w:tc>
          <w:tcPr>
            <w:tcW w:w="1220" w:type="dxa"/>
            <w:vAlign w:val="bottom"/>
            <w:tcBorders>
              <w:bottom w:val="single" w:sz="8" w:color="auto"/>
              <w:right w:val="single" w:sz="8" w:color="auto"/>
            </w:tcBorders>
          </w:tcPr>
          <w:p>
            <w:pPr>
              <w:ind w:left="660"/>
              <w:spacing w:after="0" w:line="155" w:lineRule="exact"/>
              <w:rPr>
                <w:sz w:val="20"/>
                <w:szCs w:val="20"/>
                <w:color w:val="auto"/>
              </w:rPr>
            </w:pPr>
            <w:r>
              <w:rPr>
                <w:rFonts w:ascii="Arial" w:cs="Arial" w:eastAsia="Arial" w:hAnsi="Arial"/>
                <w:sz w:val="14"/>
                <w:szCs w:val="14"/>
                <w:color w:val="auto"/>
              </w:rPr>
              <w:t>[*CTR]</w:t>
            </w:r>
          </w:p>
        </w:tc>
      </w:tr>
      <w:tr>
        <w:trPr>
          <w:trHeight w:val="156"/>
        </w:trPr>
        <w:tc>
          <w:tcPr>
            <w:tcW w:w="1180" w:type="dxa"/>
            <w:vAlign w:val="bottom"/>
            <w:tcBorders>
              <w:left w:val="single" w:sz="8" w:color="auto"/>
            </w:tcBorders>
          </w:tcPr>
          <w:p>
            <w:pPr>
              <w:spacing w:after="0"/>
              <w:rPr>
                <w:sz w:val="13"/>
                <w:szCs w:val="13"/>
                <w:color w:val="auto"/>
              </w:rPr>
            </w:pPr>
          </w:p>
        </w:tc>
        <w:tc>
          <w:tcPr>
            <w:tcW w:w="900" w:type="dxa"/>
            <w:vAlign w:val="bottom"/>
            <w:tcBorders>
              <w:bottom w:val="single" w:sz="8" w:color="auto"/>
              <w:right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6</w:t>
            </w:r>
          </w:p>
        </w:tc>
        <w:tc>
          <w:tcPr>
            <w:tcW w:w="2920" w:type="dxa"/>
            <w:vAlign w:val="bottom"/>
            <w:tcBorders>
              <w:bottom w:val="single" w:sz="8" w:color="auto"/>
              <w:right w:val="single" w:sz="8" w:color="auto"/>
            </w:tcBorders>
          </w:tcPr>
          <w:p>
            <w:pPr>
              <w:ind w:left="2380"/>
              <w:spacing w:after="0" w:line="155" w:lineRule="exact"/>
              <w:rPr>
                <w:sz w:val="20"/>
                <w:szCs w:val="20"/>
                <w:color w:val="auto"/>
              </w:rPr>
            </w:pPr>
            <w:r>
              <w:rPr>
                <w:rFonts w:ascii="Arial" w:cs="Arial" w:eastAsia="Arial" w:hAnsi="Arial"/>
                <w:sz w:val="14"/>
                <w:szCs w:val="14"/>
                <w:color w:val="auto"/>
              </w:rPr>
              <w:t>[*CTR]</w:t>
            </w:r>
          </w:p>
        </w:tc>
        <w:tc>
          <w:tcPr>
            <w:tcW w:w="2940" w:type="dxa"/>
            <w:vAlign w:val="bottom"/>
            <w:tcBorders>
              <w:bottom w:val="single" w:sz="8" w:color="auto"/>
              <w:right w:val="single" w:sz="8" w:color="auto"/>
            </w:tcBorders>
          </w:tcPr>
          <w:p>
            <w:pPr>
              <w:ind w:left="2420"/>
              <w:spacing w:after="0" w:line="155" w:lineRule="exact"/>
              <w:rPr>
                <w:sz w:val="20"/>
                <w:szCs w:val="20"/>
                <w:color w:val="auto"/>
              </w:rPr>
            </w:pPr>
            <w:r>
              <w:rPr>
                <w:rFonts w:ascii="Arial" w:cs="Arial" w:eastAsia="Arial" w:hAnsi="Arial"/>
                <w:sz w:val="14"/>
                <w:szCs w:val="14"/>
                <w:color w:val="auto"/>
              </w:rPr>
              <w:t>[*CTR]</w:t>
            </w:r>
          </w:p>
        </w:tc>
        <w:tc>
          <w:tcPr>
            <w:tcW w:w="1220" w:type="dxa"/>
            <w:vAlign w:val="bottom"/>
            <w:tcBorders>
              <w:bottom w:val="single" w:sz="8" w:color="auto"/>
              <w:right w:val="single" w:sz="8" w:color="auto"/>
            </w:tcBorders>
          </w:tcPr>
          <w:p>
            <w:pPr>
              <w:ind w:left="660"/>
              <w:spacing w:after="0" w:line="155" w:lineRule="exact"/>
              <w:rPr>
                <w:sz w:val="20"/>
                <w:szCs w:val="20"/>
                <w:color w:val="auto"/>
              </w:rPr>
            </w:pPr>
            <w:r>
              <w:rPr>
                <w:rFonts w:ascii="Arial" w:cs="Arial" w:eastAsia="Arial" w:hAnsi="Arial"/>
                <w:sz w:val="14"/>
                <w:szCs w:val="14"/>
                <w:color w:val="auto"/>
              </w:rPr>
              <w:t>[*CTR]</w:t>
            </w:r>
          </w:p>
        </w:tc>
      </w:tr>
      <w:tr>
        <w:trPr>
          <w:trHeight w:val="156"/>
        </w:trPr>
        <w:tc>
          <w:tcPr>
            <w:tcW w:w="1180" w:type="dxa"/>
            <w:vAlign w:val="bottom"/>
            <w:tcBorders>
              <w:left w:val="single" w:sz="8" w:color="auto"/>
            </w:tcBorders>
          </w:tcPr>
          <w:p>
            <w:pPr>
              <w:spacing w:after="0"/>
              <w:rPr>
                <w:sz w:val="13"/>
                <w:szCs w:val="13"/>
                <w:color w:val="auto"/>
              </w:rPr>
            </w:pPr>
          </w:p>
        </w:tc>
        <w:tc>
          <w:tcPr>
            <w:tcW w:w="900" w:type="dxa"/>
            <w:vAlign w:val="bottom"/>
            <w:tcBorders>
              <w:bottom w:val="single" w:sz="8" w:color="auto"/>
              <w:right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7</w:t>
            </w:r>
          </w:p>
        </w:tc>
        <w:tc>
          <w:tcPr>
            <w:tcW w:w="2920" w:type="dxa"/>
            <w:vAlign w:val="bottom"/>
            <w:tcBorders>
              <w:bottom w:val="single" w:sz="8" w:color="auto"/>
              <w:right w:val="single" w:sz="8" w:color="auto"/>
            </w:tcBorders>
          </w:tcPr>
          <w:p>
            <w:pPr>
              <w:ind w:left="2380"/>
              <w:spacing w:after="0" w:line="155" w:lineRule="exact"/>
              <w:rPr>
                <w:sz w:val="20"/>
                <w:szCs w:val="20"/>
                <w:color w:val="auto"/>
              </w:rPr>
            </w:pPr>
            <w:r>
              <w:rPr>
                <w:rFonts w:ascii="Arial" w:cs="Arial" w:eastAsia="Arial" w:hAnsi="Arial"/>
                <w:sz w:val="14"/>
                <w:szCs w:val="14"/>
                <w:color w:val="auto"/>
              </w:rPr>
              <w:t>[*CTR]</w:t>
            </w:r>
          </w:p>
        </w:tc>
        <w:tc>
          <w:tcPr>
            <w:tcW w:w="2940" w:type="dxa"/>
            <w:vAlign w:val="bottom"/>
            <w:tcBorders>
              <w:bottom w:val="single" w:sz="8" w:color="auto"/>
              <w:right w:val="single" w:sz="8" w:color="auto"/>
            </w:tcBorders>
          </w:tcPr>
          <w:p>
            <w:pPr>
              <w:ind w:left="2420"/>
              <w:spacing w:after="0" w:line="155" w:lineRule="exact"/>
              <w:rPr>
                <w:sz w:val="20"/>
                <w:szCs w:val="20"/>
                <w:color w:val="auto"/>
              </w:rPr>
            </w:pPr>
            <w:r>
              <w:rPr>
                <w:rFonts w:ascii="Arial" w:cs="Arial" w:eastAsia="Arial" w:hAnsi="Arial"/>
                <w:sz w:val="14"/>
                <w:szCs w:val="14"/>
                <w:color w:val="auto"/>
              </w:rPr>
              <w:t>[*CTR]</w:t>
            </w:r>
          </w:p>
        </w:tc>
        <w:tc>
          <w:tcPr>
            <w:tcW w:w="1220" w:type="dxa"/>
            <w:vAlign w:val="bottom"/>
            <w:tcBorders>
              <w:bottom w:val="single" w:sz="8" w:color="auto"/>
              <w:right w:val="single" w:sz="8" w:color="auto"/>
            </w:tcBorders>
          </w:tcPr>
          <w:p>
            <w:pPr>
              <w:ind w:left="660"/>
              <w:spacing w:after="0" w:line="155" w:lineRule="exact"/>
              <w:rPr>
                <w:sz w:val="20"/>
                <w:szCs w:val="20"/>
                <w:color w:val="auto"/>
              </w:rPr>
            </w:pPr>
            <w:r>
              <w:rPr>
                <w:rFonts w:ascii="Arial" w:cs="Arial" w:eastAsia="Arial" w:hAnsi="Arial"/>
                <w:sz w:val="14"/>
                <w:szCs w:val="14"/>
                <w:color w:val="auto"/>
              </w:rPr>
              <w:t>[*CTR]</w:t>
            </w:r>
          </w:p>
        </w:tc>
      </w:tr>
      <w:tr>
        <w:trPr>
          <w:trHeight w:val="156"/>
        </w:trPr>
        <w:tc>
          <w:tcPr>
            <w:tcW w:w="1180" w:type="dxa"/>
            <w:vAlign w:val="bottom"/>
            <w:tcBorders>
              <w:left w:val="single" w:sz="8" w:color="auto"/>
            </w:tcBorders>
          </w:tcPr>
          <w:p>
            <w:pPr>
              <w:spacing w:after="0"/>
              <w:rPr>
                <w:sz w:val="13"/>
                <w:szCs w:val="13"/>
                <w:color w:val="auto"/>
              </w:rPr>
            </w:pPr>
          </w:p>
        </w:tc>
        <w:tc>
          <w:tcPr>
            <w:tcW w:w="900" w:type="dxa"/>
            <w:vAlign w:val="bottom"/>
            <w:tcBorders>
              <w:bottom w:val="single" w:sz="8" w:color="auto"/>
              <w:right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8</w:t>
            </w:r>
          </w:p>
        </w:tc>
        <w:tc>
          <w:tcPr>
            <w:tcW w:w="2920" w:type="dxa"/>
            <w:vAlign w:val="bottom"/>
            <w:tcBorders>
              <w:bottom w:val="single" w:sz="8" w:color="auto"/>
              <w:right w:val="single" w:sz="8" w:color="auto"/>
            </w:tcBorders>
          </w:tcPr>
          <w:p>
            <w:pPr>
              <w:ind w:left="2380"/>
              <w:spacing w:after="0" w:line="155" w:lineRule="exact"/>
              <w:rPr>
                <w:sz w:val="20"/>
                <w:szCs w:val="20"/>
                <w:color w:val="auto"/>
              </w:rPr>
            </w:pPr>
            <w:r>
              <w:rPr>
                <w:rFonts w:ascii="Arial" w:cs="Arial" w:eastAsia="Arial" w:hAnsi="Arial"/>
                <w:sz w:val="14"/>
                <w:szCs w:val="14"/>
                <w:color w:val="auto"/>
              </w:rPr>
              <w:t>[*CTR]</w:t>
            </w:r>
          </w:p>
        </w:tc>
        <w:tc>
          <w:tcPr>
            <w:tcW w:w="2940" w:type="dxa"/>
            <w:vAlign w:val="bottom"/>
            <w:tcBorders>
              <w:bottom w:val="single" w:sz="8" w:color="auto"/>
              <w:right w:val="single" w:sz="8" w:color="auto"/>
            </w:tcBorders>
          </w:tcPr>
          <w:p>
            <w:pPr>
              <w:ind w:left="2420"/>
              <w:spacing w:after="0" w:line="155" w:lineRule="exact"/>
              <w:rPr>
                <w:sz w:val="20"/>
                <w:szCs w:val="20"/>
                <w:color w:val="auto"/>
              </w:rPr>
            </w:pPr>
            <w:r>
              <w:rPr>
                <w:rFonts w:ascii="Arial" w:cs="Arial" w:eastAsia="Arial" w:hAnsi="Arial"/>
                <w:sz w:val="14"/>
                <w:szCs w:val="14"/>
                <w:color w:val="auto"/>
              </w:rPr>
              <w:t>[*CTR]</w:t>
            </w:r>
          </w:p>
        </w:tc>
        <w:tc>
          <w:tcPr>
            <w:tcW w:w="1220" w:type="dxa"/>
            <w:vAlign w:val="bottom"/>
            <w:tcBorders>
              <w:bottom w:val="single" w:sz="8" w:color="auto"/>
              <w:right w:val="single" w:sz="8" w:color="auto"/>
            </w:tcBorders>
          </w:tcPr>
          <w:p>
            <w:pPr>
              <w:ind w:left="660"/>
              <w:spacing w:after="0" w:line="155" w:lineRule="exact"/>
              <w:rPr>
                <w:sz w:val="20"/>
                <w:szCs w:val="20"/>
                <w:color w:val="auto"/>
              </w:rPr>
            </w:pPr>
            <w:r>
              <w:rPr>
                <w:rFonts w:ascii="Arial" w:cs="Arial" w:eastAsia="Arial" w:hAnsi="Arial"/>
                <w:sz w:val="14"/>
                <w:szCs w:val="14"/>
                <w:color w:val="auto"/>
              </w:rPr>
              <w:t>[*CTR]</w:t>
            </w:r>
          </w:p>
        </w:tc>
      </w:tr>
      <w:tr>
        <w:trPr>
          <w:trHeight w:val="156"/>
        </w:trPr>
        <w:tc>
          <w:tcPr>
            <w:tcW w:w="1180" w:type="dxa"/>
            <w:vAlign w:val="bottom"/>
            <w:tcBorders>
              <w:left w:val="single" w:sz="8" w:color="auto"/>
            </w:tcBorders>
          </w:tcPr>
          <w:p>
            <w:pPr>
              <w:spacing w:after="0"/>
              <w:rPr>
                <w:sz w:val="13"/>
                <w:szCs w:val="13"/>
                <w:color w:val="auto"/>
              </w:rPr>
            </w:pPr>
          </w:p>
        </w:tc>
        <w:tc>
          <w:tcPr>
            <w:tcW w:w="900" w:type="dxa"/>
            <w:vAlign w:val="bottom"/>
            <w:tcBorders>
              <w:bottom w:val="single" w:sz="8" w:color="auto"/>
              <w:right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9</w:t>
            </w:r>
          </w:p>
        </w:tc>
        <w:tc>
          <w:tcPr>
            <w:tcW w:w="2920" w:type="dxa"/>
            <w:vAlign w:val="bottom"/>
            <w:tcBorders>
              <w:bottom w:val="single" w:sz="8" w:color="auto"/>
              <w:right w:val="single" w:sz="8" w:color="auto"/>
            </w:tcBorders>
          </w:tcPr>
          <w:p>
            <w:pPr>
              <w:ind w:left="2380"/>
              <w:spacing w:after="0" w:line="155" w:lineRule="exact"/>
              <w:rPr>
                <w:sz w:val="20"/>
                <w:szCs w:val="20"/>
                <w:color w:val="auto"/>
              </w:rPr>
            </w:pPr>
            <w:r>
              <w:rPr>
                <w:rFonts w:ascii="Arial" w:cs="Arial" w:eastAsia="Arial" w:hAnsi="Arial"/>
                <w:sz w:val="14"/>
                <w:szCs w:val="14"/>
                <w:color w:val="auto"/>
              </w:rPr>
              <w:t>[*CTR]</w:t>
            </w:r>
          </w:p>
        </w:tc>
        <w:tc>
          <w:tcPr>
            <w:tcW w:w="2940" w:type="dxa"/>
            <w:vAlign w:val="bottom"/>
            <w:tcBorders>
              <w:bottom w:val="single" w:sz="8" w:color="auto"/>
              <w:right w:val="single" w:sz="8" w:color="auto"/>
            </w:tcBorders>
          </w:tcPr>
          <w:p>
            <w:pPr>
              <w:ind w:left="2420"/>
              <w:spacing w:after="0" w:line="155" w:lineRule="exact"/>
              <w:rPr>
                <w:sz w:val="20"/>
                <w:szCs w:val="20"/>
                <w:color w:val="auto"/>
              </w:rPr>
            </w:pPr>
            <w:r>
              <w:rPr>
                <w:rFonts w:ascii="Arial" w:cs="Arial" w:eastAsia="Arial" w:hAnsi="Arial"/>
                <w:sz w:val="14"/>
                <w:szCs w:val="14"/>
                <w:color w:val="auto"/>
              </w:rPr>
              <w:t>[*CTR]</w:t>
            </w:r>
          </w:p>
        </w:tc>
        <w:tc>
          <w:tcPr>
            <w:tcW w:w="1220" w:type="dxa"/>
            <w:vAlign w:val="bottom"/>
            <w:tcBorders>
              <w:bottom w:val="single" w:sz="8" w:color="auto"/>
              <w:right w:val="single" w:sz="8" w:color="auto"/>
            </w:tcBorders>
          </w:tcPr>
          <w:p>
            <w:pPr>
              <w:ind w:left="660"/>
              <w:spacing w:after="0" w:line="155" w:lineRule="exact"/>
              <w:rPr>
                <w:sz w:val="20"/>
                <w:szCs w:val="20"/>
                <w:color w:val="auto"/>
              </w:rPr>
            </w:pPr>
            <w:r>
              <w:rPr>
                <w:rFonts w:ascii="Arial" w:cs="Arial" w:eastAsia="Arial" w:hAnsi="Arial"/>
                <w:sz w:val="14"/>
                <w:szCs w:val="14"/>
                <w:color w:val="auto"/>
              </w:rPr>
              <w:t>[*CTR]</w:t>
            </w:r>
          </w:p>
        </w:tc>
      </w:tr>
      <w:tr>
        <w:trPr>
          <w:trHeight w:val="156"/>
        </w:trPr>
        <w:tc>
          <w:tcPr>
            <w:tcW w:w="1180" w:type="dxa"/>
            <w:vAlign w:val="bottom"/>
            <w:tcBorders>
              <w:left w:val="single" w:sz="8" w:color="auto"/>
            </w:tcBorders>
          </w:tcPr>
          <w:p>
            <w:pPr>
              <w:spacing w:after="0"/>
              <w:rPr>
                <w:sz w:val="13"/>
                <w:szCs w:val="13"/>
                <w:color w:val="auto"/>
              </w:rPr>
            </w:pPr>
          </w:p>
        </w:tc>
        <w:tc>
          <w:tcPr>
            <w:tcW w:w="900" w:type="dxa"/>
            <w:vAlign w:val="bottom"/>
            <w:tcBorders>
              <w:bottom w:val="single" w:sz="8" w:color="auto"/>
              <w:right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10</w:t>
            </w:r>
          </w:p>
        </w:tc>
        <w:tc>
          <w:tcPr>
            <w:tcW w:w="2920" w:type="dxa"/>
            <w:vAlign w:val="bottom"/>
            <w:tcBorders>
              <w:bottom w:val="single" w:sz="8" w:color="auto"/>
              <w:right w:val="single" w:sz="8" w:color="auto"/>
            </w:tcBorders>
          </w:tcPr>
          <w:p>
            <w:pPr>
              <w:ind w:left="2380"/>
              <w:spacing w:after="0" w:line="155" w:lineRule="exact"/>
              <w:rPr>
                <w:sz w:val="20"/>
                <w:szCs w:val="20"/>
                <w:color w:val="auto"/>
              </w:rPr>
            </w:pPr>
            <w:r>
              <w:rPr>
                <w:rFonts w:ascii="Arial" w:cs="Arial" w:eastAsia="Arial" w:hAnsi="Arial"/>
                <w:sz w:val="14"/>
                <w:szCs w:val="14"/>
                <w:color w:val="auto"/>
              </w:rPr>
              <w:t>[*CTR]</w:t>
            </w:r>
          </w:p>
        </w:tc>
        <w:tc>
          <w:tcPr>
            <w:tcW w:w="2940" w:type="dxa"/>
            <w:vAlign w:val="bottom"/>
            <w:tcBorders>
              <w:bottom w:val="single" w:sz="8" w:color="auto"/>
              <w:right w:val="single" w:sz="8" w:color="auto"/>
            </w:tcBorders>
          </w:tcPr>
          <w:p>
            <w:pPr>
              <w:ind w:left="2420"/>
              <w:spacing w:after="0" w:line="155" w:lineRule="exact"/>
              <w:rPr>
                <w:sz w:val="20"/>
                <w:szCs w:val="20"/>
                <w:color w:val="auto"/>
              </w:rPr>
            </w:pPr>
            <w:r>
              <w:rPr>
                <w:rFonts w:ascii="Arial" w:cs="Arial" w:eastAsia="Arial" w:hAnsi="Arial"/>
                <w:sz w:val="14"/>
                <w:szCs w:val="14"/>
                <w:color w:val="auto"/>
              </w:rPr>
              <w:t>[*CTR]</w:t>
            </w:r>
          </w:p>
        </w:tc>
        <w:tc>
          <w:tcPr>
            <w:tcW w:w="1220" w:type="dxa"/>
            <w:vAlign w:val="bottom"/>
            <w:tcBorders>
              <w:bottom w:val="single" w:sz="8" w:color="auto"/>
              <w:right w:val="single" w:sz="8" w:color="auto"/>
            </w:tcBorders>
          </w:tcPr>
          <w:p>
            <w:pPr>
              <w:ind w:left="660"/>
              <w:spacing w:after="0" w:line="155" w:lineRule="exact"/>
              <w:rPr>
                <w:sz w:val="20"/>
                <w:szCs w:val="20"/>
                <w:color w:val="auto"/>
              </w:rPr>
            </w:pPr>
            <w:r>
              <w:rPr>
                <w:rFonts w:ascii="Arial" w:cs="Arial" w:eastAsia="Arial" w:hAnsi="Arial"/>
                <w:sz w:val="14"/>
                <w:szCs w:val="14"/>
                <w:color w:val="auto"/>
              </w:rPr>
              <w:t>[*CTR]</w:t>
            </w:r>
          </w:p>
        </w:tc>
      </w:tr>
      <w:tr>
        <w:trPr>
          <w:trHeight w:val="156"/>
        </w:trPr>
        <w:tc>
          <w:tcPr>
            <w:tcW w:w="1180" w:type="dxa"/>
            <w:vAlign w:val="bottom"/>
            <w:tcBorders>
              <w:left w:val="single" w:sz="8" w:color="auto"/>
            </w:tcBorders>
          </w:tcPr>
          <w:p>
            <w:pPr>
              <w:spacing w:after="0"/>
              <w:rPr>
                <w:sz w:val="13"/>
                <w:szCs w:val="13"/>
                <w:color w:val="auto"/>
              </w:rPr>
            </w:pPr>
          </w:p>
        </w:tc>
        <w:tc>
          <w:tcPr>
            <w:tcW w:w="900" w:type="dxa"/>
            <w:vAlign w:val="bottom"/>
            <w:tcBorders>
              <w:bottom w:val="single" w:sz="8" w:color="auto"/>
              <w:right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11</w:t>
            </w:r>
          </w:p>
        </w:tc>
        <w:tc>
          <w:tcPr>
            <w:tcW w:w="2920" w:type="dxa"/>
            <w:vAlign w:val="bottom"/>
            <w:tcBorders>
              <w:bottom w:val="single" w:sz="8" w:color="auto"/>
              <w:right w:val="single" w:sz="8" w:color="auto"/>
            </w:tcBorders>
          </w:tcPr>
          <w:p>
            <w:pPr>
              <w:ind w:left="2380"/>
              <w:spacing w:after="0" w:line="155" w:lineRule="exact"/>
              <w:rPr>
                <w:sz w:val="20"/>
                <w:szCs w:val="20"/>
                <w:color w:val="auto"/>
              </w:rPr>
            </w:pPr>
            <w:r>
              <w:rPr>
                <w:rFonts w:ascii="Arial" w:cs="Arial" w:eastAsia="Arial" w:hAnsi="Arial"/>
                <w:sz w:val="14"/>
                <w:szCs w:val="14"/>
                <w:color w:val="auto"/>
              </w:rPr>
              <w:t>[*CTR]</w:t>
            </w:r>
          </w:p>
        </w:tc>
        <w:tc>
          <w:tcPr>
            <w:tcW w:w="2940" w:type="dxa"/>
            <w:vAlign w:val="bottom"/>
            <w:tcBorders>
              <w:bottom w:val="single" w:sz="8" w:color="auto"/>
              <w:right w:val="single" w:sz="8" w:color="auto"/>
            </w:tcBorders>
          </w:tcPr>
          <w:p>
            <w:pPr>
              <w:ind w:left="2420"/>
              <w:spacing w:after="0" w:line="155" w:lineRule="exact"/>
              <w:rPr>
                <w:sz w:val="20"/>
                <w:szCs w:val="20"/>
                <w:color w:val="auto"/>
              </w:rPr>
            </w:pPr>
            <w:r>
              <w:rPr>
                <w:rFonts w:ascii="Arial" w:cs="Arial" w:eastAsia="Arial" w:hAnsi="Arial"/>
                <w:sz w:val="14"/>
                <w:szCs w:val="14"/>
                <w:color w:val="auto"/>
              </w:rPr>
              <w:t>[*CTR]</w:t>
            </w:r>
          </w:p>
        </w:tc>
        <w:tc>
          <w:tcPr>
            <w:tcW w:w="1220" w:type="dxa"/>
            <w:vAlign w:val="bottom"/>
            <w:tcBorders>
              <w:bottom w:val="single" w:sz="8" w:color="auto"/>
              <w:right w:val="single" w:sz="8" w:color="auto"/>
            </w:tcBorders>
          </w:tcPr>
          <w:p>
            <w:pPr>
              <w:ind w:left="660"/>
              <w:spacing w:after="0" w:line="155" w:lineRule="exact"/>
              <w:rPr>
                <w:sz w:val="20"/>
                <w:szCs w:val="20"/>
                <w:color w:val="auto"/>
              </w:rPr>
            </w:pPr>
            <w:r>
              <w:rPr>
                <w:rFonts w:ascii="Arial" w:cs="Arial" w:eastAsia="Arial" w:hAnsi="Arial"/>
                <w:sz w:val="14"/>
                <w:szCs w:val="14"/>
                <w:color w:val="auto"/>
              </w:rPr>
              <w:t>[*CTR]</w:t>
            </w:r>
          </w:p>
        </w:tc>
      </w:tr>
      <w:tr>
        <w:trPr>
          <w:trHeight w:val="156"/>
        </w:trPr>
        <w:tc>
          <w:tcPr>
            <w:tcW w:w="1180" w:type="dxa"/>
            <w:vAlign w:val="bottom"/>
            <w:tcBorders>
              <w:left w:val="single" w:sz="8" w:color="auto"/>
            </w:tcBorders>
          </w:tcPr>
          <w:p>
            <w:pPr>
              <w:spacing w:after="0"/>
              <w:rPr>
                <w:sz w:val="13"/>
                <w:szCs w:val="13"/>
                <w:color w:val="auto"/>
              </w:rPr>
            </w:pPr>
          </w:p>
        </w:tc>
        <w:tc>
          <w:tcPr>
            <w:tcW w:w="900" w:type="dxa"/>
            <w:vAlign w:val="bottom"/>
            <w:tcBorders>
              <w:bottom w:val="single" w:sz="8" w:color="auto"/>
              <w:right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12</w:t>
            </w:r>
          </w:p>
        </w:tc>
        <w:tc>
          <w:tcPr>
            <w:tcW w:w="2920" w:type="dxa"/>
            <w:vAlign w:val="bottom"/>
            <w:tcBorders>
              <w:bottom w:val="single" w:sz="8" w:color="auto"/>
              <w:right w:val="single" w:sz="8" w:color="auto"/>
            </w:tcBorders>
          </w:tcPr>
          <w:p>
            <w:pPr>
              <w:ind w:left="2380"/>
              <w:spacing w:after="0" w:line="155" w:lineRule="exact"/>
              <w:rPr>
                <w:sz w:val="20"/>
                <w:szCs w:val="20"/>
                <w:color w:val="auto"/>
              </w:rPr>
            </w:pPr>
            <w:r>
              <w:rPr>
                <w:rFonts w:ascii="Arial" w:cs="Arial" w:eastAsia="Arial" w:hAnsi="Arial"/>
                <w:sz w:val="14"/>
                <w:szCs w:val="14"/>
                <w:color w:val="auto"/>
              </w:rPr>
              <w:t>[*CTR]</w:t>
            </w:r>
          </w:p>
        </w:tc>
        <w:tc>
          <w:tcPr>
            <w:tcW w:w="2940" w:type="dxa"/>
            <w:vAlign w:val="bottom"/>
            <w:tcBorders>
              <w:bottom w:val="single" w:sz="8" w:color="auto"/>
              <w:right w:val="single" w:sz="8" w:color="auto"/>
            </w:tcBorders>
          </w:tcPr>
          <w:p>
            <w:pPr>
              <w:ind w:left="2420"/>
              <w:spacing w:after="0" w:line="155" w:lineRule="exact"/>
              <w:rPr>
                <w:sz w:val="20"/>
                <w:szCs w:val="20"/>
                <w:color w:val="auto"/>
              </w:rPr>
            </w:pPr>
            <w:r>
              <w:rPr>
                <w:rFonts w:ascii="Arial" w:cs="Arial" w:eastAsia="Arial" w:hAnsi="Arial"/>
                <w:sz w:val="14"/>
                <w:szCs w:val="14"/>
                <w:color w:val="auto"/>
              </w:rPr>
              <w:t>[*CTR]</w:t>
            </w:r>
          </w:p>
        </w:tc>
        <w:tc>
          <w:tcPr>
            <w:tcW w:w="1220" w:type="dxa"/>
            <w:vAlign w:val="bottom"/>
            <w:tcBorders>
              <w:bottom w:val="single" w:sz="8" w:color="auto"/>
              <w:right w:val="single" w:sz="8" w:color="auto"/>
            </w:tcBorders>
          </w:tcPr>
          <w:p>
            <w:pPr>
              <w:ind w:left="660"/>
              <w:spacing w:after="0" w:line="155" w:lineRule="exact"/>
              <w:rPr>
                <w:sz w:val="20"/>
                <w:szCs w:val="20"/>
                <w:color w:val="auto"/>
              </w:rPr>
            </w:pPr>
            <w:r>
              <w:rPr>
                <w:rFonts w:ascii="Arial" w:cs="Arial" w:eastAsia="Arial" w:hAnsi="Arial"/>
                <w:sz w:val="14"/>
                <w:szCs w:val="14"/>
                <w:color w:val="auto"/>
              </w:rPr>
              <w:t>[*CTR]</w:t>
            </w:r>
          </w:p>
        </w:tc>
      </w:tr>
      <w:tr>
        <w:trPr>
          <w:trHeight w:val="156"/>
        </w:trPr>
        <w:tc>
          <w:tcPr>
            <w:tcW w:w="1180" w:type="dxa"/>
            <w:vAlign w:val="bottom"/>
            <w:tcBorders>
              <w:left w:val="single" w:sz="8" w:color="auto"/>
            </w:tcBorders>
          </w:tcPr>
          <w:p>
            <w:pPr>
              <w:spacing w:after="0"/>
              <w:rPr>
                <w:sz w:val="13"/>
                <w:szCs w:val="13"/>
                <w:color w:val="auto"/>
              </w:rPr>
            </w:pPr>
          </w:p>
        </w:tc>
        <w:tc>
          <w:tcPr>
            <w:tcW w:w="900" w:type="dxa"/>
            <w:vAlign w:val="bottom"/>
            <w:tcBorders>
              <w:bottom w:val="single" w:sz="8" w:color="auto"/>
              <w:right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13</w:t>
            </w:r>
          </w:p>
        </w:tc>
        <w:tc>
          <w:tcPr>
            <w:tcW w:w="2920" w:type="dxa"/>
            <w:vAlign w:val="bottom"/>
            <w:tcBorders>
              <w:bottom w:val="single" w:sz="8" w:color="auto"/>
              <w:right w:val="single" w:sz="8" w:color="auto"/>
            </w:tcBorders>
          </w:tcPr>
          <w:p>
            <w:pPr>
              <w:ind w:left="2380"/>
              <w:spacing w:after="0" w:line="155" w:lineRule="exact"/>
              <w:rPr>
                <w:sz w:val="20"/>
                <w:szCs w:val="20"/>
                <w:color w:val="auto"/>
              </w:rPr>
            </w:pPr>
            <w:r>
              <w:rPr>
                <w:rFonts w:ascii="Arial" w:cs="Arial" w:eastAsia="Arial" w:hAnsi="Arial"/>
                <w:sz w:val="14"/>
                <w:szCs w:val="14"/>
                <w:color w:val="auto"/>
              </w:rPr>
              <w:t>[*CTR]</w:t>
            </w:r>
          </w:p>
        </w:tc>
        <w:tc>
          <w:tcPr>
            <w:tcW w:w="2940" w:type="dxa"/>
            <w:vAlign w:val="bottom"/>
            <w:tcBorders>
              <w:bottom w:val="single" w:sz="8" w:color="auto"/>
              <w:right w:val="single" w:sz="8" w:color="auto"/>
            </w:tcBorders>
          </w:tcPr>
          <w:p>
            <w:pPr>
              <w:ind w:left="2420"/>
              <w:spacing w:after="0" w:line="155" w:lineRule="exact"/>
              <w:rPr>
                <w:sz w:val="20"/>
                <w:szCs w:val="20"/>
                <w:color w:val="auto"/>
              </w:rPr>
            </w:pPr>
            <w:r>
              <w:rPr>
                <w:rFonts w:ascii="Arial" w:cs="Arial" w:eastAsia="Arial" w:hAnsi="Arial"/>
                <w:sz w:val="14"/>
                <w:szCs w:val="14"/>
                <w:color w:val="auto"/>
              </w:rPr>
              <w:t>[*CTR]</w:t>
            </w:r>
          </w:p>
        </w:tc>
        <w:tc>
          <w:tcPr>
            <w:tcW w:w="1220" w:type="dxa"/>
            <w:vAlign w:val="bottom"/>
            <w:tcBorders>
              <w:bottom w:val="single" w:sz="8" w:color="auto"/>
              <w:right w:val="single" w:sz="8" w:color="auto"/>
            </w:tcBorders>
          </w:tcPr>
          <w:p>
            <w:pPr>
              <w:ind w:left="660"/>
              <w:spacing w:after="0" w:line="155" w:lineRule="exact"/>
              <w:rPr>
                <w:sz w:val="20"/>
                <w:szCs w:val="20"/>
                <w:color w:val="auto"/>
              </w:rPr>
            </w:pPr>
            <w:r>
              <w:rPr>
                <w:rFonts w:ascii="Arial" w:cs="Arial" w:eastAsia="Arial" w:hAnsi="Arial"/>
                <w:sz w:val="14"/>
                <w:szCs w:val="14"/>
                <w:color w:val="auto"/>
              </w:rPr>
              <w:t>[*CTR]</w:t>
            </w:r>
          </w:p>
        </w:tc>
      </w:tr>
      <w:tr>
        <w:trPr>
          <w:trHeight w:val="156"/>
        </w:trPr>
        <w:tc>
          <w:tcPr>
            <w:tcW w:w="1180" w:type="dxa"/>
            <w:vAlign w:val="bottom"/>
            <w:tcBorders>
              <w:left w:val="single" w:sz="8" w:color="auto"/>
            </w:tcBorders>
          </w:tcPr>
          <w:p>
            <w:pPr>
              <w:spacing w:after="0"/>
              <w:rPr>
                <w:sz w:val="13"/>
                <w:szCs w:val="13"/>
                <w:color w:val="auto"/>
              </w:rPr>
            </w:pPr>
          </w:p>
        </w:tc>
        <w:tc>
          <w:tcPr>
            <w:tcW w:w="900" w:type="dxa"/>
            <w:vAlign w:val="bottom"/>
            <w:tcBorders>
              <w:bottom w:val="single" w:sz="8" w:color="auto"/>
              <w:right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14</w:t>
            </w:r>
          </w:p>
        </w:tc>
        <w:tc>
          <w:tcPr>
            <w:tcW w:w="2920" w:type="dxa"/>
            <w:vAlign w:val="bottom"/>
            <w:tcBorders>
              <w:bottom w:val="single" w:sz="8" w:color="auto"/>
              <w:right w:val="single" w:sz="8" w:color="auto"/>
            </w:tcBorders>
          </w:tcPr>
          <w:p>
            <w:pPr>
              <w:ind w:left="2380"/>
              <w:spacing w:after="0" w:line="155" w:lineRule="exact"/>
              <w:rPr>
                <w:sz w:val="20"/>
                <w:szCs w:val="20"/>
                <w:color w:val="auto"/>
              </w:rPr>
            </w:pPr>
            <w:r>
              <w:rPr>
                <w:rFonts w:ascii="Arial" w:cs="Arial" w:eastAsia="Arial" w:hAnsi="Arial"/>
                <w:sz w:val="14"/>
                <w:szCs w:val="14"/>
                <w:color w:val="auto"/>
              </w:rPr>
              <w:t>[*CTR]</w:t>
            </w:r>
          </w:p>
        </w:tc>
        <w:tc>
          <w:tcPr>
            <w:tcW w:w="2940" w:type="dxa"/>
            <w:vAlign w:val="bottom"/>
            <w:tcBorders>
              <w:bottom w:val="single" w:sz="8" w:color="auto"/>
              <w:right w:val="single" w:sz="8" w:color="auto"/>
            </w:tcBorders>
          </w:tcPr>
          <w:p>
            <w:pPr>
              <w:ind w:left="2420"/>
              <w:spacing w:after="0" w:line="155" w:lineRule="exact"/>
              <w:rPr>
                <w:sz w:val="20"/>
                <w:szCs w:val="20"/>
                <w:color w:val="auto"/>
              </w:rPr>
            </w:pPr>
            <w:r>
              <w:rPr>
                <w:rFonts w:ascii="Arial" w:cs="Arial" w:eastAsia="Arial" w:hAnsi="Arial"/>
                <w:sz w:val="14"/>
                <w:szCs w:val="14"/>
                <w:color w:val="auto"/>
              </w:rPr>
              <w:t>[*CTR]</w:t>
            </w:r>
          </w:p>
        </w:tc>
        <w:tc>
          <w:tcPr>
            <w:tcW w:w="1220" w:type="dxa"/>
            <w:vAlign w:val="bottom"/>
            <w:tcBorders>
              <w:bottom w:val="single" w:sz="8" w:color="auto"/>
              <w:right w:val="single" w:sz="8" w:color="auto"/>
            </w:tcBorders>
          </w:tcPr>
          <w:p>
            <w:pPr>
              <w:ind w:left="660"/>
              <w:spacing w:after="0" w:line="155" w:lineRule="exact"/>
              <w:rPr>
                <w:sz w:val="20"/>
                <w:szCs w:val="20"/>
                <w:color w:val="auto"/>
              </w:rPr>
            </w:pPr>
            <w:r>
              <w:rPr>
                <w:rFonts w:ascii="Arial" w:cs="Arial" w:eastAsia="Arial" w:hAnsi="Arial"/>
                <w:sz w:val="14"/>
                <w:szCs w:val="14"/>
                <w:color w:val="auto"/>
              </w:rPr>
              <w:t>[*CTR]</w:t>
            </w:r>
          </w:p>
        </w:tc>
      </w:tr>
      <w:tr>
        <w:trPr>
          <w:trHeight w:val="156"/>
        </w:trPr>
        <w:tc>
          <w:tcPr>
            <w:tcW w:w="1180" w:type="dxa"/>
            <w:vAlign w:val="bottom"/>
            <w:tcBorders>
              <w:left w:val="single" w:sz="8" w:color="auto"/>
            </w:tcBorders>
          </w:tcPr>
          <w:p>
            <w:pPr>
              <w:spacing w:after="0"/>
              <w:rPr>
                <w:sz w:val="13"/>
                <w:szCs w:val="13"/>
                <w:color w:val="auto"/>
              </w:rPr>
            </w:pPr>
          </w:p>
        </w:tc>
        <w:tc>
          <w:tcPr>
            <w:tcW w:w="900" w:type="dxa"/>
            <w:vAlign w:val="bottom"/>
            <w:tcBorders>
              <w:bottom w:val="single" w:sz="8" w:color="auto"/>
              <w:right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15</w:t>
            </w:r>
          </w:p>
        </w:tc>
        <w:tc>
          <w:tcPr>
            <w:tcW w:w="2920" w:type="dxa"/>
            <w:vAlign w:val="bottom"/>
            <w:tcBorders>
              <w:bottom w:val="single" w:sz="8" w:color="auto"/>
              <w:right w:val="single" w:sz="8" w:color="auto"/>
            </w:tcBorders>
          </w:tcPr>
          <w:p>
            <w:pPr>
              <w:ind w:left="2380"/>
              <w:spacing w:after="0" w:line="155" w:lineRule="exact"/>
              <w:rPr>
                <w:sz w:val="20"/>
                <w:szCs w:val="20"/>
                <w:color w:val="auto"/>
              </w:rPr>
            </w:pPr>
            <w:r>
              <w:rPr>
                <w:rFonts w:ascii="Arial" w:cs="Arial" w:eastAsia="Arial" w:hAnsi="Arial"/>
                <w:sz w:val="14"/>
                <w:szCs w:val="14"/>
                <w:color w:val="auto"/>
              </w:rPr>
              <w:t>[*CTR]</w:t>
            </w:r>
          </w:p>
        </w:tc>
        <w:tc>
          <w:tcPr>
            <w:tcW w:w="2940" w:type="dxa"/>
            <w:vAlign w:val="bottom"/>
            <w:tcBorders>
              <w:bottom w:val="single" w:sz="8" w:color="auto"/>
              <w:right w:val="single" w:sz="8" w:color="auto"/>
            </w:tcBorders>
          </w:tcPr>
          <w:p>
            <w:pPr>
              <w:ind w:left="2420"/>
              <w:spacing w:after="0" w:line="155" w:lineRule="exact"/>
              <w:rPr>
                <w:sz w:val="20"/>
                <w:szCs w:val="20"/>
                <w:color w:val="auto"/>
              </w:rPr>
            </w:pPr>
            <w:r>
              <w:rPr>
                <w:rFonts w:ascii="Arial" w:cs="Arial" w:eastAsia="Arial" w:hAnsi="Arial"/>
                <w:sz w:val="14"/>
                <w:szCs w:val="14"/>
                <w:color w:val="auto"/>
              </w:rPr>
              <w:t>[*CTR]</w:t>
            </w:r>
          </w:p>
        </w:tc>
        <w:tc>
          <w:tcPr>
            <w:tcW w:w="1220" w:type="dxa"/>
            <w:vAlign w:val="bottom"/>
            <w:tcBorders>
              <w:bottom w:val="single" w:sz="8" w:color="auto"/>
              <w:right w:val="single" w:sz="8" w:color="auto"/>
            </w:tcBorders>
          </w:tcPr>
          <w:p>
            <w:pPr>
              <w:ind w:left="660"/>
              <w:spacing w:after="0" w:line="155" w:lineRule="exact"/>
              <w:rPr>
                <w:sz w:val="20"/>
                <w:szCs w:val="20"/>
                <w:color w:val="auto"/>
              </w:rPr>
            </w:pPr>
            <w:r>
              <w:rPr>
                <w:rFonts w:ascii="Arial" w:cs="Arial" w:eastAsia="Arial" w:hAnsi="Arial"/>
                <w:sz w:val="14"/>
                <w:szCs w:val="14"/>
                <w:color w:val="auto"/>
              </w:rPr>
              <w:t>[*CTR]</w:t>
            </w:r>
          </w:p>
        </w:tc>
      </w:tr>
      <w:tr>
        <w:trPr>
          <w:trHeight w:val="156"/>
        </w:trPr>
        <w:tc>
          <w:tcPr>
            <w:tcW w:w="1180" w:type="dxa"/>
            <w:vAlign w:val="bottom"/>
            <w:tcBorders>
              <w:left w:val="single" w:sz="8" w:color="auto"/>
            </w:tcBorders>
          </w:tcPr>
          <w:p>
            <w:pPr>
              <w:spacing w:after="0"/>
              <w:rPr>
                <w:sz w:val="13"/>
                <w:szCs w:val="13"/>
                <w:color w:val="auto"/>
              </w:rPr>
            </w:pPr>
          </w:p>
        </w:tc>
        <w:tc>
          <w:tcPr>
            <w:tcW w:w="900" w:type="dxa"/>
            <w:vAlign w:val="bottom"/>
            <w:tcBorders>
              <w:bottom w:val="single" w:sz="8" w:color="auto"/>
              <w:right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16</w:t>
            </w:r>
          </w:p>
        </w:tc>
        <w:tc>
          <w:tcPr>
            <w:tcW w:w="2920" w:type="dxa"/>
            <w:vAlign w:val="bottom"/>
            <w:tcBorders>
              <w:bottom w:val="single" w:sz="8" w:color="auto"/>
              <w:right w:val="single" w:sz="8" w:color="auto"/>
            </w:tcBorders>
          </w:tcPr>
          <w:p>
            <w:pPr>
              <w:ind w:left="2380"/>
              <w:spacing w:after="0" w:line="155" w:lineRule="exact"/>
              <w:rPr>
                <w:sz w:val="20"/>
                <w:szCs w:val="20"/>
                <w:color w:val="auto"/>
              </w:rPr>
            </w:pPr>
            <w:r>
              <w:rPr>
                <w:rFonts w:ascii="Arial" w:cs="Arial" w:eastAsia="Arial" w:hAnsi="Arial"/>
                <w:sz w:val="14"/>
                <w:szCs w:val="14"/>
                <w:color w:val="auto"/>
              </w:rPr>
              <w:t>[*CTR]</w:t>
            </w:r>
          </w:p>
        </w:tc>
        <w:tc>
          <w:tcPr>
            <w:tcW w:w="2940" w:type="dxa"/>
            <w:vAlign w:val="bottom"/>
            <w:tcBorders>
              <w:bottom w:val="single" w:sz="8" w:color="auto"/>
              <w:right w:val="single" w:sz="8" w:color="auto"/>
            </w:tcBorders>
          </w:tcPr>
          <w:p>
            <w:pPr>
              <w:ind w:left="2420"/>
              <w:spacing w:after="0" w:line="155" w:lineRule="exact"/>
              <w:rPr>
                <w:sz w:val="20"/>
                <w:szCs w:val="20"/>
                <w:color w:val="auto"/>
              </w:rPr>
            </w:pPr>
            <w:r>
              <w:rPr>
                <w:rFonts w:ascii="Arial" w:cs="Arial" w:eastAsia="Arial" w:hAnsi="Arial"/>
                <w:sz w:val="14"/>
                <w:szCs w:val="14"/>
                <w:color w:val="auto"/>
              </w:rPr>
              <w:t>[*CTR]</w:t>
            </w:r>
          </w:p>
        </w:tc>
        <w:tc>
          <w:tcPr>
            <w:tcW w:w="1220" w:type="dxa"/>
            <w:vAlign w:val="bottom"/>
            <w:tcBorders>
              <w:bottom w:val="single" w:sz="8" w:color="auto"/>
              <w:right w:val="single" w:sz="8" w:color="auto"/>
            </w:tcBorders>
          </w:tcPr>
          <w:p>
            <w:pPr>
              <w:ind w:left="660"/>
              <w:spacing w:after="0" w:line="155" w:lineRule="exact"/>
              <w:rPr>
                <w:sz w:val="20"/>
                <w:szCs w:val="20"/>
                <w:color w:val="auto"/>
              </w:rPr>
            </w:pPr>
            <w:r>
              <w:rPr>
                <w:rFonts w:ascii="Arial" w:cs="Arial" w:eastAsia="Arial" w:hAnsi="Arial"/>
                <w:sz w:val="14"/>
                <w:szCs w:val="14"/>
                <w:color w:val="auto"/>
              </w:rPr>
              <w:t>[*CTR]</w:t>
            </w:r>
          </w:p>
        </w:tc>
      </w:tr>
      <w:tr>
        <w:trPr>
          <w:trHeight w:val="156"/>
        </w:trPr>
        <w:tc>
          <w:tcPr>
            <w:tcW w:w="1180" w:type="dxa"/>
            <w:vAlign w:val="bottom"/>
            <w:tcBorders>
              <w:left w:val="single" w:sz="8" w:color="auto"/>
            </w:tcBorders>
          </w:tcPr>
          <w:p>
            <w:pPr>
              <w:spacing w:after="0"/>
              <w:rPr>
                <w:sz w:val="13"/>
                <w:szCs w:val="13"/>
                <w:color w:val="auto"/>
              </w:rPr>
            </w:pPr>
          </w:p>
        </w:tc>
        <w:tc>
          <w:tcPr>
            <w:tcW w:w="900" w:type="dxa"/>
            <w:vAlign w:val="bottom"/>
            <w:tcBorders>
              <w:bottom w:val="single" w:sz="8" w:color="auto"/>
              <w:right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17</w:t>
            </w:r>
          </w:p>
        </w:tc>
        <w:tc>
          <w:tcPr>
            <w:tcW w:w="2920" w:type="dxa"/>
            <w:vAlign w:val="bottom"/>
            <w:tcBorders>
              <w:bottom w:val="single" w:sz="8" w:color="auto"/>
              <w:right w:val="single" w:sz="8" w:color="auto"/>
            </w:tcBorders>
          </w:tcPr>
          <w:p>
            <w:pPr>
              <w:ind w:left="2380"/>
              <w:spacing w:after="0" w:line="155" w:lineRule="exact"/>
              <w:rPr>
                <w:sz w:val="20"/>
                <w:szCs w:val="20"/>
                <w:color w:val="auto"/>
              </w:rPr>
            </w:pPr>
            <w:r>
              <w:rPr>
                <w:rFonts w:ascii="Arial" w:cs="Arial" w:eastAsia="Arial" w:hAnsi="Arial"/>
                <w:sz w:val="14"/>
                <w:szCs w:val="14"/>
                <w:color w:val="auto"/>
              </w:rPr>
              <w:t>[*CTR]</w:t>
            </w:r>
          </w:p>
        </w:tc>
        <w:tc>
          <w:tcPr>
            <w:tcW w:w="2940" w:type="dxa"/>
            <w:vAlign w:val="bottom"/>
            <w:tcBorders>
              <w:bottom w:val="single" w:sz="8" w:color="auto"/>
              <w:right w:val="single" w:sz="8" w:color="auto"/>
            </w:tcBorders>
          </w:tcPr>
          <w:p>
            <w:pPr>
              <w:ind w:left="2420"/>
              <w:spacing w:after="0" w:line="155" w:lineRule="exact"/>
              <w:rPr>
                <w:sz w:val="20"/>
                <w:szCs w:val="20"/>
                <w:color w:val="auto"/>
              </w:rPr>
            </w:pPr>
            <w:r>
              <w:rPr>
                <w:rFonts w:ascii="Arial" w:cs="Arial" w:eastAsia="Arial" w:hAnsi="Arial"/>
                <w:sz w:val="14"/>
                <w:szCs w:val="14"/>
                <w:color w:val="auto"/>
              </w:rPr>
              <w:t>[*CTR]</w:t>
            </w:r>
          </w:p>
        </w:tc>
        <w:tc>
          <w:tcPr>
            <w:tcW w:w="1220" w:type="dxa"/>
            <w:vAlign w:val="bottom"/>
            <w:tcBorders>
              <w:bottom w:val="single" w:sz="8" w:color="auto"/>
              <w:right w:val="single" w:sz="8" w:color="auto"/>
            </w:tcBorders>
          </w:tcPr>
          <w:p>
            <w:pPr>
              <w:ind w:left="660"/>
              <w:spacing w:after="0" w:line="155" w:lineRule="exact"/>
              <w:rPr>
                <w:sz w:val="20"/>
                <w:szCs w:val="20"/>
                <w:color w:val="auto"/>
              </w:rPr>
            </w:pPr>
            <w:r>
              <w:rPr>
                <w:rFonts w:ascii="Arial" w:cs="Arial" w:eastAsia="Arial" w:hAnsi="Arial"/>
                <w:sz w:val="14"/>
                <w:szCs w:val="14"/>
                <w:color w:val="auto"/>
              </w:rPr>
              <w:t>[*CTR]</w:t>
            </w:r>
          </w:p>
        </w:tc>
      </w:tr>
      <w:tr>
        <w:trPr>
          <w:trHeight w:val="156"/>
        </w:trPr>
        <w:tc>
          <w:tcPr>
            <w:tcW w:w="1180" w:type="dxa"/>
            <w:vAlign w:val="bottom"/>
            <w:tcBorders>
              <w:left w:val="single" w:sz="8" w:color="auto"/>
              <w:bottom w:val="single" w:sz="8" w:color="auto"/>
            </w:tcBorders>
          </w:tcPr>
          <w:p>
            <w:pPr>
              <w:spacing w:after="0"/>
              <w:rPr>
                <w:sz w:val="13"/>
                <w:szCs w:val="13"/>
                <w:color w:val="auto"/>
              </w:rPr>
            </w:pPr>
          </w:p>
        </w:tc>
        <w:tc>
          <w:tcPr>
            <w:tcW w:w="900" w:type="dxa"/>
            <w:vAlign w:val="bottom"/>
            <w:tcBorders>
              <w:bottom w:val="single" w:sz="8" w:color="auto"/>
              <w:right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18</w:t>
            </w:r>
          </w:p>
        </w:tc>
        <w:tc>
          <w:tcPr>
            <w:tcW w:w="2920" w:type="dxa"/>
            <w:vAlign w:val="bottom"/>
            <w:tcBorders>
              <w:bottom w:val="single" w:sz="8" w:color="auto"/>
              <w:right w:val="single" w:sz="8" w:color="auto"/>
            </w:tcBorders>
          </w:tcPr>
          <w:p>
            <w:pPr>
              <w:ind w:left="2380"/>
              <w:spacing w:after="0" w:line="155" w:lineRule="exact"/>
              <w:rPr>
                <w:sz w:val="20"/>
                <w:szCs w:val="20"/>
                <w:color w:val="auto"/>
              </w:rPr>
            </w:pPr>
            <w:r>
              <w:rPr>
                <w:rFonts w:ascii="Arial" w:cs="Arial" w:eastAsia="Arial" w:hAnsi="Arial"/>
                <w:sz w:val="14"/>
                <w:szCs w:val="14"/>
                <w:color w:val="auto"/>
              </w:rPr>
              <w:t>[*CTR]</w:t>
            </w:r>
          </w:p>
        </w:tc>
        <w:tc>
          <w:tcPr>
            <w:tcW w:w="2940" w:type="dxa"/>
            <w:vAlign w:val="bottom"/>
            <w:tcBorders>
              <w:bottom w:val="single" w:sz="8" w:color="auto"/>
              <w:right w:val="single" w:sz="8" w:color="auto"/>
            </w:tcBorders>
          </w:tcPr>
          <w:p>
            <w:pPr>
              <w:ind w:left="2420"/>
              <w:spacing w:after="0" w:line="155" w:lineRule="exact"/>
              <w:rPr>
                <w:sz w:val="20"/>
                <w:szCs w:val="20"/>
                <w:color w:val="auto"/>
              </w:rPr>
            </w:pPr>
            <w:r>
              <w:rPr>
                <w:rFonts w:ascii="Arial" w:cs="Arial" w:eastAsia="Arial" w:hAnsi="Arial"/>
                <w:sz w:val="14"/>
                <w:szCs w:val="14"/>
                <w:color w:val="auto"/>
              </w:rPr>
              <w:t>[*CTR]</w:t>
            </w:r>
          </w:p>
        </w:tc>
        <w:tc>
          <w:tcPr>
            <w:tcW w:w="1220" w:type="dxa"/>
            <w:vAlign w:val="bottom"/>
            <w:tcBorders>
              <w:bottom w:val="single" w:sz="8" w:color="auto"/>
              <w:right w:val="single" w:sz="8" w:color="auto"/>
            </w:tcBorders>
          </w:tcPr>
          <w:p>
            <w:pPr>
              <w:ind w:left="660"/>
              <w:spacing w:after="0" w:line="155" w:lineRule="exact"/>
              <w:rPr>
                <w:sz w:val="20"/>
                <w:szCs w:val="20"/>
                <w:color w:val="auto"/>
              </w:rPr>
            </w:pPr>
            <w:r>
              <w:rPr>
                <w:rFonts w:ascii="Arial" w:cs="Arial" w:eastAsia="Arial" w:hAnsi="Arial"/>
                <w:sz w:val="14"/>
                <w:szCs w:val="14"/>
                <w:color w:val="auto"/>
              </w:rPr>
              <w:t>[*CTR]</w:t>
            </w:r>
          </w:p>
        </w:tc>
      </w:tr>
    </w:tbl>
    <w:p>
      <w:pPr>
        <w:spacing w:after="0" w:line="1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182880</wp:posOffset>
            </wp:positionV>
            <wp:extent cx="1380490" cy="3689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clrChange>
                        <a:clrFrom>
                          <a:srgbClr val="FFFFFF"/>
                        </a:clrFrom>
                        <a:clrTo>
                          <a:srgbClr val="FFFFFF">
                            <a:alpha val="0"/>
                          </a:srgbClr>
                        </a:clrTo>
                      </a:clrChange>
                      <a:extLst>
                        <a:ext uri="{28A0092B-C50C-407E-A947-70E740481C1C}"/>
                      </a:extLst>
                    </a:blip>
                    <a:srcRect/>
                    <a:stretch>
                      <a:fillRect/>
                    </a:stretch>
                  </pic:blipFill>
                  <pic:spPr bwMode="auto">
                    <a:xfrm>
                      <a:off x="0" y="0"/>
                      <a:ext cx="1380490" cy="36893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Attachment A to AAL-PA-3219-LA-1701988</w:t>
      </w:r>
    </w:p>
    <w:p>
      <w:pPr>
        <w:spacing w:after="0" w:line="230" w:lineRule="auto"/>
        <w:rPr>
          <w:sz w:val="20"/>
          <w:szCs w:val="20"/>
          <w:color w:val="auto"/>
        </w:rPr>
      </w:pPr>
      <w:r>
        <w:rPr>
          <w:rFonts w:ascii="Arial" w:cs="Arial" w:eastAsia="Arial" w:hAnsi="Arial"/>
          <w:sz w:val="22"/>
          <w:szCs w:val="22"/>
          <w:color w:val="auto"/>
        </w:rPr>
        <w:t>[*CTR],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Letter Agreement AAL-PA-3219-LA-1302236R1</w:t>
      </w:r>
    </w:p>
    <w:p>
      <w:pPr>
        <w:spacing w:after="0" w:line="4"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BOEING PROPRIETARY</w:t>
      </w:r>
    </w:p>
    <w:p>
      <w:pPr>
        <w:spacing w:after="0" w:line="66"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[*CTR]=[CONFIDENTIAL PORTION OMITTED AND FILED SEPARATELY WITH THE COMMISSION PURSUANT TO A REQUEST FOR CONFIDENTIAL TREATMENT]</w:t>
      </w:r>
    </w:p>
    <w:p>
      <w:pPr>
        <w:sectPr>
          <w:pgSz w:w="11900" w:h="16838" w:orient="portrait"/>
          <w:cols w:equalWidth="0" w:num="1">
            <w:col w:w="11420"/>
          </w:cols>
          <w:pgMar w:left="240" w:top="1260" w:right="239" w:bottom="1440" w:gutter="0" w:footer="0" w:header="0"/>
        </w:sectPr>
      </w:pPr>
    </w:p>
    <w:bookmarkStart w:id="131" w:name="page132"/>
    <w:bookmarkEnd w:id="131"/>
    <w:tbl>
      <w:tblPr>
        <w:tblLayout w:type="fixed"/>
        <w:tblInd w:w="10" w:type="dxa"/>
        <w:tblCellMar>
          <w:top w:w="0" w:type="dxa"/>
          <w:left w:w="0" w:type="dxa"/>
          <w:bottom w:w="0" w:type="dxa"/>
          <w:right w:w="0" w:type="dxa"/>
        </w:tblCellMar>
      </w:tblPr>
      <w:tr>
        <w:trPr>
          <w:trHeight w:val="351"/>
        </w:trPr>
        <w:tc>
          <w:tcPr>
            <w:tcW w:w="1340" w:type="dxa"/>
            <w:vAlign w:val="bottom"/>
            <w:tcBorders>
              <w:top w:val="single" w:sz="8" w:color="auto"/>
              <w:left w:val="single" w:sz="8" w:color="auto"/>
              <w:right w:val="single" w:sz="8" w:color="CCCCCC"/>
            </w:tcBorders>
            <w:shd w:val="clear" w:color="auto" w:fill="CCCCCC"/>
          </w:tcPr>
          <w:p>
            <w:pPr>
              <w:ind w:left="460"/>
              <w:spacing w:after="0"/>
              <w:rPr>
                <w:sz w:val="20"/>
                <w:szCs w:val="20"/>
                <w:color w:val="auto"/>
              </w:rPr>
            </w:pPr>
            <w:r>
              <w:rPr>
                <w:rFonts w:ascii="Arial" w:cs="Arial" w:eastAsia="Arial" w:hAnsi="Arial"/>
                <w:sz w:val="18"/>
                <w:szCs w:val="18"/>
                <w:b w:val="1"/>
                <w:bCs w:val="1"/>
                <w:color w:val="auto"/>
              </w:rPr>
              <w:t>[*CTR]</w:t>
            </w:r>
          </w:p>
        </w:tc>
        <w:tc>
          <w:tcPr>
            <w:tcW w:w="800" w:type="dxa"/>
            <w:vAlign w:val="bottom"/>
            <w:tcBorders>
              <w:top w:val="single" w:sz="8" w:color="auto"/>
              <w:right w:val="single" w:sz="8" w:color="auto"/>
            </w:tcBorders>
            <w:shd w:val="clear" w:color="auto" w:fill="CCCCCC"/>
          </w:tcPr>
          <w:p>
            <w:pPr>
              <w:jc w:val="right"/>
              <w:ind w:right="47"/>
              <w:spacing w:after="0"/>
              <w:rPr>
                <w:sz w:val="20"/>
                <w:szCs w:val="20"/>
                <w:color w:val="auto"/>
              </w:rPr>
            </w:pPr>
            <w:r>
              <w:rPr>
                <w:rFonts w:ascii="Arial" w:cs="Arial" w:eastAsia="Arial" w:hAnsi="Arial"/>
                <w:sz w:val="18"/>
                <w:szCs w:val="18"/>
                <w:b w:val="1"/>
                <w:bCs w:val="1"/>
                <w:color w:val="auto"/>
              </w:rPr>
              <w:t>[*CTR]</w:t>
            </w:r>
          </w:p>
        </w:tc>
        <w:tc>
          <w:tcPr>
            <w:tcW w:w="2000" w:type="dxa"/>
            <w:vAlign w:val="bottom"/>
            <w:tcBorders>
              <w:top w:val="single" w:sz="8" w:color="auto"/>
            </w:tcBorders>
            <w:shd w:val="clear" w:color="auto" w:fill="CCCCCC"/>
          </w:tcPr>
          <w:p>
            <w:pPr>
              <w:ind w:left="1240"/>
              <w:spacing w:after="0"/>
              <w:rPr>
                <w:sz w:val="20"/>
                <w:szCs w:val="20"/>
                <w:color w:val="auto"/>
              </w:rPr>
            </w:pPr>
            <w:r>
              <w:rPr>
                <w:rFonts w:ascii="Arial" w:cs="Arial" w:eastAsia="Arial" w:hAnsi="Arial"/>
                <w:sz w:val="18"/>
                <w:szCs w:val="18"/>
                <w:b w:val="1"/>
                <w:bCs w:val="1"/>
                <w:color w:val="auto"/>
              </w:rPr>
              <w:t>[*CTR]</w:t>
            </w:r>
          </w:p>
        </w:tc>
        <w:tc>
          <w:tcPr>
            <w:tcW w:w="900" w:type="dxa"/>
            <w:vAlign w:val="bottom"/>
            <w:tcBorders>
              <w:top w:val="single" w:sz="8" w:color="auto"/>
              <w:right w:val="single" w:sz="8" w:color="auto"/>
            </w:tcBorders>
            <w:shd w:val="clear" w:color="auto" w:fill="CCCCCC"/>
          </w:tcPr>
          <w:p>
            <w:pPr>
              <w:spacing w:after="0"/>
              <w:rPr>
                <w:sz w:val="24"/>
                <w:szCs w:val="24"/>
                <w:color w:val="auto"/>
              </w:rPr>
            </w:pPr>
          </w:p>
        </w:tc>
        <w:tc>
          <w:tcPr>
            <w:tcW w:w="2900" w:type="dxa"/>
            <w:vAlign w:val="bottom"/>
            <w:tcBorders>
              <w:top w:val="single" w:sz="8" w:color="auto"/>
              <w:right w:val="single" w:sz="8" w:color="auto"/>
            </w:tcBorders>
            <w:shd w:val="clear" w:color="auto" w:fill="CCCCCC"/>
          </w:tcPr>
          <w:p>
            <w:pPr>
              <w:ind w:left="1240"/>
              <w:spacing w:after="0"/>
              <w:rPr>
                <w:sz w:val="20"/>
                <w:szCs w:val="20"/>
                <w:color w:val="auto"/>
              </w:rPr>
            </w:pPr>
            <w:r>
              <w:rPr>
                <w:rFonts w:ascii="Arial" w:cs="Arial" w:eastAsia="Arial" w:hAnsi="Arial"/>
                <w:sz w:val="18"/>
                <w:szCs w:val="18"/>
                <w:b w:val="1"/>
                <w:bCs w:val="1"/>
                <w:color w:val="auto"/>
              </w:rPr>
              <w:t>[*CTR]</w:t>
            </w:r>
          </w:p>
        </w:tc>
        <w:tc>
          <w:tcPr>
            <w:tcW w:w="1220" w:type="dxa"/>
            <w:vAlign w:val="bottom"/>
            <w:tcBorders>
              <w:top w:val="single" w:sz="8" w:color="auto"/>
              <w:right w:val="single" w:sz="8" w:color="auto"/>
            </w:tcBorders>
            <w:shd w:val="clear" w:color="auto" w:fill="CCCCCC"/>
          </w:tcPr>
          <w:p>
            <w:pPr>
              <w:ind w:left="380"/>
              <w:spacing w:after="0"/>
              <w:rPr>
                <w:sz w:val="20"/>
                <w:szCs w:val="20"/>
                <w:color w:val="auto"/>
              </w:rPr>
            </w:pPr>
            <w:r>
              <w:rPr>
                <w:rFonts w:ascii="Arial" w:cs="Arial" w:eastAsia="Arial" w:hAnsi="Arial"/>
                <w:sz w:val="18"/>
                <w:szCs w:val="18"/>
                <w:b w:val="1"/>
                <w:bCs w:val="1"/>
                <w:color w:val="auto"/>
              </w:rPr>
              <w:t>[*CTR]</w:t>
            </w:r>
          </w:p>
        </w:tc>
      </w:tr>
      <w:tr>
        <w:trPr>
          <w:trHeight w:val="122"/>
        </w:trPr>
        <w:tc>
          <w:tcPr>
            <w:tcW w:w="1340" w:type="dxa"/>
            <w:vAlign w:val="bottom"/>
            <w:tcBorders>
              <w:left w:val="single" w:sz="8" w:color="auto"/>
              <w:bottom w:val="single" w:sz="8" w:color="auto"/>
              <w:right w:val="single" w:sz="8" w:color="CCCCCC"/>
            </w:tcBorders>
            <w:shd w:val="clear" w:color="auto" w:fill="CCCCCC"/>
          </w:tcPr>
          <w:p>
            <w:pPr>
              <w:spacing w:after="0"/>
              <w:rPr>
                <w:sz w:val="10"/>
                <w:szCs w:val="10"/>
                <w:color w:val="auto"/>
              </w:rPr>
            </w:pPr>
          </w:p>
        </w:tc>
        <w:tc>
          <w:tcPr>
            <w:tcW w:w="800" w:type="dxa"/>
            <w:vAlign w:val="bottom"/>
            <w:tcBorders>
              <w:bottom w:val="single" w:sz="8" w:color="auto"/>
              <w:right w:val="single" w:sz="8" w:color="auto"/>
            </w:tcBorders>
            <w:shd w:val="clear" w:color="auto" w:fill="CCCCCC"/>
          </w:tcPr>
          <w:p>
            <w:pPr>
              <w:spacing w:after="0"/>
              <w:rPr>
                <w:sz w:val="10"/>
                <w:szCs w:val="10"/>
                <w:color w:val="auto"/>
              </w:rPr>
            </w:pPr>
          </w:p>
        </w:tc>
        <w:tc>
          <w:tcPr>
            <w:tcW w:w="2000" w:type="dxa"/>
            <w:vAlign w:val="bottom"/>
            <w:tcBorders>
              <w:bottom w:val="single" w:sz="8" w:color="auto"/>
            </w:tcBorders>
            <w:shd w:val="clear" w:color="auto" w:fill="CCCCCC"/>
          </w:tcPr>
          <w:p>
            <w:pPr>
              <w:spacing w:after="0"/>
              <w:rPr>
                <w:sz w:val="10"/>
                <w:szCs w:val="10"/>
                <w:color w:val="auto"/>
              </w:rPr>
            </w:pPr>
          </w:p>
        </w:tc>
        <w:tc>
          <w:tcPr>
            <w:tcW w:w="900" w:type="dxa"/>
            <w:vAlign w:val="bottom"/>
            <w:tcBorders>
              <w:bottom w:val="single" w:sz="8" w:color="auto"/>
              <w:right w:val="single" w:sz="8" w:color="auto"/>
            </w:tcBorders>
            <w:shd w:val="clear" w:color="auto" w:fill="CCCCCC"/>
          </w:tcPr>
          <w:p>
            <w:pPr>
              <w:spacing w:after="0"/>
              <w:rPr>
                <w:sz w:val="10"/>
                <w:szCs w:val="10"/>
                <w:color w:val="auto"/>
              </w:rPr>
            </w:pPr>
          </w:p>
        </w:tc>
        <w:tc>
          <w:tcPr>
            <w:tcW w:w="2900" w:type="dxa"/>
            <w:vAlign w:val="bottom"/>
            <w:tcBorders>
              <w:bottom w:val="single" w:sz="8" w:color="auto"/>
              <w:right w:val="single" w:sz="8" w:color="auto"/>
            </w:tcBorders>
            <w:shd w:val="clear" w:color="auto" w:fill="CCCCCC"/>
          </w:tcPr>
          <w:p>
            <w:pPr>
              <w:spacing w:after="0"/>
              <w:rPr>
                <w:sz w:val="10"/>
                <w:szCs w:val="10"/>
                <w:color w:val="auto"/>
              </w:rPr>
            </w:pPr>
          </w:p>
        </w:tc>
        <w:tc>
          <w:tcPr>
            <w:tcW w:w="1220" w:type="dxa"/>
            <w:vAlign w:val="bottom"/>
            <w:tcBorders>
              <w:bottom w:val="single" w:sz="8" w:color="auto"/>
              <w:right w:val="single" w:sz="8" w:color="auto"/>
            </w:tcBorders>
            <w:shd w:val="clear" w:color="auto" w:fill="CCCCCC"/>
          </w:tcPr>
          <w:p>
            <w:pPr>
              <w:spacing w:after="0"/>
              <w:rPr>
                <w:sz w:val="10"/>
                <w:szCs w:val="10"/>
                <w:color w:val="auto"/>
              </w:rPr>
            </w:pPr>
          </w:p>
        </w:tc>
      </w:tr>
      <w:tr>
        <w:trPr>
          <w:trHeight w:val="1006"/>
        </w:trPr>
        <w:tc>
          <w:tcPr>
            <w:tcW w:w="1340" w:type="dxa"/>
            <w:vAlign w:val="bottom"/>
            <w:tcBorders>
              <w:left w:val="single" w:sz="8" w:color="auto"/>
              <w:bottom w:val="single" w:sz="8" w:color="auto"/>
              <w:right w:val="single" w:sz="8" w:color="0070C0"/>
            </w:tcBorders>
            <w:shd w:val="clear" w:color="auto" w:fill="0070C0"/>
          </w:tcPr>
          <w:p>
            <w:pPr>
              <w:spacing w:after="0"/>
              <w:rPr>
                <w:sz w:val="24"/>
                <w:szCs w:val="24"/>
                <w:color w:val="auto"/>
              </w:rPr>
            </w:pPr>
          </w:p>
        </w:tc>
        <w:tc>
          <w:tcPr>
            <w:tcW w:w="800" w:type="dxa"/>
            <w:vAlign w:val="bottom"/>
            <w:tcBorders>
              <w:bottom w:val="single" w:sz="8" w:color="auto"/>
              <w:right w:val="single" w:sz="8" w:color="0070C0"/>
            </w:tcBorders>
            <w:shd w:val="clear" w:color="auto" w:fill="0070C0"/>
          </w:tcPr>
          <w:p>
            <w:pPr>
              <w:spacing w:after="0"/>
              <w:rPr>
                <w:sz w:val="24"/>
                <w:szCs w:val="24"/>
                <w:color w:val="auto"/>
              </w:rPr>
            </w:pPr>
          </w:p>
        </w:tc>
        <w:tc>
          <w:tcPr>
            <w:tcW w:w="2000" w:type="dxa"/>
            <w:vAlign w:val="bottom"/>
            <w:tcBorders>
              <w:bottom w:val="single" w:sz="8" w:color="auto"/>
            </w:tcBorders>
            <w:shd w:val="clear" w:color="auto" w:fill="0070C0"/>
          </w:tcPr>
          <w:p>
            <w:pPr>
              <w:spacing w:after="0"/>
              <w:rPr>
                <w:sz w:val="24"/>
                <w:szCs w:val="24"/>
                <w:color w:val="auto"/>
              </w:rPr>
            </w:pPr>
          </w:p>
        </w:tc>
        <w:tc>
          <w:tcPr>
            <w:tcW w:w="3800" w:type="dxa"/>
            <w:vAlign w:val="bottom"/>
            <w:tcBorders>
              <w:bottom w:val="single" w:sz="8" w:color="auto"/>
              <w:right w:val="single" w:sz="8" w:color="0070C0"/>
            </w:tcBorders>
            <w:gridSpan w:val="2"/>
            <w:shd w:val="clear" w:color="auto" w:fill="0070C0"/>
          </w:tcPr>
          <w:p>
            <w:pPr>
              <w:ind w:left="220"/>
              <w:spacing w:after="0"/>
              <w:rPr>
                <w:sz w:val="20"/>
                <w:szCs w:val="20"/>
                <w:color w:val="auto"/>
              </w:rPr>
            </w:pPr>
            <w:r>
              <w:rPr>
                <w:rFonts w:ascii="Arial" w:cs="Arial" w:eastAsia="Arial" w:hAnsi="Arial"/>
                <w:sz w:val="18"/>
                <w:szCs w:val="18"/>
                <w:b w:val="1"/>
                <w:bCs w:val="1"/>
                <w:color w:val="FFFFFF"/>
              </w:rPr>
              <w:t>[*CTR]</w:t>
            </w:r>
          </w:p>
        </w:tc>
        <w:tc>
          <w:tcPr>
            <w:tcW w:w="1220" w:type="dxa"/>
            <w:vAlign w:val="bottom"/>
            <w:tcBorders>
              <w:bottom w:val="single" w:sz="8" w:color="auto"/>
              <w:right w:val="single" w:sz="8" w:color="auto"/>
            </w:tcBorders>
            <w:shd w:val="clear" w:color="auto" w:fill="0070C0"/>
          </w:tcPr>
          <w:p>
            <w:pPr>
              <w:spacing w:after="0"/>
              <w:rPr>
                <w:sz w:val="24"/>
                <w:szCs w:val="24"/>
                <w:color w:val="auto"/>
              </w:rPr>
            </w:pPr>
          </w:p>
        </w:tc>
      </w:tr>
      <w:tr>
        <w:trPr>
          <w:trHeight w:val="171"/>
        </w:trPr>
        <w:tc>
          <w:tcPr>
            <w:tcW w:w="1340" w:type="dxa"/>
            <w:vAlign w:val="bottom"/>
            <w:tcBorders>
              <w:left w:val="single" w:sz="8" w:color="auto"/>
            </w:tcBorders>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2000" w:type="dxa"/>
            <w:vAlign w:val="bottom"/>
          </w:tcPr>
          <w:p>
            <w:pPr>
              <w:ind w:left="160"/>
              <w:spacing w:after="0"/>
              <w:rPr>
                <w:sz w:val="20"/>
                <w:szCs w:val="20"/>
                <w:color w:val="auto"/>
              </w:rPr>
            </w:pPr>
            <w:r>
              <w:rPr>
                <w:rFonts w:ascii="Arial" w:cs="Arial" w:eastAsia="Arial" w:hAnsi="Arial"/>
                <w:sz w:val="14"/>
                <w:szCs w:val="14"/>
                <w:color w:val="auto"/>
              </w:rPr>
              <w:t>[*CTR]</w:t>
            </w:r>
          </w:p>
        </w:tc>
        <w:tc>
          <w:tcPr>
            <w:tcW w:w="900" w:type="dxa"/>
            <w:vAlign w:val="bottom"/>
            <w:tcBorders>
              <w:right w:val="single" w:sz="8" w:color="auto"/>
            </w:tcBorders>
          </w:tcPr>
          <w:p>
            <w:pPr>
              <w:spacing w:after="0"/>
              <w:rPr>
                <w:sz w:val="14"/>
                <w:szCs w:val="14"/>
                <w:color w:val="auto"/>
              </w:rPr>
            </w:pPr>
          </w:p>
        </w:tc>
        <w:tc>
          <w:tcPr>
            <w:tcW w:w="2900" w:type="dxa"/>
            <w:vAlign w:val="bottom"/>
            <w:tcBorders>
              <w:right w:val="single" w:sz="8" w:color="auto"/>
            </w:tcBorders>
          </w:tcPr>
          <w:p>
            <w:pPr>
              <w:ind w:left="2380"/>
              <w:spacing w:after="0"/>
              <w:rPr>
                <w:sz w:val="20"/>
                <w:szCs w:val="20"/>
                <w:color w:val="auto"/>
              </w:rPr>
            </w:pPr>
            <w:r>
              <w:rPr>
                <w:rFonts w:ascii="Arial" w:cs="Arial" w:eastAsia="Arial" w:hAnsi="Arial"/>
                <w:sz w:val="14"/>
                <w:szCs w:val="14"/>
                <w:color w:val="auto"/>
              </w:rPr>
              <w:t>[*CTR]</w:t>
            </w:r>
          </w:p>
        </w:tc>
        <w:tc>
          <w:tcPr>
            <w:tcW w:w="1220" w:type="dxa"/>
            <w:vAlign w:val="bottom"/>
            <w:tcBorders>
              <w:right w:val="single" w:sz="8" w:color="auto"/>
            </w:tcBorders>
          </w:tcPr>
          <w:p>
            <w:pPr>
              <w:ind w:left="660"/>
              <w:spacing w:after="0"/>
              <w:rPr>
                <w:sz w:val="20"/>
                <w:szCs w:val="20"/>
                <w:color w:val="auto"/>
              </w:rPr>
            </w:pPr>
            <w:r>
              <w:rPr>
                <w:rFonts w:ascii="Arial" w:cs="Arial" w:eastAsia="Arial" w:hAnsi="Arial"/>
                <w:sz w:val="14"/>
                <w:szCs w:val="14"/>
                <w:color w:val="auto"/>
              </w:rPr>
              <w:t>[*CTR]</w:t>
            </w:r>
          </w:p>
        </w:tc>
      </w:tr>
      <w:tr>
        <w:trPr>
          <w:trHeight w:val="242"/>
        </w:trPr>
        <w:tc>
          <w:tcPr>
            <w:tcW w:w="1340" w:type="dxa"/>
            <w:vAlign w:val="bottom"/>
            <w:tcBorders>
              <w:left w:val="single" w:sz="8" w:color="auto"/>
              <w:bottom w:val="single" w:sz="8" w:color="auto"/>
            </w:tcBorders>
          </w:tcPr>
          <w:p>
            <w:pPr>
              <w:ind w:left="800"/>
              <w:spacing w:after="0"/>
              <w:rPr>
                <w:sz w:val="20"/>
                <w:szCs w:val="20"/>
                <w:color w:val="auto"/>
              </w:rPr>
            </w:pPr>
            <w:r>
              <w:rPr>
                <w:rFonts w:ascii="Arial" w:cs="Arial" w:eastAsia="Arial" w:hAnsi="Arial"/>
                <w:sz w:val="14"/>
                <w:szCs w:val="14"/>
                <w:color w:val="auto"/>
              </w:rPr>
              <w:t>[*CTR]</w:t>
            </w:r>
          </w:p>
        </w:tc>
        <w:tc>
          <w:tcPr>
            <w:tcW w:w="800" w:type="dxa"/>
            <w:vAlign w:val="bottom"/>
            <w:tcBorders>
              <w:bottom w:val="single" w:sz="8" w:color="auto"/>
              <w:right w:val="single" w:sz="8" w:color="auto"/>
            </w:tcBorders>
          </w:tcPr>
          <w:p>
            <w:pPr>
              <w:jc w:val="right"/>
              <w:ind w:right="27"/>
              <w:spacing w:after="0"/>
              <w:rPr>
                <w:sz w:val="20"/>
                <w:szCs w:val="20"/>
                <w:color w:val="auto"/>
              </w:rPr>
            </w:pPr>
            <w:r>
              <w:rPr>
                <w:rFonts w:ascii="Arial" w:cs="Arial" w:eastAsia="Arial" w:hAnsi="Arial"/>
                <w:sz w:val="14"/>
                <w:szCs w:val="14"/>
                <w:color w:val="auto"/>
              </w:rPr>
              <w:t>1</w:t>
            </w:r>
          </w:p>
        </w:tc>
        <w:tc>
          <w:tcPr>
            <w:tcW w:w="2000" w:type="dxa"/>
            <w:vAlign w:val="bottom"/>
            <w:tcBorders>
              <w:bottom w:val="single" w:sz="8" w:color="auto"/>
            </w:tcBorders>
          </w:tcPr>
          <w:p>
            <w:pPr>
              <w:spacing w:after="0"/>
              <w:rPr>
                <w:sz w:val="21"/>
                <w:szCs w:val="21"/>
                <w:color w:val="auto"/>
              </w:rPr>
            </w:pPr>
          </w:p>
        </w:tc>
        <w:tc>
          <w:tcPr>
            <w:tcW w:w="900" w:type="dxa"/>
            <w:vAlign w:val="bottom"/>
            <w:tcBorders>
              <w:bottom w:val="single" w:sz="8" w:color="auto"/>
              <w:right w:val="single" w:sz="8" w:color="auto"/>
            </w:tcBorders>
          </w:tcPr>
          <w:p>
            <w:pPr>
              <w:spacing w:after="0"/>
              <w:rPr>
                <w:sz w:val="21"/>
                <w:szCs w:val="21"/>
                <w:color w:val="auto"/>
              </w:rPr>
            </w:pPr>
          </w:p>
        </w:tc>
        <w:tc>
          <w:tcPr>
            <w:tcW w:w="2900" w:type="dxa"/>
            <w:vAlign w:val="bottom"/>
            <w:tcBorders>
              <w:bottom w:val="single" w:sz="8" w:color="auto"/>
              <w:right w:val="single" w:sz="8" w:color="auto"/>
            </w:tcBorders>
          </w:tcPr>
          <w:p>
            <w:pPr>
              <w:spacing w:after="0"/>
              <w:rPr>
                <w:sz w:val="21"/>
                <w:szCs w:val="21"/>
                <w:color w:val="auto"/>
              </w:rPr>
            </w:pPr>
          </w:p>
        </w:tc>
        <w:tc>
          <w:tcPr>
            <w:tcW w:w="1220" w:type="dxa"/>
            <w:vAlign w:val="bottom"/>
            <w:tcBorders>
              <w:bottom w:val="single" w:sz="8" w:color="auto"/>
              <w:right w:val="single" w:sz="8" w:color="auto"/>
            </w:tcBorders>
          </w:tcPr>
          <w:p>
            <w:pPr>
              <w:spacing w:after="0"/>
              <w:rPr>
                <w:sz w:val="21"/>
                <w:szCs w:val="21"/>
                <w:color w:val="auto"/>
              </w:rPr>
            </w:pPr>
          </w:p>
        </w:tc>
      </w:tr>
      <w:tr>
        <w:trPr>
          <w:trHeight w:val="156"/>
        </w:trPr>
        <w:tc>
          <w:tcPr>
            <w:tcW w:w="1340" w:type="dxa"/>
            <w:vAlign w:val="bottom"/>
            <w:tcBorders>
              <w:left w:val="single" w:sz="8" w:color="auto"/>
              <w:right w:val="single" w:sz="8" w:color="auto"/>
            </w:tcBorders>
          </w:tcPr>
          <w:p>
            <w:pPr>
              <w:ind w:left="800"/>
              <w:spacing w:after="0" w:line="155" w:lineRule="exact"/>
              <w:rPr>
                <w:sz w:val="20"/>
                <w:szCs w:val="20"/>
                <w:color w:val="auto"/>
              </w:rPr>
            </w:pPr>
            <w:r>
              <w:rPr>
                <w:rFonts w:ascii="Arial" w:cs="Arial" w:eastAsia="Arial" w:hAnsi="Arial"/>
                <w:sz w:val="14"/>
                <w:szCs w:val="14"/>
                <w:color w:val="auto"/>
              </w:rPr>
              <w:t>[*CTR]</w:t>
            </w:r>
          </w:p>
        </w:tc>
        <w:tc>
          <w:tcPr>
            <w:tcW w:w="800" w:type="dxa"/>
            <w:vAlign w:val="bottom"/>
            <w:tcBorders>
              <w:bottom w:val="single" w:sz="8" w:color="auto"/>
              <w:right w:val="single" w:sz="8" w:color="auto"/>
            </w:tcBorders>
          </w:tcPr>
          <w:p>
            <w:pPr>
              <w:jc w:val="right"/>
              <w:ind w:right="27"/>
              <w:spacing w:after="0" w:line="155" w:lineRule="exact"/>
              <w:rPr>
                <w:sz w:val="20"/>
                <w:szCs w:val="20"/>
                <w:color w:val="auto"/>
              </w:rPr>
            </w:pPr>
            <w:r>
              <w:rPr>
                <w:rFonts w:ascii="Arial" w:cs="Arial" w:eastAsia="Arial" w:hAnsi="Arial"/>
                <w:sz w:val="14"/>
                <w:szCs w:val="14"/>
                <w:color w:val="auto"/>
              </w:rPr>
              <w:t>2</w:t>
            </w:r>
          </w:p>
        </w:tc>
        <w:tc>
          <w:tcPr>
            <w:tcW w:w="2000" w:type="dxa"/>
            <w:vAlign w:val="bottom"/>
            <w:tcBorders>
              <w:bottom w:val="single" w:sz="8" w:color="auto"/>
            </w:tcBorders>
          </w:tcPr>
          <w:p>
            <w:pPr>
              <w:ind w:left="160"/>
              <w:spacing w:after="0" w:line="155" w:lineRule="exact"/>
              <w:rPr>
                <w:sz w:val="20"/>
                <w:szCs w:val="20"/>
                <w:color w:val="auto"/>
              </w:rPr>
            </w:pPr>
            <w:r>
              <w:rPr>
                <w:rFonts w:ascii="Arial" w:cs="Arial" w:eastAsia="Arial" w:hAnsi="Arial"/>
                <w:sz w:val="14"/>
                <w:szCs w:val="14"/>
                <w:color w:val="auto"/>
              </w:rPr>
              <w:t>[*CTR]</w:t>
            </w:r>
          </w:p>
        </w:tc>
        <w:tc>
          <w:tcPr>
            <w:tcW w:w="900" w:type="dxa"/>
            <w:vAlign w:val="bottom"/>
            <w:tcBorders>
              <w:bottom w:val="single" w:sz="8" w:color="auto"/>
              <w:right w:val="single" w:sz="8" w:color="auto"/>
            </w:tcBorders>
          </w:tcPr>
          <w:p>
            <w:pPr>
              <w:spacing w:after="0"/>
              <w:rPr>
                <w:sz w:val="13"/>
                <w:szCs w:val="13"/>
                <w:color w:val="auto"/>
              </w:rPr>
            </w:pPr>
          </w:p>
        </w:tc>
        <w:tc>
          <w:tcPr>
            <w:tcW w:w="2900" w:type="dxa"/>
            <w:vAlign w:val="bottom"/>
            <w:tcBorders>
              <w:bottom w:val="single" w:sz="8" w:color="auto"/>
              <w:right w:val="single" w:sz="8" w:color="auto"/>
            </w:tcBorders>
          </w:tcPr>
          <w:p>
            <w:pPr>
              <w:ind w:left="2380"/>
              <w:spacing w:after="0" w:line="155" w:lineRule="exact"/>
              <w:rPr>
                <w:sz w:val="20"/>
                <w:szCs w:val="20"/>
                <w:color w:val="auto"/>
              </w:rPr>
            </w:pPr>
            <w:r>
              <w:rPr>
                <w:rFonts w:ascii="Arial" w:cs="Arial" w:eastAsia="Arial" w:hAnsi="Arial"/>
                <w:sz w:val="14"/>
                <w:szCs w:val="14"/>
                <w:color w:val="auto"/>
              </w:rPr>
              <w:t>[*CTR]</w:t>
            </w:r>
          </w:p>
        </w:tc>
        <w:tc>
          <w:tcPr>
            <w:tcW w:w="1220" w:type="dxa"/>
            <w:vAlign w:val="bottom"/>
            <w:tcBorders>
              <w:bottom w:val="single" w:sz="8" w:color="auto"/>
              <w:right w:val="single" w:sz="8" w:color="auto"/>
            </w:tcBorders>
          </w:tcPr>
          <w:p>
            <w:pPr>
              <w:ind w:left="660"/>
              <w:spacing w:after="0" w:line="155" w:lineRule="exact"/>
              <w:rPr>
                <w:sz w:val="20"/>
                <w:szCs w:val="20"/>
                <w:color w:val="auto"/>
              </w:rPr>
            </w:pPr>
            <w:r>
              <w:rPr>
                <w:rFonts w:ascii="Arial" w:cs="Arial" w:eastAsia="Arial" w:hAnsi="Arial"/>
                <w:sz w:val="14"/>
                <w:szCs w:val="14"/>
                <w:color w:val="auto"/>
              </w:rPr>
              <w:t>[*CTR]</w:t>
            </w:r>
          </w:p>
        </w:tc>
      </w:tr>
      <w:tr>
        <w:trPr>
          <w:trHeight w:val="171"/>
        </w:trPr>
        <w:tc>
          <w:tcPr>
            <w:tcW w:w="1340" w:type="dxa"/>
            <w:vAlign w:val="bottom"/>
            <w:tcBorders>
              <w:left w:val="single" w:sz="8" w:color="auto"/>
            </w:tcBorders>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2000" w:type="dxa"/>
            <w:vAlign w:val="bottom"/>
          </w:tcPr>
          <w:p>
            <w:pPr>
              <w:ind w:left="160"/>
              <w:spacing w:after="0"/>
              <w:rPr>
                <w:sz w:val="20"/>
                <w:szCs w:val="20"/>
                <w:color w:val="auto"/>
              </w:rPr>
            </w:pPr>
            <w:r>
              <w:rPr>
                <w:rFonts w:ascii="Arial" w:cs="Arial" w:eastAsia="Arial" w:hAnsi="Arial"/>
                <w:sz w:val="14"/>
                <w:szCs w:val="14"/>
                <w:color w:val="auto"/>
              </w:rPr>
              <w:t>[*CTR]</w:t>
            </w:r>
          </w:p>
        </w:tc>
        <w:tc>
          <w:tcPr>
            <w:tcW w:w="900" w:type="dxa"/>
            <w:vAlign w:val="bottom"/>
            <w:tcBorders>
              <w:right w:val="single" w:sz="8" w:color="auto"/>
            </w:tcBorders>
          </w:tcPr>
          <w:p>
            <w:pPr>
              <w:spacing w:after="0"/>
              <w:rPr>
                <w:sz w:val="14"/>
                <w:szCs w:val="14"/>
                <w:color w:val="auto"/>
              </w:rPr>
            </w:pPr>
          </w:p>
        </w:tc>
        <w:tc>
          <w:tcPr>
            <w:tcW w:w="2900" w:type="dxa"/>
            <w:vAlign w:val="bottom"/>
            <w:tcBorders>
              <w:right w:val="single" w:sz="8" w:color="auto"/>
            </w:tcBorders>
          </w:tcPr>
          <w:p>
            <w:pPr>
              <w:ind w:left="2380"/>
              <w:spacing w:after="0"/>
              <w:rPr>
                <w:sz w:val="20"/>
                <w:szCs w:val="20"/>
                <w:color w:val="auto"/>
              </w:rPr>
            </w:pPr>
            <w:r>
              <w:rPr>
                <w:rFonts w:ascii="Arial" w:cs="Arial" w:eastAsia="Arial" w:hAnsi="Arial"/>
                <w:sz w:val="14"/>
                <w:szCs w:val="14"/>
                <w:color w:val="auto"/>
              </w:rPr>
              <w:t>[*CTR]</w:t>
            </w:r>
          </w:p>
        </w:tc>
        <w:tc>
          <w:tcPr>
            <w:tcW w:w="1220" w:type="dxa"/>
            <w:vAlign w:val="bottom"/>
            <w:tcBorders>
              <w:right w:val="single" w:sz="8" w:color="auto"/>
            </w:tcBorders>
          </w:tcPr>
          <w:p>
            <w:pPr>
              <w:ind w:left="660"/>
              <w:spacing w:after="0"/>
              <w:rPr>
                <w:sz w:val="20"/>
                <w:szCs w:val="20"/>
                <w:color w:val="auto"/>
              </w:rPr>
            </w:pPr>
            <w:r>
              <w:rPr>
                <w:rFonts w:ascii="Arial" w:cs="Arial" w:eastAsia="Arial" w:hAnsi="Arial"/>
                <w:sz w:val="14"/>
                <w:szCs w:val="14"/>
                <w:color w:val="auto"/>
              </w:rPr>
              <w:t>[*CTR]</w:t>
            </w:r>
          </w:p>
        </w:tc>
      </w:tr>
      <w:tr>
        <w:trPr>
          <w:trHeight w:val="242"/>
        </w:trPr>
        <w:tc>
          <w:tcPr>
            <w:tcW w:w="1340" w:type="dxa"/>
            <w:vAlign w:val="bottom"/>
            <w:tcBorders>
              <w:left w:val="single" w:sz="8" w:color="auto"/>
            </w:tcBorders>
          </w:tcPr>
          <w:p>
            <w:pPr>
              <w:spacing w:after="0"/>
              <w:rPr>
                <w:sz w:val="21"/>
                <w:szCs w:val="21"/>
                <w:color w:val="auto"/>
              </w:rPr>
            </w:pPr>
          </w:p>
        </w:tc>
        <w:tc>
          <w:tcPr>
            <w:tcW w:w="800" w:type="dxa"/>
            <w:vAlign w:val="bottom"/>
            <w:tcBorders>
              <w:bottom w:val="single" w:sz="8" w:color="auto"/>
              <w:right w:val="single" w:sz="8" w:color="auto"/>
            </w:tcBorders>
          </w:tcPr>
          <w:p>
            <w:pPr>
              <w:jc w:val="right"/>
              <w:ind w:right="27"/>
              <w:spacing w:after="0"/>
              <w:rPr>
                <w:sz w:val="20"/>
                <w:szCs w:val="20"/>
                <w:color w:val="auto"/>
              </w:rPr>
            </w:pPr>
            <w:r>
              <w:rPr>
                <w:rFonts w:ascii="Arial" w:cs="Arial" w:eastAsia="Arial" w:hAnsi="Arial"/>
                <w:sz w:val="14"/>
                <w:szCs w:val="14"/>
                <w:color w:val="auto"/>
              </w:rPr>
              <w:t>3</w:t>
            </w:r>
          </w:p>
        </w:tc>
        <w:tc>
          <w:tcPr>
            <w:tcW w:w="2000" w:type="dxa"/>
            <w:vAlign w:val="bottom"/>
            <w:tcBorders>
              <w:bottom w:val="single" w:sz="8" w:color="auto"/>
            </w:tcBorders>
          </w:tcPr>
          <w:p>
            <w:pPr>
              <w:spacing w:after="0"/>
              <w:rPr>
                <w:sz w:val="21"/>
                <w:szCs w:val="21"/>
                <w:color w:val="auto"/>
              </w:rPr>
            </w:pPr>
          </w:p>
        </w:tc>
        <w:tc>
          <w:tcPr>
            <w:tcW w:w="900" w:type="dxa"/>
            <w:vAlign w:val="bottom"/>
            <w:tcBorders>
              <w:bottom w:val="single" w:sz="8" w:color="auto"/>
              <w:right w:val="single" w:sz="8" w:color="auto"/>
            </w:tcBorders>
          </w:tcPr>
          <w:p>
            <w:pPr>
              <w:spacing w:after="0"/>
              <w:rPr>
                <w:sz w:val="21"/>
                <w:szCs w:val="21"/>
                <w:color w:val="auto"/>
              </w:rPr>
            </w:pPr>
          </w:p>
        </w:tc>
        <w:tc>
          <w:tcPr>
            <w:tcW w:w="2900" w:type="dxa"/>
            <w:vAlign w:val="bottom"/>
            <w:tcBorders>
              <w:bottom w:val="single" w:sz="8" w:color="auto"/>
              <w:right w:val="single" w:sz="8" w:color="auto"/>
            </w:tcBorders>
          </w:tcPr>
          <w:p>
            <w:pPr>
              <w:spacing w:after="0"/>
              <w:rPr>
                <w:sz w:val="21"/>
                <w:szCs w:val="21"/>
                <w:color w:val="auto"/>
              </w:rPr>
            </w:pPr>
          </w:p>
        </w:tc>
        <w:tc>
          <w:tcPr>
            <w:tcW w:w="1220" w:type="dxa"/>
            <w:vAlign w:val="bottom"/>
            <w:tcBorders>
              <w:bottom w:val="single" w:sz="8" w:color="auto"/>
              <w:right w:val="single" w:sz="8" w:color="auto"/>
            </w:tcBorders>
          </w:tcPr>
          <w:p>
            <w:pPr>
              <w:spacing w:after="0"/>
              <w:rPr>
                <w:sz w:val="21"/>
                <w:szCs w:val="21"/>
                <w:color w:val="auto"/>
              </w:rPr>
            </w:pPr>
          </w:p>
        </w:tc>
      </w:tr>
      <w:tr>
        <w:trPr>
          <w:trHeight w:val="171"/>
        </w:trPr>
        <w:tc>
          <w:tcPr>
            <w:tcW w:w="1340" w:type="dxa"/>
            <w:vAlign w:val="bottom"/>
            <w:tcBorders>
              <w:left w:val="single" w:sz="8" w:color="auto"/>
            </w:tcBorders>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2000" w:type="dxa"/>
            <w:vAlign w:val="bottom"/>
          </w:tcPr>
          <w:p>
            <w:pPr>
              <w:ind w:left="160"/>
              <w:spacing w:after="0"/>
              <w:rPr>
                <w:sz w:val="20"/>
                <w:szCs w:val="20"/>
                <w:color w:val="auto"/>
              </w:rPr>
            </w:pPr>
            <w:r>
              <w:rPr>
                <w:rFonts w:ascii="Arial" w:cs="Arial" w:eastAsia="Arial" w:hAnsi="Arial"/>
                <w:sz w:val="14"/>
                <w:szCs w:val="14"/>
                <w:color w:val="auto"/>
              </w:rPr>
              <w:t>[*CTR]</w:t>
            </w:r>
          </w:p>
        </w:tc>
        <w:tc>
          <w:tcPr>
            <w:tcW w:w="900" w:type="dxa"/>
            <w:vAlign w:val="bottom"/>
            <w:tcBorders>
              <w:right w:val="single" w:sz="8" w:color="auto"/>
            </w:tcBorders>
          </w:tcPr>
          <w:p>
            <w:pPr>
              <w:spacing w:after="0"/>
              <w:rPr>
                <w:sz w:val="14"/>
                <w:szCs w:val="14"/>
                <w:color w:val="auto"/>
              </w:rPr>
            </w:pPr>
          </w:p>
        </w:tc>
        <w:tc>
          <w:tcPr>
            <w:tcW w:w="2900" w:type="dxa"/>
            <w:vAlign w:val="bottom"/>
            <w:tcBorders>
              <w:right w:val="single" w:sz="8" w:color="auto"/>
            </w:tcBorders>
          </w:tcPr>
          <w:p>
            <w:pPr>
              <w:ind w:left="2380"/>
              <w:spacing w:after="0"/>
              <w:rPr>
                <w:sz w:val="20"/>
                <w:szCs w:val="20"/>
                <w:color w:val="auto"/>
              </w:rPr>
            </w:pPr>
            <w:r>
              <w:rPr>
                <w:rFonts w:ascii="Arial" w:cs="Arial" w:eastAsia="Arial" w:hAnsi="Arial"/>
                <w:sz w:val="14"/>
                <w:szCs w:val="14"/>
                <w:color w:val="auto"/>
              </w:rPr>
              <w:t>[*CTR]</w:t>
            </w:r>
          </w:p>
        </w:tc>
        <w:tc>
          <w:tcPr>
            <w:tcW w:w="1220" w:type="dxa"/>
            <w:vAlign w:val="bottom"/>
            <w:tcBorders>
              <w:right w:val="single" w:sz="8" w:color="auto"/>
            </w:tcBorders>
          </w:tcPr>
          <w:p>
            <w:pPr>
              <w:ind w:left="660"/>
              <w:spacing w:after="0"/>
              <w:rPr>
                <w:sz w:val="20"/>
                <w:szCs w:val="20"/>
                <w:color w:val="auto"/>
              </w:rPr>
            </w:pPr>
            <w:r>
              <w:rPr>
                <w:rFonts w:ascii="Arial" w:cs="Arial" w:eastAsia="Arial" w:hAnsi="Arial"/>
                <w:sz w:val="14"/>
                <w:szCs w:val="14"/>
                <w:color w:val="auto"/>
              </w:rPr>
              <w:t>[*CTR]</w:t>
            </w:r>
          </w:p>
        </w:tc>
      </w:tr>
      <w:tr>
        <w:trPr>
          <w:trHeight w:val="242"/>
        </w:trPr>
        <w:tc>
          <w:tcPr>
            <w:tcW w:w="1340" w:type="dxa"/>
            <w:vAlign w:val="bottom"/>
            <w:tcBorders>
              <w:left w:val="single" w:sz="8" w:color="auto"/>
            </w:tcBorders>
          </w:tcPr>
          <w:p>
            <w:pPr>
              <w:spacing w:after="0"/>
              <w:rPr>
                <w:sz w:val="21"/>
                <w:szCs w:val="21"/>
                <w:color w:val="auto"/>
              </w:rPr>
            </w:pPr>
          </w:p>
        </w:tc>
        <w:tc>
          <w:tcPr>
            <w:tcW w:w="800" w:type="dxa"/>
            <w:vAlign w:val="bottom"/>
            <w:tcBorders>
              <w:bottom w:val="single" w:sz="8" w:color="auto"/>
              <w:right w:val="single" w:sz="8" w:color="auto"/>
            </w:tcBorders>
          </w:tcPr>
          <w:p>
            <w:pPr>
              <w:jc w:val="right"/>
              <w:ind w:right="27"/>
              <w:spacing w:after="0"/>
              <w:rPr>
                <w:sz w:val="20"/>
                <w:szCs w:val="20"/>
                <w:color w:val="auto"/>
              </w:rPr>
            </w:pPr>
            <w:r>
              <w:rPr>
                <w:rFonts w:ascii="Arial" w:cs="Arial" w:eastAsia="Arial" w:hAnsi="Arial"/>
                <w:sz w:val="14"/>
                <w:szCs w:val="14"/>
                <w:color w:val="auto"/>
              </w:rPr>
              <w:t>4</w:t>
            </w:r>
          </w:p>
        </w:tc>
        <w:tc>
          <w:tcPr>
            <w:tcW w:w="2000" w:type="dxa"/>
            <w:vAlign w:val="bottom"/>
            <w:tcBorders>
              <w:bottom w:val="single" w:sz="8" w:color="auto"/>
            </w:tcBorders>
          </w:tcPr>
          <w:p>
            <w:pPr>
              <w:spacing w:after="0"/>
              <w:rPr>
                <w:sz w:val="21"/>
                <w:szCs w:val="21"/>
                <w:color w:val="auto"/>
              </w:rPr>
            </w:pPr>
          </w:p>
        </w:tc>
        <w:tc>
          <w:tcPr>
            <w:tcW w:w="900" w:type="dxa"/>
            <w:vAlign w:val="bottom"/>
            <w:tcBorders>
              <w:bottom w:val="single" w:sz="8" w:color="auto"/>
              <w:right w:val="single" w:sz="8" w:color="auto"/>
            </w:tcBorders>
          </w:tcPr>
          <w:p>
            <w:pPr>
              <w:spacing w:after="0"/>
              <w:rPr>
                <w:sz w:val="21"/>
                <w:szCs w:val="21"/>
                <w:color w:val="auto"/>
              </w:rPr>
            </w:pPr>
          </w:p>
        </w:tc>
        <w:tc>
          <w:tcPr>
            <w:tcW w:w="2900" w:type="dxa"/>
            <w:vAlign w:val="bottom"/>
            <w:tcBorders>
              <w:bottom w:val="single" w:sz="8" w:color="auto"/>
              <w:right w:val="single" w:sz="8" w:color="auto"/>
            </w:tcBorders>
          </w:tcPr>
          <w:p>
            <w:pPr>
              <w:spacing w:after="0"/>
              <w:rPr>
                <w:sz w:val="21"/>
                <w:szCs w:val="21"/>
                <w:color w:val="auto"/>
              </w:rPr>
            </w:pPr>
          </w:p>
        </w:tc>
        <w:tc>
          <w:tcPr>
            <w:tcW w:w="1220" w:type="dxa"/>
            <w:vAlign w:val="bottom"/>
            <w:tcBorders>
              <w:bottom w:val="single" w:sz="8" w:color="auto"/>
              <w:right w:val="single" w:sz="8" w:color="auto"/>
            </w:tcBorders>
          </w:tcPr>
          <w:p>
            <w:pPr>
              <w:spacing w:after="0"/>
              <w:rPr>
                <w:sz w:val="21"/>
                <w:szCs w:val="21"/>
                <w:color w:val="auto"/>
              </w:rPr>
            </w:pPr>
          </w:p>
        </w:tc>
      </w:tr>
      <w:tr>
        <w:trPr>
          <w:trHeight w:val="156"/>
        </w:trPr>
        <w:tc>
          <w:tcPr>
            <w:tcW w:w="1340" w:type="dxa"/>
            <w:vAlign w:val="bottom"/>
            <w:tcBorders>
              <w:left w:val="single" w:sz="8" w:color="auto"/>
            </w:tcBorders>
          </w:tcPr>
          <w:p>
            <w:pPr>
              <w:spacing w:after="0"/>
              <w:rPr>
                <w:sz w:val="13"/>
                <w:szCs w:val="13"/>
                <w:color w:val="auto"/>
              </w:rPr>
            </w:pPr>
          </w:p>
        </w:tc>
        <w:tc>
          <w:tcPr>
            <w:tcW w:w="800" w:type="dxa"/>
            <w:vAlign w:val="bottom"/>
            <w:tcBorders>
              <w:bottom w:val="single" w:sz="8" w:color="auto"/>
              <w:right w:val="single" w:sz="8" w:color="auto"/>
            </w:tcBorders>
          </w:tcPr>
          <w:p>
            <w:pPr>
              <w:jc w:val="right"/>
              <w:ind w:right="27"/>
              <w:spacing w:after="0" w:line="155" w:lineRule="exact"/>
              <w:rPr>
                <w:sz w:val="20"/>
                <w:szCs w:val="20"/>
                <w:color w:val="auto"/>
              </w:rPr>
            </w:pPr>
            <w:r>
              <w:rPr>
                <w:rFonts w:ascii="Arial" w:cs="Arial" w:eastAsia="Arial" w:hAnsi="Arial"/>
                <w:sz w:val="14"/>
                <w:szCs w:val="14"/>
                <w:color w:val="auto"/>
              </w:rPr>
              <w:t>5</w:t>
            </w:r>
          </w:p>
        </w:tc>
        <w:tc>
          <w:tcPr>
            <w:tcW w:w="2000" w:type="dxa"/>
            <w:vAlign w:val="bottom"/>
            <w:tcBorders>
              <w:bottom w:val="single" w:sz="8" w:color="auto"/>
            </w:tcBorders>
          </w:tcPr>
          <w:p>
            <w:pPr>
              <w:ind w:left="160"/>
              <w:spacing w:after="0" w:line="155" w:lineRule="exact"/>
              <w:rPr>
                <w:sz w:val="20"/>
                <w:szCs w:val="20"/>
                <w:color w:val="auto"/>
              </w:rPr>
            </w:pPr>
            <w:r>
              <w:rPr>
                <w:rFonts w:ascii="Arial" w:cs="Arial" w:eastAsia="Arial" w:hAnsi="Arial"/>
                <w:sz w:val="14"/>
                <w:szCs w:val="14"/>
                <w:color w:val="auto"/>
              </w:rPr>
              <w:t>[*CTR]</w:t>
            </w:r>
          </w:p>
        </w:tc>
        <w:tc>
          <w:tcPr>
            <w:tcW w:w="900" w:type="dxa"/>
            <w:vAlign w:val="bottom"/>
            <w:tcBorders>
              <w:bottom w:val="single" w:sz="8" w:color="auto"/>
              <w:right w:val="single" w:sz="8" w:color="auto"/>
            </w:tcBorders>
          </w:tcPr>
          <w:p>
            <w:pPr>
              <w:spacing w:after="0"/>
              <w:rPr>
                <w:sz w:val="13"/>
                <w:szCs w:val="13"/>
                <w:color w:val="auto"/>
              </w:rPr>
            </w:pPr>
          </w:p>
        </w:tc>
        <w:tc>
          <w:tcPr>
            <w:tcW w:w="2900" w:type="dxa"/>
            <w:vAlign w:val="bottom"/>
            <w:tcBorders>
              <w:bottom w:val="single" w:sz="8" w:color="auto"/>
              <w:right w:val="single" w:sz="8" w:color="auto"/>
            </w:tcBorders>
          </w:tcPr>
          <w:p>
            <w:pPr>
              <w:ind w:left="2380"/>
              <w:spacing w:after="0" w:line="155" w:lineRule="exact"/>
              <w:rPr>
                <w:sz w:val="20"/>
                <w:szCs w:val="20"/>
                <w:color w:val="auto"/>
              </w:rPr>
            </w:pPr>
            <w:r>
              <w:rPr>
                <w:rFonts w:ascii="Arial" w:cs="Arial" w:eastAsia="Arial" w:hAnsi="Arial"/>
                <w:sz w:val="14"/>
                <w:szCs w:val="14"/>
                <w:color w:val="auto"/>
              </w:rPr>
              <w:t>[*CTR]</w:t>
            </w:r>
          </w:p>
        </w:tc>
        <w:tc>
          <w:tcPr>
            <w:tcW w:w="1220" w:type="dxa"/>
            <w:vAlign w:val="bottom"/>
            <w:tcBorders>
              <w:bottom w:val="single" w:sz="8" w:color="auto"/>
              <w:right w:val="single" w:sz="8" w:color="auto"/>
            </w:tcBorders>
          </w:tcPr>
          <w:p>
            <w:pPr>
              <w:ind w:left="660"/>
              <w:spacing w:after="0" w:line="155" w:lineRule="exact"/>
              <w:rPr>
                <w:sz w:val="20"/>
                <w:szCs w:val="20"/>
                <w:color w:val="auto"/>
              </w:rPr>
            </w:pPr>
            <w:r>
              <w:rPr>
                <w:rFonts w:ascii="Arial" w:cs="Arial" w:eastAsia="Arial" w:hAnsi="Arial"/>
                <w:sz w:val="14"/>
                <w:szCs w:val="14"/>
                <w:color w:val="auto"/>
              </w:rPr>
              <w:t>[*CTR]</w:t>
            </w:r>
          </w:p>
        </w:tc>
      </w:tr>
      <w:tr>
        <w:trPr>
          <w:trHeight w:val="156"/>
        </w:trPr>
        <w:tc>
          <w:tcPr>
            <w:tcW w:w="1340" w:type="dxa"/>
            <w:vAlign w:val="bottom"/>
            <w:tcBorders>
              <w:left w:val="single" w:sz="8" w:color="auto"/>
            </w:tcBorders>
          </w:tcPr>
          <w:p>
            <w:pPr>
              <w:spacing w:after="0"/>
              <w:rPr>
                <w:sz w:val="13"/>
                <w:szCs w:val="13"/>
                <w:color w:val="auto"/>
              </w:rPr>
            </w:pPr>
          </w:p>
        </w:tc>
        <w:tc>
          <w:tcPr>
            <w:tcW w:w="800" w:type="dxa"/>
            <w:vAlign w:val="bottom"/>
            <w:tcBorders>
              <w:bottom w:val="single" w:sz="8" w:color="auto"/>
              <w:right w:val="single" w:sz="8" w:color="auto"/>
            </w:tcBorders>
          </w:tcPr>
          <w:p>
            <w:pPr>
              <w:jc w:val="right"/>
              <w:ind w:right="27"/>
              <w:spacing w:after="0" w:line="155" w:lineRule="exact"/>
              <w:rPr>
                <w:sz w:val="20"/>
                <w:szCs w:val="20"/>
                <w:color w:val="auto"/>
              </w:rPr>
            </w:pPr>
            <w:r>
              <w:rPr>
                <w:rFonts w:ascii="Arial" w:cs="Arial" w:eastAsia="Arial" w:hAnsi="Arial"/>
                <w:sz w:val="14"/>
                <w:szCs w:val="14"/>
                <w:color w:val="auto"/>
              </w:rPr>
              <w:t>6</w:t>
            </w:r>
          </w:p>
        </w:tc>
        <w:tc>
          <w:tcPr>
            <w:tcW w:w="2000" w:type="dxa"/>
            <w:vAlign w:val="bottom"/>
            <w:tcBorders>
              <w:bottom w:val="single" w:sz="8" w:color="auto"/>
            </w:tcBorders>
          </w:tcPr>
          <w:p>
            <w:pPr>
              <w:ind w:left="160"/>
              <w:spacing w:after="0" w:line="155" w:lineRule="exact"/>
              <w:rPr>
                <w:sz w:val="20"/>
                <w:szCs w:val="20"/>
                <w:color w:val="auto"/>
              </w:rPr>
            </w:pPr>
            <w:r>
              <w:rPr>
                <w:rFonts w:ascii="Arial" w:cs="Arial" w:eastAsia="Arial" w:hAnsi="Arial"/>
                <w:sz w:val="14"/>
                <w:szCs w:val="14"/>
                <w:color w:val="auto"/>
              </w:rPr>
              <w:t>[*CTR]</w:t>
            </w:r>
          </w:p>
        </w:tc>
        <w:tc>
          <w:tcPr>
            <w:tcW w:w="900" w:type="dxa"/>
            <w:vAlign w:val="bottom"/>
            <w:tcBorders>
              <w:bottom w:val="single" w:sz="8" w:color="auto"/>
              <w:right w:val="single" w:sz="8" w:color="auto"/>
            </w:tcBorders>
          </w:tcPr>
          <w:p>
            <w:pPr>
              <w:spacing w:after="0"/>
              <w:rPr>
                <w:sz w:val="13"/>
                <w:szCs w:val="13"/>
                <w:color w:val="auto"/>
              </w:rPr>
            </w:pPr>
          </w:p>
        </w:tc>
        <w:tc>
          <w:tcPr>
            <w:tcW w:w="2900" w:type="dxa"/>
            <w:vAlign w:val="bottom"/>
            <w:tcBorders>
              <w:bottom w:val="single" w:sz="8" w:color="auto"/>
              <w:right w:val="single" w:sz="8" w:color="auto"/>
            </w:tcBorders>
          </w:tcPr>
          <w:p>
            <w:pPr>
              <w:ind w:left="2380"/>
              <w:spacing w:after="0" w:line="155" w:lineRule="exact"/>
              <w:rPr>
                <w:sz w:val="20"/>
                <w:szCs w:val="20"/>
                <w:color w:val="auto"/>
              </w:rPr>
            </w:pPr>
            <w:r>
              <w:rPr>
                <w:rFonts w:ascii="Arial" w:cs="Arial" w:eastAsia="Arial" w:hAnsi="Arial"/>
                <w:sz w:val="14"/>
                <w:szCs w:val="14"/>
                <w:color w:val="auto"/>
              </w:rPr>
              <w:t>[*CTR]</w:t>
            </w:r>
          </w:p>
        </w:tc>
        <w:tc>
          <w:tcPr>
            <w:tcW w:w="1220" w:type="dxa"/>
            <w:vAlign w:val="bottom"/>
            <w:tcBorders>
              <w:bottom w:val="single" w:sz="8" w:color="auto"/>
              <w:right w:val="single" w:sz="8" w:color="auto"/>
            </w:tcBorders>
          </w:tcPr>
          <w:p>
            <w:pPr>
              <w:ind w:left="660"/>
              <w:spacing w:after="0" w:line="155" w:lineRule="exact"/>
              <w:rPr>
                <w:sz w:val="20"/>
                <w:szCs w:val="20"/>
                <w:color w:val="auto"/>
              </w:rPr>
            </w:pPr>
            <w:r>
              <w:rPr>
                <w:rFonts w:ascii="Arial" w:cs="Arial" w:eastAsia="Arial" w:hAnsi="Arial"/>
                <w:sz w:val="14"/>
                <w:szCs w:val="14"/>
                <w:color w:val="auto"/>
              </w:rPr>
              <w:t>[*CTR]</w:t>
            </w:r>
          </w:p>
        </w:tc>
      </w:tr>
      <w:tr>
        <w:trPr>
          <w:trHeight w:val="156"/>
        </w:trPr>
        <w:tc>
          <w:tcPr>
            <w:tcW w:w="1340" w:type="dxa"/>
            <w:vAlign w:val="bottom"/>
            <w:tcBorders>
              <w:left w:val="single" w:sz="8" w:color="auto"/>
            </w:tcBorders>
          </w:tcPr>
          <w:p>
            <w:pPr>
              <w:spacing w:after="0"/>
              <w:rPr>
                <w:sz w:val="13"/>
                <w:szCs w:val="13"/>
                <w:color w:val="auto"/>
              </w:rPr>
            </w:pPr>
          </w:p>
        </w:tc>
        <w:tc>
          <w:tcPr>
            <w:tcW w:w="800" w:type="dxa"/>
            <w:vAlign w:val="bottom"/>
            <w:tcBorders>
              <w:bottom w:val="single" w:sz="8" w:color="auto"/>
              <w:right w:val="single" w:sz="8" w:color="auto"/>
            </w:tcBorders>
          </w:tcPr>
          <w:p>
            <w:pPr>
              <w:jc w:val="right"/>
              <w:ind w:right="27"/>
              <w:spacing w:after="0" w:line="155" w:lineRule="exact"/>
              <w:rPr>
                <w:sz w:val="20"/>
                <w:szCs w:val="20"/>
                <w:color w:val="auto"/>
              </w:rPr>
            </w:pPr>
            <w:r>
              <w:rPr>
                <w:rFonts w:ascii="Arial" w:cs="Arial" w:eastAsia="Arial" w:hAnsi="Arial"/>
                <w:sz w:val="14"/>
                <w:szCs w:val="14"/>
                <w:color w:val="auto"/>
              </w:rPr>
              <w:t>7</w:t>
            </w:r>
          </w:p>
        </w:tc>
        <w:tc>
          <w:tcPr>
            <w:tcW w:w="2000" w:type="dxa"/>
            <w:vAlign w:val="bottom"/>
            <w:tcBorders>
              <w:bottom w:val="single" w:sz="8" w:color="auto"/>
            </w:tcBorders>
          </w:tcPr>
          <w:p>
            <w:pPr>
              <w:ind w:left="160"/>
              <w:spacing w:after="0" w:line="155" w:lineRule="exact"/>
              <w:rPr>
                <w:sz w:val="20"/>
                <w:szCs w:val="20"/>
                <w:color w:val="auto"/>
              </w:rPr>
            </w:pPr>
            <w:r>
              <w:rPr>
                <w:rFonts w:ascii="Arial" w:cs="Arial" w:eastAsia="Arial" w:hAnsi="Arial"/>
                <w:sz w:val="14"/>
                <w:szCs w:val="14"/>
                <w:color w:val="auto"/>
              </w:rPr>
              <w:t>[*CTR]</w:t>
            </w:r>
          </w:p>
        </w:tc>
        <w:tc>
          <w:tcPr>
            <w:tcW w:w="900" w:type="dxa"/>
            <w:vAlign w:val="bottom"/>
            <w:tcBorders>
              <w:bottom w:val="single" w:sz="8" w:color="auto"/>
              <w:right w:val="single" w:sz="8" w:color="auto"/>
            </w:tcBorders>
          </w:tcPr>
          <w:p>
            <w:pPr>
              <w:spacing w:after="0"/>
              <w:rPr>
                <w:sz w:val="13"/>
                <w:szCs w:val="13"/>
                <w:color w:val="auto"/>
              </w:rPr>
            </w:pPr>
          </w:p>
        </w:tc>
        <w:tc>
          <w:tcPr>
            <w:tcW w:w="2900" w:type="dxa"/>
            <w:vAlign w:val="bottom"/>
            <w:tcBorders>
              <w:bottom w:val="single" w:sz="8" w:color="auto"/>
              <w:right w:val="single" w:sz="8" w:color="auto"/>
            </w:tcBorders>
          </w:tcPr>
          <w:p>
            <w:pPr>
              <w:ind w:left="2380"/>
              <w:spacing w:after="0" w:line="155" w:lineRule="exact"/>
              <w:rPr>
                <w:sz w:val="20"/>
                <w:szCs w:val="20"/>
                <w:color w:val="auto"/>
              </w:rPr>
            </w:pPr>
            <w:r>
              <w:rPr>
                <w:rFonts w:ascii="Arial" w:cs="Arial" w:eastAsia="Arial" w:hAnsi="Arial"/>
                <w:sz w:val="14"/>
                <w:szCs w:val="14"/>
                <w:color w:val="auto"/>
              </w:rPr>
              <w:t>[*CTR]</w:t>
            </w:r>
          </w:p>
        </w:tc>
        <w:tc>
          <w:tcPr>
            <w:tcW w:w="1220" w:type="dxa"/>
            <w:vAlign w:val="bottom"/>
            <w:tcBorders>
              <w:bottom w:val="single" w:sz="8" w:color="auto"/>
              <w:right w:val="single" w:sz="8" w:color="auto"/>
            </w:tcBorders>
          </w:tcPr>
          <w:p>
            <w:pPr>
              <w:ind w:left="660"/>
              <w:spacing w:after="0" w:line="155" w:lineRule="exact"/>
              <w:rPr>
                <w:sz w:val="20"/>
                <w:szCs w:val="20"/>
                <w:color w:val="auto"/>
              </w:rPr>
            </w:pPr>
            <w:r>
              <w:rPr>
                <w:rFonts w:ascii="Arial" w:cs="Arial" w:eastAsia="Arial" w:hAnsi="Arial"/>
                <w:sz w:val="14"/>
                <w:szCs w:val="14"/>
                <w:color w:val="auto"/>
              </w:rPr>
              <w:t>[*CTR]</w:t>
            </w:r>
          </w:p>
        </w:tc>
      </w:tr>
      <w:tr>
        <w:trPr>
          <w:trHeight w:val="171"/>
        </w:trPr>
        <w:tc>
          <w:tcPr>
            <w:tcW w:w="1340" w:type="dxa"/>
            <w:vAlign w:val="bottom"/>
            <w:tcBorders>
              <w:left w:val="single" w:sz="8" w:color="auto"/>
            </w:tcBorders>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2000" w:type="dxa"/>
            <w:vAlign w:val="bottom"/>
          </w:tcPr>
          <w:p>
            <w:pPr>
              <w:ind w:left="160"/>
              <w:spacing w:after="0"/>
              <w:rPr>
                <w:sz w:val="20"/>
                <w:szCs w:val="20"/>
                <w:color w:val="auto"/>
              </w:rPr>
            </w:pPr>
            <w:r>
              <w:rPr>
                <w:rFonts w:ascii="Arial" w:cs="Arial" w:eastAsia="Arial" w:hAnsi="Arial"/>
                <w:sz w:val="14"/>
                <w:szCs w:val="14"/>
                <w:color w:val="auto"/>
              </w:rPr>
              <w:t>[*CTR]</w:t>
            </w:r>
          </w:p>
        </w:tc>
        <w:tc>
          <w:tcPr>
            <w:tcW w:w="900" w:type="dxa"/>
            <w:vAlign w:val="bottom"/>
            <w:tcBorders>
              <w:right w:val="single" w:sz="8" w:color="auto"/>
            </w:tcBorders>
          </w:tcPr>
          <w:p>
            <w:pPr>
              <w:spacing w:after="0"/>
              <w:rPr>
                <w:sz w:val="14"/>
                <w:szCs w:val="14"/>
                <w:color w:val="auto"/>
              </w:rPr>
            </w:pPr>
          </w:p>
        </w:tc>
        <w:tc>
          <w:tcPr>
            <w:tcW w:w="2900" w:type="dxa"/>
            <w:vAlign w:val="bottom"/>
            <w:tcBorders>
              <w:right w:val="single" w:sz="8" w:color="auto"/>
            </w:tcBorders>
          </w:tcPr>
          <w:p>
            <w:pPr>
              <w:ind w:left="2380"/>
              <w:spacing w:after="0"/>
              <w:rPr>
                <w:sz w:val="20"/>
                <w:szCs w:val="20"/>
                <w:color w:val="auto"/>
              </w:rPr>
            </w:pPr>
            <w:r>
              <w:rPr>
                <w:rFonts w:ascii="Arial" w:cs="Arial" w:eastAsia="Arial" w:hAnsi="Arial"/>
                <w:sz w:val="14"/>
                <w:szCs w:val="14"/>
                <w:color w:val="auto"/>
              </w:rPr>
              <w:t>[*CTR]</w:t>
            </w:r>
          </w:p>
        </w:tc>
        <w:tc>
          <w:tcPr>
            <w:tcW w:w="1220" w:type="dxa"/>
            <w:vAlign w:val="bottom"/>
            <w:tcBorders>
              <w:right w:val="single" w:sz="8" w:color="auto"/>
            </w:tcBorders>
          </w:tcPr>
          <w:p>
            <w:pPr>
              <w:ind w:left="660"/>
              <w:spacing w:after="0"/>
              <w:rPr>
                <w:sz w:val="20"/>
                <w:szCs w:val="20"/>
                <w:color w:val="auto"/>
              </w:rPr>
            </w:pPr>
            <w:r>
              <w:rPr>
                <w:rFonts w:ascii="Arial" w:cs="Arial" w:eastAsia="Arial" w:hAnsi="Arial"/>
                <w:sz w:val="14"/>
                <w:szCs w:val="14"/>
                <w:color w:val="auto"/>
              </w:rPr>
              <w:t>[*CTR]</w:t>
            </w:r>
          </w:p>
        </w:tc>
      </w:tr>
      <w:tr>
        <w:trPr>
          <w:trHeight w:val="741"/>
        </w:trPr>
        <w:tc>
          <w:tcPr>
            <w:tcW w:w="1340" w:type="dxa"/>
            <w:vAlign w:val="bottom"/>
            <w:tcBorders>
              <w:left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jc w:val="right"/>
              <w:ind w:right="27"/>
              <w:spacing w:after="0"/>
              <w:rPr>
                <w:sz w:val="20"/>
                <w:szCs w:val="20"/>
                <w:color w:val="auto"/>
              </w:rPr>
            </w:pPr>
            <w:r>
              <w:rPr>
                <w:rFonts w:ascii="Arial" w:cs="Arial" w:eastAsia="Arial" w:hAnsi="Arial"/>
                <w:sz w:val="14"/>
                <w:szCs w:val="14"/>
                <w:color w:val="auto"/>
              </w:rPr>
              <w:t>8</w:t>
            </w:r>
          </w:p>
        </w:tc>
        <w:tc>
          <w:tcPr>
            <w:tcW w:w="2000" w:type="dxa"/>
            <w:vAlign w:val="bottom"/>
            <w:tcBorders>
              <w:bottom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290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r>
      <w:tr>
        <w:trPr>
          <w:trHeight w:val="171"/>
        </w:trPr>
        <w:tc>
          <w:tcPr>
            <w:tcW w:w="1340" w:type="dxa"/>
            <w:vAlign w:val="bottom"/>
            <w:tcBorders>
              <w:left w:val="single" w:sz="8" w:color="auto"/>
            </w:tcBorders>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2000" w:type="dxa"/>
            <w:vAlign w:val="bottom"/>
          </w:tcPr>
          <w:p>
            <w:pPr>
              <w:ind w:left="160"/>
              <w:spacing w:after="0"/>
              <w:rPr>
                <w:sz w:val="20"/>
                <w:szCs w:val="20"/>
                <w:color w:val="auto"/>
              </w:rPr>
            </w:pPr>
            <w:r>
              <w:rPr>
                <w:rFonts w:ascii="Arial" w:cs="Arial" w:eastAsia="Arial" w:hAnsi="Arial"/>
                <w:sz w:val="14"/>
                <w:szCs w:val="14"/>
                <w:color w:val="auto"/>
              </w:rPr>
              <w:t>[*CTR]</w:t>
            </w:r>
          </w:p>
        </w:tc>
        <w:tc>
          <w:tcPr>
            <w:tcW w:w="900" w:type="dxa"/>
            <w:vAlign w:val="bottom"/>
            <w:tcBorders>
              <w:right w:val="single" w:sz="8" w:color="auto"/>
            </w:tcBorders>
          </w:tcPr>
          <w:p>
            <w:pPr>
              <w:spacing w:after="0"/>
              <w:rPr>
                <w:sz w:val="14"/>
                <w:szCs w:val="14"/>
                <w:color w:val="auto"/>
              </w:rPr>
            </w:pPr>
          </w:p>
        </w:tc>
        <w:tc>
          <w:tcPr>
            <w:tcW w:w="2900" w:type="dxa"/>
            <w:vAlign w:val="bottom"/>
            <w:tcBorders>
              <w:right w:val="single" w:sz="8" w:color="auto"/>
            </w:tcBorders>
          </w:tcPr>
          <w:p>
            <w:pPr>
              <w:ind w:left="2380"/>
              <w:spacing w:after="0"/>
              <w:rPr>
                <w:sz w:val="20"/>
                <w:szCs w:val="20"/>
                <w:color w:val="auto"/>
              </w:rPr>
            </w:pPr>
            <w:r>
              <w:rPr>
                <w:rFonts w:ascii="Arial" w:cs="Arial" w:eastAsia="Arial" w:hAnsi="Arial"/>
                <w:sz w:val="14"/>
                <w:szCs w:val="14"/>
                <w:color w:val="auto"/>
              </w:rPr>
              <w:t>[*CTR]</w:t>
            </w:r>
          </w:p>
        </w:tc>
        <w:tc>
          <w:tcPr>
            <w:tcW w:w="1220" w:type="dxa"/>
            <w:vAlign w:val="bottom"/>
            <w:tcBorders>
              <w:right w:val="single" w:sz="8" w:color="auto"/>
            </w:tcBorders>
          </w:tcPr>
          <w:p>
            <w:pPr>
              <w:ind w:left="660"/>
              <w:spacing w:after="0"/>
              <w:rPr>
                <w:sz w:val="20"/>
                <w:szCs w:val="20"/>
                <w:color w:val="auto"/>
              </w:rPr>
            </w:pPr>
            <w:r>
              <w:rPr>
                <w:rFonts w:ascii="Arial" w:cs="Arial" w:eastAsia="Arial" w:hAnsi="Arial"/>
                <w:sz w:val="14"/>
                <w:szCs w:val="14"/>
                <w:color w:val="auto"/>
              </w:rPr>
              <w:t>[*CTR]</w:t>
            </w:r>
          </w:p>
        </w:tc>
      </w:tr>
      <w:tr>
        <w:trPr>
          <w:trHeight w:val="498"/>
        </w:trPr>
        <w:tc>
          <w:tcPr>
            <w:tcW w:w="1340" w:type="dxa"/>
            <w:vAlign w:val="bottom"/>
            <w:tcBorders>
              <w:left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jc w:val="right"/>
              <w:ind w:right="27"/>
              <w:spacing w:after="0"/>
              <w:rPr>
                <w:sz w:val="20"/>
                <w:szCs w:val="20"/>
                <w:color w:val="auto"/>
              </w:rPr>
            </w:pPr>
            <w:r>
              <w:rPr>
                <w:rFonts w:ascii="Arial" w:cs="Arial" w:eastAsia="Arial" w:hAnsi="Arial"/>
                <w:sz w:val="14"/>
                <w:szCs w:val="14"/>
                <w:color w:val="auto"/>
              </w:rPr>
              <w:t>9</w:t>
            </w:r>
          </w:p>
        </w:tc>
        <w:tc>
          <w:tcPr>
            <w:tcW w:w="2000" w:type="dxa"/>
            <w:vAlign w:val="bottom"/>
            <w:tcBorders>
              <w:bottom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290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r>
      <w:tr>
        <w:trPr>
          <w:trHeight w:val="156"/>
        </w:trPr>
        <w:tc>
          <w:tcPr>
            <w:tcW w:w="1340" w:type="dxa"/>
            <w:vAlign w:val="bottom"/>
            <w:tcBorders>
              <w:left w:val="single" w:sz="8" w:color="auto"/>
            </w:tcBorders>
          </w:tcPr>
          <w:p>
            <w:pPr>
              <w:spacing w:after="0"/>
              <w:rPr>
                <w:sz w:val="13"/>
                <w:szCs w:val="13"/>
                <w:color w:val="auto"/>
              </w:rPr>
            </w:pPr>
          </w:p>
        </w:tc>
        <w:tc>
          <w:tcPr>
            <w:tcW w:w="800" w:type="dxa"/>
            <w:vAlign w:val="bottom"/>
            <w:tcBorders>
              <w:bottom w:val="single" w:sz="8" w:color="auto"/>
              <w:right w:val="single" w:sz="8" w:color="auto"/>
            </w:tcBorders>
          </w:tcPr>
          <w:p>
            <w:pPr>
              <w:jc w:val="right"/>
              <w:ind w:right="27"/>
              <w:spacing w:after="0" w:line="155" w:lineRule="exact"/>
              <w:rPr>
                <w:sz w:val="20"/>
                <w:szCs w:val="20"/>
                <w:color w:val="auto"/>
              </w:rPr>
            </w:pPr>
            <w:r>
              <w:rPr>
                <w:rFonts w:ascii="Arial" w:cs="Arial" w:eastAsia="Arial" w:hAnsi="Arial"/>
                <w:sz w:val="14"/>
                <w:szCs w:val="14"/>
                <w:color w:val="auto"/>
              </w:rPr>
              <w:t>10</w:t>
            </w:r>
          </w:p>
        </w:tc>
        <w:tc>
          <w:tcPr>
            <w:tcW w:w="2000" w:type="dxa"/>
            <w:vAlign w:val="bottom"/>
            <w:tcBorders>
              <w:bottom w:val="single" w:sz="8" w:color="auto"/>
            </w:tcBorders>
          </w:tcPr>
          <w:p>
            <w:pPr>
              <w:ind w:left="160"/>
              <w:spacing w:after="0" w:line="155" w:lineRule="exact"/>
              <w:rPr>
                <w:sz w:val="20"/>
                <w:szCs w:val="20"/>
                <w:color w:val="auto"/>
              </w:rPr>
            </w:pPr>
            <w:r>
              <w:rPr>
                <w:rFonts w:ascii="Arial" w:cs="Arial" w:eastAsia="Arial" w:hAnsi="Arial"/>
                <w:sz w:val="14"/>
                <w:szCs w:val="14"/>
                <w:color w:val="auto"/>
              </w:rPr>
              <w:t>[*CTR]</w:t>
            </w:r>
          </w:p>
        </w:tc>
        <w:tc>
          <w:tcPr>
            <w:tcW w:w="900" w:type="dxa"/>
            <w:vAlign w:val="bottom"/>
            <w:tcBorders>
              <w:bottom w:val="single" w:sz="8" w:color="auto"/>
              <w:right w:val="single" w:sz="8" w:color="auto"/>
            </w:tcBorders>
          </w:tcPr>
          <w:p>
            <w:pPr>
              <w:spacing w:after="0"/>
              <w:rPr>
                <w:sz w:val="13"/>
                <w:szCs w:val="13"/>
                <w:color w:val="auto"/>
              </w:rPr>
            </w:pPr>
          </w:p>
        </w:tc>
        <w:tc>
          <w:tcPr>
            <w:tcW w:w="2900" w:type="dxa"/>
            <w:vAlign w:val="bottom"/>
            <w:tcBorders>
              <w:bottom w:val="single" w:sz="8" w:color="auto"/>
              <w:right w:val="single" w:sz="8" w:color="auto"/>
            </w:tcBorders>
          </w:tcPr>
          <w:p>
            <w:pPr>
              <w:ind w:left="2380"/>
              <w:spacing w:after="0" w:line="155" w:lineRule="exact"/>
              <w:rPr>
                <w:sz w:val="20"/>
                <w:szCs w:val="20"/>
                <w:color w:val="auto"/>
              </w:rPr>
            </w:pPr>
            <w:r>
              <w:rPr>
                <w:rFonts w:ascii="Arial" w:cs="Arial" w:eastAsia="Arial" w:hAnsi="Arial"/>
                <w:sz w:val="14"/>
                <w:szCs w:val="14"/>
                <w:color w:val="auto"/>
              </w:rPr>
              <w:t>[*CTR]</w:t>
            </w:r>
          </w:p>
        </w:tc>
        <w:tc>
          <w:tcPr>
            <w:tcW w:w="1220" w:type="dxa"/>
            <w:vAlign w:val="bottom"/>
            <w:tcBorders>
              <w:bottom w:val="single" w:sz="8" w:color="auto"/>
              <w:right w:val="single" w:sz="8" w:color="auto"/>
            </w:tcBorders>
          </w:tcPr>
          <w:p>
            <w:pPr>
              <w:ind w:left="660"/>
              <w:spacing w:after="0" w:line="155" w:lineRule="exact"/>
              <w:rPr>
                <w:sz w:val="20"/>
                <w:szCs w:val="20"/>
                <w:color w:val="auto"/>
              </w:rPr>
            </w:pPr>
            <w:r>
              <w:rPr>
                <w:rFonts w:ascii="Arial" w:cs="Arial" w:eastAsia="Arial" w:hAnsi="Arial"/>
                <w:sz w:val="14"/>
                <w:szCs w:val="14"/>
                <w:color w:val="auto"/>
              </w:rPr>
              <w:t>[*CTR]</w:t>
            </w:r>
          </w:p>
        </w:tc>
      </w:tr>
      <w:tr>
        <w:trPr>
          <w:trHeight w:val="156"/>
        </w:trPr>
        <w:tc>
          <w:tcPr>
            <w:tcW w:w="1340" w:type="dxa"/>
            <w:vAlign w:val="bottom"/>
            <w:tcBorders>
              <w:left w:val="single" w:sz="8" w:color="auto"/>
              <w:bottom w:val="single" w:sz="8" w:color="auto"/>
            </w:tcBorders>
          </w:tcPr>
          <w:p>
            <w:pPr>
              <w:spacing w:after="0"/>
              <w:rPr>
                <w:sz w:val="13"/>
                <w:szCs w:val="13"/>
                <w:color w:val="auto"/>
              </w:rPr>
            </w:pPr>
          </w:p>
        </w:tc>
        <w:tc>
          <w:tcPr>
            <w:tcW w:w="800" w:type="dxa"/>
            <w:vAlign w:val="bottom"/>
            <w:tcBorders>
              <w:bottom w:val="single" w:sz="8" w:color="auto"/>
              <w:right w:val="single" w:sz="8" w:color="auto"/>
            </w:tcBorders>
          </w:tcPr>
          <w:p>
            <w:pPr>
              <w:jc w:val="right"/>
              <w:ind w:right="27"/>
              <w:spacing w:after="0" w:line="155" w:lineRule="exact"/>
              <w:rPr>
                <w:sz w:val="20"/>
                <w:szCs w:val="20"/>
                <w:color w:val="auto"/>
              </w:rPr>
            </w:pPr>
            <w:r>
              <w:rPr>
                <w:rFonts w:ascii="Arial" w:cs="Arial" w:eastAsia="Arial" w:hAnsi="Arial"/>
                <w:sz w:val="14"/>
                <w:szCs w:val="14"/>
                <w:color w:val="auto"/>
              </w:rPr>
              <w:t>11</w:t>
            </w:r>
          </w:p>
        </w:tc>
        <w:tc>
          <w:tcPr>
            <w:tcW w:w="2000" w:type="dxa"/>
            <w:vAlign w:val="bottom"/>
            <w:tcBorders>
              <w:bottom w:val="single" w:sz="8" w:color="auto"/>
            </w:tcBorders>
          </w:tcPr>
          <w:p>
            <w:pPr>
              <w:ind w:left="160"/>
              <w:spacing w:after="0" w:line="155" w:lineRule="exact"/>
              <w:rPr>
                <w:sz w:val="20"/>
                <w:szCs w:val="20"/>
                <w:color w:val="auto"/>
              </w:rPr>
            </w:pPr>
            <w:r>
              <w:rPr>
                <w:rFonts w:ascii="Arial" w:cs="Arial" w:eastAsia="Arial" w:hAnsi="Arial"/>
                <w:sz w:val="14"/>
                <w:szCs w:val="14"/>
                <w:color w:val="auto"/>
              </w:rPr>
              <w:t>[*CTR]</w:t>
            </w:r>
          </w:p>
        </w:tc>
        <w:tc>
          <w:tcPr>
            <w:tcW w:w="900" w:type="dxa"/>
            <w:vAlign w:val="bottom"/>
            <w:tcBorders>
              <w:bottom w:val="single" w:sz="8" w:color="auto"/>
              <w:right w:val="single" w:sz="8" w:color="auto"/>
            </w:tcBorders>
          </w:tcPr>
          <w:p>
            <w:pPr>
              <w:spacing w:after="0"/>
              <w:rPr>
                <w:sz w:val="13"/>
                <w:szCs w:val="13"/>
                <w:color w:val="auto"/>
              </w:rPr>
            </w:pPr>
          </w:p>
        </w:tc>
        <w:tc>
          <w:tcPr>
            <w:tcW w:w="2900" w:type="dxa"/>
            <w:vAlign w:val="bottom"/>
            <w:tcBorders>
              <w:bottom w:val="single" w:sz="8" w:color="auto"/>
              <w:right w:val="single" w:sz="8" w:color="auto"/>
            </w:tcBorders>
          </w:tcPr>
          <w:p>
            <w:pPr>
              <w:ind w:left="2380"/>
              <w:spacing w:after="0" w:line="155" w:lineRule="exact"/>
              <w:rPr>
                <w:sz w:val="20"/>
                <w:szCs w:val="20"/>
                <w:color w:val="auto"/>
              </w:rPr>
            </w:pPr>
            <w:r>
              <w:rPr>
                <w:rFonts w:ascii="Arial" w:cs="Arial" w:eastAsia="Arial" w:hAnsi="Arial"/>
                <w:sz w:val="14"/>
                <w:szCs w:val="14"/>
                <w:color w:val="auto"/>
              </w:rPr>
              <w:t>[*CTR]</w:t>
            </w:r>
          </w:p>
        </w:tc>
        <w:tc>
          <w:tcPr>
            <w:tcW w:w="1220" w:type="dxa"/>
            <w:vAlign w:val="bottom"/>
            <w:tcBorders>
              <w:bottom w:val="single" w:sz="8" w:color="auto"/>
              <w:right w:val="single" w:sz="8" w:color="auto"/>
            </w:tcBorders>
          </w:tcPr>
          <w:p>
            <w:pPr>
              <w:ind w:left="660"/>
              <w:spacing w:after="0" w:line="155" w:lineRule="exact"/>
              <w:rPr>
                <w:sz w:val="20"/>
                <w:szCs w:val="20"/>
                <w:color w:val="auto"/>
              </w:rPr>
            </w:pPr>
            <w:r>
              <w:rPr>
                <w:rFonts w:ascii="Arial" w:cs="Arial" w:eastAsia="Arial" w:hAnsi="Arial"/>
                <w:sz w:val="14"/>
                <w:szCs w:val="14"/>
                <w:color w:val="auto"/>
              </w:rPr>
              <w:t>[*CTR]</w:t>
            </w:r>
          </w:p>
        </w:tc>
      </w:tr>
    </w:tbl>
    <w:p>
      <w:pPr>
        <w:spacing w:after="0" w:line="1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380490" cy="3689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clrChange>
                        <a:clrFrom>
                          <a:srgbClr val="FFFFFF"/>
                        </a:clrFrom>
                        <a:clrTo>
                          <a:srgbClr val="FFFFFF">
                            <a:alpha val="0"/>
                          </a:srgbClr>
                        </a:clrTo>
                      </a:clrChange>
                      <a:extLst>
                        <a:ext uri="{28A0092B-C50C-407E-A947-70E740481C1C}"/>
                      </a:extLst>
                    </a:blip>
                    <a:srcRect/>
                    <a:stretch>
                      <a:fillRect/>
                    </a:stretch>
                  </pic:blipFill>
                  <pic:spPr bwMode="auto">
                    <a:xfrm>
                      <a:off x="0" y="0"/>
                      <a:ext cx="1380490" cy="36893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Attachment A to AAL-PA-3219-LA-1701988</w:t>
      </w:r>
    </w:p>
    <w:p>
      <w:pPr>
        <w:spacing w:after="0" w:line="230" w:lineRule="auto"/>
        <w:rPr>
          <w:sz w:val="20"/>
          <w:szCs w:val="20"/>
          <w:color w:val="auto"/>
        </w:rPr>
      </w:pPr>
      <w:r>
        <w:rPr>
          <w:rFonts w:ascii="Arial" w:cs="Arial" w:eastAsia="Arial" w:hAnsi="Arial"/>
          <w:sz w:val="22"/>
          <w:szCs w:val="22"/>
          <w:color w:val="auto"/>
        </w:rPr>
        <w:t>[*CTR],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Letter Agreement AAL-PA-3219-LA-1302236R1</w:t>
      </w:r>
    </w:p>
    <w:p>
      <w:pPr>
        <w:spacing w:after="0" w:line="4"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BOEING PROPRIETARY</w:t>
      </w:r>
    </w:p>
    <w:p>
      <w:pPr>
        <w:spacing w:after="0" w:line="66"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[*CTR]=[CONFIDENTIAL PORTION OMITTED AND FILED SEPARATELY WITH THE COMMISSION PURSUANT TO A REQUEST FOR CONFIDENTIAL TREATMENT]</w:t>
      </w:r>
    </w:p>
    <w:p>
      <w:pPr>
        <w:sectPr>
          <w:pgSz w:w="11900" w:h="16838" w:orient="portrait"/>
          <w:cols w:equalWidth="0" w:num="1">
            <w:col w:w="11420"/>
          </w:cols>
          <w:pgMar w:left="240" w:top="1240" w:right="239" w:bottom="1440" w:gutter="0" w:footer="0" w:header="0"/>
        </w:sectPr>
      </w:pPr>
    </w:p>
    <w:bookmarkStart w:id="132" w:name="page133"/>
    <w:bookmarkEnd w:id="132"/>
    <w:tbl>
      <w:tblPr>
        <w:tblLayout w:type="fixed"/>
        <w:tblInd w:w="10" w:type="dxa"/>
        <w:tblCellMar>
          <w:top w:w="0" w:type="dxa"/>
          <w:left w:w="0" w:type="dxa"/>
          <w:bottom w:w="0" w:type="dxa"/>
          <w:right w:w="0" w:type="dxa"/>
        </w:tblCellMar>
      </w:tblPr>
      <w:tr>
        <w:trPr>
          <w:trHeight w:val="351"/>
        </w:trPr>
        <w:tc>
          <w:tcPr>
            <w:tcW w:w="1180" w:type="dxa"/>
            <w:vAlign w:val="bottom"/>
            <w:tcBorders>
              <w:top w:val="single" w:sz="8" w:color="auto"/>
              <w:left w:val="single" w:sz="8" w:color="auto"/>
              <w:right w:val="single" w:sz="8" w:color="CCCCCC"/>
            </w:tcBorders>
            <w:shd w:val="clear" w:color="auto" w:fill="CCCCCC"/>
          </w:tcPr>
          <w:p>
            <w:pPr>
              <w:ind w:left="380"/>
              <w:spacing w:after="0"/>
              <w:rPr>
                <w:sz w:val="20"/>
                <w:szCs w:val="20"/>
                <w:color w:val="auto"/>
              </w:rPr>
            </w:pPr>
            <w:r>
              <w:rPr>
                <w:rFonts w:ascii="Arial" w:cs="Arial" w:eastAsia="Arial" w:hAnsi="Arial"/>
                <w:sz w:val="18"/>
                <w:szCs w:val="18"/>
                <w:b w:val="1"/>
                <w:bCs w:val="1"/>
                <w:color w:val="auto"/>
              </w:rPr>
              <w:t>[*CTR]</w:t>
            </w:r>
          </w:p>
        </w:tc>
        <w:tc>
          <w:tcPr>
            <w:tcW w:w="820" w:type="dxa"/>
            <w:vAlign w:val="bottom"/>
            <w:tcBorders>
              <w:top w:val="single" w:sz="8" w:color="auto"/>
              <w:right w:val="single" w:sz="8" w:color="auto"/>
            </w:tcBorders>
            <w:shd w:val="clear" w:color="auto" w:fill="CCCCCC"/>
          </w:tcPr>
          <w:p>
            <w:pPr>
              <w:jc w:val="right"/>
              <w:ind w:right="47"/>
              <w:spacing w:after="0"/>
              <w:rPr>
                <w:sz w:val="20"/>
                <w:szCs w:val="20"/>
                <w:color w:val="auto"/>
              </w:rPr>
            </w:pPr>
            <w:r>
              <w:rPr>
                <w:rFonts w:ascii="Arial" w:cs="Arial" w:eastAsia="Arial" w:hAnsi="Arial"/>
                <w:sz w:val="18"/>
                <w:szCs w:val="18"/>
                <w:b w:val="1"/>
                <w:bCs w:val="1"/>
                <w:color w:val="auto"/>
              </w:rPr>
              <w:t>[*CTR]</w:t>
            </w:r>
          </w:p>
        </w:tc>
        <w:tc>
          <w:tcPr>
            <w:tcW w:w="3060" w:type="dxa"/>
            <w:vAlign w:val="bottom"/>
            <w:tcBorders>
              <w:top w:val="single" w:sz="8" w:color="auto"/>
              <w:right w:val="single" w:sz="8" w:color="auto"/>
            </w:tcBorders>
            <w:shd w:val="clear" w:color="auto" w:fill="CCCCCC"/>
          </w:tcPr>
          <w:p>
            <w:pPr>
              <w:ind w:left="1320"/>
              <w:spacing w:after="0"/>
              <w:rPr>
                <w:sz w:val="20"/>
                <w:szCs w:val="20"/>
                <w:color w:val="auto"/>
              </w:rPr>
            </w:pPr>
            <w:r>
              <w:rPr>
                <w:rFonts w:ascii="Arial" w:cs="Arial" w:eastAsia="Arial" w:hAnsi="Arial"/>
                <w:sz w:val="18"/>
                <w:szCs w:val="18"/>
                <w:b w:val="1"/>
                <w:bCs w:val="1"/>
                <w:color w:val="auto"/>
              </w:rPr>
              <w:t>[*CTR]</w:t>
            </w:r>
          </w:p>
        </w:tc>
        <w:tc>
          <w:tcPr>
            <w:tcW w:w="2960" w:type="dxa"/>
            <w:vAlign w:val="bottom"/>
            <w:tcBorders>
              <w:top w:val="single" w:sz="8" w:color="auto"/>
              <w:right w:val="single" w:sz="8" w:color="auto"/>
            </w:tcBorders>
            <w:shd w:val="clear" w:color="auto" w:fill="CCCCCC"/>
          </w:tcPr>
          <w:p>
            <w:pPr>
              <w:ind w:left="1260"/>
              <w:spacing w:after="0"/>
              <w:rPr>
                <w:sz w:val="20"/>
                <w:szCs w:val="20"/>
                <w:color w:val="auto"/>
              </w:rPr>
            </w:pPr>
            <w:r>
              <w:rPr>
                <w:rFonts w:ascii="Arial" w:cs="Arial" w:eastAsia="Arial" w:hAnsi="Arial"/>
                <w:sz w:val="18"/>
                <w:szCs w:val="18"/>
                <w:b w:val="1"/>
                <w:bCs w:val="1"/>
                <w:color w:val="auto"/>
              </w:rPr>
              <w:t>[*CTR]</w:t>
            </w:r>
          </w:p>
        </w:tc>
        <w:tc>
          <w:tcPr>
            <w:tcW w:w="1140" w:type="dxa"/>
            <w:vAlign w:val="bottom"/>
            <w:tcBorders>
              <w:top w:val="single" w:sz="8" w:color="auto"/>
              <w:right w:val="single" w:sz="8" w:color="auto"/>
            </w:tcBorders>
            <w:shd w:val="clear" w:color="auto" w:fill="CCCCCC"/>
          </w:tcPr>
          <w:p>
            <w:pPr>
              <w:ind w:left="340"/>
              <w:spacing w:after="0"/>
              <w:rPr>
                <w:sz w:val="20"/>
                <w:szCs w:val="20"/>
                <w:color w:val="auto"/>
              </w:rPr>
            </w:pPr>
            <w:r>
              <w:rPr>
                <w:rFonts w:ascii="Arial" w:cs="Arial" w:eastAsia="Arial" w:hAnsi="Arial"/>
                <w:sz w:val="18"/>
                <w:szCs w:val="18"/>
                <w:b w:val="1"/>
                <w:bCs w:val="1"/>
                <w:color w:val="auto"/>
              </w:rPr>
              <w:t>[*CTR]</w:t>
            </w:r>
          </w:p>
        </w:tc>
      </w:tr>
      <w:tr>
        <w:trPr>
          <w:trHeight w:val="122"/>
        </w:trPr>
        <w:tc>
          <w:tcPr>
            <w:tcW w:w="1180" w:type="dxa"/>
            <w:vAlign w:val="bottom"/>
            <w:tcBorders>
              <w:left w:val="single" w:sz="8" w:color="auto"/>
              <w:bottom w:val="single" w:sz="8" w:color="auto"/>
              <w:right w:val="single" w:sz="8" w:color="CCCCCC"/>
            </w:tcBorders>
            <w:shd w:val="clear" w:color="auto" w:fill="CCCCCC"/>
          </w:tcPr>
          <w:p>
            <w:pPr>
              <w:spacing w:after="0"/>
              <w:rPr>
                <w:sz w:val="10"/>
                <w:szCs w:val="10"/>
                <w:color w:val="auto"/>
              </w:rPr>
            </w:pPr>
          </w:p>
        </w:tc>
        <w:tc>
          <w:tcPr>
            <w:tcW w:w="820" w:type="dxa"/>
            <w:vAlign w:val="bottom"/>
            <w:tcBorders>
              <w:bottom w:val="single" w:sz="8" w:color="auto"/>
              <w:right w:val="single" w:sz="8" w:color="auto"/>
            </w:tcBorders>
            <w:shd w:val="clear" w:color="auto" w:fill="CCCCCC"/>
          </w:tcPr>
          <w:p>
            <w:pPr>
              <w:spacing w:after="0"/>
              <w:rPr>
                <w:sz w:val="10"/>
                <w:szCs w:val="10"/>
                <w:color w:val="auto"/>
              </w:rPr>
            </w:pPr>
          </w:p>
        </w:tc>
        <w:tc>
          <w:tcPr>
            <w:tcW w:w="3060" w:type="dxa"/>
            <w:vAlign w:val="bottom"/>
            <w:tcBorders>
              <w:bottom w:val="single" w:sz="8" w:color="auto"/>
              <w:right w:val="single" w:sz="8" w:color="auto"/>
            </w:tcBorders>
            <w:shd w:val="clear" w:color="auto" w:fill="CCCCCC"/>
          </w:tcPr>
          <w:p>
            <w:pPr>
              <w:spacing w:after="0"/>
              <w:rPr>
                <w:sz w:val="10"/>
                <w:szCs w:val="10"/>
                <w:color w:val="auto"/>
              </w:rPr>
            </w:pPr>
          </w:p>
        </w:tc>
        <w:tc>
          <w:tcPr>
            <w:tcW w:w="2960" w:type="dxa"/>
            <w:vAlign w:val="bottom"/>
            <w:tcBorders>
              <w:bottom w:val="single" w:sz="8" w:color="auto"/>
              <w:right w:val="single" w:sz="8" w:color="auto"/>
            </w:tcBorders>
            <w:shd w:val="clear" w:color="auto" w:fill="CCCCCC"/>
          </w:tcPr>
          <w:p>
            <w:pPr>
              <w:spacing w:after="0"/>
              <w:rPr>
                <w:sz w:val="10"/>
                <w:szCs w:val="10"/>
                <w:color w:val="auto"/>
              </w:rPr>
            </w:pPr>
          </w:p>
        </w:tc>
        <w:tc>
          <w:tcPr>
            <w:tcW w:w="1140" w:type="dxa"/>
            <w:vAlign w:val="bottom"/>
            <w:tcBorders>
              <w:bottom w:val="single" w:sz="8" w:color="auto"/>
              <w:right w:val="single" w:sz="8" w:color="auto"/>
            </w:tcBorders>
            <w:shd w:val="clear" w:color="auto" w:fill="CCCCCC"/>
          </w:tcPr>
          <w:p>
            <w:pPr>
              <w:spacing w:after="0"/>
              <w:rPr>
                <w:sz w:val="10"/>
                <w:szCs w:val="10"/>
                <w:color w:val="auto"/>
              </w:rPr>
            </w:pPr>
          </w:p>
        </w:tc>
      </w:tr>
      <w:tr>
        <w:trPr>
          <w:trHeight w:val="1006"/>
        </w:trPr>
        <w:tc>
          <w:tcPr>
            <w:tcW w:w="1180" w:type="dxa"/>
            <w:vAlign w:val="bottom"/>
            <w:tcBorders>
              <w:left w:val="single" w:sz="8" w:color="auto"/>
              <w:bottom w:val="single" w:sz="8" w:color="auto"/>
              <w:right w:val="single" w:sz="8" w:color="0070C0"/>
            </w:tcBorders>
            <w:shd w:val="clear" w:color="auto" w:fill="0070C0"/>
          </w:tcPr>
          <w:p>
            <w:pPr>
              <w:spacing w:after="0"/>
              <w:rPr>
                <w:sz w:val="24"/>
                <w:szCs w:val="24"/>
                <w:color w:val="auto"/>
              </w:rPr>
            </w:pPr>
          </w:p>
        </w:tc>
        <w:tc>
          <w:tcPr>
            <w:tcW w:w="820" w:type="dxa"/>
            <w:vAlign w:val="bottom"/>
            <w:tcBorders>
              <w:bottom w:val="single" w:sz="8" w:color="auto"/>
              <w:right w:val="single" w:sz="8" w:color="0070C0"/>
            </w:tcBorders>
            <w:shd w:val="clear" w:color="auto" w:fill="0070C0"/>
          </w:tcPr>
          <w:p>
            <w:pPr>
              <w:spacing w:after="0"/>
              <w:rPr>
                <w:sz w:val="24"/>
                <w:szCs w:val="24"/>
                <w:color w:val="auto"/>
              </w:rPr>
            </w:pPr>
          </w:p>
        </w:tc>
        <w:tc>
          <w:tcPr>
            <w:tcW w:w="3060" w:type="dxa"/>
            <w:vAlign w:val="bottom"/>
            <w:tcBorders>
              <w:bottom w:val="single" w:sz="8" w:color="auto"/>
              <w:right w:val="single" w:sz="8" w:color="0070C0"/>
            </w:tcBorders>
            <w:shd w:val="clear" w:color="auto" w:fill="0070C0"/>
          </w:tcPr>
          <w:p>
            <w:pPr>
              <w:ind w:left="2360"/>
              <w:spacing w:after="0"/>
              <w:rPr>
                <w:sz w:val="20"/>
                <w:szCs w:val="20"/>
                <w:color w:val="auto"/>
              </w:rPr>
            </w:pPr>
            <w:r>
              <w:rPr>
                <w:rFonts w:ascii="Arial" w:cs="Arial" w:eastAsia="Arial" w:hAnsi="Arial"/>
                <w:sz w:val="18"/>
                <w:szCs w:val="18"/>
                <w:b w:val="1"/>
                <w:bCs w:val="1"/>
                <w:color w:val="FFFFFF"/>
              </w:rPr>
              <w:t>[*CTR]</w:t>
            </w:r>
          </w:p>
        </w:tc>
        <w:tc>
          <w:tcPr>
            <w:tcW w:w="2960" w:type="dxa"/>
            <w:vAlign w:val="bottom"/>
            <w:tcBorders>
              <w:bottom w:val="single" w:sz="8" w:color="auto"/>
              <w:right w:val="single" w:sz="8" w:color="0070C0"/>
            </w:tcBorders>
            <w:shd w:val="clear" w:color="auto" w:fill="0070C0"/>
          </w:tcPr>
          <w:p>
            <w:pPr>
              <w:spacing w:after="0"/>
              <w:rPr>
                <w:sz w:val="24"/>
                <w:szCs w:val="24"/>
                <w:color w:val="auto"/>
              </w:rPr>
            </w:pPr>
          </w:p>
        </w:tc>
        <w:tc>
          <w:tcPr>
            <w:tcW w:w="1140" w:type="dxa"/>
            <w:vAlign w:val="bottom"/>
            <w:tcBorders>
              <w:bottom w:val="single" w:sz="8" w:color="auto"/>
              <w:right w:val="single" w:sz="8" w:color="auto"/>
            </w:tcBorders>
            <w:shd w:val="clear" w:color="auto" w:fill="0070C0"/>
          </w:tcPr>
          <w:p>
            <w:pPr>
              <w:spacing w:after="0"/>
              <w:rPr>
                <w:sz w:val="24"/>
                <w:szCs w:val="24"/>
                <w:color w:val="auto"/>
              </w:rPr>
            </w:pPr>
          </w:p>
        </w:tc>
      </w:tr>
      <w:tr>
        <w:trPr>
          <w:trHeight w:val="171"/>
        </w:trPr>
        <w:tc>
          <w:tcPr>
            <w:tcW w:w="1180" w:type="dxa"/>
            <w:vAlign w:val="bottom"/>
            <w:tcBorders>
              <w:left w:val="single" w:sz="8" w:color="auto"/>
            </w:tcBorders>
          </w:tcPr>
          <w:p>
            <w:pPr>
              <w:spacing w:after="0"/>
              <w:rPr>
                <w:sz w:val="14"/>
                <w:szCs w:val="14"/>
                <w:color w:val="auto"/>
              </w:rPr>
            </w:pPr>
          </w:p>
        </w:tc>
        <w:tc>
          <w:tcPr>
            <w:tcW w:w="820" w:type="dxa"/>
            <w:vAlign w:val="bottom"/>
            <w:tcBorders>
              <w:right w:val="single" w:sz="8" w:color="auto"/>
            </w:tcBorders>
          </w:tcPr>
          <w:p>
            <w:pPr>
              <w:spacing w:after="0"/>
              <w:rPr>
                <w:sz w:val="14"/>
                <w:szCs w:val="14"/>
                <w:color w:val="auto"/>
              </w:rPr>
            </w:pPr>
          </w:p>
        </w:tc>
        <w:tc>
          <w:tcPr>
            <w:tcW w:w="3060" w:type="dxa"/>
            <w:vAlign w:val="bottom"/>
            <w:tcBorders>
              <w:right w:val="single" w:sz="8" w:color="auto"/>
            </w:tcBorders>
          </w:tcPr>
          <w:p>
            <w:pPr>
              <w:ind w:left="2520"/>
              <w:spacing w:after="0"/>
              <w:rPr>
                <w:sz w:val="20"/>
                <w:szCs w:val="20"/>
                <w:color w:val="auto"/>
              </w:rPr>
            </w:pPr>
            <w:r>
              <w:rPr>
                <w:rFonts w:ascii="Arial" w:cs="Arial" w:eastAsia="Arial" w:hAnsi="Arial"/>
                <w:sz w:val="14"/>
                <w:szCs w:val="14"/>
                <w:color w:val="auto"/>
              </w:rPr>
              <w:t>[*CTR]</w:t>
            </w:r>
          </w:p>
        </w:tc>
        <w:tc>
          <w:tcPr>
            <w:tcW w:w="2960" w:type="dxa"/>
            <w:vAlign w:val="bottom"/>
            <w:tcBorders>
              <w:right w:val="single" w:sz="8" w:color="auto"/>
            </w:tcBorders>
          </w:tcPr>
          <w:p>
            <w:pPr>
              <w:ind w:left="2440"/>
              <w:spacing w:after="0"/>
              <w:rPr>
                <w:sz w:val="20"/>
                <w:szCs w:val="20"/>
                <w:color w:val="auto"/>
              </w:rPr>
            </w:pPr>
            <w:r>
              <w:rPr>
                <w:rFonts w:ascii="Arial" w:cs="Arial" w:eastAsia="Arial" w:hAnsi="Arial"/>
                <w:sz w:val="14"/>
                <w:szCs w:val="14"/>
                <w:color w:val="auto"/>
              </w:rPr>
              <w:t>[*CTR]</w:t>
            </w:r>
          </w:p>
        </w:tc>
        <w:tc>
          <w:tcPr>
            <w:tcW w:w="1140" w:type="dxa"/>
            <w:vAlign w:val="bottom"/>
            <w:tcBorders>
              <w:right w:val="single" w:sz="8" w:color="auto"/>
            </w:tcBorders>
          </w:tcPr>
          <w:p>
            <w:pPr>
              <w:ind w:left="580"/>
              <w:spacing w:after="0"/>
              <w:rPr>
                <w:sz w:val="20"/>
                <w:szCs w:val="20"/>
                <w:color w:val="auto"/>
              </w:rPr>
            </w:pPr>
            <w:r>
              <w:rPr>
                <w:rFonts w:ascii="Arial" w:cs="Arial" w:eastAsia="Arial" w:hAnsi="Arial"/>
                <w:sz w:val="14"/>
                <w:szCs w:val="14"/>
                <w:color w:val="auto"/>
              </w:rPr>
              <w:t>[*CTR]</w:t>
            </w:r>
          </w:p>
        </w:tc>
      </w:tr>
      <w:tr>
        <w:trPr>
          <w:trHeight w:val="242"/>
        </w:trPr>
        <w:tc>
          <w:tcPr>
            <w:tcW w:w="1180" w:type="dxa"/>
            <w:vAlign w:val="bottom"/>
            <w:tcBorders>
              <w:left w:val="single" w:sz="8" w:color="auto"/>
              <w:bottom w:val="single" w:sz="8" w:color="auto"/>
            </w:tcBorders>
          </w:tcPr>
          <w:p>
            <w:pPr>
              <w:jc w:val="center"/>
              <w:ind w:left="464"/>
              <w:spacing w:after="0"/>
              <w:rPr>
                <w:sz w:val="20"/>
                <w:szCs w:val="20"/>
                <w:color w:val="auto"/>
              </w:rPr>
            </w:pPr>
            <w:r>
              <w:rPr>
                <w:rFonts w:ascii="Arial" w:cs="Arial" w:eastAsia="Arial" w:hAnsi="Arial"/>
                <w:sz w:val="14"/>
                <w:szCs w:val="14"/>
                <w:color w:val="auto"/>
              </w:rPr>
              <w:t>[*CTR]</w:t>
            </w:r>
          </w:p>
        </w:tc>
        <w:tc>
          <w:tcPr>
            <w:tcW w:w="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3060" w:type="dxa"/>
            <w:vAlign w:val="bottom"/>
            <w:tcBorders>
              <w:bottom w:val="single" w:sz="8" w:color="auto"/>
              <w:right w:val="single" w:sz="8" w:color="auto"/>
            </w:tcBorders>
          </w:tcPr>
          <w:p>
            <w:pPr>
              <w:spacing w:after="0"/>
              <w:rPr>
                <w:sz w:val="21"/>
                <w:szCs w:val="21"/>
                <w:color w:val="auto"/>
              </w:rPr>
            </w:pPr>
          </w:p>
        </w:tc>
        <w:tc>
          <w:tcPr>
            <w:tcW w:w="2960" w:type="dxa"/>
            <w:vAlign w:val="bottom"/>
            <w:tcBorders>
              <w:bottom w:val="single" w:sz="8" w:color="auto"/>
              <w:right w:val="single" w:sz="8" w:color="auto"/>
            </w:tcBorders>
          </w:tcPr>
          <w:p>
            <w:pPr>
              <w:spacing w:after="0"/>
              <w:rPr>
                <w:sz w:val="21"/>
                <w:szCs w:val="21"/>
                <w:color w:val="auto"/>
              </w:rPr>
            </w:pPr>
          </w:p>
        </w:tc>
        <w:tc>
          <w:tcPr>
            <w:tcW w:w="1140" w:type="dxa"/>
            <w:vAlign w:val="bottom"/>
            <w:tcBorders>
              <w:bottom w:val="single" w:sz="8" w:color="auto"/>
              <w:right w:val="single" w:sz="8" w:color="auto"/>
            </w:tcBorders>
          </w:tcPr>
          <w:p>
            <w:pPr>
              <w:spacing w:after="0"/>
              <w:rPr>
                <w:sz w:val="21"/>
                <w:szCs w:val="21"/>
                <w:color w:val="auto"/>
              </w:rPr>
            </w:pPr>
          </w:p>
        </w:tc>
      </w:tr>
      <w:tr>
        <w:trPr>
          <w:trHeight w:val="156"/>
        </w:trPr>
        <w:tc>
          <w:tcPr>
            <w:tcW w:w="1180" w:type="dxa"/>
            <w:vAlign w:val="bottom"/>
            <w:tcBorders>
              <w:left w:val="single" w:sz="8" w:color="auto"/>
              <w:right w:val="single" w:sz="8" w:color="auto"/>
            </w:tcBorders>
          </w:tcPr>
          <w:p>
            <w:pPr>
              <w:jc w:val="center"/>
              <w:ind w:left="444"/>
              <w:spacing w:after="0" w:line="155" w:lineRule="exact"/>
              <w:rPr>
                <w:sz w:val="20"/>
                <w:szCs w:val="20"/>
                <w:color w:val="auto"/>
              </w:rPr>
            </w:pPr>
            <w:r>
              <w:rPr>
                <w:rFonts w:ascii="Arial" w:cs="Arial" w:eastAsia="Arial" w:hAnsi="Arial"/>
                <w:sz w:val="14"/>
                <w:szCs w:val="14"/>
                <w:color w:val="auto"/>
              </w:rPr>
              <w:t>[*CTR]]</w:t>
            </w:r>
          </w:p>
        </w:tc>
        <w:tc>
          <w:tcPr>
            <w:tcW w:w="820" w:type="dxa"/>
            <w:vAlign w:val="bottom"/>
            <w:tcBorders>
              <w:bottom w:val="single" w:sz="8" w:color="auto"/>
              <w:right w:val="single" w:sz="8" w:color="auto"/>
            </w:tcBorders>
          </w:tcPr>
          <w:p>
            <w:pPr>
              <w:jc w:val="right"/>
              <w:spacing w:after="0" w:line="155" w:lineRule="exact"/>
              <w:rPr>
                <w:sz w:val="20"/>
                <w:szCs w:val="20"/>
                <w:color w:val="auto"/>
              </w:rPr>
            </w:pPr>
            <w:r>
              <w:rPr>
                <w:rFonts w:ascii="Arial" w:cs="Arial" w:eastAsia="Arial" w:hAnsi="Arial"/>
                <w:sz w:val="14"/>
                <w:szCs w:val="14"/>
                <w:color w:val="auto"/>
              </w:rPr>
              <w:t>2</w:t>
            </w:r>
          </w:p>
        </w:tc>
        <w:tc>
          <w:tcPr>
            <w:tcW w:w="3060" w:type="dxa"/>
            <w:vAlign w:val="bottom"/>
            <w:tcBorders>
              <w:bottom w:val="single" w:sz="8" w:color="auto"/>
              <w:right w:val="single" w:sz="8" w:color="auto"/>
            </w:tcBorders>
          </w:tcPr>
          <w:p>
            <w:pPr>
              <w:ind w:left="2520"/>
              <w:spacing w:after="0" w:line="155" w:lineRule="exact"/>
              <w:rPr>
                <w:sz w:val="20"/>
                <w:szCs w:val="20"/>
                <w:color w:val="auto"/>
              </w:rPr>
            </w:pPr>
            <w:r>
              <w:rPr>
                <w:rFonts w:ascii="Arial" w:cs="Arial" w:eastAsia="Arial" w:hAnsi="Arial"/>
                <w:sz w:val="14"/>
                <w:szCs w:val="14"/>
                <w:color w:val="auto"/>
              </w:rPr>
              <w:t>[*CTR]</w:t>
            </w:r>
          </w:p>
        </w:tc>
        <w:tc>
          <w:tcPr>
            <w:tcW w:w="2960" w:type="dxa"/>
            <w:vAlign w:val="bottom"/>
            <w:tcBorders>
              <w:bottom w:val="single" w:sz="8" w:color="auto"/>
              <w:right w:val="single" w:sz="8" w:color="auto"/>
            </w:tcBorders>
          </w:tcPr>
          <w:p>
            <w:pPr>
              <w:ind w:left="2440"/>
              <w:spacing w:after="0" w:line="155" w:lineRule="exact"/>
              <w:rPr>
                <w:sz w:val="20"/>
                <w:szCs w:val="20"/>
                <w:color w:val="auto"/>
              </w:rPr>
            </w:pPr>
            <w:r>
              <w:rPr>
                <w:rFonts w:ascii="Arial" w:cs="Arial" w:eastAsia="Arial" w:hAnsi="Arial"/>
                <w:sz w:val="14"/>
                <w:szCs w:val="14"/>
                <w:color w:val="auto"/>
              </w:rPr>
              <w:t>[*CTR]</w:t>
            </w:r>
          </w:p>
        </w:tc>
        <w:tc>
          <w:tcPr>
            <w:tcW w:w="1140" w:type="dxa"/>
            <w:vAlign w:val="bottom"/>
            <w:tcBorders>
              <w:bottom w:val="single" w:sz="8" w:color="auto"/>
              <w:right w:val="single" w:sz="8" w:color="auto"/>
            </w:tcBorders>
          </w:tcPr>
          <w:p>
            <w:pPr>
              <w:ind w:left="580"/>
              <w:spacing w:after="0" w:line="155" w:lineRule="exact"/>
              <w:rPr>
                <w:sz w:val="20"/>
                <w:szCs w:val="20"/>
                <w:color w:val="auto"/>
              </w:rPr>
            </w:pPr>
            <w:r>
              <w:rPr>
                <w:rFonts w:ascii="Arial" w:cs="Arial" w:eastAsia="Arial" w:hAnsi="Arial"/>
                <w:sz w:val="14"/>
                <w:szCs w:val="14"/>
                <w:color w:val="auto"/>
              </w:rPr>
              <w:t>[*CTR]</w:t>
            </w:r>
          </w:p>
        </w:tc>
      </w:tr>
      <w:tr>
        <w:trPr>
          <w:trHeight w:val="156"/>
        </w:trPr>
        <w:tc>
          <w:tcPr>
            <w:tcW w:w="1180" w:type="dxa"/>
            <w:vAlign w:val="bottom"/>
            <w:tcBorders>
              <w:left w:val="single" w:sz="8" w:color="auto"/>
            </w:tcBorders>
          </w:tcPr>
          <w:p>
            <w:pPr>
              <w:spacing w:after="0"/>
              <w:rPr>
                <w:sz w:val="13"/>
                <w:szCs w:val="13"/>
                <w:color w:val="auto"/>
              </w:rPr>
            </w:pPr>
          </w:p>
        </w:tc>
        <w:tc>
          <w:tcPr>
            <w:tcW w:w="820" w:type="dxa"/>
            <w:vAlign w:val="bottom"/>
            <w:tcBorders>
              <w:bottom w:val="single" w:sz="8" w:color="auto"/>
              <w:right w:val="single" w:sz="8" w:color="auto"/>
            </w:tcBorders>
          </w:tcPr>
          <w:p>
            <w:pPr>
              <w:jc w:val="right"/>
              <w:spacing w:after="0" w:line="155" w:lineRule="exact"/>
              <w:rPr>
                <w:sz w:val="20"/>
                <w:szCs w:val="20"/>
                <w:color w:val="auto"/>
              </w:rPr>
            </w:pPr>
            <w:r>
              <w:rPr>
                <w:rFonts w:ascii="Arial" w:cs="Arial" w:eastAsia="Arial" w:hAnsi="Arial"/>
                <w:sz w:val="14"/>
                <w:szCs w:val="14"/>
                <w:color w:val="auto"/>
              </w:rPr>
              <w:t>3</w:t>
            </w:r>
          </w:p>
        </w:tc>
        <w:tc>
          <w:tcPr>
            <w:tcW w:w="3060" w:type="dxa"/>
            <w:vAlign w:val="bottom"/>
            <w:tcBorders>
              <w:bottom w:val="single" w:sz="8" w:color="auto"/>
              <w:right w:val="single" w:sz="8" w:color="auto"/>
            </w:tcBorders>
          </w:tcPr>
          <w:p>
            <w:pPr>
              <w:ind w:left="2520"/>
              <w:spacing w:after="0" w:line="155" w:lineRule="exact"/>
              <w:rPr>
                <w:sz w:val="20"/>
                <w:szCs w:val="20"/>
                <w:color w:val="auto"/>
              </w:rPr>
            </w:pPr>
            <w:r>
              <w:rPr>
                <w:rFonts w:ascii="Arial" w:cs="Arial" w:eastAsia="Arial" w:hAnsi="Arial"/>
                <w:sz w:val="14"/>
                <w:szCs w:val="14"/>
                <w:color w:val="auto"/>
              </w:rPr>
              <w:t>[*CTR]</w:t>
            </w:r>
          </w:p>
        </w:tc>
        <w:tc>
          <w:tcPr>
            <w:tcW w:w="2960" w:type="dxa"/>
            <w:vAlign w:val="bottom"/>
            <w:tcBorders>
              <w:bottom w:val="single" w:sz="8" w:color="auto"/>
              <w:right w:val="single" w:sz="8" w:color="auto"/>
            </w:tcBorders>
          </w:tcPr>
          <w:p>
            <w:pPr>
              <w:ind w:left="2440"/>
              <w:spacing w:after="0" w:line="155" w:lineRule="exact"/>
              <w:rPr>
                <w:sz w:val="20"/>
                <w:szCs w:val="20"/>
                <w:color w:val="auto"/>
              </w:rPr>
            </w:pPr>
            <w:r>
              <w:rPr>
                <w:rFonts w:ascii="Arial" w:cs="Arial" w:eastAsia="Arial" w:hAnsi="Arial"/>
                <w:sz w:val="14"/>
                <w:szCs w:val="14"/>
                <w:color w:val="auto"/>
              </w:rPr>
              <w:t>[*CTR]</w:t>
            </w:r>
          </w:p>
        </w:tc>
        <w:tc>
          <w:tcPr>
            <w:tcW w:w="1140" w:type="dxa"/>
            <w:vAlign w:val="bottom"/>
            <w:tcBorders>
              <w:bottom w:val="single" w:sz="8" w:color="auto"/>
              <w:right w:val="single" w:sz="8" w:color="auto"/>
            </w:tcBorders>
          </w:tcPr>
          <w:p>
            <w:pPr>
              <w:ind w:left="580"/>
              <w:spacing w:after="0" w:line="155" w:lineRule="exact"/>
              <w:rPr>
                <w:sz w:val="20"/>
                <w:szCs w:val="20"/>
                <w:color w:val="auto"/>
              </w:rPr>
            </w:pPr>
            <w:r>
              <w:rPr>
                <w:rFonts w:ascii="Arial" w:cs="Arial" w:eastAsia="Arial" w:hAnsi="Arial"/>
                <w:sz w:val="14"/>
                <w:szCs w:val="14"/>
                <w:color w:val="auto"/>
              </w:rPr>
              <w:t>[*CTR]</w:t>
            </w:r>
          </w:p>
        </w:tc>
      </w:tr>
      <w:tr>
        <w:trPr>
          <w:trHeight w:val="156"/>
        </w:trPr>
        <w:tc>
          <w:tcPr>
            <w:tcW w:w="1180" w:type="dxa"/>
            <w:vAlign w:val="bottom"/>
            <w:tcBorders>
              <w:left w:val="single" w:sz="8" w:color="auto"/>
            </w:tcBorders>
          </w:tcPr>
          <w:p>
            <w:pPr>
              <w:spacing w:after="0"/>
              <w:rPr>
                <w:sz w:val="13"/>
                <w:szCs w:val="13"/>
                <w:color w:val="auto"/>
              </w:rPr>
            </w:pPr>
          </w:p>
        </w:tc>
        <w:tc>
          <w:tcPr>
            <w:tcW w:w="820" w:type="dxa"/>
            <w:vAlign w:val="bottom"/>
            <w:tcBorders>
              <w:bottom w:val="single" w:sz="8" w:color="auto"/>
              <w:right w:val="single" w:sz="8" w:color="auto"/>
            </w:tcBorders>
          </w:tcPr>
          <w:p>
            <w:pPr>
              <w:jc w:val="right"/>
              <w:spacing w:after="0" w:line="155" w:lineRule="exact"/>
              <w:rPr>
                <w:sz w:val="20"/>
                <w:szCs w:val="20"/>
                <w:color w:val="auto"/>
              </w:rPr>
            </w:pPr>
            <w:r>
              <w:rPr>
                <w:rFonts w:ascii="Arial" w:cs="Arial" w:eastAsia="Arial" w:hAnsi="Arial"/>
                <w:sz w:val="14"/>
                <w:szCs w:val="14"/>
                <w:color w:val="auto"/>
              </w:rPr>
              <w:t>4</w:t>
            </w:r>
          </w:p>
        </w:tc>
        <w:tc>
          <w:tcPr>
            <w:tcW w:w="3060" w:type="dxa"/>
            <w:vAlign w:val="bottom"/>
            <w:tcBorders>
              <w:bottom w:val="single" w:sz="8" w:color="auto"/>
              <w:right w:val="single" w:sz="8" w:color="auto"/>
            </w:tcBorders>
          </w:tcPr>
          <w:p>
            <w:pPr>
              <w:ind w:left="2520"/>
              <w:spacing w:after="0" w:line="155" w:lineRule="exact"/>
              <w:rPr>
                <w:sz w:val="20"/>
                <w:szCs w:val="20"/>
                <w:color w:val="auto"/>
              </w:rPr>
            </w:pPr>
            <w:r>
              <w:rPr>
                <w:rFonts w:ascii="Arial" w:cs="Arial" w:eastAsia="Arial" w:hAnsi="Arial"/>
                <w:sz w:val="14"/>
                <w:szCs w:val="14"/>
                <w:color w:val="auto"/>
              </w:rPr>
              <w:t>[*CTR]</w:t>
            </w:r>
          </w:p>
        </w:tc>
        <w:tc>
          <w:tcPr>
            <w:tcW w:w="2960" w:type="dxa"/>
            <w:vAlign w:val="bottom"/>
            <w:tcBorders>
              <w:bottom w:val="single" w:sz="8" w:color="auto"/>
              <w:right w:val="single" w:sz="8" w:color="auto"/>
            </w:tcBorders>
          </w:tcPr>
          <w:p>
            <w:pPr>
              <w:ind w:left="2440"/>
              <w:spacing w:after="0" w:line="155" w:lineRule="exact"/>
              <w:rPr>
                <w:sz w:val="20"/>
                <w:szCs w:val="20"/>
                <w:color w:val="auto"/>
              </w:rPr>
            </w:pPr>
            <w:r>
              <w:rPr>
                <w:rFonts w:ascii="Arial" w:cs="Arial" w:eastAsia="Arial" w:hAnsi="Arial"/>
                <w:sz w:val="14"/>
                <w:szCs w:val="14"/>
                <w:color w:val="auto"/>
              </w:rPr>
              <w:t>[*CTR]</w:t>
            </w:r>
          </w:p>
        </w:tc>
        <w:tc>
          <w:tcPr>
            <w:tcW w:w="1140" w:type="dxa"/>
            <w:vAlign w:val="bottom"/>
            <w:tcBorders>
              <w:bottom w:val="single" w:sz="8" w:color="auto"/>
              <w:right w:val="single" w:sz="8" w:color="auto"/>
            </w:tcBorders>
          </w:tcPr>
          <w:p>
            <w:pPr>
              <w:ind w:left="580"/>
              <w:spacing w:after="0" w:line="155" w:lineRule="exact"/>
              <w:rPr>
                <w:sz w:val="20"/>
                <w:szCs w:val="20"/>
                <w:color w:val="auto"/>
              </w:rPr>
            </w:pPr>
            <w:r>
              <w:rPr>
                <w:rFonts w:ascii="Arial" w:cs="Arial" w:eastAsia="Arial" w:hAnsi="Arial"/>
                <w:sz w:val="14"/>
                <w:szCs w:val="14"/>
                <w:color w:val="auto"/>
              </w:rPr>
              <w:t>[*CTR]</w:t>
            </w:r>
          </w:p>
        </w:tc>
      </w:tr>
      <w:tr>
        <w:trPr>
          <w:trHeight w:val="156"/>
        </w:trPr>
        <w:tc>
          <w:tcPr>
            <w:tcW w:w="1180" w:type="dxa"/>
            <w:vAlign w:val="bottom"/>
            <w:tcBorders>
              <w:left w:val="single" w:sz="8" w:color="auto"/>
            </w:tcBorders>
          </w:tcPr>
          <w:p>
            <w:pPr>
              <w:spacing w:after="0"/>
              <w:rPr>
                <w:sz w:val="13"/>
                <w:szCs w:val="13"/>
                <w:color w:val="auto"/>
              </w:rPr>
            </w:pPr>
          </w:p>
        </w:tc>
        <w:tc>
          <w:tcPr>
            <w:tcW w:w="820" w:type="dxa"/>
            <w:vAlign w:val="bottom"/>
            <w:tcBorders>
              <w:bottom w:val="single" w:sz="8" w:color="auto"/>
              <w:right w:val="single" w:sz="8" w:color="auto"/>
            </w:tcBorders>
          </w:tcPr>
          <w:p>
            <w:pPr>
              <w:jc w:val="right"/>
              <w:spacing w:after="0" w:line="155" w:lineRule="exact"/>
              <w:rPr>
                <w:sz w:val="20"/>
                <w:szCs w:val="20"/>
                <w:color w:val="auto"/>
              </w:rPr>
            </w:pPr>
            <w:r>
              <w:rPr>
                <w:rFonts w:ascii="Arial" w:cs="Arial" w:eastAsia="Arial" w:hAnsi="Arial"/>
                <w:sz w:val="14"/>
                <w:szCs w:val="14"/>
                <w:color w:val="auto"/>
              </w:rPr>
              <w:t>5</w:t>
            </w:r>
          </w:p>
        </w:tc>
        <w:tc>
          <w:tcPr>
            <w:tcW w:w="3060" w:type="dxa"/>
            <w:vAlign w:val="bottom"/>
            <w:tcBorders>
              <w:bottom w:val="single" w:sz="8" w:color="auto"/>
              <w:right w:val="single" w:sz="8" w:color="auto"/>
            </w:tcBorders>
          </w:tcPr>
          <w:p>
            <w:pPr>
              <w:ind w:left="2520"/>
              <w:spacing w:after="0" w:line="155" w:lineRule="exact"/>
              <w:rPr>
                <w:sz w:val="20"/>
                <w:szCs w:val="20"/>
                <w:color w:val="auto"/>
              </w:rPr>
            </w:pPr>
            <w:r>
              <w:rPr>
                <w:rFonts w:ascii="Arial" w:cs="Arial" w:eastAsia="Arial" w:hAnsi="Arial"/>
                <w:sz w:val="14"/>
                <w:szCs w:val="14"/>
                <w:color w:val="auto"/>
              </w:rPr>
              <w:t>[*CTR]</w:t>
            </w:r>
          </w:p>
        </w:tc>
        <w:tc>
          <w:tcPr>
            <w:tcW w:w="2960" w:type="dxa"/>
            <w:vAlign w:val="bottom"/>
            <w:tcBorders>
              <w:bottom w:val="single" w:sz="8" w:color="auto"/>
              <w:right w:val="single" w:sz="8" w:color="auto"/>
            </w:tcBorders>
          </w:tcPr>
          <w:p>
            <w:pPr>
              <w:ind w:left="2440"/>
              <w:spacing w:after="0" w:line="155" w:lineRule="exact"/>
              <w:rPr>
                <w:sz w:val="20"/>
                <w:szCs w:val="20"/>
                <w:color w:val="auto"/>
              </w:rPr>
            </w:pPr>
            <w:r>
              <w:rPr>
                <w:rFonts w:ascii="Arial" w:cs="Arial" w:eastAsia="Arial" w:hAnsi="Arial"/>
                <w:sz w:val="14"/>
                <w:szCs w:val="14"/>
                <w:color w:val="auto"/>
              </w:rPr>
              <w:t>[*CTR]</w:t>
            </w:r>
          </w:p>
        </w:tc>
        <w:tc>
          <w:tcPr>
            <w:tcW w:w="1140" w:type="dxa"/>
            <w:vAlign w:val="bottom"/>
            <w:tcBorders>
              <w:bottom w:val="single" w:sz="8" w:color="auto"/>
              <w:right w:val="single" w:sz="8" w:color="auto"/>
            </w:tcBorders>
          </w:tcPr>
          <w:p>
            <w:pPr>
              <w:ind w:left="580"/>
              <w:spacing w:after="0" w:line="155" w:lineRule="exact"/>
              <w:rPr>
                <w:sz w:val="20"/>
                <w:szCs w:val="20"/>
                <w:color w:val="auto"/>
              </w:rPr>
            </w:pPr>
            <w:r>
              <w:rPr>
                <w:rFonts w:ascii="Arial" w:cs="Arial" w:eastAsia="Arial" w:hAnsi="Arial"/>
                <w:sz w:val="14"/>
                <w:szCs w:val="14"/>
                <w:color w:val="auto"/>
              </w:rPr>
              <w:t>[*CTR]</w:t>
            </w:r>
          </w:p>
        </w:tc>
      </w:tr>
      <w:tr>
        <w:trPr>
          <w:trHeight w:val="156"/>
        </w:trPr>
        <w:tc>
          <w:tcPr>
            <w:tcW w:w="1180" w:type="dxa"/>
            <w:vAlign w:val="bottom"/>
            <w:tcBorders>
              <w:left w:val="single" w:sz="8" w:color="auto"/>
            </w:tcBorders>
          </w:tcPr>
          <w:p>
            <w:pPr>
              <w:spacing w:after="0"/>
              <w:rPr>
                <w:sz w:val="13"/>
                <w:szCs w:val="13"/>
                <w:color w:val="auto"/>
              </w:rPr>
            </w:pPr>
          </w:p>
        </w:tc>
        <w:tc>
          <w:tcPr>
            <w:tcW w:w="820" w:type="dxa"/>
            <w:vAlign w:val="bottom"/>
            <w:tcBorders>
              <w:bottom w:val="single" w:sz="8" w:color="auto"/>
              <w:right w:val="single" w:sz="8" w:color="auto"/>
            </w:tcBorders>
          </w:tcPr>
          <w:p>
            <w:pPr>
              <w:jc w:val="right"/>
              <w:spacing w:after="0" w:line="155" w:lineRule="exact"/>
              <w:rPr>
                <w:sz w:val="20"/>
                <w:szCs w:val="20"/>
                <w:color w:val="auto"/>
              </w:rPr>
            </w:pPr>
            <w:r>
              <w:rPr>
                <w:rFonts w:ascii="Arial" w:cs="Arial" w:eastAsia="Arial" w:hAnsi="Arial"/>
                <w:sz w:val="14"/>
                <w:szCs w:val="14"/>
                <w:color w:val="auto"/>
              </w:rPr>
              <w:t>6</w:t>
            </w:r>
          </w:p>
        </w:tc>
        <w:tc>
          <w:tcPr>
            <w:tcW w:w="3060" w:type="dxa"/>
            <w:vAlign w:val="bottom"/>
            <w:tcBorders>
              <w:bottom w:val="single" w:sz="8" w:color="auto"/>
              <w:right w:val="single" w:sz="8" w:color="auto"/>
            </w:tcBorders>
          </w:tcPr>
          <w:p>
            <w:pPr>
              <w:ind w:left="2520"/>
              <w:spacing w:after="0" w:line="155" w:lineRule="exact"/>
              <w:rPr>
                <w:sz w:val="20"/>
                <w:szCs w:val="20"/>
                <w:color w:val="auto"/>
              </w:rPr>
            </w:pPr>
            <w:r>
              <w:rPr>
                <w:rFonts w:ascii="Arial" w:cs="Arial" w:eastAsia="Arial" w:hAnsi="Arial"/>
                <w:sz w:val="14"/>
                <w:szCs w:val="14"/>
                <w:color w:val="auto"/>
              </w:rPr>
              <w:t>[*CTR]</w:t>
            </w:r>
          </w:p>
        </w:tc>
        <w:tc>
          <w:tcPr>
            <w:tcW w:w="2960" w:type="dxa"/>
            <w:vAlign w:val="bottom"/>
            <w:tcBorders>
              <w:bottom w:val="single" w:sz="8" w:color="auto"/>
              <w:right w:val="single" w:sz="8" w:color="auto"/>
            </w:tcBorders>
          </w:tcPr>
          <w:p>
            <w:pPr>
              <w:ind w:left="2440"/>
              <w:spacing w:after="0" w:line="155" w:lineRule="exact"/>
              <w:rPr>
                <w:sz w:val="20"/>
                <w:szCs w:val="20"/>
                <w:color w:val="auto"/>
              </w:rPr>
            </w:pPr>
            <w:r>
              <w:rPr>
                <w:rFonts w:ascii="Arial" w:cs="Arial" w:eastAsia="Arial" w:hAnsi="Arial"/>
                <w:sz w:val="14"/>
                <w:szCs w:val="14"/>
                <w:color w:val="auto"/>
              </w:rPr>
              <w:t>[*CTR]</w:t>
            </w:r>
          </w:p>
        </w:tc>
        <w:tc>
          <w:tcPr>
            <w:tcW w:w="1140" w:type="dxa"/>
            <w:vAlign w:val="bottom"/>
            <w:tcBorders>
              <w:bottom w:val="single" w:sz="8" w:color="auto"/>
              <w:right w:val="single" w:sz="8" w:color="auto"/>
            </w:tcBorders>
          </w:tcPr>
          <w:p>
            <w:pPr>
              <w:ind w:left="580"/>
              <w:spacing w:after="0" w:line="155" w:lineRule="exact"/>
              <w:rPr>
                <w:sz w:val="20"/>
                <w:szCs w:val="20"/>
                <w:color w:val="auto"/>
              </w:rPr>
            </w:pPr>
            <w:r>
              <w:rPr>
                <w:rFonts w:ascii="Arial" w:cs="Arial" w:eastAsia="Arial" w:hAnsi="Arial"/>
                <w:sz w:val="14"/>
                <w:szCs w:val="14"/>
                <w:color w:val="auto"/>
              </w:rPr>
              <w:t>[*CTR]</w:t>
            </w:r>
          </w:p>
        </w:tc>
      </w:tr>
      <w:tr>
        <w:trPr>
          <w:trHeight w:val="156"/>
        </w:trPr>
        <w:tc>
          <w:tcPr>
            <w:tcW w:w="1180" w:type="dxa"/>
            <w:vAlign w:val="bottom"/>
            <w:tcBorders>
              <w:left w:val="single" w:sz="8" w:color="auto"/>
            </w:tcBorders>
          </w:tcPr>
          <w:p>
            <w:pPr>
              <w:spacing w:after="0"/>
              <w:rPr>
                <w:sz w:val="13"/>
                <w:szCs w:val="13"/>
                <w:color w:val="auto"/>
              </w:rPr>
            </w:pPr>
          </w:p>
        </w:tc>
        <w:tc>
          <w:tcPr>
            <w:tcW w:w="820" w:type="dxa"/>
            <w:vAlign w:val="bottom"/>
            <w:tcBorders>
              <w:bottom w:val="single" w:sz="8" w:color="auto"/>
              <w:right w:val="single" w:sz="8" w:color="auto"/>
            </w:tcBorders>
          </w:tcPr>
          <w:p>
            <w:pPr>
              <w:jc w:val="right"/>
              <w:spacing w:after="0" w:line="155" w:lineRule="exact"/>
              <w:rPr>
                <w:sz w:val="20"/>
                <w:szCs w:val="20"/>
                <w:color w:val="auto"/>
              </w:rPr>
            </w:pPr>
            <w:r>
              <w:rPr>
                <w:rFonts w:ascii="Arial" w:cs="Arial" w:eastAsia="Arial" w:hAnsi="Arial"/>
                <w:sz w:val="14"/>
                <w:szCs w:val="14"/>
                <w:color w:val="auto"/>
              </w:rPr>
              <w:t>7</w:t>
            </w:r>
          </w:p>
        </w:tc>
        <w:tc>
          <w:tcPr>
            <w:tcW w:w="3060" w:type="dxa"/>
            <w:vAlign w:val="bottom"/>
            <w:tcBorders>
              <w:bottom w:val="single" w:sz="8" w:color="auto"/>
              <w:right w:val="single" w:sz="8" w:color="auto"/>
            </w:tcBorders>
          </w:tcPr>
          <w:p>
            <w:pPr>
              <w:ind w:left="2520"/>
              <w:spacing w:after="0" w:line="155" w:lineRule="exact"/>
              <w:rPr>
                <w:sz w:val="20"/>
                <w:szCs w:val="20"/>
                <w:color w:val="auto"/>
              </w:rPr>
            </w:pPr>
            <w:r>
              <w:rPr>
                <w:rFonts w:ascii="Arial" w:cs="Arial" w:eastAsia="Arial" w:hAnsi="Arial"/>
                <w:sz w:val="14"/>
                <w:szCs w:val="14"/>
                <w:color w:val="auto"/>
              </w:rPr>
              <w:t>[*CTR]</w:t>
            </w:r>
          </w:p>
        </w:tc>
        <w:tc>
          <w:tcPr>
            <w:tcW w:w="2960" w:type="dxa"/>
            <w:vAlign w:val="bottom"/>
            <w:tcBorders>
              <w:bottom w:val="single" w:sz="8" w:color="auto"/>
              <w:right w:val="single" w:sz="8" w:color="auto"/>
            </w:tcBorders>
          </w:tcPr>
          <w:p>
            <w:pPr>
              <w:ind w:left="2440"/>
              <w:spacing w:after="0" w:line="155" w:lineRule="exact"/>
              <w:rPr>
                <w:sz w:val="20"/>
                <w:szCs w:val="20"/>
                <w:color w:val="auto"/>
              </w:rPr>
            </w:pPr>
            <w:r>
              <w:rPr>
                <w:rFonts w:ascii="Arial" w:cs="Arial" w:eastAsia="Arial" w:hAnsi="Arial"/>
                <w:sz w:val="14"/>
                <w:szCs w:val="14"/>
                <w:color w:val="auto"/>
              </w:rPr>
              <w:t>[*CTR]</w:t>
            </w:r>
          </w:p>
        </w:tc>
        <w:tc>
          <w:tcPr>
            <w:tcW w:w="1140" w:type="dxa"/>
            <w:vAlign w:val="bottom"/>
            <w:tcBorders>
              <w:bottom w:val="single" w:sz="8" w:color="auto"/>
              <w:right w:val="single" w:sz="8" w:color="auto"/>
            </w:tcBorders>
          </w:tcPr>
          <w:p>
            <w:pPr>
              <w:ind w:left="580"/>
              <w:spacing w:after="0" w:line="155" w:lineRule="exact"/>
              <w:rPr>
                <w:sz w:val="20"/>
                <w:szCs w:val="20"/>
                <w:color w:val="auto"/>
              </w:rPr>
            </w:pPr>
            <w:r>
              <w:rPr>
                <w:rFonts w:ascii="Arial" w:cs="Arial" w:eastAsia="Arial" w:hAnsi="Arial"/>
                <w:sz w:val="14"/>
                <w:szCs w:val="14"/>
                <w:color w:val="auto"/>
              </w:rPr>
              <w:t>[*CTR]</w:t>
            </w:r>
          </w:p>
        </w:tc>
      </w:tr>
      <w:tr>
        <w:trPr>
          <w:trHeight w:val="156"/>
        </w:trPr>
        <w:tc>
          <w:tcPr>
            <w:tcW w:w="1180" w:type="dxa"/>
            <w:vAlign w:val="bottom"/>
            <w:tcBorders>
              <w:left w:val="single" w:sz="8" w:color="auto"/>
            </w:tcBorders>
          </w:tcPr>
          <w:p>
            <w:pPr>
              <w:spacing w:after="0"/>
              <w:rPr>
                <w:sz w:val="13"/>
                <w:szCs w:val="13"/>
                <w:color w:val="auto"/>
              </w:rPr>
            </w:pPr>
          </w:p>
        </w:tc>
        <w:tc>
          <w:tcPr>
            <w:tcW w:w="820" w:type="dxa"/>
            <w:vAlign w:val="bottom"/>
            <w:tcBorders>
              <w:bottom w:val="single" w:sz="8" w:color="auto"/>
              <w:right w:val="single" w:sz="8" w:color="auto"/>
            </w:tcBorders>
          </w:tcPr>
          <w:p>
            <w:pPr>
              <w:jc w:val="right"/>
              <w:spacing w:after="0" w:line="155" w:lineRule="exact"/>
              <w:rPr>
                <w:sz w:val="20"/>
                <w:szCs w:val="20"/>
                <w:color w:val="auto"/>
              </w:rPr>
            </w:pPr>
            <w:r>
              <w:rPr>
                <w:rFonts w:ascii="Arial" w:cs="Arial" w:eastAsia="Arial" w:hAnsi="Arial"/>
                <w:sz w:val="14"/>
                <w:szCs w:val="14"/>
                <w:color w:val="auto"/>
              </w:rPr>
              <w:t>8</w:t>
            </w:r>
          </w:p>
        </w:tc>
        <w:tc>
          <w:tcPr>
            <w:tcW w:w="3060" w:type="dxa"/>
            <w:vAlign w:val="bottom"/>
            <w:tcBorders>
              <w:bottom w:val="single" w:sz="8" w:color="auto"/>
              <w:right w:val="single" w:sz="8" w:color="auto"/>
            </w:tcBorders>
          </w:tcPr>
          <w:p>
            <w:pPr>
              <w:ind w:left="2520"/>
              <w:spacing w:after="0" w:line="155" w:lineRule="exact"/>
              <w:rPr>
                <w:sz w:val="20"/>
                <w:szCs w:val="20"/>
                <w:color w:val="auto"/>
              </w:rPr>
            </w:pPr>
            <w:r>
              <w:rPr>
                <w:rFonts w:ascii="Arial" w:cs="Arial" w:eastAsia="Arial" w:hAnsi="Arial"/>
                <w:sz w:val="14"/>
                <w:szCs w:val="14"/>
                <w:color w:val="auto"/>
              </w:rPr>
              <w:t>[*CTR]</w:t>
            </w:r>
          </w:p>
        </w:tc>
        <w:tc>
          <w:tcPr>
            <w:tcW w:w="2960" w:type="dxa"/>
            <w:vAlign w:val="bottom"/>
            <w:tcBorders>
              <w:bottom w:val="single" w:sz="8" w:color="auto"/>
              <w:right w:val="single" w:sz="8" w:color="auto"/>
            </w:tcBorders>
          </w:tcPr>
          <w:p>
            <w:pPr>
              <w:ind w:left="2440"/>
              <w:spacing w:after="0" w:line="155" w:lineRule="exact"/>
              <w:rPr>
                <w:sz w:val="20"/>
                <w:szCs w:val="20"/>
                <w:color w:val="auto"/>
              </w:rPr>
            </w:pPr>
            <w:r>
              <w:rPr>
                <w:rFonts w:ascii="Arial" w:cs="Arial" w:eastAsia="Arial" w:hAnsi="Arial"/>
                <w:sz w:val="14"/>
                <w:szCs w:val="14"/>
                <w:color w:val="auto"/>
              </w:rPr>
              <w:t>[*CTR]</w:t>
            </w:r>
          </w:p>
        </w:tc>
        <w:tc>
          <w:tcPr>
            <w:tcW w:w="1140" w:type="dxa"/>
            <w:vAlign w:val="bottom"/>
            <w:tcBorders>
              <w:bottom w:val="single" w:sz="8" w:color="auto"/>
              <w:right w:val="single" w:sz="8" w:color="auto"/>
            </w:tcBorders>
          </w:tcPr>
          <w:p>
            <w:pPr>
              <w:ind w:left="580"/>
              <w:spacing w:after="0" w:line="155" w:lineRule="exact"/>
              <w:rPr>
                <w:sz w:val="20"/>
                <w:szCs w:val="20"/>
                <w:color w:val="auto"/>
              </w:rPr>
            </w:pPr>
            <w:r>
              <w:rPr>
                <w:rFonts w:ascii="Arial" w:cs="Arial" w:eastAsia="Arial" w:hAnsi="Arial"/>
                <w:sz w:val="14"/>
                <w:szCs w:val="14"/>
                <w:color w:val="auto"/>
              </w:rPr>
              <w:t>[*CTR]</w:t>
            </w:r>
          </w:p>
        </w:tc>
      </w:tr>
      <w:tr>
        <w:trPr>
          <w:trHeight w:val="156"/>
        </w:trPr>
        <w:tc>
          <w:tcPr>
            <w:tcW w:w="1180" w:type="dxa"/>
            <w:vAlign w:val="bottom"/>
            <w:tcBorders>
              <w:left w:val="single" w:sz="8" w:color="auto"/>
            </w:tcBorders>
          </w:tcPr>
          <w:p>
            <w:pPr>
              <w:spacing w:after="0"/>
              <w:rPr>
                <w:sz w:val="13"/>
                <w:szCs w:val="13"/>
                <w:color w:val="auto"/>
              </w:rPr>
            </w:pPr>
          </w:p>
        </w:tc>
        <w:tc>
          <w:tcPr>
            <w:tcW w:w="820" w:type="dxa"/>
            <w:vAlign w:val="bottom"/>
            <w:tcBorders>
              <w:bottom w:val="single" w:sz="8" w:color="auto"/>
              <w:right w:val="single" w:sz="8" w:color="auto"/>
            </w:tcBorders>
          </w:tcPr>
          <w:p>
            <w:pPr>
              <w:jc w:val="right"/>
              <w:spacing w:after="0" w:line="155" w:lineRule="exact"/>
              <w:rPr>
                <w:sz w:val="20"/>
                <w:szCs w:val="20"/>
                <w:color w:val="auto"/>
              </w:rPr>
            </w:pPr>
            <w:r>
              <w:rPr>
                <w:rFonts w:ascii="Arial" w:cs="Arial" w:eastAsia="Arial" w:hAnsi="Arial"/>
                <w:sz w:val="14"/>
                <w:szCs w:val="14"/>
                <w:color w:val="auto"/>
              </w:rPr>
              <w:t>9</w:t>
            </w:r>
          </w:p>
        </w:tc>
        <w:tc>
          <w:tcPr>
            <w:tcW w:w="3060" w:type="dxa"/>
            <w:vAlign w:val="bottom"/>
            <w:tcBorders>
              <w:bottom w:val="single" w:sz="8" w:color="auto"/>
              <w:right w:val="single" w:sz="8" w:color="auto"/>
            </w:tcBorders>
          </w:tcPr>
          <w:p>
            <w:pPr>
              <w:ind w:left="2520"/>
              <w:spacing w:after="0" w:line="155" w:lineRule="exact"/>
              <w:rPr>
                <w:sz w:val="20"/>
                <w:szCs w:val="20"/>
                <w:color w:val="auto"/>
              </w:rPr>
            </w:pPr>
            <w:r>
              <w:rPr>
                <w:rFonts w:ascii="Arial" w:cs="Arial" w:eastAsia="Arial" w:hAnsi="Arial"/>
                <w:sz w:val="14"/>
                <w:szCs w:val="14"/>
                <w:color w:val="auto"/>
              </w:rPr>
              <w:t>[*CTR]</w:t>
            </w:r>
          </w:p>
        </w:tc>
        <w:tc>
          <w:tcPr>
            <w:tcW w:w="2960" w:type="dxa"/>
            <w:vAlign w:val="bottom"/>
            <w:tcBorders>
              <w:bottom w:val="single" w:sz="8" w:color="auto"/>
              <w:right w:val="single" w:sz="8" w:color="auto"/>
            </w:tcBorders>
          </w:tcPr>
          <w:p>
            <w:pPr>
              <w:ind w:left="2440"/>
              <w:spacing w:after="0" w:line="155" w:lineRule="exact"/>
              <w:rPr>
                <w:sz w:val="20"/>
                <w:szCs w:val="20"/>
                <w:color w:val="auto"/>
              </w:rPr>
            </w:pPr>
            <w:r>
              <w:rPr>
                <w:rFonts w:ascii="Arial" w:cs="Arial" w:eastAsia="Arial" w:hAnsi="Arial"/>
                <w:sz w:val="14"/>
                <w:szCs w:val="14"/>
                <w:color w:val="auto"/>
              </w:rPr>
              <w:t>[*CTR]</w:t>
            </w:r>
          </w:p>
        </w:tc>
        <w:tc>
          <w:tcPr>
            <w:tcW w:w="1140" w:type="dxa"/>
            <w:vAlign w:val="bottom"/>
            <w:tcBorders>
              <w:bottom w:val="single" w:sz="8" w:color="auto"/>
              <w:right w:val="single" w:sz="8" w:color="auto"/>
            </w:tcBorders>
          </w:tcPr>
          <w:p>
            <w:pPr>
              <w:ind w:left="580"/>
              <w:spacing w:after="0" w:line="155" w:lineRule="exact"/>
              <w:rPr>
                <w:sz w:val="20"/>
                <w:szCs w:val="20"/>
                <w:color w:val="auto"/>
              </w:rPr>
            </w:pPr>
            <w:r>
              <w:rPr>
                <w:rFonts w:ascii="Arial" w:cs="Arial" w:eastAsia="Arial" w:hAnsi="Arial"/>
                <w:sz w:val="14"/>
                <w:szCs w:val="14"/>
                <w:color w:val="auto"/>
              </w:rPr>
              <w:t>[*CTR]</w:t>
            </w:r>
          </w:p>
        </w:tc>
      </w:tr>
      <w:tr>
        <w:trPr>
          <w:trHeight w:val="156"/>
        </w:trPr>
        <w:tc>
          <w:tcPr>
            <w:tcW w:w="1180" w:type="dxa"/>
            <w:vAlign w:val="bottom"/>
            <w:tcBorders>
              <w:left w:val="single" w:sz="8" w:color="auto"/>
            </w:tcBorders>
          </w:tcPr>
          <w:p>
            <w:pPr>
              <w:spacing w:after="0"/>
              <w:rPr>
                <w:sz w:val="13"/>
                <w:szCs w:val="13"/>
                <w:color w:val="auto"/>
              </w:rPr>
            </w:pPr>
          </w:p>
        </w:tc>
        <w:tc>
          <w:tcPr>
            <w:tcW w:w="820" w:type="dxa"/>
            <w:vAlign w:val="bottom"/>
            <w:tcBorders>
              <w:bottom w:val="single" w:sz="8" w:color="auto"/>
              <w:right w:val="single" w:sz="8" w:color="auto"/>
            </w:tcBorders>
          </w:tcPr>
          <w:p>
            <w:pPr>
              <w:jc w:val="right"/>
              <w:spacing w:after="0" w:line="155" w:lineRule="exact"/>
              <w:rPr>
                <w:sz w:val="20"/>
                <w:szCs w:val="20"/>
                <w:color w:val="auto"/>
              </w:rPr>
            </w:pPr>
            <w:r>
              <w:rPr>
                <w:rFonts w:ascii="Arial" w:cs="Arial" w:eastAsia="Arial" w:hAnsi="Arial"/>
                <w:sz w:val="14"/>
                <w:szCs w:val="14"/>
                <w:color w:val="auto"/>
              </w:rPr>
              <w:t>10</w:t>
            </w:r>
          </w:p>
        </w:tc>
        <w:tc>
          <w:tcPr>
            <w:tcW w:w="3060" w:type="dxa"/>
            <w:vAlign w:val="bottom"/>
            <w:tcBorders>
              <w:bottom w:val="single" w:sz="8" w:color="auto"/>
              <w:right w:val="single" w:sz="8" w:color="auto"/>
            </w:tcBorders>
          </w:tcPr>
          <w:p>
            <w:pPr>
              <w:ind w:left="2520"/>
              <w:spacing w:after="0" w:line="155" w:lineRule="exact"/>
              <w:rPr>
                <w:sz w:val="20"/>
                <w:szCs w:val="20"/>
                <w:color w:val="auto"/>
              </w:rPr>
            </w:pPr>
            <w:r>
              <w:rPr>
                <w:rFonts w:ascii="Arial" w:cs="Arial" w:eastAsia="Arial" w:hAnsi="Arial"/>
                <w:sz w:val="14"/>
                <w:szCs w:val="14"/>
                <w:color w:val="auto"/>
              </w:rPr>
              <w:t>[*CTR]</w:t>
            </w:r>
          </w:p>
        </w:tc>
        <w:tc>
          <w:tcPr>
            <w:tcW w:w="2960" w:type="dxa"/>
            <w:vAlign w:val="bottom"/>
            <w:tcBorders>
              <w:bottom w:val="single" w:sz="8" w:color="auto"/>
              <w:right w:val="single" w:sz="8" w:color="auto"/>
            </w:tcBorders>
          </w:tcPr>
          <w:p>
            <w:pPr>
              <w:ind w:left="2440"/>
              <w:spacing w:after="0" w:line="155" w:lineRule="exact"/>
              <w:rPr>
                <w:sz w:val="20"/>
                <w:szCs w:val="20"/>
                <w:color w:val="auto"/>
              </w:rPr>
            </w:pPr>
            <w:r>
              <w:rPr>
                <w:rFonts w:ascii="Arial" w:cs="Arial" w:eastAsia="Arial" w:hAnsi="Arial"/>
                <w:sz w:val="14"/>
                <w:szCs w:val="14"/>
                <w:color w:val="auto"/>
              </w:rPr>
              <w:t>[*CTR]</w:t>
            </w:r>
          </w:p>
        </w:tc>
        <w:tc>
          <w:tcPr>
            <w:tcW w:w="1140" w:type="dxa"/>
            <w:vAlign w:val="bottom"/>
            <w:tcBorders>
              <w:bottom w:val="single" w:sz="8" w:color="auto"/>
              <w:right w:val="single" w:sz="8" w:color="auto"/>
            </w:tcBorders>
          </w:tcPr>
          <w:p>
            <w:pPr>
              <w:ind w:left="580"/>
              <w:spacing w:after="0" w:line="155" w:lineRule="exact"/>
              <w:rPr>
                <w:sz w:val="20"/>
                <w:szCs w:val="20"/>
                <w:color w:val="auto"/>
              </w:rPr>
            </w:pPr>
            <w:r>
              <w:rPr>
                <w:rFonts w:ascii="Arial" w:cs="Arial" w:eastAsia="Arial" w:hAnsi="Arial"/>
                <w:sz w:val="14"/>
                <w:szCs w:val="14"/>
                <w:color w:val="auto"/>
              </w:rPr>
              <w:t>[*CTR]</w:t>
            </w:r>
          </w:p>
        </w:tc>
      </w:tr>
      <w:tr>
        <w:trPr>
          <w:trHeight w:val="156"/>
        </w:trPr>
        <w:tc>
          <w:tcPr>
            <w:tcW w:w="1180" w:type="dxa"/>
            <w:vAlign w:val="bottom"/>
            <w:tcBorders>
              <w:left w:val="single" w:sz="8" w:color="auto"/>
            </w:tcBorders>
          </w:tcPr>
          <w:p>
            <w:pPr>
              <w:spacing w:after="0"/>
              <w:rPr>
                <w:sz w:val="13"/>
                <w:szCs w:val="13"/>
                <w:color w:val="auto"/>
              </w:rPr>
            </w:pPr>
          </w:p>
        </w:tc>
        <w:tc>
          <w:tcPr>
            <w:tcW w:w="820" w:type="dxa"/>
            <w:vAlign w:val="bottom"/>
            <w:tcBorders>
              <w:bottom w:val="single" w:sz="8" w:color="auto"/>
              <w:right w:val="single" w:sz="8" w:color="auto"/>
            </w:tcBorders>
          </w:tcPr>
          <w:p>
            <w:pPr>
              <w:jc w:val="right"/>
              <w:spacing w:after="0" w:line="155" w:lineRule="exact"/>
              <w:rPr>
                <w:sz w:val="20"/>
                <w:szCs w:val="20"/>
                <w:color w:val="auto"/>
              </w:rPr>
            </w:pPr>
            <w:r>
              <w:rPr>
                <w:rFonts w:ascii="Arial" w:cs="Arial" w:eastAsia="Arial" w:hAnsi="Arial"/>
                <w:sz w:val="14"/>
                <w:szCs w:val="14"/>
                <w:color w:val="auto"/>
              </w:rPr>
              <w:t>11</w:t>
            </w:r>
          </w:p>
        </w:tc>
        <w:tc>
          <w:tcPr>
            <w:tcW w:w="3060" w:type="dxa"/>
            <w:vAlign w:val="bottom"/>
            <w:tcBorders>
              <w:bottom w:val="single" w:sz="8" w:color="auto"/>
              <w:right w:val="single" w:sz="8" w:color="auto"/>
            </w:tcBorders>
          </w:tcPr>
          <w:p>
            <w:pPr>
              <w:ind w:left="2520"/>
              <w:spacing w:after="0" w:line="155" w:lineRule="exact"/>
              <w:rPr>
                <w:sz w:val="20"/>
                <w:szCs w:val="20"/>
                <w:color w:val="auto"/>
              </w:rPr>
            </w:pPr>
            <w:r>
              <w:rPr>
                <w:rFonts w:ascii="Arial" w:cs="Arial" w:eastAsia="Arial" w:hAnsi="Arial"/>
                <w:sz w:val="14"/>
                <w:szCs w:val="14"/>
                <w:color w:val="auto"/>
              </w:rPr>
              <w:t>[*CTR]</w:t>
            </w:r>
          </w:p>
        </w:tc>
        <w:tc>
          <w:tcPr>
            <w:tcW w:w="2960" w:type="dxa"/>
            <w:vAlign w:val="bottom"/>
            <w:tcBorders>
              <w:bottom w:val="single" w:sz="8" w:color="auto"/>
              <w:right w:val="single" w:sz="8" w:color="auto"/>
            </w:tcBorders>
          </w:tcPr>
          <w:p>
            <w:pPr>
              <w:ind w:left="2440"/>
              <w:spacing w:after="0" w:line="155" w:lineRule="exact"/>
              <w:rPr>
                <w:sz w:val="20"/>
                <w:szCs w:val="20"/>
                <w:color w:val="auto"/>
              </w:rPr>
            </w:pPr>
            <w:r>
              <w:rPr>
                <w:rFonts w:ascii="Arial" w:cs="Arial" w:eastAsia="Arial" w:hAnsi="Arial"/>
                <w:sz w:val="14"/>
                <w:szCs w:val="14"/>
                <w:color w:val="auto"/>
              </w:rPr>
              <w:t>[*CTR]</w:t>
            </w:r>
          </w:p>
        </w:tc>
        <w:tc>
          <w:tcPr>
            <w:tcW w:w="1140" w:type="dxa"/>
            <w:vAlign w:val="bottom"/>
            <w:tcBorders>
              <w:bottom w:val="single" w:sz="8" w:color="auto"/>
              <w:right w:val="single" w:sz="8" w:color="auto"/>
            </w:tcBorders>
          </w:tcPr>
          <w:p>
            <w:pPr>
              <w:ind w:left="580"/>
              <w:spacing w:after="0" w:line="155" w:lineRule="exact"/>
              <w:rPr>
                <w:sz w:val="20"/>
                <w:szCs w:val="20"/>
                <w:color w:val="auto"/>
              </w:rPr>
            </w:pPr>
            <w:r>
              <w:rPr>
                <w:rFonts w:ascii="Arial" w:cs="Arial" w:eastAsia="Arial" w:hAnsi="Arial"/>
                <w:sz w:val="14"/>
                <w:szCs w:val="14"/>
                <w:color w:val="auto"/>
              </w:rPr>
              <w:t>[*CTR]</w:t>
            </w:r>
          </w:p>
        </w:tc>
      </w:tr>
      <w:tr>
        <w:trPr>
          <w:trHeight w:val="156"/>
        </w:trPr>
        <w:tc>
          <w:tcPr>
            <w:tcW w:w="1180" w:type="dxa"/>
            <w:vAlign w:val="bottom"/>
            <w:tcBorders>
              <w:left w:val="single" w:sz="8" w:color="auto"/>
            </w:tcBorders>
          </w:tcPr>
          <w:p>
            <w:pPr>
              <w:spacing w:after="0"/>
              <w:rPr>
                <w:sz w:val="13"/>
                <w:szCs w:val="13"/>
                <w:color w:val="auto"/>
              </w:rPr>
            </w:pPr>
          </w:p>
        </w:tc>
        <w:tc>
          <w:tcPr>
            <w:tcW w:w="820" w:type="dxa"/>
            <w:vAlign w:val="bottom"/>
            <w:tcBorders>
              <w:bottom w:val="single" w:sz="8" w:color="auto"/>
              <w:right w:val="single" w:sz="8" w:color="auto"/>
            </w:tcBorders>
          </w:tcPr>
          <w:p>
            <w:pPr>
              <w:jc w:val="right"/>
              <w:spacing w:after="0" w:line="155" w:lineRule="exact"/>
              <w:rPr>
                <w:sz w:val="20"/>
                <w:szCs w:val="20"/>
                <w:color w:val="auto"/>
              </w:rPr>
            </w:pPr>
            <w:r>
              <w:rPr>
                <w:rFonts w:ascii="Arial" w:cs="Arial" w:eastAsia="Arial" w:hAnsi="Arial"/>
                <w:sz w:val="14"/>
                <w:szCs w:val="14"/>
                <w:color w:val="auto"/>
              </w:rPr>
              <w:t>12</w:t>
            </w:r>
          </w:p>
        </w:tc>
        <w:tc>
          <w:tcPr>
            <w:tcW w:w="3060" w:type="dxa"/>
            <w:vAlign w:val="bottom"/>
            <w:tcBorders>
              <w:bottom w:val="single" w:sz="8" w:color="auto"/>
              <w:right w:val="single" w:sz="8" w:color="auto"/>
            </w:tcBorders>
          </w:tcPr>
          <w:p>
            <w:pPr>
              <w:ind w:left="2520"/>
              <w:spacing w:after="0" w:line="155" w:lineRule="exact"/>
              <w:rPr>
                <w:sz w:val="20"/>
                <w:szCs w:val="20"/>
                <w:color w:val="auto"/>
              </w:rPr>
            </w:pPr>
            <w:r>
              <w:rPr>
                <w:rFonts w:ascii="Arial" w:cs="Arial" w:eastAsia="Arial" w:hAnsi="Arial"/>
                <w:sz w:val="14"/>
                <w:szCs w:val="14"/>
                <w:color w:val="auto"/>
              </w:rPr>
              <w:t>[*CTR]</w:t>
            </w:r>
          </w:p>
        </w:tc>
        <w:tc>
          <w:tcPr>
            <w:tcW w:w="2960" w:type="dxa"/>
            <w:vAlign w:val="bottom"/>
            <w:tcBorders>
              <w:bottom w:val="single" w:sz="8" w:color="auto"/>
              <w:right w:val="single" w:sz="8" w:color="auto"/>
            </w:tcBorders>
          </w:tcPr>
          <w:p>
            <w:pPr>
              <w:ind w:left="2440"/>
              <w:spacing w:after="0" w:line="155" w:lineRule="exact"/>
              <w:rPr>
                <w:sz w:val="20"/>
                <w:szCs w:val="20"/>
                <w:color w:val="auto"/>
              </w:rPr>
            </w:pPr>
            <w:r>
              <w:rPr>
                <w:rFonts w:ascii="Arial" w:cs="Arial" w:eastAsia="Arial" w:hAnsi="Arial"/>
                <w:sz w:val="14"/>
                <w:szCs w:val="14"/>
                <w:color w:val="auto"/>
              </w:rPr>
              <w:t>[*CTR]</w:t>
            </w:r>
          </w:p>
        </w:tc>
        <w:tc>
          <w:tcPr>
            <w:tcW w:w="1140" w:type="dxa"/>
            <w:vAlign w:val="bottom"/>
            <w:tcBorders>
              <w:bottom w:val="single" w:sz="8" w:color="auto"/>
              <w:right w:val="single" w:sz="8" w:color="auto"/>
            </w:tcBorders>
          </w:tcPr>
          <w:p>
            <w:pPr>
              <w:ind w:left="580"/>
              <w:spacing w:after="0" w:line="155" w:lineRule="exact"/>
              <w:rPr>
                <w:sz w:val="20"/>
                <w:szCs w:val="20"/>
                <w:color w:val="auto"/>
              </w:rPr>
            </w:pPr>
            <w:r>
              <w:rPr>
                <w:rFonts w:ascii="Arial" w:cs="Arial" w:eastAsia="Arial" w:hAnsi="Arial"/>
                <w:sz w:val="14"/>
                <w:szCs w:val="14"/>
                <w:color w:val="auto"/>
              </w:rPr>
              <w:t>[*CTR]</w:t>
            </w:r>
          </w:p>
        </w:tc>
      </w:tr>
      <w:tr>
        <w:trPr>
          <w:trHeight w:val="156"/>
        </w:trPr>
        <w:tc>
          <w:tcPr>
            <w:tcW w:w="1180" w:type="dxa"/>
            <w:vAlign w:val="bottom"/>
            <w:tcBorders>
              <w:left w:val="single" w:sz="8" w:color="auto"/>
            </w:tcBorders>
          </w:tcPr>
          <w:p>
            <w:pPr>
              <w:spacing w:after="0"/>
              <w:rPr>
                <w:sz w:val="13"/>
                <w:szCs w:val="13"/>
                <w:color w:val="auto"/>
              </w:rPr>
            </w:pPr>
          </w:p>
        </w:tc>
        <w:tc>
          <w:tcPr>
            <w:tcW w:w="820" w:type="dxa"/>
            <w:vAlign w:val="bottom"/>
            <w:tcBorders>
              <w:bottom w:val="single" w:sz="8" w:color="auto"/>
              <w:right w:val="single" w:sz="8" w:color="auto"/>
            </w:tcBorders>
          </w:tcPr>
          <w:p>
            <w:pPr>
              <w:jc w:val="right"/>
              <w:spacing w:after="0" w:line="155" w:lineRule="exact"/>
              <w:rPr>
                <w:sz w:val="20"/>
                <w:szCs w:val="20"/>
                <w:color w:val="auto"/>
              </w:rPr>
            </w:pPr>
            <w:r>
              <w:rPr>
                <w:rFonts w:ascii="Arial" w:cs="Arial" w:eastAsia="Arial" w:hAnsi="Arial"/>
                <w:sz w:val="14"/>
                <w:szCs w:val="14"/>
                <w:color w:val="auto"/>
              </w:rPr>
              <w:t>13</w:t>
            </w:r>
          </w:p>
        </w:tc>
        <w:tc>
          <w:tcPr>
            <w:tcW w:w="3060" w:type="dxa"/>
            <w:vAlign w:val="bottom"/>
            <w:tcBorders>
              <w:bottom w:val="single" w:sz="8" w:color="auto"/>
              <w:right w:val="single" w:sz="8" w:color="auto"/>
            </w:tcBorders>
          </w:tcPr>
          <w:p>
            <w:pPr>
              <w:ind w:left="2520"/>
              <w:spacing w:after="0" w:line="155" w:lineRule="exact"/>
              <w:rPr>
                <w:sz w:val="20"/>
                <w:szCs w:val="20"/>
                <w:color w:val="auto"/>
              </w:rPr>
            </w:pPr>
            <w:r>
              <w:rPr>
                <w:rFonts w:ascii="Arial" w:cs="Arial" w:eastAsia="Arial" w:hAnsi="Arial"/>
                <w:sz w:val="14"/>
                <w:szCs w:val="14"/>
                <w:color w:val="auto"/>
              </w:rPr>
              <w:t>[*CTR]</w:t>
            </w:r>
          </w:p>
        </w:tc>
        <w:tc>
          <w:tcPr>
            <w:tcW w:w="2960" w:type="dxa"/>
            <w:vAlign w:val="bottom"/>
            <w:tcBorders>
              <w:bottom w:val="single" w:sz="8" w:color="auto"/>
              <w:right w:val="single" w:sz="8" w:color="auto"/>
            </w:tcBorders>
          </w:tcPr>
          <w:p>
            <w:pPr>
              <w:ind w:left="2440"/>
              <w:spacing w:after="0" w:line="155" w:lineRule="exact"/>
              <w:rPr>
                <w:sz w:val="20"/>
                <w:szCs w:val="20"/>
                <w:color w:val="auto"/>
              </w:rPr>
            </w:pPr>
            <w:r>
              <w:rPr>
                <w:rFonts w:ascii="Arial" w:cs="Arial" w:eastAsia="Arial" w:hAnsi="Arial"/>
                <w:sz w:val="14"/>
                <w:szCs w:val="14"/>
                <w:color w:val="auto"/>
              </w:rPr>
              <w:t>[*CTR]</w:t>
            </w:r>
          </w:p>
        </w:tc>
        <w:tc>
          <w:tcPr>
            <w:tcW w:w="1140" w:type="dxa"/>
            <w:vAlign w:val="bottom"/>
            <w:tcBorders>
              <w:bottom w:val="single" w:sz="8" w:color="auto"/>
              <w:right w:val="single" w:sz="8" w:color="auto"/>
            </w:tcBorders>
          </w:tcPr>
          <w:p>
            <w:pPr>
              <w:ind w:left="580"/>
              <w:spacing w:after="0" w:line="155" w:lineRule="exact"/>
              <w:rPr>
                <w:sz w:val="20"/>
                <w:szCs w:val="20"/>
                <w:color w:val="auto"/>
              </w:rPr>
            </w:pPr>
            <w:r>
              <w:rPr>
                <w:rFonts w:ascii="Arial" w:cs="Arial" w:eastAsia="Arial" w:hAnsi="Arial"/>
                <w:sz w:val="14"/>
                <w:szCs w:val="14"/>
                <w:color w:val="auto"/>
              </w:rPr>
              <w:t>[*CTR]</w:t>
            </w:r>
          </w:p>
        </w:tc>
      </w:tr>
      <w:tr>
        <w:trPr>
          <w:trHeight w:val="156"/>
        </w:trPr>
        <w:tc>
          <w:tcPr>
            <w:tcW w:w="1180" w:type="dxa"/>
            <w:vAlign w:val="bottom"/>
            <w:tcBorders>
              <w:left w:val="single" w:sz="8" w:color="auto"/>
            </w:tcBorders>
          </w:tcPr>
          <w:p>
            <w:pPr>
              <w:spacing w:after="0"/>
              <w:rPr>
                <w:sz w:val="13"/>
                <w:szCs w:val="13"/>
                <w:color w:val="auto"/>
              </w:rPr>
            </w:pPr>
          </w:p>
        </w:tc>
        <w:tc>
          <w:tcPr>
            <w:tcW w:w="820" w:type="dxa"/>
            <w:vAlign w:val="bottom"/>
            <w:tcBorders>
              <w:bottom w:val="single" w:sz="8" w:color="auto"/>
              <w:right w:val="single" w:sz="8" w:color="auto"/>
            </w:tcBorders>
          </w:tcPr>
          <w:p>
            <w:pPr>
              <w:jc w:val="right"/>
              <w:spacing w:after="0" w:line="155" w:lineRule="exact"/>
              <w:rPr>
                <w:sz w:val="20"/>
                <w:szCs w:val="20"/>
                <w:color w:val="auto"/>
              </w:rPr>
            </w:pPr>
            <w:r>
              <w:rPr>
                <w:rFonts w:ascii="Arial" w:cs="Arial" w:eastAsia="Arial" w:hAnsi="Arial"/>
                <w:sz w:val="14"/>
                <w:szCs w:val="14"/>
                <w:color w:val="auto"/>
              </w:rPr>
              <w:t>14</w:t>
            </w:r>
          </w:p>
        </w:tc>
        <w:tc>
          <w:tcPr>
            <w:tcW w:w="3060" w:type="dxa"/>
            <w:vAlign w:val="bottom"/>
            <w:tcBorders>
              <w:bottom w:val="single" w:sz="8" w:color="auto"/>
              <w:right w:val="single" w:sz="8" w:color="auto"/>
            </w:tcBorders>
          </w:tcPr>
          <w:p>
            <w:pPr>
              <w:ind w:left="2520"/>
              <w:spacing w:after="0" w:line="155" w:lineRule="exact"/>
              <w:rPr>
                <w:sz w:val="20"/>
                <w:szCs w:val="20"/>
                <w:color w:val="auto"/>
              </w:rPr>
            </w:pPr>
            <w:r>
              <w:rPr>
                <w:rFonts w:ascii="Arial" w:cs="Arial" w:eastAsia="Arial" w:hAnsi="Arial"/>
                <w:sz w:val="14"/>
                <w:szCs w:val="14"/>
                <w:color w:val="auto"/>
              </w:rPr>
              <w:t>[*CTR]</w:t>
            </w:r>
          </w:p>
        </w:tc>
        <w:tc>
          <w:tcPr>
            <w:tcW w:w="2960" w:type="dxa"/>
            <w:vAlign w:val="bottom"/>
            <w:tcBorders>
              <w:bottom w:val="single" w:sz="8" w:color="auto"/>
              <w:right w:val="single" w:sz="8" w:color="auto"/>
            </w:tcBorders>
          </w:tcPr>
          <w:p>
            <w:pPr>
              <w:ind w:left="2440"/>
              <w:spacing w:after="0" w:line="155" w:lineRule="exact"/>
              <w:rPr>
                <w:sz w:val="20"/>
                <w:szCs w:val="20"/>
                <w:color w:val="auto"/>
              </w:rPr>
            </w:pPr>
            <w:r>
              <w:rPr>
                <w:rFonts w:ascii="Arial" w:cs="Arial" w:eastAsia="Arial" w:hAnsi="Arial"/>
                <w:sz w:val="14"/>
                <w:szCs w:val="14"/>
                <w:color w:val="auto"/>
              </w:rPr>
              <w:t>[*CTR]</w:t>
            </w:r>
          </w:p>
        </w:tc>
        <w:tc>
          <w:tcPr>
            <w:tcW w:w="1140" w:type="dxa"/>
            <w:vAlign w:val="bottom"/>
            <w:tcBorders>
              <w:bottom w:val="single" w:sz="8" w:color="auto"/>
              <w:right w:val="single" w:sz="8" w:color="auto"/>
            </w:tcBorders>
          </w:tcPr>
          <w:p>
            <w:pPr>
              <w:ind w:left="580"/>
              <w:spacing w:after="0" w:line="155" w:lineRule="exact"/>
              <w:rPr>
                <w:sz w:val="20"/>
                <w:szCs w:val="20"/>
                <w:color w:val="auto"/>
              </w:rPr>
            </w:pPr>
            <w:r>
              <w:rPr>
                <w:rFonts w:ascii="Arial" w:cs="Arial" w:eastAsia="Arial" w:hAnsi="Arial"/>
                <w:sz w:val="14"/>
                <w:szCs w:val="14"/>
                <w:color w:val="auto"/>
              </w:rPr>
              <w:t>[*CTR]</w:t>
            </w:r>
          </w:p>
        </w:tc>
      </w:tr>
      <w:tr>
        <w:trPr>
          <w:trHeight w:val="156"/>
        </w:trPr>
        <w:tc>
          <w:tcPr>
            <w:tcW w:w="1180" w:type="dxa"/>
            <w:vAlign w:val="bottom"/>
            <w:tcBorders>
              <w:left w:val="single" w:sz="8" w:color="auto"/>
            </w:tcBorders>
          </w:tcPr>
          <w:p>
            <w:pPr>
              <w:spacing w:after="0"/>
              <w:rPr>
                <w:sz w:val="13"/>
                <w:szCs w:val="13"/>
                <w:color w:val="auto"/>
              </w:rPr>
            </w:pPr>
          </w:p>
        </w:tc>
        <w:tc>
          <w:tcPr>
            <w:tcW w:w="820" w:type="dxa"/>
            <w:vAlign w:val="bottom"/>
            <w:tcBorders>
              <w:bottom w:val="single" w:sz="8" w:color="auto"/>
              <w:right w:val="single" w:sz="8" w:color="auto"/>
            </w:tcBorders>
          </w:tcPr>
          <w:p>
            <w:pPr>
              <w:jc w:val="right"/>
              <w:spacing w:after="0" w:line="155" w:lineRule="exact"/>
              <w:rPr>
                <w:sz w:val="20"/>
                <w:szCs w:val="20"/>
                <w:color w:val="auto"/>
              </w:rPr>
            </w:pPr>
            <w:r>
              <w:rPr>
                <w:rFonts w:ascii="Arial" w:cs="Arial" w:eastAsia="Arial" w:hAnsi="Arial"/>
                <w:sz w:val="14"/>
                <w:szCs w:val="14"/>
                <w:color w:val="auto"/>
              </w:rPr>
              <w:t>15</w:t>
            </w:r>
          </w:p>
        </w:tc>
        <w:tc>
          <w:tcPr>
            <w:tcW w:w="3060" w:type="dxa"/>
            <w:vAlign w:val="bottom"/>
            <w:tcBorders>
              <w:bottom w:val="single" w:sz="8" w:color="auto"/>
              <w:right w:val="single" w:sz="8" w:color="auto"/>
            </w:tcBorders>
          </w:tcPr>
          <w:p>
            <w:pPr>
              <w:ind w:left="2520"/>
              <w:spacing w:after="0" w:line="155" w:lineRule="exact"/>
              <w:rPr>
                <w:sz w:val="20"/>
                <w:szCs w:val="20"/>
                <w:color w:val="auto"/>
              </w:rPr>
            </w:pPr>
            <w:r>
              <w:rPr>
                <w:rFonts w:ascii="Arial" w:cs="Arial" w:eastAsia="Arial" w:hAnsi="Arial"/>
                <w:sz w:val="14"/>
                <w:szCs w:val="14"/>
                <w:color w:val="auto"/>
              </w:rPr>
              <w:t>[*CTR]</w:t>
            </w:r>
          </w:p>
        </w:tc>
        <w:tc>
          <w:tcPr>
            <w:tcW w:w="2960" w:type="dxa"/>
            <w:vAlign w:val="bottom"/>
            <w:tcBorders>
              <w:bottom w:val="single" w:sz="8" w:color="auto"/>
              <w:right w:val="single" w:sz="8" w:color="auto"/>
            </w:tcBorders>
          </w:tcPr>
          <w:p>
            <w:pPr>
              <w:ind w:left="2440"/>
              <w:spacing w:after="0" w:line="155" w:lineRule="exact"/>
              <w:rPr>
                <w:sz w:val="20"/>
                <w:szCs w:val="20"/>
                <w:color w:val="auto"/>
              </w:rPr>
            </w:pPr>
            <w:r>
              <w:rPr>
                <w:rFonts w:ascii="Arial" w:cs="Arial" w:eastAsia="Arial" w:hAnsi="Arial"/>
                <w:sz w:val="14"/>
                <w:szCs w:val="14"/>
                <w:color w:val="auto"/>
              </w:rPr>
              <w:t>[*CTR]</w:t>
            </w:r>
          </w:p>
        </w:tc>
        <w:tc>
          <w:tcPr>
            <w:tcW w:w="1140" w:type="dxa"/>
            <w:vAlign w:val="bottom"/>
            <w:tcBorders>
              <w:bottom w:val="single" w:sz="8" w:color="auto"/>
              <w:right w:val="single" w:sz="8" w:color="auto"/>
            </w:tcBorders>
          </w:tcPr>
          <w:p>
            <w:pPr>
              <w:ind w:left="580"/>
              <w:spacing w:after="0" w:line="155" w:lineRule="exact"/>
              <w:rPr>
                <w:sz w:val="20"/>
                <w:szCs w:val="20"/>
                <w:color w:val="auto"/>
              </w:rPr>
            </w:pPr>
            <w:r>
              <w:rPr>
                <w:rFonts w:ascii="Arial" w:cs="Arial" w:eastAsia="Arial" w:hAnsi="Arial"/>
                <w:sz w:val="14"/>
                <w:szCs w:val="14"/>
                <w:color w:val="auto"/>
              </w:rPr>
              <w:t>[*CTR]</w:t>
            </w:r>
          </w:p>
        </w:tc>
      </w:tr>
      <w:tr>
        <w:trPr>
          <w:trHeight w:val="156"/>
        </w:trPr>
        <w:tc>
          <w:tcPr>
            <w:tcW w:w="1180" w:type="dxa"/>
            <w:vAlign w:val="bottom"/>
            <w:tcBorders>
              <w:left w:val="single" w:sz="8" w:color="auto"/>
            </w:tcBorders>
          </w:tcPr>
          <w:p>
            <w:pPr>
              <w:spacing w:after="0"/>
              <w:rPr>
                <w:sz w:val="13"/>
                <w:szCs w:val="13"/>
                <w:color w:val="auto"/>
              </w:rPr>
            </w:pPr>
          </w:p>
        </w:tc>
        <w:tc>
          <w:tcPr>
            <w:tcW w:w="820" w:type="dxa"/>
            <w:vAlign w:val="bottom"/>
            <w:tcBorders>
              <w:bottom w:val="single" w:sz="8" w:color="auto"/>
              <w:right w:val="single" w:sz="8" w:color="auto"/>
            </w:tcBorders>
          </w:tcPr>
          <w:p>
            <w:pPr>
              <w:jc w:val="right"/>
              <w:spacing w:after="0" w:line="155" w:lineRule="exact"/>
              <w:rPr>
                <w:sz w:val="20"/>
                <w:szCs w:val="20"/>
                <w:color w:val="auto"/>
              </w:rPr>
            </w:pPr>
            <w:r>
              <w:rPr>
                <w:rFonts w:ascii="Arial" w:cs="Arial" w:eastAsia="Arial" w:hAnsi="Arial"/>
                <w:sz w:val="14"/>
                <w:szCs w:val="14"/>
                <w:color w:val="auto"/>
              </w:rPr>
              <w:t>16</w:t>
            </w:r>
          </w:p>
        </w:tc>
        <w:tc>
          <w:tcPr>
            <w:tcW w:w="3060" w:type="dxa"/>
            <w:vAlign w:val="bottom"/>
            <w:tcBorders>
              <w:bottom w:val="single" w:sz="8" w:color="auto"/>
              <w:right w:val="single" w:sz="8" w:color="auto"/>
            </w:tcBorders>
          </w:tcPr>
          <w:p>
            <w:pPr>
              <w:ind w:left="2520"/>
              <w:spacing w:after="0" w:line="155" w:lineRule="exact"/>
              <w:rPr>
                <w:sz w:val="20"/>
                <w:szCs w:val="20"/>
                <w:color w:val="auto"/>
              </w:rPr>
            </w:pPr>
            <w:r>
              <w:rPr>
                <w:rFonts w:ascii="Arial" w:cs="Arial" w:eastAsia="Arial" w:hAnsi="Arial"/>
                <w:sz w:val="14"/>
                <w:szCs w:val="14"/>
                <w:color w:val="auto"/>
              </w:rPr>
              <w:t>[*CTR]</w:t>
            </w:r>
          </w:p>
        </w:tc>
        <w:tc>
          <w:tcPr>
            <w:tcW w:w="2960" w:type="dxa"/>
            <w:vAlign w:val="bottom"/>
            <w:tcBorders>
              <w:bottom w:val="single" w:sz="8" w:color="auto"/>
              <w:right w:val="single" w:sz="8" w:color="auto"/>
            </w:tcBorders>
          </w:tcPr>
          <w:p>
            <w:pPr>
              <w:ind w:left="2440"/>
              <w:spacing w:after="0" w:line="155" w:lineRule="exact"/>
              <w:rPr>
                <w:sz w:val="20"/>
                <w:szCs w:val="20"/>
                <w:color w:val="auto"/>
              </w:rPr>
            </w:pPr>
            <w:r>
              <w:rPr>
                <w:rFonts w:ascii="Arial" w:cs="Arial" w:eastAsia="Arial" w:hAnsi="Arial"/>
                <w:sz w:val="14"/>
                <w:szCs w:val="14"/>
                <w:color w:val="auto"/>
              </w:rPr>
              <w:t>[*CTR]</w:t>
            </w:r>
          </w:p>
        </w:tc>
        <w:tc>
          <w:tcPr>
            <w:tcW w:w="1140" w:type="dxa"/>
            <w:vAlign w:val="bottom"/>
            <w:tcBorders>
              <w:bottom w:val="single" w:sz="8" w:color="auto"/>
              <w:right w:val="single" w:sz="8" w:color="auto"/>
            </w:tcBorders>
          </w:tcPr>
          <w:p>
            <w:pPr>
              <w:ind w:left="580"/>
              <w:spacing w:after="0" w:line="155" w:lineRule="exact"/>
              <w:rPr>
                <w:sz w:val="20"/>
                <w:szCs w:val="20"/>
                <w:color w:val="auto"/>
              </w:rPr>
            </w:pPr>
            <w:r>
              <w:rPr>
                <w:rFonts w:ascii="Arial" w:cs="Arial" w:eastAsia="Arial" w:hAnsi="Arial"/>
                <w:sz w:val="14"/>
                <w:szCs w:val="14"/>
                <w:color w:val="auto"/>
              </w:rPr>
              <w:t>[*CTR]</w:t>
            </w:r>
          </w:p>
        </w:tc>
      </w:tr>
      <w:tr>
        <w:trPr>
          <w:trHeight w:val="156"/>
        </w:trPr>
        <w:tc>
          <w:tcPr>
            <w:tcW w:w="1180" w:type="dxa"/>
            <w:vAlign w:val="bottom"/>
            <w:tcBorders>
              <w:left w:val="single" w:sz="8" w:color="auto"/>
            </w:tcBorders>
          </w:tcPr>
          <w:p>
            <w:pPr>
              <w:spacing w:after="0"/>
              <w:rPr>
                <w:sz w:val="13"/>
                <w:szCs w:val="13"/>
                <w:color w:val="auto"/>
              </w:rPr>
            </w:pPr>
          </w:p>
        </w:tc>
        <w:tc>
          <w:tcPr>
            <w:tcW w:w="820" w:type="dxa"/>
            <w:vAlign w:val="bottom"/>
            <w:tcBorders>
              <w:bottom w:val="single" w:sz="8" w:color="auto"/>
              <w:right w:val="single" w:sz="8" w:color="auto"/>
            </w:tcBorders>
          </w:tcPr>
          <w:p>
            <w:pPr>
              <w:jc w:val="right"/>
              <w:spacing w:after="0" w:line="155" w:lineRule="exact"/>
              <w:rPr>
                <w:sz w:val="20"/>
                <w:szCs w:val="20"/>
                <w:color w:val="auto"/>
              </w:rPr>
            </w:pPr>
            <w:r>
              <w:rPr>
                <w:rFonts w:ascii="Arial" w:cs="Arial" w:eastAsia="Arial" w:hAnsi="Arial"/>
                <w:sz w:val="14"/>
                <w:szCs w:val="14"/>
                <w:color w:val="auto"/>
              </w:rPr>
              <w:t>17</w:t>
            </w:r>
          </w:p>
        </w:tc>
        <w:tc>
          <w:tcPr>
            <w:tcW w:w="3060" w:type="dxa"/>
            <w:vAlign w:val="bottom"/>
            <w:tcBorders>
              <w:bottom w:val="single" w:sz="8" w:color="auto"/>
              <w:right w:val="single" w:sz="8" w:color="auto"/>
            </w:tcBorders>
          </w:tcPr>
          <w:p>
            <w:pPr>
              <w:ind w:left="2520"/>
              <w:spacing w:after="0" w:line="155" w:lineRule="exact"/>
              <w:rPr>
                <w:sz w:val="20"/>
                <w:szCs w:val="20"/>
                <w:color w:val="auto"/>
              </w:rPr>
            </w:pPr>
            <w:r>
              <w:rPr>
                <w:rFonts w:ascii="Arial" w:cs="Arial" w:eastAsia="Arial" w:hAnsi="Arial"/>
                <w:sz w:val="14"/>
                <w:szCs w:val="14"/>
                <w:color w:val="auto"/>
              </w:rPr>
              <w:t>[*CTR]</w:t>
            </w:r>
          </w:p>
        </w:tc>
        <w:tc>
          <w:tcPr>
            <w:tcW w:w="2960" w:type="dxa"/>
            <w:vAlign w:val="bottom"/>
            <w:tcBorders>
              <w:bottom w:val="single" w:sz="8" w:color="auto"/>
              <w:right w:val="single" w:sz="8" w:color="auto"/>
            </w:tcBorders>
          </w:tcPr>
          <w:p>
            <w:pPr>
              <w:ind w:left="2440"/>
              <w:spacing w:after="0" w:line="155" w:lineRule="exact"/>
              <w:rPr>
                <w:sz w:val="20"/>
                <w:szCs w:val="20"/>
                <w:color w:val="auto"/>
              </w:rPr>
            </w:pPr>
            <w:r>
              <w:rPr>
                <w:rFonts w:ascii="Arial" w:cs="Arial" w:eastAsia="Arial" w:hAnsi="Arial"/>
                <w:sz w:val="14"/>
                <w:szCs w:val="14"/>
                <w:color w:val="auto"/>
              </w:rPr>
              <w:t>[*CTR]</w:t>
            </w:r>
          </w:p>
        </w:tc>
        <w:tc>
          <w:tcPr>
            <w:tcW w:w="1140" w:type="dxa"/>
            <w:vAlign w:val="bottom"/>
            <w:tcBorders>
              <w:bottom w:val="single" w:sz="8" w:color="auto"/>
              <w:right w:val="single" w:sz="8" w:color="auto"/>
            </w:tcBorders>
          </w:tcPr>
          <w:p>
            <w:pPr>
              <w:ind w:left="580"/>
              <w:spacing w:after="0" w:line="155" w:lineRule="exact"/>
              <w:rPr>
                <w:sz w:val="20"/>
                <w:szCs w:val="20"/>
                <w:color w:val="auto"/>
              </w:rPr>
            </w:pPr>
            <w:r>
              <w:rPr>
                <w:rFonts w:ascii="Arial" w:cs="Arial" w:eastAsia="Arial" w:hAnsi="Arial"/>
                <w:sz w:val="14"/>
                <w:szCs w:val="14"/>
                <w:color w:val="auto"/>
              </w:rPr>
              <w:t>[*CTR]</w:t>
            </w:r>
          </w:p>
        </w:tc>
      </w:tr>
      <w:tr>
        <w:trPr>
          <w:trHeight w:val="156"/>
        </w:trPr>
        <w:tc>
          <w:tcPr>
            <w:tcW w:w="1180" w:type="dxa"/>
            <w:vAlign w:val="bottom"/>
            <w:tcBorders>
              <w:left w:val="single" w:sz="8" w:color="auto"/>
              <w:bottom w:val="single" w:sz="8" w:color="auto"/>
            </w:tcBorders>
          </w:tcPr>
          <w:p>
            <w:pPr>
              <w:spacing w:after="0"/>
              <w:rPr>
                <w:sz w:val="13"/>
                <w:szCs w:val="13"/>
                <w:color w:val="auto"/>
              </w:rPr>
            </w:pPr>
          </w:p>
        </w:tc>
        <w:tc>
          <w:tcPr>
            <w:tcW w:w="820" w:type="dxa"/>
            <w:vAlign w:val="bottom"/>
            <w:tcBorders>
              <w:bottom w:val="single" w:sz="8" w:color="auto"/>
              <w:right w:val="single" w:sz="8" w:color="auto"/>
            </w:tcBorders>
          </w:tcPr>
          <w:p>
            <w:pPr>
              <w:jc w:val="right"/>
              <w:spacing w:after="0" w:line="155" w:lineRule="exact"/>
              <w:rPr>
                <w:sz w:val="20"/>
                <w:szCs w:val="20"/>
                <w:color w:val="auto"/>
              </w:rPr>
            </w:pPr>
            <w:r>
              <w:rPr>
                <w:rFonts w:ascii="Arial" w:cs="Arial" w:eastAsia="Arial" w:hAnsi="Arial"/>
                <w:sz w:val="14"/>
                <w:szCs w:val="14"/>
                <w:color w:val="auto"/>
              </w:rPr>
              <w:t>18</w:t>
            </w:r>
          </w:p>
        </w:tc>
        <w:tc>
          <w:tcPr>
            <w:tcW w:w="3060" w:type="dxa"/>
            <w:vAlign w:val="bottom"/>
            <w:tcBorders>
              <w:bottom w:val="single" w:sz="8" w:color="auto"/>
              <w:right w:val="single" w:sz="8" w:color="auto"/>
            </w:tcBorders>
          </w:tcPr>
          <w:p>
            <w:pPr>
              <w:ind w:left="2520"/>
              <w:spacing w:after="0" w:line="155" w:lineRule="exact"/>
              <w:rPr>
                <w:sz w:val="20"/>
                <w:szCs w:val="20"/>
                <w:color w:val="auto"/>
              </w:rPr>
            </w:pPr>
            <w:r>
              <w:rPr>
                <w:rFonts w:ascii="Arial" w:cs="Arial" w:eastAsia="Arial" w:hAnsi="Arial"/>
                <w:sz w:val="14"/>
                <w:szCs w:val="14"/>
                <w:color w:val="auto"/>
              </w:rPr>
              <w:t>[*CTR]</w:t>
            </w:r>
          </w:p>
        </w:tc>
        <w:tc>
          <w:tcPr>
            <w:tcW w:w="2960" w:type="dxa"/>
            <w:vAlign w:val="bottom"/>
            <w:tcBorders>
              <w:bottom w:val="single" w:sz="8" w:color="auto"/>
              <w:right w:val="single" w:sz="8" w:color="auto"/>
            </w:tcBorders>
          </w:tcPr>
          <w:p>
            <w:pPr>
              <w:ind w:left="2440"/>
              <w:spacing w:after="0" w:line="155" w:lineRule="exact"/>
              <w:rPr>
                <w:sz w:val="20"/>
                <w:szCs w:val="20"/>
                <w:color w:val="auto"/>
              </w:rPr>
            </w:pPr>
            <w:r>
              <w:rPr>
                <w:rFonts w:ascii="Arial" w:cs="Arial" w:eastAsia="Arial" w:hAnsi="Arial"/>
                <w:sz w:val="14"/>
                <w:szCs w:val="14"/>
                <w:color w:val="auto"/>
              </w:rPr>
              <w:t>[*CTR]</w:t>
            </w:r>
          </w:p>
        </w:tc>
        <w:tc>
          <w:tcPr>
            <w:tcW w:w="1140" w:type="dxa"/>
            <w:vAlign w:val="bottom"/>
            <w:tcBorders>
              <w:bottom w:val="single" w:sz="8" w:color="auto"/>
              <w:right w:val="single" w:sz="8" w:color="auto"/>
            </w:tcBorders>
          </w:tcPr>
          <w:p>
            <w:pPr>
              <w:ind w:left="580"/>
              <w:spacing w:after="0" w:line="155" w:lineRule="exact"/>
              <w:rPr>
                <w:sz w:val="20"/>
                <w:szCs w:val="20"/>
                <w:color w:val="auto"/>
              </w:rPr>
            </w:pPr>
            <w:r>
              <w:rPr>
                <w:rFonts w:ascii="Arial" w:cs="Arial" w:eastAsia="Arial" w:hAnsi="Arial"/>
                <w:sz w:val="14"/>
                <w:szCs w:val="14"/>
                <w:color w:val="auto"/>
              </w:rPr>
              <w:t>[*CTR]</w:t>
            </w:r>
          </w:p>
        </w:tc>
      </w:tr>
      <w:tr>
        <w:trPr>
          <w:trHeight w:val="171"/>
        </w:trPr>
        <w:tc>
          <w:tcPr>
            <w:tcW w:w="1180" w:type="dxa"/>
            <w:vAlign w:val="bottom"/>
            <w:tcBorders>
              <w:left w:val="single" w:sz="8" w:color="auto"/>
              <w:right w:val="single" w:sz="8" w:color="auto"/>
            </w:tcBorders>
          </w:tcPr>
          <w:p>
            <w:pPr>
              <w:spacing w:after="0"/>
              <w:rPr>
                <w:sz w:val="14"/>
                <w:szCs w:val="14"/>
                <w:color w:val="auto"/>
              </w:rPr>
            </w:pPr>
          </w:p>
        </w:tc>
        <w:tc>
          <w:tcPr>
            <w:tcW w:w="820" w:type="dxa"/>
            <w:vAlign w:val="bottom"/>
            <w:tcBorders>
              <w:right w:val="single" w:sz="8" w:color="auto"/>
            </w:tcBorders>
          </w:tcPr>
          <w:p>
            <w:pPr>
              <w:spacing w:after="0"/>
              <w:rPr>
                <w:sz w:val="14"/>
                <w:szCs w:val="14"/>
                <w:color w:val="auto"/>
              </w:rPr>
            </w:pPr>
          </w:p>
        </w:tc>
        <w:tc>
          <w:tcPr>
            <w:tcW w:w="3060" w:type="dxa"/>
            <w:vAlign w:val="bottom"/>
            <w:tcBorders>
              <w:right w:val="single" w:sz="8" w:color="auto"/>
            </w:tcBorders>
          </w:tcPr>
          <w:p>
            <w:pPr>
              <w:ind w:left="2520"/>
              <w:spacing w:after="0"/>
              <w:rPr>
                <w:sz w:val="20"/>
                <w:szCs w:val="20"/>
                <w:color w:val="auto"/>
              </w:rPr>
            </w:pPr>
            <w:r>
              <w:rPr>
                <w:rFonts w:ascii="Arial" w:cs="Arial" w:eastAsia="Arial" w:hAnsi="Arial"/>
                <w:sz w:val="14"/>
                <w:szCs w:val="14"/>
                <w:color w:val="auto"/>
              </w:rPr>
              <w:t>[*CTR]</w:t>
            </w:r>
          </w:p>
        </w:tc>
        <w:tc>
          <w:tcPr>
            <w:tcW w:w="2960" w:type="dxa"/>
            <w:vAlign w:val="bottom"/>
            <w:tcBorders>
              <w:right w:val="single" w:sz="8" w:color="auto"/>
            </w:tcBorders>
          </w:tcPr>
          <w:p>
            <w:pPr>
              <w:ind w:left="2440"/>
              <w:spacing w:after="0"/>
              <w:rPr>
                <w:sz w:val="20"/>
                <w:szCs w:val="20"/>
                <w:color w:val="auto"/>
              </w:rPr>
            </w:pPr>
            <w:r>
              <w:rPr>
                <w:rFonts w:ascii="Arial" w:cs="Arial" w:eastAsia="Arial" w:hAnsi="Arial"/>
                <w:sz w:val="14"/>
                <w:szCs w:val="14"/>
                <w:color w:val="auto"/>
              </w:rPr>
              <w:t>[*CTR]</w:t>
            </w:r>
          </w:p>
        </w:tc>
        <w:tc>
          <w:tcPr>
            <w:tcW w:w="1140" w:type="dxa"/>
            <w:vAlign w:val="bottom"/>
            <w:tcBorders>
              <w:right w:val="single" w:sz="8" w:color="auto"/>
            </w:tcBorders>
          </w:tcPr>
          <w:p>
            <w:pPr>
              <w:ind w:left="580"/>
              <w:spacing w:after="0"/>
              <w:rPr>
                <w:sz w:val="20"/>
                <w:szCs w:val="20"/>
                <w:color w:val="auto"/>
              </w:rPr>
            </w:pPr>
            <w:r>
              <w:rPr>
                <w:rFonts w:ascii="Arial" w:cs="Arial" w:eastAsia="Arial" w:hAnsi="Arial"/>
                <w:sz w:val="14"/>
                <w:szCs w:val="14"/>
                <w:color w:val="auto"/>
              </w:rPr>
              <w:t>[*CTR]</w:t>
            </w:r>
          </w:p>
        </w:tc>
      </w:tr>
      <w:tr>
        <w:trPr>
          <w:trHeight w:val="498"/>
        </w:trPr>
        <w:tc>
          <w:tcPr>
            <w:tcW w:w="1180" w:type="dxa"/>
            <w:vAlign w:val="bottom"/>
            <w:tcBorders>
              <w:left w:val="single" w:sz="8" w:color="auto"/>
              <w:bottom w:val="single" w:sz="8" w:color="auto"/>
              <w:right w:val="single" w:sz="8" w:color="auto"/>
            </w:tcBorders>
          </w:tcPr>
          <w:p>
            <w:pPr>
              <w:jc w:val="center"/>
              <w:ind w:left="484"/>
              <w:spacing w:after="0"/>
              <w:rPr>
                <w:sz w:val="20"/>
                <w:szCs w:val="20"/>
                <w:color w:val="auto"/>
              </w:rPr>
            </w:pPr>
            <w:r>
              <w:rPr>
                <w:rFonts w:ascii="Arial" w:cs="Arial" w:eastAsia="Arial" w:hAnsi="Arial"/>
                <w:sz w:val="14"/>
                <w:szCs w:val="14"/>
                <w:color w:val="auto"/>
                <w:w w:val="99"/>
              </w:rPr>
              <w:t>[*CTR]</w:t>
            </w:r>
          </w:p>
        </w:tc>
        <w:tc>
          <w:tcPr>
            <w:tcW w:w="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3060" w:type="dxa"/>
            <w:vAlign w:val="bottom"/>
            <w:tcBorders>
              <w:bottom w:val="single" w:sz="8" w:color="auto"/>
              <w:right w:val="single" w:sz="8" w:color="auto"/>
            </w:tcBorders>
          </w:tcPr>
          <w:p>
            <w:pPr>
              <w:spacing w:after="0"/>
              <w:rPr>
                <w:sz w:val="24"/>
                <w:szCs w:val="24"/>
                <w:color w:val="auto"/>
              </w:rPr>
            </w:pPr>
          </w:p>
        </w:tc>
        <w:tc>
          <w:tcPr>
            <w:tcW w:w="296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spacing w:after="0"/>
              <w:rPr>
                <w:sz w:val="24"/>
                <w:szCs w:val="24"/>
                <w:color w:val="auto"/>
              </w:rPr>
            </w:pPr>
          </w:p>
        </w:tc>
      </w:tr>
      <w:tr>
        <w:trPr>
          <w:trHeight w:val="156"/>
        </w:trPr>
        <w:tc>
          <w:tcPr>
            <w:tcW w:w="1180" w:type="dxa"/>
            <w:vAlign w:val="bottom"/>
            <w:tcBorders>
              <w:left w:val="single" w:sz="8" w:color="auto"/>
              <w:right w:val="single" w:sz="8" w:color="auto"/>
            </w:tcBorders>
          </w:tcPr>
          <w:p>
            <w:pPr>
              <w:jc w:val="center"/>
              <w:ind w:left="484"/>
              <w:spacing w:after="0" w:line="155" w:lineRule="exact"/>
              <w:rPr>
                <w:sz w:val="20"/>
                <w:szCs w:val="20"/>
                <w:color w:val="auto"/>
              </w:rPr>
            </w:pPr>
            <w:r>
              <w:rPr>
                <w:rFonts w:ascii="Arial" w:cs="Arial" w:eastAsia="Arial" w:hAnsi="Arial"/>
                <w:sz w:val="14"/>
                <w:szCs w:val="14"/>
                <w:color w:val="auto"/>
                <w:w w:val="99"/>
              </w:rPr>
              <w:t>[*CTR]</w:t>
            </w:r>
          </w:p>
        </w:tc>
        <w:tc>
          <w:tcPr>
            <w:tcW w:w="820" w:type="dxa"/>
            <w:vAlign w:val="bottom"/>
            <w:tcBorders>
              <w:bottom w:val="single" w:sz="8" w:color="auto"/>
              <w:right w:val="single" w:sz="8" w:color="auto"/>
            </w:tcBorders>
          </w:tcPr>
          <w:p>
            <w:pPr>
              <w:jc w:val="right"/>
              <w:spacing w:after="0" w:line="155" w:lineRule="exact"/>
              <w:rPr>
                <w:sz w:val="20"/>
                <w:szCs w:val="20"/>
                <w:color w:val="auto"/>
              </w:rPr>
            </w:pPr>
            <w:r>
              <w:rPr>
                <w:rFonts w:ascii="Arial" w:cs="Arial" w:eastAsia="Arial" w:hAnsi="Arial"/>
                <w:sz w:val="14"/>
                <w:szCs w:val="14"/>
                <w:color w:val="auto"/>
              </w:rPr>
              <w:t>2</w:t>
            </w:r>
          </w:p>
        </w:tc>
        <w:tc>
          <w:tcPr>
            <w:tcW w:w="3060" w:type="dxa"/>
            <w:vAlign w:val="bottom"/>
            <w:tcBorders>
              <w:bottom w:val="single" w:sz="8" w:color="auto"/>
              <w:right w:val="single" w:sz="8" w:color="auto"/>
            </w:tcBorders>
          </w:tcPr>
          <w:p>
            <w:pPr>
              <w:ind w:left="2520"/>
              <w:spacing w:after="0" w:line="155" w:lineRule="exact"/>
              <w:rPr>
                <w:sz w:val="20"/>
                <w:szCs w:val="20"/>
                <w:color w:val="auto"/>
              </w:rPr>
            </w:pPr>
            <w:r>
              <w:rPr>
                <w:rFonts w:ascii="Arial" w:cs="Arial" w:eastAsia="Arial" w:hAnsi="Arial"/>
                <w:sz w:val="14"/>
                <w:szCs w:val="14"/>
                <w:color w:val="auto"/>
              </w:rPr>
              <w:t>[*CTR]</w:t>
            </w:r>
          </w:p>
        </w:tc>
        <w:tc>
          <w:tcPr>
            <w:tcW w:w="2960" w:type="dxa"/>
            <w:vAlign w:val="bottom"/>
            <w:tcBorders>
              <w:bottom w:val="single" w:sz="8" w:color="auto"/>
              <w:right w:val="single" w:sz="8" w:color="auto"/>
            </w:tcBorders>
          </w:tcPr>
          <w:p>
            <w:pPr>
              <w:ind w:left="2440"/>
              <w:spacing w:after="0" w:line="155" w:lineRule="exact"/>
              <w:rPr>
                <w:sz w:val="20"/>
                <w:szCs w:val="20"/>
                <w:color w:val="auto"/>
              </w:rPr>
            </w:pPr>
            <w:r>
              <w:rPr>
                <w:rFonts w:ascii="Arial" w:cs="Arial" w:eastAsia="Arial" w:hAnsi="Arial"/>
                <w:sz w:val="14"/>
                <w:szCs w:val="14"/>
                <w:color w:val="auto"/>
              </w:rPr>
              <w:t>[*CTR]</w:t>
            </w:r>
          </w:p>
        </w:tc>
        <w:tc>
          <w:tcPr>
            <w:tcW w:w="1140" w:type="dxa"/>
            <w:vAlign w:val="bottom"/>
            <w:tcBorders>
              <w:bottom w:val="single" w:sz="8" w:color="auto"/>
              <w:right w:val="single" w:sz="8" w:color="auto"/>
            </w:tcBorders>
          </w:tcPr>
          <w:p>
            <w:pPr>
              <w:ind w:left="580"/>
              <w:spacing w:after="0" w:line="155" w:lineRule="exact"/>
              <w:rPr>
                <w:sz w:val="20"/>
                <w:szCs w:val="20"/>
                <w:color w:val="auto"/>
              </w:rPr>
            </w:pPr>
            <w:r>
              <w:rPr>
                <w:rFonts w:ascii="Arial" w:cs="Arial" w:eastAsia="Arial" w:hAnsi="Arial"/>
                <w:sz w:val="14"/>
                <w:szCs w:val="14"/>
                <w:color w:val="auto"/>
              </w:rPr>
              <w:t>[*CTR]</w:t>
            </w:r>
          </w:p>
        </w:tc>
      </w:tr>
      <w:tr>
        <w:trPr>
          <w:trHeight w:val="156"/>
        </w:trPr>
        <w:tc>
          <w:tcPr>
            <w:tcW w:w="1180" w:type="dxa"/>
            <w:vAlign w:val="bottom"/>
            <w:tcBorders>
              <w:left w:val="single" w:sz="8" w:color="auto"/>
            </w:tcBorders>
          </w:tcPr>
          <w:p>
            <w:pPr>
              <w:spacing w:after="0"/>
              <w:rPr>
                <w:sz w:val="13"/>
                <w:szCs w:val="13"/>
                <w:color w:val="auto"/>
              </w:rPr>
            </w:pPr>
          </w:p>
        </w:tc>
        <w:tc>
          <w:tcPr>
            <w:tcW w:w="820" w:type="dxa"/>
            <w:vAlign w:val="bottom"/>
            <w:tcBorders>
              <w:bottom w:val="single" w:sz="8" w:color="auto"/>
              <w:right w:val="single" w:sz="8" w:color="auto"/>
            </w:tcBorders>
          </w:tcPr>
          <w:p>
            <w:pPr>
              <w:jc w:val="right"/>
              <w:spacing w:after="0" w:line="155" w:lineRule="exact"/>
              <w:rPr>
                <w:sz w:val="20"/>
                <w:szCs w:val="20"/>
                <w:color w:val="auto"/>
              </w:rPr>
            </w:pPr>
            <w:r>
              <w:rPr>
                <w:rFonts w:ascii="Arial" w:cs="Arial" w:eastAsia="Arial" w:hAnsi="Arial"/>
                <w:sz w:val="14"/>
                <w:szCs w:val="14"/>
                <w:color w:val="auto"/>
              </w:rPr>
              <w:t>3</w:t>
            </w:r>
          </w:p>
        </w:tc>
        <w:tc>
          <w:tcPr>
            <w:tcW w:w="3060" w:type="dxa"/>
            <w:vAlign w:val="bottom"/>
            <w:tcBorders>
              <w:bottom w:val="single" w:sz="8" w:color="auto"/>
              <w:right w:val="single" w:sz="8" w:color="auto"/>
            </w:tcBorders>
          </w:tcPr>
          <w:p>
            <w:pPr>
              <w:ind w:left="2520"/>
              <w:spacing w:after="0" w:line="155" w:lineRule="exact"/>
              <w:rPr>
                <w:sz w:val="20"/>
                <w:szCs w:val="20"/>
                <w:color w:val="auto"/>
              </w:rPr>
            </w:pPr>
            <w:r>
              <w:rPr>
                <w:rFonts w:ascii="Arial" w:cs="Arial" w:eastAsia="Arial" w:hAnsi="Arial"/>
                <w:sz w:val="14"/>
                <w:szCs w:val="14"/>
                <w:color w:val="auto"/>
              </w:rPr>
              <w:t>[*CTR]</w:t>
            </w:r>
          </w:p>
        </w:tc>
        <w:tc>
          <w:tcPr>
            <w:tcW w:w="2960" w:type="dxa"/>
            <w:vAlign w:val="bottom"/>
            <w:tcBorders>
              <w:bottom w:val="single" w:sz="8" w:color="auto"/>
              <w:right w:val="single" w:sz="8" w:color="auto"/>
            </w:tcBorders>
          </w:tcPr>
          <w:p>
            <w:pPr>
              <w:ind w:left="2440"/>
              <w:spacing w:after="0" w:line="155" w:lineRule="exact"/>
              <w:rPr>
                <w:sz w:val="20"/>
                <w:szCs w:val="20"/>
                <w:color w:val="auto"/>
              </w:rPr>
            </w:pPr>
            <w:r>
              <w:rPr>
                <w:rFonts w:ascii="Arial" w:cs="Arial" w:eastAsia="Arial" w:hAnsi="Arial"/>
                <w:sz w:val="14"/>
                <w:szCs w:val="14"/>
                <w:color w:val="auto"/>
              </w:rPr>
              <w:t>[*CTR]</w:t>
            </w:r>
          </w:p>
        </w:tc>
        <w:tc>
          <w:tcPr>
            <w:tcW w:w="1140" w:type="dxa"/>
            <w:vAlign w:val="bottom"/>
            <w:tcBorders>
              <w:bottom w:val="single" w:sz="8" w:color="auto"/>
              <w:right w:val="single" w:sz="8" w:color="auto"/>
            </w:tcBorders>
          </w:tcPr>
          <w:p>
            <w:pPr>
              <w:ind w:left="580"/>
              <w:spacing w:after="0" w:line="155" w:lineRule="exact"/>
              <w:rPr>
                <w:sz w:val="20"/>
                <w:szCs w:val="20"/>
                <w:color w:val="auto"/>
              </w:rPr>
            </w:pPr>
            <w:r>
              <w:rPr>
                <w:rFonts w:ascii="Arial" w:cs="Arial" w:eastAsia="Arial" w:hAnsi="Arial"/>
                <w:sz w:val="14"/>
                <w:szCs w:val="14"/>
                <w:color w:val="auto"/>
              </w:rPr>
              <w:t>[*CTR]</w:t>
            </w:r>
          </w:p>
        </w:tc>
      </w:tr>
      <w:tr>
        <w:trPr>
          <w:trHeight w:val="156"/>
        </w:trPr>
        <w:tc>
          <w:tcPr>
            <w:tcW w:w="1180" w:type="dxa"/>
            <w:vAlign w:val="bottom"/>
            <w:tcBorders>
              <w:left w:val="single" w:sz="8" w:color="auto"/>
            </w:tcBorders>
          </w:tcPr>
          <w:p>
            <w:pPr>
              <w:spacing w:after="0"/>
              <w:rPr>
                <w:sz w:val="13"/>
                <w:szCs w:val="13"/>
                <w:color w:val="auto"/>
              </w:rPr>
            </w:pPr>
          </w:p>
        </w:tc>
        <w:tc>
          <w:tcPr>
            <w:tcW w:w="820" w:type="dxa"/>
            <w:vAlign w:val="bottom"/>
            <w:tcBorders>
              <w:bottom w:val="single" w:sz="8" w:color="auto"/>
              <w:right w:val="single" w:sz="8" w:color="auto"/>
            </w:tcBorders>
          </w:tcPr>
          <w:p>
            <w:pPr>
              <w:jc w:val="right"/>
              <w:spacing w:after="0" w:line="155" w:lineRule="exact"/>
              <w:rPr>
                <w:sz w:val="20"/>
                <w:szCs w:val="20"/>
                <w:color w:val="auto"/>
              </w:rPr>
            </w:pPr>
            <w:r>
              <w:rPr>
                <w:rFonts w:ascii="Arial" w:cs="Arial" w:eastAsia="Arial" w:hAnsi="Arial"/>
                <w:sz w:val="14"/>
                <w:szCs w:val="14"/>
                <w:color w:val="auto"/>
              </w:rPr>
              <w:t>4</w:t>
            </w:r>
          </w:p>
        </w:tc>
        <w:tc>
          <w:tcPr>
            <w:tcW w:w="3060" w:type="dxa"/>
            <w:vAlign w:val="bottom"/>
            <w:tcBorders>
              <w:bottom w:val="single" w:sz="8" w:color="auto"/>
              <w:right w:val="single" w:sz="8" w:color="auto"/>
            </w:tcBorders>
          </w:tcPr>
          <w:p>
            <w:pPr>
              <w:ind w:left="2520"/>
              <w:spacing w:after="0" w:line="155" w:lineRule="exact"/>
              <w:rPr>
                <w:sz w:val="20"/>
                <w:szCs w:val="20"/>
                <w:color w:val="auto"/>
              </w:rPr>
            </w:pPr>
            <w:r>
              <w:rPr>
                <w:rFonts w:ascii="Arial" w:cs="Arial" w:eastAsia="Arial" w:hAnsi="Arial"/>
                <w:sz w:val="14"/>
                <w:szCs w:val="14"/>
                <w:color w:val="auto"/>
              </w:rPr>
              <w:t>[*CTR]</w:t>
            </w:r>
          </w:p>
        </w:tc>
        <w:tc>
          <w:tcPr>
            <w:tcW w:w="2960" w:type="dxa"/>
            <w:vAlign w:val="bottom"/>
            <w:tcBorders>
              <w:bottom w:val="single" w:sz="8" w:color="auto"/>
              <w:right w:val="single" w:sz="8" w:color="auto"/>
            </w:tcBorders>
          </w:tcPr>
          <w:p>
            <w:pPr>
              <w:ind w:left="2440"/>
              <w:spacing w:after="0" w:line="155" w:lineRule="exact"/>
              <w:rPr>
                <w:sz w:val="20"/>
                <w:szCs w:val="20"/>
                <w:color w:val="auto"/>
              </w:rPr>
            </w:pPr>
            <w:r>
              <w:rPr>
                <w:rFonts w:ascii="Arial" w:cs="Arial" w:eastAsia="Arial" w:hAnsi="Arial"/>
                <w:sz w:val="14"/>
                <w:szCs w:val="14"/>
                <w:color w:val="auto"/>
              </w:rPr>
              <w:t>[*CTR]</w:t>
            </w:r>
          </w:p>
        </w:tc>
        <w:tc>
          <w:tcPr>
            <w:tcW w:w="1140" w:type="dxa"/>
            <w:vAlign w:val="bottom"/>
            <w:tcBorders>
              <w:bottom w:val="single" w:sz="8" w:color="auto"/>
              <w:right w:val="single" w:sz="8" w:color="auto"/>
            </w:tcBorders>
          </w:tcPr>
          <w:p>
            <w:pPr>
              <w:ind w:left="580"/>
              <w:spacing w:after="0" w:line="155" w:lineRule="exact"/>
              <w:rPr>
                <w:sz w:val="20"/>
                <w:szCs w:val="20"/>
                <w:color w:val="auto"/>
              </w:rPr>
            </w:pPr>
            <w:r>
              <w:rPr>
                <w:rFonts w:ascii="Arial" w:cs="Arial" w:eastAsia="Arial" w:hAnsi="Arial"/>
                <w:sz w:val="14"/>
                <w:szCs w:val="14"/>
                <w:color w:val="auto"/>
              </w:rPr>
              <w:t>[*CTR]</w:t>
            </w:r>
          </w:p>
        </w:tc>
      </w:tr>
      <w:tr>
        <w:trPr>
          <w:trHeight w:val="156"/>
        </w:trPr>
        <w:tc>
          <w:tcPr>
            <w:tcW w:w="1180" w:type="dxa"/>
            <w:vAlign w:val="bottom"/>
            <w:tcBorders>
              <w:left w:val="single" w:sz="8" w:color="auto"/>
            </w:tcBorders>
          </w:tcPr>
          <w:p>
            <w:pPr>
              <w:spacing w:after="0"/>
              <w:rPr>
                <w:sz w:val="13"/>
                <w:szCs w:val="13"/>
                <w:color w:val="auto"/>
              </w:rPr>
            </w:pPr>
          </w:p>
        </w:tc>
        <w:tc>
          <w:tcPr>
            <w:tcW w:w="820" w:type="dxa"/>
            <w:vAlign w:val="bottom"/>
            <w:tcBorders>
              <w:bottom w:val="single" w:sz="8" w:color="auto"/>
              <w:right w:val="single" w:sz="8" w:color="auto"/>
            </w:tcBorders>
          </w:tcPr>
          <w:p>
            <w:pPr>
              <w:jc w:val="right"/>
              <w:spacing w:after="0" w:line="155" w:lineRule="exact"/>
              <w:rPr>
                <w:sz w:val="20"/>
                <w:szCs w:val="20"/>
                <w:color w:val="auto"/>
              </w:rPr>
            </w:pPr>
            <w:r>
              <w:rPr>
                <w:rFonts w:ascii="Arial" w:cs="Arial" w:eastAsia="Arial" w:hAnsi="Arial"/>
                <w:sz w:val="14"/>
                <w:szCs w:val="14"/>
                <w:color w:val="auto"/>
              </w:rPr>
              <w:t>5</w:t>
            </w:r>
          </w:p>
        </w:tc>
        <w:tc>
          <w:tcPr>
            <w:tcW w:w="3060" w:type="dxa"/>
            <w:vAlign w:val="bottom"/>
            <w:tcBorders>
              <w:bottom w:val="single" w:sz="8" w:color="auto"/>
              <w:right w:val="single" w:sz="8" w:color="auto"/>
            </w:tcBorders>
          </w:tcPr>
          <w:p>
            <w:pPr>
              <w:ind w:left="2520"/>
              <w:spacing w:after="0" w:line="155" w:lineRule="exact"/>
              <w:rPr>
                <w:sz w:val="20"/>
                <w:szCs w:val="20"/>
                <w:color w:val="auto"/>
              </w:rPr>
            </w:pPr>
            <w:r>
              <w:rPr>
                <w:rFonts w:ascii="Arial" w:cs="Arial" w:eastAsia="Arial" w:hAnsi="Arial"/>
                <w:sz w:val="14"/>
                <w:szCs w:val="14"/>
                <w:color w:val="auto"/>
              </w:rPr>
              <w:t>[*CTR]</w:t>
            </w:r>
          </w:p>
        </w:tc>
        <w:tc>
          <w:tcPr>
            <w:tcW w:w="2960" w:type="dxa"/>
            <w:vAlign w:val="bottom"/>
            <w:tcBorders>
              <w:bottom w:val="single" w:sz="8" w:color="auto"/>
              <w:right w:val="single" w:sz="8" w:color="auto"/>
            </w:tcBorders>
          </w:tcPr>
          <w:p>
            <w:pPr>
              <w:ind w:left="2440"/>
              <w:spacing w:after="0" w:line="155" w:lineRule="exact"/>
              <w:rPr>
                <w:sz w:val="20"/>
                <w:szCs w:val="20"/>
                <w:color w:val="auto"/>
              </w:rPr>
            </w:pPr>
            <w:r>
              <w:rPr>
                <w:rFonts w:ascii="Arial" w:cs="Arial" w:eastAsia="Arial" w:hAnsi="Arial"/>
                <w:sz w:val="14"/>
                <w:szCs w:val="14"/>
                <w:color w:val="auto"/>
              </w:rPr>
              <w:t>[*CTR]</w:t>
            </w:r>
          </w:p>
        </w:tc>
        <w:tc>
          <w:tcPr>
            <w:tcW w:w="1140" w:type="dxa"/>
            <w:vAlign w:val="bottom"/>
            <w:tcBorders>
              <w:bottom w:val="single" w:sz="8" w:color="auto"/>
              <w:right w:val="single" w:sz="8" w:color="auto"/>
            </w:tcBorders>
          </w:tcPr>
          <w:p>
            <w:pPr>
              <w:ind w:left="580"/>
              <w:spacing w:after="0" w:line="155" w:lineRule="exact"/>
              <w:rPr>
                <w:sz w:val="20"/>
                <w:szCs w:val="20"/>
                <w:color w:val="auto"/>
              </w:rPr>
            </w:pPr>
            <w:r>
              <w:rPr>
                <w:rFonts w:ascii="Arial" w:cs="Arial" w:eastAsia="Arial" w:hAnsi="Arial"/>
                <w:sz w:val="14"/>
                <w:szCs w:val="14"/>
                <w:color w:val="auto"/>
              </w:rPr>
              <w:t>[*CTR]</w:t>
            </w:r>
          </w:p>
        </w:tc>
      </w:tr>
      <w:tr>
        <w:trPr>
          <w:trHeight w:val="156"/>
        </w:trPr>
        <w:tc>
          <w:tcPr>
            <w:tcW w:w="1180" w:type="dxa"/>
            <w:vAlign w:val="bottom"/>
            <w:tcBorders>
              <w:left w:val="single" w:sz="8" w:color="auto"/>
            </w:tcBorders>
          </w:tcPr>
          <w:p>
            <w:pPr>
              <w:spacing w:after="0"/>
              <w:rPr>
                <w:sz w:val="13"/>
                <w:szCs w:val="13"/>
                <w:color w:val="auto"/>
              </w:rPr>
            </w:pPr>
          </w:p>
        </w:tc>
        <w:tc>
          <w:tcPr>
            <w:tcW w:w="820" w:type="dxa"/>
            <w:vAlign w:val="bottom"/>
            <w:tcBorders>
              <w:bottom w:val="single" w:sz="8" w:color="auto"/>
              <w:right w:val="single" w:sz="8" w:color="auto"/>
            </w:tcBorders>
          </w:tcPr>
          <w:p>
            <w:pPr>
              <w:jc w:val="right"/>
              <w:spacing w:after="0" w:line="155" w:lineRule="exact"/>
              <w:rPr>
                <w:sz w:val="20"/>
                <w:szCs w:val="20"/>
                <w:color w:val="auto"/>
              </w:rPr>
            </w:pPr>
            <w:r>
              <w:rPr>
                <w:rFonts w:ascii="Arial" w:cs="Arial" w:eastAsia="Arial" w:hAnsi="Arial"/>
                <w:sz w:val="14"/>
                <w:szCs w:val="14"/>
                <w:color w:val="auto"/>
              </w:rPr>
              <w:t>6</w:t>
            </w:r>
          </w:p>
        </w:tc>
        <w:tc>
          <w:tcPr>
            <w:tcW w:w="3060" w:type="dxa"/>
            <w:vAlign w:val="bottom"/>
            <w:tcBorders>
              <w:bottom w:val="single" w:sz="8" w:color="auto"/>
              <w:right w:val="single" w:sz="8" w:color="auto"/>
            </w:tcBorders>
          </w:tcPr>
          <w:p>
            <w:pPr>
              <w:ind w:left="2520"/>
              <w:spacing w:after="0" w:line="155" w:lineRule="exact"/>
              <w:rPr>
                <w:sz w:val="20"/>
                <w:szCs w:val="20"/>
                <w:color w:val="auto"/>
              </w:rPr>
            </w:pPr>
            <w:r>
              <w:rPr>
                <w:rFonts w:ascii="Arial" w:cs="Arial" w:eastAsia="Arial" w:hAnsi="Arial"/>
                <w:sz w:val="14"/>
                <w:szCs w:val="14"/>
                <w:color w:val="auto"/>
              </w:rPr>
              <w:t>[*CTR]</w:t>
            </w:r>
          </w:p>
        </w:tc>
        <w:tc>
          <w:tcPr>
            <w:tcW w:w="2960" w:type="dxa"/>
            <w:vAlign w:val="bottom"/>
            <w:tcBorders>
              <w:bottom w:val="single" w:sz="8" w:color="auto"/>
              <w:right w:val="single" w:sz="8" w:color="auto"/>
            </w:tcBorders>
          </w:tcPr>
          <w:p>
            <w:pPr>
              <w:ind w:left="2440"/>
              <w:spacing w:after="0" w:line="155" w:lineRule="exact"/>
              <w:rPr>
                <w:sz w:val="20"/>
                <w:szCs w:val="20"/>
                <w:color w:val="auto"/>
              </w:rPr>
            </w:pPr>
            <w:r>
              <w:rPr>
                <w:rFonts w:ascii="Arial" w:cs="Arial" w:eastAsia="Arial" w:hAnsi="Arial"/>
                <w:sz w:val="14"/>
                <w:szCs w:val="14"/>
                <w:color w:val="auto"/>
              </w:rPr>
              <w:t>[*CTR]</w:t>
            </w:r>
          </w:p>
        </w:tc>
        <w:tc>
          <w:tcPr>
            <w:tcW w:w="1140" w:type="dxa"/>
            <w:vAlign w:val="bottom"/>
            <w:tcBorders>
              <w:bottom w:val="single" w:sz="8" w:color="auto"/>
              <w:right w:val="single" w:sz="8" w:color="auto"/>
            </w:tcBorders>
          </w:tcPr>
          <w:p>
            <w:pPr>
              <w:ind w:left="580"/>
              <w:spacing w:after="0" w:line="155" w:lineRule="exact"/>
              <w:rPr>
                <w:sz w:val="20"/>
                <w:szCs w:val="20"/>
                <w:color w:val="auto"/>
              </w:rPr>
            </w:pPr>
            <w:r>
              <w:rPr>
                <w:rFonts w:ascii="Arial" w:cs="Arial" w:eastAsia="Arial" w:hAnsi="Arial"/>
                <w:sz w:val="14"/>
                <w:szCs w:val="14"/>
                <w:color w:val="auto"/>
              </w:rPr>
              <w:t>[*CTR]</w:t>
            </w:r>
          </w:p>
        </w:tc>
      </w:tr>
      <w:tr>
        <w:trPr>
          <w:trHeight w:val="156"/>
        </w:trPr>
        <w:tc>
          <w:tcPr>
            <w:tcW w:w="1180" w:type="dxa"/>
            <w:vAlign w:val="bottom"/>
            <w:tcBorders>
              <w:left w:val="single" w:sz="8" w:color="auto"/>
            </w:tcBorders>
          </w:tcPr>
          <w:p>
            <w:pPr>
              <w:spacing w:after="0"/>
              <w:rPr>
                <w:sz w:val="13"/>
                <w:szCs w:val="13"/>
                <w:color w:val="auto"/>
              </w:rPr>
            </w:pPr>
          </w:p>
        </w:tc>
        <w:tc>
          <w:tcPr>
            <w:tcW w:w="820" w:type="dxa"/>
            <w:vAlign w:val="bottom"/>
            <w:tcBorders>
              <w:bottom w:val="single" w:sz="8" w:color="auto"/>
              <w:right w:val="single" w:sz="8" w:color="auto"/>
            </w:tcBorders>
          </w:tcPr>
          <w:p>
            <w:pPr>
              <w:jc w:val="right"/>
              <w:spacing w:after="0" w:line="155" w:lineRule="exact"/>
              <w:rPr>
                <w:sz w:val="20"/>
                <w:szCs w:val="20"/>
                <w:color w:val="auto"/>
              </w:rPr>
            </w:pPr>
            <w:r>
              <w:rPr>
                <w:rFonts w:ascii="Arial" w:cs="Arial" w:eastAsia="Arial" w:hAnsi="Arial"/>
                <w:sz w:val="14"/>
                <w:szCs w:val="14"/>
                <w:color w:val="auto"/>
              </w:rPr>
              <w:t>7</w:t>
            </w:r>
          </w:p>
        </w:tc>
        <w:tc>
          <w:tcPr>
            <w:tcW w:w="3060" w:type="dxa"/>
            <w:vAlign w:val="bottom"/>
            <w:tcBorders>
              <w:bottom w:val="single" w:sz="8" w:color="auto"/>
              <w:right w:val="single" w:sz="8" w:color="auto"/>
            </w:tcBorders>
          </w:tcPr>
          <w:p>
            <w:pPr>
              <w:ind w:left="2520"/>
              <w:spacing w:after="0" w:line="155" w:lineRule="exact"/>
              <w:rPr>
                <w:sz w:val="20"/>
                <w:szCs w:val="20"/>
                <w:color w:val="auto"/>
              </w:rPr>
            </w:pPr>
            <w:r>
              <w:rPr>
                <w:rFonts w:ascii="Arial" w:cs="Arial" w:eastAsia="Arial" w:hAnsi="Arial"/>
                <w:sz w:val="14"/>
                <w:szCs w:val="14"/>
                <w:color w:val="auto"/>
              </w:rPr>
              <w:t>[*CTR]</w:t>
            </w:r>
          </w:p>
        </w:tc>
        <w:tc>
          <w:tcPr>
            <w:tcW w:w="2960" w:type="dxa"/>
            <w:vAlign w:val="bottom"/>
            <w:tcBorders>
              <w:bottom w:val="single" w:sz="8" w:color="auto"/>
              <w:right w:val="single" w:sz="8" w:color="auto"/>
            </w:tcBorders>
          </w:tcPr>
          <w:p>
            <w:pPr>
              <w:ind w:left="2440"/>
              <w:spacing w:after="0" w:line="155" w:lineRule="exact"/>
              <w:rPr>
                <w:sz w:val="20"/>
                <w:szCs w:val="20"/>
                <w:color w:val="auto"/>
              </w:rPr>
            </w:pPr>
            <w:r>
              <w:rPr>
                <w:rFonts w:ascii="Arial" w:cs="Arial" w:eastAsia="Arial" w:hAnsi="Arial"/>
                <w:sz w:val="14"/>
                <w:szCs w:val="14"/>
                <w:color w:val="auto"/>
              </w:rPr>
              <w:t>[*CTR]</w:t>
            </w:r>
          </w:p>
        </w:tc>
        <w:tc>
          <w:tcPr>
            <w:tcW w:w="1140" w:type="dxa"/>
            <w:vAlign w:val="bottom"/>
            <w:tcBorders>
              <w:bottom w:val="single" w:sz="8" w:color="auto"/>
              <w:right w:val="single" w:sz="8" w:color="auto"/>
            </w:tcBorders>
          </w:tcPr>
          <w:p>
            <w:pPr>
              <w:ind w:left="580"/>
              <w:spacing w:after="0" w:line="155" w:lineRule="exact"/>
              <w:rPr>
                <w:sz w:val="20"/>
                <w:szCs w:val="20"/>
                <w:color w:val="auto"/>
              </w:rPr>
            </w:pPr>
            <w:r>
              <w:rPr>
                <w:rFonts w:ascii="Arial" w:cs="Arial" w:eastAsia="Arial" w:hAnsi="Arial"/>
                <w:sz w:val="14"/>
                <w:szCs w:val="14"/>
                <w:color w:val="auto"/>
              </w:rPr>
              <w:t>[*CTR]</w:t>
            </w:r>
          </w:p>
        </w:tc>
      </w:tr>
      <w:tr>
        <w:trPr>
          <w:trHeight w:val="156"/>
        </w:trPr>
        <w:tc>
          <w:tcPr>
            <w:tcW w:w="1180" w:type="dxa"/>
            <w:vAlign w:val="bottom"/>
            <w:tcBorders>
              <w:left w:val="single" w:sz="8" w:color="auto"/>
            </w:tcBorders>
          </w:tcPr>
          <w:p>
            <w:pPr>
              <w:spacing w:after="0"/>
              <w:rPr>
                <w:sz w:val="13"/>
                <w:szCs w:val="13"/>
                <w:color w:val="auto"/>
              </w:rPr>
            </w:pPr>
          </w:p>
        </w:tc>
        <w:tc>
          <w:tcPr>
            <w:tcW w:w="820" w:type="dxa"/>
            <w:vAlign w:val="bottom"/>
            <w:tcBorders>
              <w:bottom w:val="single" w:sz="8" w:color="auto"/>
              <w:right w:val="single" w:sz="8" w:color="auto"/>
            </w:tcBorders>
          </w:tcPr>
          <w:p>
            <w:pPr>
              <w:jc w:val="right"/>
              <w:spacing w:after="0" w:line="155" w:lineRule="exact"/>
              <w:rPr>
                <w:sz w:val="20"/>
                <w:szCs w:val="20"/>
                <w:color w:val="auto"/>
              </w:rPr>
            </w:pPr>
            <w:r>
              <w:rPr>
                <w:rFonts w:ascii="Arial" w:cs="Arial" w:eastAsia="Arial" w:hAnsi="Arial"/>
                <w:sz w:val="14"/>
                <w:szCs w:val="14"/>
                <w:color w:val="auto"/>
              </w:rPr>
              <w:t>8</w:t>
            </w:r>
          </w:p>
        </w:tc>
        <w:tc>
          <w:tcPr>
            <w:tcW w:w="3060" w:type="dxa"/>
            <w:vAlign w:val="bottom"/>
            <w:tcBorders>
              <w:bottom w:val="single" w:sz="8" w:color="auto"/>
              <w:right w:val="single" w:sz="8" w:color="auto"/>
            </w:tcBorders>
          </w:tcPr>
          <w:p>
            <w:pPr>
              <w:ind w:left="2520"/>
              <w:spacing w:after="0" w:line="155" w:lineRule="exact"/>
              <w:rPr>
                <w:sz w:val="20"/>
                <w:szCs w:val="20"/>
                <w:color w:val="auto"/>
              </w:rPr>
            </w:pPr>
            <w:r>
              <w:rPr>
                <w:rFonts w:ascii="Arial" w:cs="Arial" w:eastAsia="Arial" w:hAnsi="Arial"/>
                <w:sz w:val="14"/>
                <w:szCs w:val="14"/>
                <w:color w:val="auto"/>
              </w:rPr>
              <w:t>[*CTR]</w:t>
            </w:r>
          </w:p>
        </w:tc>
        <w:tc>
          <w:tcPr>
            <w:tcW w:w="2960" w:type="dxa"/>
            <w:vAlign w:val="bottom"/>
            <w:tcBorders>
              <w:bottom w:val="single" w:sz="8" w:color="auto"/>
              <w:right w:val="single" w:sz="8" w:color="auto"/>
            </w:tcBorders>
          </w:tcPr>
          <w:p>
            <w:pPr>
              <w:ind w:left="2440"/>
              <w:spacing w:after="0" w:line="155" w:lineRule="exact"/>
              <w:rPr>
                <w:sz w:val="20"/>
                <w:szCs w:val="20"/>
                <w:color w:val="auto"/>
              </w:rPr>
            </w:pPr>
            <w:r>
              <w:rPr>
                <w:rFonts w:ascii="Arial" w:cs="Arial" w:eastAsia="Arial" w:hAnsi="Arial"/>
                <w:sz w:val="14"/>
                <w:szCs w:val="14"/>
                <w:color w:val="auto"/>
              </w:rPr>
              <w:t>[*CTR]</w:t>
            </w:r>
          </w:p>
        </w:tc>
        <w:tc>
          <w:tcPr>
            <w:tcW w:w="1140" w:type="dxa"/>
            <w:vAlign w:val="bottom"/>
            <w:tcBorders>
              <w:bottom w:val="single" w:sz="8" w:color="auto"/>
              <w:right w:val="single" w:sz="8" w:color="auto"/>
            </w:tcBorders>
          </w:tcPr>
          <w:p>
            <w:pPr>
              <w:ind w:left="580"/>
              <w:spacing w:after="0" w:line="155" w:lineRule="exact"/>
              <w:rPr>
                <w:sz w:val="20"/>
                <w:szCs w:val="20"/>
                <w:color w:val="auto"/>
              </w:rPr>
            </w:pPr>
            <w:r>
              <w:rPr>
                <w:rFonts w:ascii="Arial" w:cs="Arial" w:eastAsia="Arial" w:hAnsi="Arial"/>
                <w:sz w:val="14"/>
                <w:szCs w:val="14"/>
                <w:color w:val="auto"/>
              </w:rPr>
              <w:t>[*CTR]</w:t>
            </w:r>
          </w:p>
        </w:tc>
      </w:tr>
      <w:tr>
        <w:trPr>
          <w:trHeight w:val="156"/>
        </w:trPr>
        <w:tc>
          <w:tcPr>
            <w:tcW w:w="1180" w:type="dxa"/>
            <w:vAlign w:val="bottom"/>
            <w:tcBorders>
              <w:left w:val="single" w:sz="8" w:color="auto"/>
            </w:tcBorders>
          </w:tcPr>
          <w:p>
            <w:pPr>
              <w:spacing w:after="0"/>
              <w:rPr>
                <w:sz w:val="13"/>
                <w:szCs w:val="13"/>
                <w:color w:val="auto"/>
              </w:rPr>
            </w:pPr>
          </w:p>
        </w:tc>
        <w:tc>
          <w:tcPr>
            <w:tcW w:w="820" w:type="dxa"/>
            <w:vAlign w:val="bottom"/>
            <w:tcBorders>
              <w:bottom w:val="single" w:sz="8" w:color="auto"/>
              <w:right w:val="single" w:sz="8" w:color="auto"/>
            </w:tcBorders>
          </w:tcPr>
          <w:p>
            <w:pPr>
              <w:jc w:val="right"/>
              <w:spacing w:after="0" w:line="155" w:lineRule="exact"/>
              <w:rPr>
                <w:sz w:val="20"/>
                <w:szCs w:val="20"/>
                <w:color w:val="auto"/>
              </w:rPr>
            </w:pPr>
            <w:r>
              <w:rPr>
                <w:rFonts w:ascii="Arial" w:cs="Arial" w:eastAsia="Arial" w:hAnsi="Arial"/>
                <w:sz w:val="14"/>
                <w:szCs w:val="14"/>
                <w:color w:val="auto"/>
              </w:rPr>
              <w:t>9</w:t>
            </w:r>
          </w:p>
        </w:tc>
        <w:tc>
          <w:tcPr>
            <w:tcW w:w="3060" w:type="dxa"/>
            <w:vAlign w:val="bottom"/>
            <w:tcBorders>
              <w:bottom w:val="single" w:sz="8" w:color="auto"/>
              <w:right w:val="single" w:sz="8" w:color="auto"/>
            </w:tcBorders>
          </w:tcPr>
          <w:p>
            <w:pPr>
              <w:ind w:left="2520"/>
              <w:spacing w:after="0" w:line="155" w:lineRule="exact"/>
              <w:rPr>
                <w:sz w:val="20"/>
                <w:szCs w:val="20"/>
                <w:color w:val="auto"/>
              </w:rPr>
            </w:pPr>
            <w:r>
              <w:rPr>
                <w:rFonts w:ascii="Arial" w:cs="Arial" w:eastAsia="Arial" w:hAnsi="Arial"/>
                <w:sz w:val="14"/>
                <w:szCs w:val="14"/>
                <w:color w:val="auto"/>
              </w:rPr>
              <w:t>[*CTR]</w:t>
            </w:r>
          </w:p>
        </w:tc>
        <w:tc>
          <w:tcPr>
            <w:tcW w:w="2960" w:type="dxa"/>
            <w:vAlign w:val="bottom"/>
            <w:tcBorders>
              <w:bottom w:val="single" w:sz="8" w:color="auto"/>
              <w:right w:val="single" w:sz="8" w:color="auto"/>
            </w:tcBorders>
          </w:tcPr>
          <w:p>
            <w:pPr>
              <w:ind w:left="2440"/>
              <w:spacing w:after="0" w:line="155" w:lineRule="exact"/>
              <w:rPr>
                <w:sz w:val="20"/>
                <w:szCs w:val="20"/>
                <w:color w:val="auto"/>
              </w:rPr>
            </w:pPr>
            <w:r>
              <w:rPr>
                <w:rFonts w:ascii="Arial" w:cs="Arial" w:eastAsia="Arial" w:hAnsi="Arial"/>
                <w:sz w:val="14"/>
                <w:szCs w:val="14"/>
                <w:color w:val="auto"/>
              </w:rPr>
              <w:t>[*CTR]</w:t>
            </w:r>
          </w:p>
        </w:tc>
        <w:tc>
          <w:tcPr>
            <w:tcW w:w="1140" w:type="dxa"/>
            <w:vAlign w:val="bottom"/>
            <w:tcBorders>
              <w:bottom w:val="single" w:sz="8" w:color="auto"/>
              <w:right w:val="single" w:sz="8" w:color="auto"/>
            </w:tcBorders>
          </w:tcPr>
          <w:p>
            <w:pPr>
              <w:ind w:left="580"/>
              <w:spacing w:after="0" w:line="155" w:lineRule="exact"/>
              <w:rPr>
                <w:sz w:val="20"/>
                <w:szCs w:val="20"/>
                <w:color w:val="auto"/>
              </w:rPr>
            </w:pPr>
            <w:r>
              <w:rPr>
                <w:rFonts w:ascii="Arial" w:cs="Arial" w:eastAsia="Arial" w:hAnsi="Arial"/>
                <w:sz w:val="14"/>
                <w:szCs w:val="14"/>
                <w:color w:val="auto"/>
              </w:rPr>
              <w:t>[*CTR]</w:t>
            </w:r>
          </w:p>
        </w:tc>
      </w:tr>
      <w:tr>
        <w:trPr>
          <w:trHeight w:val="156"/>
        </w:trPr>
        <w:tc>
          <w:tcPr>
            <w:tcW w:w="1180" w:type="dxa"/>
            <w:vAlign w:val="bottom"/>
            <w:tcBorders>
              <w:left w:val="single" w:sz="8" w:color="auto"/>
            </w:tcBorders>
          </w:tcPr>
          <w:p>
            <w:pPr>
              <w:spacing w:after="0"/>
              <w:rPr>
                <w:sz w:val="13"/>
                <w:szCs w:val="13"/>
                <w:color w:val="auto"/>
              </w:rPr>
            </w:pPr>
          </w:p>
        </w:tc>
        <w:tc>
          <w:tcPr>
            <w:tcW w:w="820" w:type="dxa"/>
            <w:vAlign w:val="bottom"/>
            <w:tcBorders>
              <w:bottom w:val="single" w:sz="8" w:color="auto"/>
              <w:right w:val="single" w:sz="8" w:color="auto"/>
            </w:tcBorders>
          </w:tcPr>
          <w:p>
            <w:pPr>
              <w:jc w:val="right"/>
              <w:spacing w:after="0" w:line="155" w:lineRule="exact"/>
              <w:rPr>
                <w:sz w:val="20"/>
                <w:szCs w:val="20"/>
                <w:color w:val="auto"/>
              </w:rPr>
            </w:pPr>
            <w:r>
              <w:rPr>
                <w:rFonts w:ascii="Arial" w:cs="Arial" w:eastAsia="Arial" w:hAnsi="Arial"/>
                <w:sz w:val="14"/>
                <w:szCs w:val="14"/>
                <w:color w:val="auto"/>
              </w:rPr>
              <w:t>10</w:t>
            </w:r>
          </w:p>
        </w:tc>
        <w:tc>
          <w:tcPr>
            <w:tcW w:w="3060" w:type="dxa"/>
            <w:vAlign w:val="bottom"/>
            <w:tcBorders>
              <w:bottom w:val="single" w:sz="8" w:color="auto"/>
              <w:right w:val="single" w:sz="8" w:color="auto"/>
            </w:tcBorders>
          </w:tcPr>
          <w:p>
            <w:pPr>
              <w:ind w:left="2520"/>
              <w:spacing w:after="0" w:line="155" w:lineRule="exact"/>
              <w:rPr>
                <w:sz w:val="20"/>
                <w:szCs w:val="20"/>
                <w:color w:val="auto"/>
              </w:rPr>
            </w:pPr>
            <w:r>
              <w:rPr>
                <w:rFonts w:ascii="Arial" w:cs="Arial" w:eastAsia="Arial" w:hAnsi="Arial"/>
                <w:sz w:val="14"/>
                <w:szCs w:val="14"/>
                <w:color w:val="auto"/>
              </w:rPr>
              <w:t>[*CTR]</w:t>
            </w:r>
          </w:p>
        </w:tc>
        <w:tc>
          <w:tcPr>
            <w:tcW w:w="2960" w:type="dxa"/>
            <w:vAlign w:val="bottom"/>
            <w:tcBorders>
              <w:bottom w:val="single" w:sz="8" w:color="auto"/>
              <w:right w:val="single" w:sz="8" w:color="auto"/>
            </w:tcBorders>
          </w:tcPr>
          <w:p>
            <w:pPr>
              <w:ind w:left="2440"/>
              <w:spacing w:after="0" w:line="155" w:lineRule="exact"/>
              <w:rPr>
                <w:sz w:val="20"/>
                <w:szCs w:val="20"/>
                <w:color w:val="auto"/>
              </w:rPr>
            </w:pPr>
            <w:r>
              <w:rPr>
                <w:rFonts w:ascii="Arial" w:cs="Arial" w:eastAsia="Arial" w:hAnsi="Arial"/>
                <w:sz w:val="14"/>
                <w:szCs w:val="14"/>
                <w:color w:val="auto"/>
              </w:rPr>
              <w:t>[*CTR]</w:t>
            </w:r>
          </w:p>
        </w:tc>
        <w:tc>
          <w:tcPr>
            <w:tcW w:w="1140" w:type="dxa"/>
            <w:vAlign w:val="bottom"/>
            <w:tcBorders>
              <w:bottom w:val="single" w:sz="8" w:color="auto"/>
              <w:right w:val="single" w:sz="8" w:color="auto"/>
            </w:tcBorders>
          </w:tcPr>
          <w:p>
            <w:pPr>
              <w:ind w:left="580"/>
              <w:spacing w:after="0" w:line="155" w:lineRule="exact"/>
              <w:rPr>
                <w:sz w:val="20"/>
                <w:szCs w:val="20"/>
                <w:color w:val="auto"/>
              </w:rPr>
            </w:pPr>
            <w:r>
              <w:rPr>
                <w:rFonts w:ascii="Arial" w:cs="Arial" w:eastAsia="Arial" w:hAnsi="Arial"/>
                <w:sz w:val="14"/>
                <w:szCs w:val="14"/>
                <w:color w:val="auto"/>
              </w:rPr>
              <w:t>[*CTR]</w:t>
            </w:r>
          </w:p>
        </w:tc>
      </w:tr>
      <w:tr>
        <w:trPr>
          <w:trHeight w:val="156"/>
        </w:trPr>
        <w:tc>
          <w:tcPr>
            <w:tcW w:w="1180" w:type="dxa"/>
            <w:vAlign w:val="bottom"/>
            <w:tcBorders>
              <w:left w:val="single" w:sz="8" w:color="auto"/>
            </w:tcBorders>
          </w:tcPr>
          <w:p>
            <w:pPr>
              <w:spacing w:after="0"/>
              <w:rPr>
                <w:sz w:val="13"/>
                <w:szCs w:val="13"/>
                <w:color w:val="auto"/>
              </w:rPr>
            </w:pPr>
          </w:p>
        </w:tc>
        <w:tc>
          <w:tcPr>
            <w:tcW w:w="820" w:type="dxa"/>
            <w:vAlign w:val="bottom"/>
            <w:tcBorders>
              <w:bottom w:val="single" w:sz="8" w:color="auto"/>
              <w:right w:val="single" w:sz="8" w:color="auto"/>
            </w:tcBorders>
          </w:tcPr>
          <w:p>
            <w:pPr>
              <w:jc w:val="right"/>
              <w:spacing w:after="0" w:line="155" w:lineRule="exact"/>
              <w:rPr>
                <w:sz w:val="20"/>
                <w:szCs w:val="20"/>
                <w:color w:val="auto"/>
              </w:rPr>
            </w:pPr>
            <w:r>
              <w:rPr>
                <w:rFonts w:ascii="Arial" w:cs="Arial" w:eastAsia="Arial" w:hAnsi="Arial"/>
                <w:sz w:val="14"/>
                <w:szCs w:val="14"/>
                <w:color w:val="auto"/>
              </w:rPr>
              <w:t>11</w:t>
            </w:r>
          </w:p>
        </w:tc>
        <w:tc>
          <w:tcPr>
            <w:tcW w:w="3060" w:type="dxa"/>
            <w:vAlign w:val="bottom"/>
            <w:tcBorders>
              <w:bottom w:val="single" w:sz="8" w:color="auto"/>
              <w:right w:val="single" w:sz="8" w:color="auto"/>
            </w:tcBorders>
          </w:tcPr>
          <w:p>
            <w:pPr>
              <w:ind w:left="2520"/>
              <w:spacing w:after="0" w:line="155" w:lineRule="exact"/>
              <w:rPr>
                <w:sz w:val="20"/>
                <w:szCs w:val="20"/>
                <w:color w:val="auto"/>
              </w:rPr>
            </w:pPr>
            <w:r>
              <w:rPr>
                <w:rFonts w:ascii="Arial" w:cs="Arial" w:eastAsia="Arial" w:hAnsi="Arial"/>
                <w:sz w:val="14"/>
                <w:szCs w:val="14"/>
                <w:color w:val="auto"/>
              </w:rPr>
              <w:t>[*CTR]</w:t>
            </w:r>
          </w:p>
        </w:tc>
        <w:tc>
          <w:tcPr>
            <w:tcW w:w="2960" w:type="dxa"/>
            <w:vAlign w:val="bottom"/>
            <w:tcBorders>
              <w:bottom w:val="single" w:sz="8" w:color="auto"/>
              <w:right w:val="single" w:sz="8" w:color="auto"/>
            </w:tcBorders>
          </w:tcPr>
          <w:p>
            <w:pPr>
              <w:ind w:left="2440"/>
              <w:spacing w:after="0" w:line="155" w:lineRule="exact"/>
              <w:rPr>
                <w:sz w:val="20"/>
                <w:szCs w:val="20"/>
                <w:color w:val="auto"/>
              </w:rPr>
            </w:pPr>
            <w:r>
              <w:rPr>
                <w:rFonts w:ascii="Arial" w:cs="Arial" w:eastAsia="Arial" w:hAnsi="Arial"/>
                <w:sz w:val="14"/>
                <w:szCs w:val="14"/>
                <w:color w:val="auto"/>
              </w:rPr>
              <w:t>[*CTR]</w:t>
            </w:r>
          </w:p>
        </w:tc>
        <w:tc>
          <w:tcPr>
            <w:tcW w:w="1140" w:type="dxa"/>
            <w:vAlign w:val="bottom"/>
            <w:tcBorders>
              <w:bottom w:val="single" w:sz="8" w:color="auto"/>
              <w:right w:val="single" w:sz="8" w:color="auto"/>
            </w:tcBorders>
          </w:tcPr>
          <w:p>
            <w:pPr>
              <w:ind w:left="580"/>
              <w:spacing w:after="0" w:line="155" w:lineRule="exact"/>
              <w:rPr>
                <w:sz w:val="20"/>
                <w:szCs w:val="20"/>
                <w:color w:val="auto"/>
              </w:rPr>
            </w:pPr>
            <w:r>
              <w:rPr>
                <w:rFonts w:ascii="Arial" w:cs="Arial" w:eastAsia="Arial" w:hAnsi="Arial"/>
                <w:sz w:val="14"/>
                <w:szCs w:val="14"/>
                <w:color w:val="auto"/>
              </w:rPr>
              <w:t>[*CTR]</w:t>
            </w:r>
          </w:p>
        </w:tc>
      </w:tr>
      <w:tr>
        <w:trPr>
          <w:trHeight w:val="156"/>
        </w:trPr>
        <w:tc>
          <w:tcPr>
            <w:tcW w:w="1180" w:type="dxa"/>
            <w:vAlign w:val="bottom"/>
            <w:tcBorders>
              <w:left w:val="single" w:sz="8" w:color="auto"/>
            </w:tcBorders>
          </w:tcPr>
          <w:p>
            <w:pPr>
              <w:spacing w:after="0"/>
              <w:rPr>
                <w:sz w:val="13"/>
                <w:szCs w:val="13"/>
                <w:color w:val="auto"/>
              </w:rPr>
            </w:pPr>
          </w:p>
        </w:tc>
        <w:tc>
          <w:tcPr>
            <w:tcW w:w="820" w:type="dxa"/>
            <w:vAlign w:val="bottom"/>
            <w:tcBorders>
              <w:bottom w:val="single" w:sz="8" w:color="auto"/>
              <w:right w:val="single" w:sz="8" w:color="auto"/>
            </w:tcBorders>
          </w:tcPr>
          <w:p>
            <w:pPr>
              <w:jc w:val="right"/>
              <w:spacing w:after="0" w:line="155" w:lineRule="exact"/>
              <w:rPr>
                <w:sz w:val="20"/>
                <w:szCs w:val="20"/>
                <w:color w:val="auto"/>
              </w:rPr>
            </w:pPr>
            <w:r>
              <w:rPr>
                <w:rFonts w:ascii="Arial" w:cs="Arial" w:eastAsia="Arial" w:hAnsi="Arial"/>
                <w:sz w:val="14"/>
                <w:szCs w:val="14"/>
                <w:color w:val="auto"/>
              </w:rPr>
              <w:t>12</w:t>
            </w:r>
          </w:p>
        </w:tc>
        <w:tc>
          <w:tcPr>
            <w:tcW w:w="3060" w:type="dxa"/>
            <w:vAlign w:val="bottom"/>
            <w:tcBorders>
              <w:bottom w:val="single" w:sz="8" w:color="auto"/>
              <w:right w:val="single" w:sz="8" w:color="auto"/>
            </w:tcBorders>
          </w:tcPr>
          <w:p>
            <w:pPr>
              <w:ind w:left="2520"/>
              <w:spacing w:after="0" w:line="155" w:lineRule="exact"/>
              <w:rPr>
                <w:sz w:val="20"/>
                <w:szCs w:val="20"/>
                <w:color w:val="auto"/>
              </w:rPr>
            </w:pPr>
            <w:r>
              <w:rPr>
                <w:rFonts w:ascii="Arial" w:cs="Arial" w:eastAsia="Arial" w:hAnsi="Arial"/>
                <w:sz w:val="14"/>
                <w:szCs w:val="14"/>
                <w:color w:val="auto"/>
              </w:rPr>
              <w:t>[*CTR]</w:t>
            </w:r>
          </w:p>
        </w:tc>
        <w:tc>
          <w:tcPr>
            <w:tcW w:w="2960" w:type="dxa"/>
            <w:vAlign w:val="bottom"/>
            <w:tcBorders>
              <w:bottom w:val="single" w:sz="8" w:color="auto"/>
              <w:right w:val="single" w:sz="8" w:color="auto"/>
            </w:tcBorders>
          </w:tcPr>
          <w:p>
            <w:pPr>
              <w:ind w:left="2440"/>
              <w:spacing w:after="0" w:line="155" w:lineRule="exact"/>
              <w:rPr>
                <w:sz w:val="20"/>
                <w:szCs w:val="20"/>
                <w:color w:val="auto"/>
              </w:rPr>
            </w:pPr>
            <w:r>
              <w:rPr>
                <w:rFonts w:ascii="Arial" w:cs="Arial" w:eastAsia="Arial" w:hAnsi="Arial"/>
                <w:sz w:val="14"/>
                <w:szCs w:val="14"/>
                <w:color w:val="auto"/>
              </w:rPr>
              <w:t>[*CTR]</w:t>
            </w:r>
          </w:p>
        </w:tc>
        <w:tc>
          <w:tcPr>
            <w:tcW w:w="1140" w:type="dxa"/>
            <w:vAlign w:val="bottom"/>
            <w:tcBorders>
              <w:bottom w:val="single" w:sz="8" w:color="auto"/>
              <w:right w:val="single" w:sz="8" w:color="auto"/>
            </w:tcBorders>
          </w:tcPr>
          <w:p>
            <w:pPr>
              <w:ind w:left="580"/>
              <w:spacing w:after="0" w:line="155" w:lineRule="exact"/>
              <w:rPr>
                <w:sz w:val="20"/>
                <w:szCs w:val="20"/>
                <w:color w:val="auto"/>
              </w:rPr>
            </w:pPr>
            <w:r>
              <w:rPr>
                <w:rFonts w:ascii="Arial" w:cs="Arial" w:eastAsia="Arial" w:hAnsi="Arial"/>
                <w:sz w:val="14"/>
                <w:szCs w:val="14"/>
                <w:color w:val="auto"/>
              </w:rPr>
              <w:t>[*CTR]</w:t>
            </w:r>
          </w:p>
        </w:tc>
      </w:tr>
    </w:tbl>
    <w:p>
      <w:pPr>
        <w:spacing w:after="0" w:line="1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380490" cy="3689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clrChange>
                        <a:clrFrom>
                          <a:srgbClr val="FFFFFF"/>
                        </a:clrFrom>
                        <a:clrTo>
                          <a:srgbClr val="FFFFFF">
                            <a:alpha val="0"/>
                          </a:srgbClr>
                        </a:clrTo>
                      </a:clrChange>
                      <a:extLst>
                        <a:ext uri="{28A0092B-C50C-407E-A947-70E740481C1C}"/>
                      </a:extLst>
                    </a:blip>
                    <a:srcRect/>
                    <a:stretch>
                      <a:fillRect/>
                    </a:stretch>
                  </pic:blipFill>
                  <pic:spPr bwMode="auto">
                    <a:xfrm>
                      <a:off x="0" y="0"/>
                      <a:ext cx="1380490" cy="36893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Attachment A to AAL-PA-3219-LA-1701988</w:t>
      </w:r>
    </w:p>
    <w:p>
      <w:pPr>
        <w:spacing w:after="0" w:line="230" w:lineRule="auto"/>
        <w:rPr>
          <w:sz w:val="20"/>
          <w:szCs w:val="20"/>
          <w:color w:val="auto"/>
        </w:rPr>
      </w:pPr>
      <w:r>
        <w:rPr>
          <w:rFonts w:ascii="Arial" w:cs="Arial" w:eastAsia="Arial" w:hAnsi="Arial"/>
          <w:sz w:val="22"/>
          <w:szCs w:val="22"/>
          <w:color w:val="auto"/>
        </w:rPr>
        <w:t>[*CTR],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Letter Agreement AAL-PA-3219-LA-1302236R1</w:t>
      </w:r>
    </w:p>
    <w:p>
      <w:pPr>
        <w:spacing w:after="0" w:line="4"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BOEING PROPRIETARY</w:t>
      </w:r>
    </w:p>
    <w:p>
      <w:pPr>
        <w:spacing w:after="0" w:line="66"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[*CTR]=[CONFIDENTIAL PORTION OMITTED AND FILED SEPARATELY WITH THE COMMISSION PURSUANT TO A REQUEST FOR CONFIDENTIAL TREATMENT]</w:t>
      </w:r>
    </w:p>
    <w:p>
      <w:pPr>
        <w:sectPr>
          <w:pgSz w:w="11900" w:h="16838" w:orient="portrait"/>
          <w:cols w:equalWidth="0" w:num="1">
            <w:col w:w="11420"/>
          </w:cols>
          <w:pgMar w:left="240" w:top="1240" w:right="239" w:bottom="1440" w:gutter="0" w:footer="0" w:header="0"/>
        </w:sectPr>
      </w:pPr>
    </w:p>
    <w:bookmarkStart w:id="133" w:name="page134"/>
    <w:bookmarkEnd w:id="133"/>
    <w:tbl>
      <w:tblPr>
        <w:tblLayout w:type="fixed"/>
        <w:tblInd w:w="10" w:type="dxa"/>
        <w:tblCellMar>
          <w:top w:w="0" w:type="dxa"/>
          <w:left w:w="0" w:type="dxa"/>
          <w:bottom w:w="0" w:type="dxa"/>
          <w:right w:w="0" w:type="dxa"/>
        </w:tblCellMar>
      </w:tblPr>
      <w:tr>
        <w:trPr>
          <w:trHeight w:val="162"/>
        </w:trPr>
        <w:tc>
          <w:tcPr>
            <w:tcW w:w="1180" w:type="dxa"/>
            <w:vAlign w:val="bottom"/>
            <w:tcBorders>
              <w:left w:val="single" w:sz="8" w:color="auto"/>
            </w:tcBorders>
          </w:tcPr>
          <w:p>
            <w:pPr>
              <w:spacing w:after="0"/>
              <w:rPr>
                <w:sz w:val="14"/>
                <w:szCs w:val="14"/>
                <w:color w:val="auto"/>
              </w:rPr>
            </w:pPr>
          </w:p>
        </w:tc>
        <w:tc>
          <w:tcPr>
            <w:tcW w:w="90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13</w:t>
            </w:r>
          </w:p>
        </w:tc>
        <w:tc>
          <w:tcPr>
            <w:tcW w:w="2920" w:type="dxa"/>
            <w:vAlign w:val="bottom"/>
            <w:tcBorders>
              <w:bottom w:val="single" w:sz="8" w:color="auto"/>
              <w:right w:val="single" w:sz="8" w:color="auto"/>
            </w:tcBorders>
          </w:tcPr>
          <w:p>
            <w:pPr>
              <w:ind w:left="2380"/>
              <w:spacing w:after="0"/>
              <w:rPr>
                <w:sz w:val="20"/>
                <w:szCs w:val="20"/>
                <w:color w:val="auto"/>
              </w:rPr>
            </w:pPr>
            <w:r>
              <w:rPr>
                <w:rFonts w:ascii="Arial" w:cs="Arial" w:eastAsia="Arial" w:hAnsi="Arial"/>
                <w:sz w:val="14"/>
                <w:szCs w:val="14"/>
                <w:color w:val="auto"/>
              </w:rPr>
              <w:t>[*CTR]</w:t>
            </w:r>
          </w:p>
        </w:tc>
        <w:tc>
          <w:tcPr>
            <w:tcW w:w="2940" w:type="dxa"/>
            <w:vAlign w:val="bottom"/>
            <w:tcBorders>
              <w:bottom w:val="single" w:sz="8" w:color="auto"/>
              <w:right w:val="single" w:sz="8" w:color="auto"/>
            </w:tcBorders>
          </w:tcPr>
          <w:p>
            <w:pPr>
              <w:ind w:left="2420"/>
              <w:spacing w:after="0"/>
              <w:rPr>
                <w:sz w:val="20"/>
                <w:szCs w:val="20"/>
                <w:color w:val="auto"/>
              </w:rPr>
            </w:pPr>
            <w:r>
              <w:rPr>
                <w:rFonts w:ascii="Arial" w:cs="Arial" w:eastAsia="Arial" w:hAnsi="Arial"/>
                <w:sz w:val="14"/>
                <w:szCs w:val="14"/>
                <w:color w:val="auto"/>
              </w:rPr>
              <w:t>[*CTR]</w:t>
            </w:r>
          </w:p>
        </w:tc>
        <w:tc>
          <w:tcPr>
            <w:tcW w:w="1220" w:type="dxa"/>
            <w:vAlign w:val="bottom"/>
            <w:tcBorders>
              <w:bottom w:val="single" w:sz="8" w:color="auto"/>
              <w:right w:val="single" w:sz="8" w:color="auto"/>
            </w:tcBorders>
          </w:tcPr>
          <w:p>
            <w:pPr>
              <w:ind w:left="660"/>
              <w:spacing w:after="0"/>
              <w:rPr>
                <w:sz w:val="20"/>
                <w:szCs w:val="20"/>
                <w:color w:val="auto"/>
              </w:rPr>
            </w:pPr>
            <w:r>
              <w:rPr>
                <w:rFonts w:ascii="Arial" w:cs="Arial" w:eastAsia="Arial" w:hAnsi="Arial"/>
                <w:sz w:val="14"/>
                <w:szCs w:val="14"/>
                <w:color w:val="auto"/>
              </w:rPr>
              <w:t>[*CTR]</w:t>
            </w:r>
          </w:p>
        </w:tc>
      </w:tr>
      <w:tr>
        <w:trPr>
          <w:trHeight w:val="156"/>
        </w:trPr>
        <w:tc>
          <w:tcPr>
            <w:tcW w:w="1180" w:type="dxa"/>
            <w:vAlign w:val="bottom"/>
            <w:tcBorders>
              <w:left w:val="single" w:sz="8" w:color="auto"/>
            </w:tcBorders>
          </w:tcPr>
          <w:p>
            <w:pPr>
              <w:spacing w:after="0"/>
              <w:rPr>
                <w:sz w:val="13"/>
                <w:szCs w:val="13"/>
                <w:color w:val="auto"/>
              </w:rPr>
            </w:pPr>
          </w:p>
        </w:tc>
        <w:tc>
          <w:tcPr>
            <w:tcW w:w="900" w:type="dxa"/>
            <w:vAlign w:val="bottom"/>
            <w:tcBorders>
              <w:bottom w:val="single" w:sz="8" w:color="auto"/>
              <w:right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14</w:t>
            </w:r>
          </w:p>
        </w:tc>
        <w:tc>
          <w:tcPr>
            <w:tcW w:w="2920" w:type="dxa"/>
            <w:vAlign w:val="bottom"/>
            <w:tcBorders>
              <w:bottom w:val="single" w:sz="8" w:color="auto"/>
              <w:right w:val="single" w:sz="8" w:color="auto"/>
            </w:tcBorders>
          </w:tcPr>
          <w:p>
            <w:pPr>
              <w:ind w:left="2380"/>
              <w:spacing w:after="0" w:line="155" w:lineRule="exact"/>
              <w:rPr>
                <w:sz w:val="20"/>
                <w:szCs w:val="20"/>
                <w:color w:val="auto"/>
              </w:rPr>
            </w:pPr>
            <w:r>
              <w:rPr>
                <w:rFonts w:ascii="Arial" w:cs="Arial" w:eastAsia="Arial" w:hAnsi="Arial"/>
                <w:sz w:val="14"/>
                <w:szCs w:val="14"/>
                <w:color w:val="auto"/>
              </w:rPr>
              <w:t>[*CTR]</w:t>
            </w:r>
          </w:p>
        </w:tc>
        <w:tc>
          <w:tcPr>
            <w:tcW w:w="2940" w:type="dxa"/>
            <w:vAlign w:val="bottom"/>
            <w:tcBorders>
              <w:bottom w:val="single" w:sz="8" w:color="auto"/>
              <w:right w:val="single" w:sz="8" w:color="auto"/>
            </w:tcBorders>
          </w:tcPr>
          <w:p>
            <w:pPr>
              <w:ind w:left="2420"/>
              <w:spacing w:after="0" w:line="155" w:lineRule="exact"/>
              <w:rPr>
                <w:sz w:val="20"/>
                <w:szCs w:val="20"/>
                <w:color w:val="auto"/>
              </w:rPr>
            </w:pPr>
            <w:r>
              <w:rPr>
                <w:rFonts w:ascii="Arial" w:cs="Arial" w:eastAsia="Arial" w:hAnsi="Arial"/>
                <w:sz w:val="14"/>
                <w:szCs w:val="14"/>
                <w:color w:val="auto"/>
              </w:rPr>
              <w:t>[*CTR]</w:t>
            </w:r>
          </w:p>
        </w:tc>
        <w:tc>
          <w:tcPr>
            <w:tcW w:w="1220" w:type="dxa"/>
            <w:vAlign w:val="bottom"/>
            <w:tcBorders>
              <w:bottom w:val="single" w:sz="8" w:color="auto"/>
              <w:right w:val="single" w:sz="8" w:color="auto"/>
            </w:tcBorders>
          </w:tcPr>
          <w:p>
            <w:pPr>
              <w:ind w:left="660"/>
              <w:spacing w:after="0" w:line="155" w:lineRule="exact"/>
              <w:rPr>
                <w:sz w:val="20"/>
                <w:szCs w:val="20"/>
                <w:color w:val="auto"/>
              </w:rPr>
            </w:pPr>
            <w:r>
              <w:rPr>
                <w:rFonts w:ascii="Arial" w:cs="Arial" w:eastAsia="Arial" w:hAnsi="Arial"/>
                <w:sz w:val="14"/>
                <w:szCs w:val="14"/>
                <w:color w:val="auto"/>
              </w:rPr>
              <w:t>[*CTR]</w:t>
            </w:r>
          </w:p>
        </w:tc>
      </w:tr>
      <w:tr>
        <w:trPr>
          <w:trHeight w:val="156"/>
        </w:trPr>
        <w:tc>
          <w:tcPr>
            <w:tcW w:w="1180" w:type="dxa"/>
            <w:vAlign w:val="bottom"/>
            <w:tcBorders>
              <w:left w:val="single" w:sz="8" w:color="auto"/>
            </w:tcBorders>
          </w:tcPr>
          <w:p>
            <w:pPr>
              <w:spacing w:after="0"/>
              <w:rPr>
                <w:sz w:val="13"/>
                <w:szCs w:val="13"/>
                <w:color w:val="auto"/>
              </w:rPr>
            </w:pPr>
          </w:p>
        </w:tc>
        <w:tc>
          <w:tcPr>
            <w:tcW w:w="900" w:type="dxa"/>
            <w:vAlign w:val="bottom"/>
            <w:tcBorders>
              <w:bottom w:val="single" w:sz="8" w:color="auto"/>
              <w:right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15</w:t>
            </w:r>
          </w:p>
        </w:tc>
        <w:tc>
          <w:tcPr>
            <w:tcW w:w="2920" w:type="dxa"/>
            <w:vAlign w:val="bottom"/>
            <w:tcBorders>
              <w:bottom w:val="single" w:sz="8" w:color="auto"/>
              <w:right w:val="single" w:sz="8" w:color="auto"/>
            </w:tcBorders>
          </w:tcPr>
          <w:p>
            <w:pPr>
              <w:ind w:left="2380"/>
              <w:spacing w:after="0" w:line="155" w:lineRule="exact"/>
              <w:rPr>
                <w:sz w:val="20"/>
                <w:szCs w:val="20"/>
                <w:color w:val="auto"/>
              </w:rPr>
            </w:pPr>
            <w:r>
              <w:rPr>
                <w:rFonts w:ascii="Arial" w:cs="Arial" w:eastAsia="Arial" w:hAnsi="Arial"/>
                <w:sz w:val="14"/>
                <w:szCs w:val="14"/>
                <w:color w:val="auto"/>
              </w:rPr>
              <w:t>[*CTR]</w:t>
            </w:r>
          </w:p>
        </w:tc>
        <w:tc>
          <w:tcPr>
            <w:tcW w:w="2940" w:type="dxa"/>
            <w:vAlign w:val="bottom"/>
            <w:tcBorders>
              <w:bottom w:val="single" w:sz="8" w:color="auto"/>
              <w:right w:val="single" w:sz="8" w:color="auto"/>
            </w:tcBorders>
          </w:tcPr>
          <w:p>
            <w:pPr>
              <w:ind w:left="2420"/>
              <w:spacing w:after="0" w:line="155" w:lineRule="exact"/>
              <w:rPr>
                <w:sz w:val="20"/>
                <w:szCs w:val="20"/>
                <w:color w:val="auto"/>
              </w:rPr>
            </w:pPr>
            <w:r>
              <w:rPr>
                <w:rFonts w:ascii="Arial" w:cs="Arial" w:eastAsia="Arial" w:hAnsi="Arial"/>
                <w:sz w:val="14"/>
                <w:szCs w:val="14"/>
                <w:color w:val="auto"/>
              </w:rPr>
              <w:t>[*CTR]</w:t>
            </w:r>
          </w:p>
        </w:tc>
        <w:tc>
          <w:tcPr>
            <w:tcW w:w="1220" w:type="dxa"/>
            <w:vAlign w:val="bottom"/>
            <w:tcBorders>
              <w:bottom w:val="single" w:sz="8" w:color="auto"/>
              <w:right w:val="single" w:sz="8" w:color="auto"/>
            </w:tcBorders>
          </w:tcPr>
          <w:p>
            <w:pPr>
              <w:ind w:left="660"/>
              <w:spacing w:after="0" w:line="155" w:lineRule="exact"/>
              <w:rPr>
                <w:sz w:val="20"/>
                <w:szCs w:val="20"/>
                <w:color w:val="auto"/>
              </w:rPr>
            </w:pPr>
            <w:r>
              <w:rPr>
                <w:rFonts w:ascii="Arial" w:cs="Arial" w:eastAsia="Arial" w:hAnsi="Arial"/>
                <w:sz w:val="14"/>
                <w:szCs w:val="14"/>
                <w:color w:val="auto"/>
              </w:rPr>
              <w:t>[*CTR]</w:t>
            </w:r>
          </w:p>
        </w:tc>
      </w:tr>
      <w:tr>
        <w:trPr>
          <w:trHeight w:val="156"/>
        </w:trPr>
        <w:tc>
          <w:tcPr>
            <w:tcW w:w="1180" w:type="dxa"/>
            <w:vAlign w:val="bottom"/>
            <w:tcBorders>
              <w:left w:val="single" w:sz="8" w:color="auto"/>
            </w:tcBorders>
          </w:tcPr>
          <w:p>
            <w:pPr>
              <w:spacing w:after="0"/>
              <w:rPr>
                <w:sz w:val="13"/>
                <w:szCs w:val="13"/>
                <w:color w:val="auto"/>
              </w:rPr>
            </w:pPr>
          </w:p>
        </w:tc>
        <w:tc>
          <w:tcPr>
            <w:tcW w:w="900" w:type="dxa"/>
            <w:vAlign w:val="bottom"/>
            <w:tcBorders>
              <w:bottom w:val="single" w:sz="8" w:color="auto"/>
              <w:right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16</w:t>
            </w:r>
          </w:p>
        </w:tc>
        <w:tc>
          <w:tcPr>
            <w:tcW w:w="2920" w:type="dxa"/>
            <w:vAlign w:val="bottom"/>
            <w:tcBorders>
              <w:bottom w:val="single" w:sz="8" w:color="auto"/>
              <w:right w:val="single" w:sz="8" w:color="auto"/>
            </w:tcBorders>
          </w:tcPr>
          <w:p>
            <w:pPr>
              <w:ind w:left="2380"/>
              <w:spacing w:after="0" w:line="155" w:lineRule="exact"/>
              <w:rPr>
                <w:sz w:val="20"/>
                <w:szCs w:val="20"/>
                <w:color w:val="auto"/>
              </w:rPr>
            </w:pPr>
            <w:r>
              <w:rPr>
                <w:rFonts w:ascii="Arial" w:cs="Arial" w:eastAsia="Arial" w:hAnsi="Arial"/>
                <w:sz w:val="14"/>
                <w:szCs w:val="14"/>
                <w:color w:val="auto"/>
              </w:rPr>
              <w:t>[*CTR]</w:t>
            </w:r>
          </w:p>
        </w:tc>
        <w:tc>
          <w:tcPr>
            <w:tcW w:w="2940" w:type="dxa"/>
            <w:vAlign w:val="bottom"/>
            <w:tcBorders>
              <w:bottom w:val="single" w:sz="8" w:color="auto"/>
              <w:right w:val="single" w:sz="8" w:color="auto"/>
            </w:tcBorders>
          </w:tcPr>
          <w:p>
            <w:pPr>
              <w:ind w:left="2420"/>
              <w:spacing w:after="0" w:line="155" w:lineRule="exact"/>
              <w:rPr>
                <w:sz w:val="20"/>
                <w:szCs w:val="20"/>
                <w:color w:val="auto"/>
              </w:rPr>
            </w:pPr>
            <w:r>
              <w:rPr>
                <w:rFonts w:ascii="Arial" w:cs="Arial" w:eastAsia="Arial" w:hAnsi="Arial"/>
                <w:sz w:val="14"/>
                <w:szCs w:val="14"/>
                <w:color w:val="auto"/>
              </w:rPr>
              <w:t>[*CTR]</w:t>
            </w:r>
          </w:p>
        </w:tc>
        <w:tc>
          <w:tcPr>
            <w:tcW w:w="1220" w:type="dxa"/>
            <w:vAlign w:val="bottom"/>
            <w:tcBorders>
              <w:bottom w:val="single" w:sz="8" w:color="auto"/>
              <w:right w:val="single" w:sz="8" w:color="auto"/>
            </w:tcBorders>
          </w:tcPr>
          <w:p>
            <w:pPr>
              <w:ind w:left="660"/>
              <w:spacing w:after="0" w:line="155" w:lineRule="exact"/>
              <w:rPr>
                <w:sz w:val="20"/>
                <w:szCs w:val="20"/>
                <w:color w:val="auto"/>
              </w:rPr>
            </w:pPr>
            <w:r>
              <w:rPr>
                <w:rFonts w:ascii="Arial" w:cs="Arial" w:eastAsia="Arial" w:hAnsi="Arial"/>
                <w:sz w:val="14"/>
                <w:szCs w:val="14"/>
                <w:color w:val="auto"/>
              </w:rPr>
              <w:t>[*CTR]</w:t>
            </w:r>
          </w:p>
        </w:tc>
      </w:tr>
      <w:tr>
        <w:trPr>
          <w:trHeight w:val="156"/>
        </w:trPr>
        <w:tc>
          <w:tcPr>
            <w:tcW w:w="1180" w:type="dxa"/>
            <w:vAlign w:val="bottom"/>
            <w:tcBorders>
              <w:left w:val="single" w:sz="8" w:color="auto"/>
            </w:tcBorders>
          </w:tcPr>
          <w:p>
            <w:pPr>
              <w:spacing w:after="0"/>
              <w:rPr>
                <w:sz w:val="13"/>
                <w:szCs w:val="13"/>
                <w:color w:val="auto"/>
              </w:rPr>
            </w:pPr>
          </w:p>
        </w:tc>
        <w:tc>
          <w:tcPr>
            <w:tcW w:w="900" w:type="dxa"/>
            <w:vAlign w:val="bottom"/>
            <w:tcBorders>
              <w:bottom w:val="single" w:sz="8" w:color="auto"/>
              <w:right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17</w:t>
            </w:r>
          </w:p>
        </w:tc>
        <w:tc>
          <w:tcPr>
            <w:tcW w:w="2920" w:type="dxa"/>
            <w:vAlign w:val="bottom"/>
            <w:tcBorders>
              <w:bottom w:val="single" w:sz="8" w:color="auto"/>
              <w:right w:val="single" w:sz="8" w:color="auto"/>
            </w:tcBorders>
          </w:tcPr>
          <w:p>
            <w:pPr>
              <w:ind w:left="2380"/>
              <w:spacing w:after="0" w:line="155" w:lineRule="exact"/>
              <w:rPr>
                <w:sz w:val="20"/>
                <w:szCs w:val="20"/>
                <w:color w:val="auto"/>
              </w:rPr>
            </w:pPr>
            <w:r>
              <w:rPr>
                <w:rFonts w:ascii="Arial" w:cs="Arial" w:eastAsia="Arial" w:hAnsi="Arial"/>
                <w:sz w:val="14"/>
                <w:szCs w:val="14"/>
                <w:color w:val="auto"/>
              </w:rPr>
              <w:t>[*CTR]</w:t>
            </w:r>
          </w:p>
        </w:tc>
        <w:tc>
          <w:tcPr>
            <w:tcW w:w="2940" w:type="dxa"/>
            <w:vAlign w:val="bottom"/>
            <w:tcBorders>
              <w:bottom w:val="single" w:sz="8" w:color="auto"/>
              <w:right w:val="single" w:sz="8" w:color="auto"/>
            </w:tcBorders>
          </w:tcPr>
          <w:p>
            <w:pPr>
              <w:ind w:left="2420"/>
              <w:spacing w:after="0" w:line="155" w:lineRule="exact"/>
              <w:rPr>
                <w:sz w:val="20"/>
                <w:szCs w:val="20"/>
                <w:color w:val="auto"/>
              </w:rPr>
            </w:pPr>
            <w:r>
              <w:rPr>
                <w:rFonts w:ascii="Arial" w:cs="Arial" w:eastAsia="Arial" w:hAnsi="Arial"/>
                <w:sz w:val="14"/>
                <w:szCs w:val="14"/>
                <w:color w:val="auto"/>
              </w:rPr>
              <w:t>[*CTR]</w:t>
            </w:r>
          </w:p>
        </w:tc>
        <w:tc>
          <w:tcPr>
            <w:tcW w:w="1220" w:type="dxa"/>
            <w:vAlign w:val="bottom"/>
            <w:tcBorders>
              <w:bottom w:val="single" w:sz="8" w:color="auto"/>
              <w:right w:val="single" w:sz="8" w:color="auto"/>
            </w:tcBorders>
          </w:tcPr>
          <w:p>
            <w:pPr>
              <w:ind w:left="660"/>
              <w:spacing w:after="0" w:line="155" w:lineRule="exact"/>
              <w:rPr>
                <w:sz w:val="20"/>
                <w:szCs w:val="20"/>
                <w:color w:val="auto"/>
              </w:rPr>
            </w:pPr>
            <w:r>
              <w:rPr>
                <w:rFonts w:ascii="Arial" w:cs="Arial" w:eastAsia="Arial" w:hAnsi="Arial"/>
                <w:sz w:val="14"/>
                <w:szCs w:val="14"/>
                <w:color w:val="auto"/>
              </w:rPr>
              <w:t>[*CTR]</w:t>
            </w:r>
          </w:p>
        </w:tc>
      </w:tr>
      <w:tr>
        <w:trPr>
          <w:trHeight w:val="156"/>
        </w:trPr>
        <w:tc>
          <w:tcPr>
            <w:tcW w:w="1180" w:type="dxa"/>
            <w:vAlign w:val="bottom"/>
            <w:tcBorders>
              <w:left w:val="single" w:sz="8" w:color="auto"/>
              <w:bottom w:val="single" w:sz="8" w:color="auto"/>
            </w:tcBorders>
          </w:tcPr>
          <w:p>
            <w:pPr>
              <w:spacing w:after="0"/>
              <w:rPr>
                <w:sz w:val="13"/>
                <w:szCs w:val="13"/>
                <w:color w:val="auto"/>
              </w:rPr>
            </w:pPr>
          </w:p>
        </w:tc>
        <w:tc>
          <w:tcPr>
            <w:tcW w:w="900" w:type="dxa"/>
            <w:vAlign w:val="bottom"/>
            <w:tcBorders>
              <w:bottom w:val="single" w:sz="8" w:color="auto"/>
              <w:right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18</w:t>
            </w:r>
          </w:p>
        </w:tc>
        <w:tc>
          <w:tcPr>
            <w:tcW w:w="2920" w:type="dxa"/>
            <w:vAlign w:val="bottom"/>
            <w:tcBorders>
              <w:bottom w:val="single" w:sz="8" w:color="auto"/>
              <w:right w:val="single" w:sz="8" w:color="auto"/>
            </w:tcBorders>
          </w:tcPr>
          <w:p>
            <w:pPr>
              <w:ind w:left="2380"/>
              <w:spacing w:after="0" w:line="155" w:lineRule="exact"/>
              <w:rPr>
                <w:sz w:val="20"/>
                <w:szCs w:val="20"/>
                <w:color w:val="auto"/>
              </w:rPr>
            </w:pPr>
            <w:r>
              <w:rPr>
                <w:rFonts w:ascii="Arial" w:cs="Arial" w:eastAsia="Arial" w:hAnsi="Arial"/>
                <w:sz w:val="14"/>
                <w:szCs w:val="14"/>
                <w:color w:val="auto"/>
              </w:rPr>
              <w:t>[*CTR]</w:t>
            </w:r>
          </w:p>
        </w:tc>
        <w:tc>
          <w:tcPr>
            <w:tcW w:w="2940" w:type="dxa"/>
            <w:vAlign w:val="bottom"/>
            <w:tcBorders>
              <w:bottom w:val="single" w:sz="8" w:color="auto"/>
              <w:right w:val="single" w:sz="8" w:color="auto"/>
            </w:tcBorders>
          </w:tcPr>
          <w:p>
            <w:pPr>
              <w:ind w:left="2420"/>
              <w:spacing w:after="0" w:line="155" w:lineRule="exact"/>
              <w:rPr>
                <w:sz w:val="20"/>
                <w:szCs w:val="20"/>
                <w:color w:val="auto"/>
              </w:rPr>
            </w:pPr>
            <w:r>
              <w:rPr>
                <w:rFonts w:ascii="Arial" w:cs="Arial" w:eastAsia="Arial" w:hAnsi="Arial"/>
                <w:sz w:val="14"/>
                <w:szCs w:val="14"/>
                <w:color w:val="auto"/>
              </w:rPr>
              <w:t>[*CTR]</w:t>
            </w:r>
          </w:p>
        </w:tc>
        <w:tc>
          <w:tcPr>
            <w:tcW w:w="1220" w:type="dxa"/>
            <w:vAlign w:val="bottom"/>
            <w:tcBorders>
              <w:bottom w:val="single" w:sz="8" w:color="auto"/>
              <w:right w:val="single" w:sz="8" w:color="auto"/>
            </w:tcBorders>
          </w:tcPr>
          <w:p>
            <w:pPr>
              <w:ind w:left="660"/>
              <w:spacing w:after="0" w:line="155" w:lineRule="exact"/>
              <w:rPr>
                <w:sz w:val="20"/>
                <w:szCs w:val="20"/>
                <w:color w:val="auto"/>
              </w:rPr>
            </w:pPr>
            <w:r>
              <w:rPr>
                <w:rFonts w:ascii="Arial" w:cs="Arial" w:eastAsia="Arial" w:hAnsi="Arial"/>
                <w:sz w:val="14"/>
                <w:szCs w:val="14"/>
                <w:color w:val="auto"/>
              </w:rPr>
              <w:t>[*CTR]</w:t>
            </w:r>
          </w:p>
        </w:tc>
      </w:tr>
      <w:tr>
        <w:trPr>
          <w:trHeight w:val="171"/>
        </w:trPr>
        <w:tc>
          <w:tcPr>
            <w:tcW w:w="1180" w:type="dxa"/>
            <w:vAlign w:val="bottom"/>
            <w:tcBorders>
              <w:left w:val="single" w:sz="8" w:color="auto"/>
              <w:right w:val="single" w:sz="8" w:color="auto"/>
            </w:tcBorders>
          </w:tcPr>
          <w:p>
            <w:pPr>
              <w:spacing w:after="0"/>
              <w:rPr>
                <w:sz w:val="14"/>
                <w:szCs w:val="14"/>
                <w:color w:val="auto"/>
              </w:rPr>
            </w:pPr>
          </w:p>
        </w:tc>
        <w:tc>
          <w:tcPr>
            <w:tcW w:w="900" w:type="dxa"/>
            <w:vAlign w:val="bottom"/>
            <w:tcBorders>
              <w:right w:val="single" w:sz="8" w:color="auto"/>
            </w:tcBorders>
          </w:tcPr>
          <w:p>
            <w:pPr>
              <w:spacing w:after="0"/>
              <w:rPr>
                <w:sz w:val="14"/>
                <w:szCs w:val="14"/>
                <w:color w:val="auto"/>
              </w:rPr>
            </w:pPr>
          </w:p>
        </w:tc>
        <w:tc>
          <w:tcPr>
            <w:tcW w:w="2920" w:type="dxa"/>
            <w:vAlign w:val="bottom"/>
            <w:tcBorders>
              <w:right w:val="single" w:sz="8" w:color="auto"/>
            </w:tcBorders>
          </w:tcPr>
          <w:p>
            <w:pPr>
              <w:ind w:left="2380"/>
              <w:spacing w:after="0"/>
              <w:rPr>
                <w:sz w:val="20"/>
                <w:szCs w:val="20"/>
                <w:color w:val="auto"/>
              </w:rPr>
            </w:pPr>
            <w:r>
              <w:rPr>
                <w:rFonts w:ascii="Arial" w:cs="Arial" w:eastAsia="Arial" w:hAnsi="Arial"/>
                <w:sz w:val="14"/>
                <w:szCs w:val="14"/>
                <w:color w:val="auto"/>
              </w:rPr>
              <w:t>[*CTR]</w:t>
            </w:r>
          </w:p>
        </w:tc>
        <w:tc>
          <w:tcPr>
            <w:tcW w:w="2940" w:type="dxa"/>
            <w:vAlign w:val="bottom"/>
            <w:tcBorders>
              <w:right w:val="single" w:sz="8" w:color="auto"/>
            </w:tcBorders>
          </w:tcPr>
          <w:p>
            <w:pPr>
              <w:ind w:left="2420"/>
              <w:spacing w:after="0"/>
              <w:rPr>
                <w:sz w:val="20"/>
                <w:szCs w:val="20"/>
                <w:color w:val="auto"/>
              </w:rPr>
            </w:pPr>
            <w:r>
              <w:rPr>
                <w:rFonts w:ascii="Arial" w:cs="Arial" w:eastAsia="Arial" w:hAnsi="Arial"/>
                <w:sz w:val="14"/>
                <w:szCs w:val="14"/>
                <w:color w:val="auto"/>
              </w:rPr>
              <w:t>[*CTR]</w:t>
            </w:r>
          </w:p>
        </w:tc>
        <w:tc>
          <w:tcPr>
            <w:tcW w:w="1220" w:type="dxa"/>
            <w:vAlign w:val="bottom"/>
            <w:tcBorders>
              <w:right w:val="single" w:sz="8" w:color="auto"/>
            </w:tcBorders>
          </w:tcPr>
          <w:p>
            <w:pPr>
              <w:ind w:left="660"/>
              <w:spacing w:after="0"/>
              <w:rPr>
                <w:sz w:val="20"/>
                <w:szCs w:val="20"/>
                <w:color w:val="auto"/>
              </w:rPr>
            </w:pPr>
            <w:r>
              <w:rPr>
                <w:rFonts w:ascii="Arial" w:cs="Arial" w:eastAsia="Arial" w:hAnsi="Arial"/>
                <w:sz w:val="14"/>
                <w:szCs w:val="14"/>
                <w:color w:val="auto"/>
              </w:rPr>
              <w:t>[*CTR]</w:t>
            </w:r>
          </w:p>
        </w:tc>
      </w:tr>
      <w:tr>
        <w:trPr>
          <w:trHeight w:val="498"/>
        </w:trPr>
        <w:tc>
          <w:tcPr>
            <w:tcW w:w="1180" w:type="dxa"/>
            <w:vAlign w:val="bottom"/>
            <w:tcBorders>
              <w:left w:val="single" w:sz="8" w:color="auto"/>
              <w:bottom w:val="single" w:sz="8" w:color="auto"/>
              <w:right w:val="single" w:sz="8" w:color="auto"/>
            </w:tcBorders>
          </w:tcPr>
          <w:p>
            <w:pPr>
              <w:ind w:left="660"/>
              <w:spacing w:after="0"/>
              <w:rPr>
                <w:sz w:val="20"/>
                <w:szCs w:val="20"/>
                <w:color w:val="auto"/>
              </w:rPr>
            </w:pPr>
            <w:r>
              <w:rPr>
                <w:rFonts w:ascii="Arial" w:cs="Arial" w:eastAsia="Arial" w:hAnsi="Arial"/>
                <w:sz w:val="14"/>
                <w:szCs w:val="14"/>
                <w:color w:val="auto"/>
              </w:rPr>
              <w:t>[*CTR]</w:t>
            </w:r>
          </w:p>
        </w:tc>
        <w:tc>
          <w:tcPr>
            <w:tcW w:w="90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1</w:t>
            </w:r>
          </w:p>
        </w:tc>
        <w:tc>
          <w:tcPr>
            <w:tcW w:w="2920" w:type="dxa"/>
            <w:vAlign w:val="bottom"/>
            <w:tcBorders>
              <w:bottom w:val="single" w:sz="8" w:color="auto"/>
              <w:right w:val="single" w:sz="8" w:color="auto"/>
            </w:tcBorders>
          </w:tcPr>
          <w:p>
            <w:pPr>
              <w:spacing w:after="0"/>
              <w:rPr>
                <w:sz w:val="24"/>
                <w:szCs w:val="24"/>
                <w:color w:val="auto"/>
              </w:rPr>
            </w:pPr>
          </w:p>
        </w:tc>
        <w:tc>
          <w:tcPr>
            <w:tcW w:w="294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r>
      <w:tr>
        <w:trPr>
          <w:trHeight w:val="156"/>
        </w:trPr>
        <w:tc>
          <w:tcPr>
            <w:tcW w:w="1180" w:type="dxa"/>
            <w:vAlign w:val="bottom"/>
            <w:tcBorders>
              <w:left w:val="single" w:sz="8" w:color="auto"/>
              <w:right w:val="single" w:sz="8" w:color="auto"/>
            </w:tcBorders>
          </w:tcPr>
          <w:p>
            <w:pPr>
              <w:ind w:left="660"/>
              <w:spacing w:after="0" w:line="155" w:lineRule="exact"/>
              <w:rPr>
                <w:sz w:val="20"/>
                <w:szCs w:val="20"/>
                <w:color w:val="auto"/>
              </w:rPr>
            </w:pPr>
            <w:r>
              <w:rPr>
                <w:rFonts w:ascii="Arial" w:cs="Arial" w:eastAsia="Arial" w:hAnsi="Arial"/>
                <w:sz w:val="14"/>
                <w:szCs w:val="14"/>
                <w:color w:val="auto"/>
              </w:rPr>
              <w:t>[*CTR]</w:t>
            </w:r>
          </w:p>
        </w:tc>
        <w:tc>
          <w:tcPr>
            <w:tcW w:w="900" w:type="dxa"/>
            <w:vAlign w:val="bottom"/>
            <w:tcBorders>
              <w:bottom w:val="single" w:sz="8" w:color="auto"/>
              <w:right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2</w:t>
            </w:r>
          </w:p>
        </w:tc>
        <w:tc>
          <w:tcPr>
            <w:tcW w:w="2920" w:type="dxa"/>
            <w:vAlign w:val="bottom"/>
            <w:tcBorders>
              <w:bottom w:val="single" w:sz="8" w:color="auto"/>
              <w:right w:val="single" w:sz="8" w:color="auto"/>
            </w:tcBorders>
          </w:tcPr>
          <w:p>
            <w:pPr>
              <w:ind w:left="2380"/>
              <w:spacing w:after="0" w:line="155" w:lineRule="exact"/>
              <w:rPr>
                <w:sz w:val="20"/>
                <w:szCs w:val="20"/>
                <w:color w:val="auto"/>
              </w:rPr>
            </w:pPr>
            <w:r>
              <w:rPr>
                <w:rFonts w:ascii="Arial" w:cs="Arial" w:eastAsia="Arial" w:hAnsi="Arial"/>
                <w:sz w:val="14"/>
                <w:szCs w:val="14"/>
                <w:color w:val="auto"/>
              </w:rPr>
              <w:t>[*CTR]</w:t>
            </w:r>
          </w:p>
        </w:tc>
        <w:tc>
          <w:tcPr>
            <w:tcW w:w="2940" w:type="dxa"/>
            <w:vAlign w:val="bottom"/>
            <w:tcBorders>
              <w:bottom w:val="single" w:sz="8" w:color="auto"/>
              <w:right w:val="single" w:sz="8" w:color="auto"/>
            </w:tcBorders>
          </w:tcPr>
          <w:p>
            <w:pPr>
              <w:ind w:left="2420"/>
              <w:spacing w:after="0" w:line="155" w:lineRule="exact"/>
              <w:rPr>
                <w:sz w:val="20"/>
                <w:szCs w:val="20"/>
                <w:color w:val="auto"/>
              </w:rPr>
            </w:pPr>
            <w:r>
              <w:rPr>
                <w:rFonts w:ascii="Arial" w:cs="Arial" w:eastAsia="Arial" w:hAnsi="Arial"/>
                <w:sz w:val="14"/>
                <w:szCs w:val="14"/>
                <w:color w:val="auto"/>
              </w:rPr>
              <w:t>[*CTR]</w:t>
            </w:r>
          </w:p>
        </w:tc>
        <w:tc>
          <w:tcPr>
            <w:tcW w:w="1220" w:type="dxa"/>
            <w:vAlign w:val="bottom"/>
            <w:tcBorders>
              <w:bottom w:val="single" w:sz="8" w:color="auto"/>
              <w:right w:val="single" w:sz="8" w:color="auto"/>
            </w:tcBorders>
          </w:tcPr>
          <w:p>
            <w:pPr>
              <w:ind w:left="660"/>
              <w:spacing w:after="0" w:line="155" w:lineRule="exact"/>
              <w:rPr>
                <w:sz w:val="20"/>
                <w:szCs w:val="20"/>
                <w:color w:val="auto"/>
              </w:rPr>
            </w:pPr>
            <w:r>
              <w:rPr>
                <w:rFonts w:ascii="Arial" w:cs="Arial" w:eastAsia="Arial" w:hAnsi="Arial"/>
                <w:sz w:val="14"/>
                <w:szCs w:val="14"/>
                <w:color w:val="auto"/>
              </w:rPr>
              <w:t>[*CTR]</w:t>
            </w:r>
          </w:p>
        </w:tc>
      </w:tr>
      <w:tr>
        <w:trPr>
          <w:trHeight w:val="156"/>
        </w:trPr>
        <w:tc>
          <w:tcPr>
            <w:tcW w:w="1180" w:type="dxa"/>
            <w:vAlign w:val="bottom"/>
            <w:tcBorders>
              <w:left w:val="single" w:sz="8" w:color="auto"/>
            </w:tcBorders>
          </w:tcPr>
          <w:p>
            <w:pPr>
              <w:spacing w:after="0"/>
              <w:rPr>
                <w:sz w:val="13"/>
                <w:szCs w:val="13"/>
                <w:color w:val="auto"/>
              </w:rPr>
            </w:pPr>
          </w:p>
        </w:tc>
        <w:tc>
          <w:tcPr>
            <w:tcW w:w="900" w:type="dxa"/>
            <w:vAlign w:val="bottom"/>
            <w:tcBorders>
              <w:bottom w:val="single" w:sz="8" w:color="auto"/>
              <w:right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3</w:t>
            </w:r>
          </w:p>
        </w:tc>
        <w:tc>
          <w:tcPr>
            <w:tcW w:w="2920" w:type="dxa"/>
            <w:vAlign w:val="bottom"/>
            <w:tcBorders>
              <w:bottom w:val="single" w:sz="8" w:color="auto"/>
              <w:right w:val="single" w:sz="8" w:color="auto"/>
            </w:tcBorders>
          </w:tcPr>
          <w:p>
            <w:pPr>
              <w:ind w:left="2380"/>
              <w:spacing w:after="0" w:line="155" w:lineRule="exact"/>
              <w:rPr>
                <w:sz w:val="20"/>
                <w:szCs w:val="20"/>
                <w:color w:val="auto"/>
              </w:rPr>
            </w:pPr>
            <w:r>
              <w:rPr>
                <w:rFonts w:ascii="Arial" w:cs="Arial" w:eastAsia="Arial" w:hAnsi="Arial"/>
                <w:sz w:val="14"/>
                <w:szCs w:val="14"/>
                <w:color w:val="auto"/>
              </w:rPr>
              <w:t>[*CTR]</w:t>
            </w:r>
          </w:p>
        </w:tc>
        <w:tc>
          <w:tcPr>
            <w:tcW w:w="2940" w:type="dxa"/>
            <w:vAlign w:val="bottom"/>
            <w:tcBorders>
              <w:bottom w:val="single" w:sz="8" w:color="auto"/>
              <w:right w:val="single" w:sz="8" w:color="auto"/>
            </w:tcBorders>
          </w:tcPr>
          <w:p>
            <w:pPr>
              <w:ind w:left="2420"/>
              <w:spacing w:after="0" w:line="155" w:lineRule="exact"/>
              <w:rPr>
                <w:sz w:val="20"/>
                <w:szCs w:val="20"/>
                <w:color w:val="auto"/>
              </w:rPr>
            </w:pPr>
            <w:r>
              <w:rPr>
                <w:rFonts w:ascii="Arial" w:cs="Arial" w:eastAsia="Arial" w:hAnsi="Arial"/>
                <w:sz w:val="14"/>
                <w:szCs w:val="14"/>
                <w:color w:val="auto"/>
              </w:rPr>
              <w:t>[*CTR]</w:t>
            </w:r>
          </w:p>
        </w:tc>
        <w:tc>
          <w:tcPr>
            <w:tcW w:w="1220" w:type="dxa"/>
            <w:vAlign w:val="bottom"/>
            <w:tcBorders>
              <w:bottom w:val="single" w:sz="8" w:color="auto"/>
              <w:right w:val="single" w:sz="8" w:color="auto"/>
            </w:tcBorders>
          </w:tcPr>
          <w:p>
            <w:pPr>
              <w:ind w:left="660"/>
              <w:spacing w:after="0" w:line="155" w:lineRule="exact"/>
              <w:rPr>
                <w:sz w:val="20"/>
                <w:szCs w:val="20"/>
                <w:color w:val="auto"/>
              </w:rPr>
            </w:pPr>
            <w:r>
              <w:rPr>
                <w:rFonts w:ascii="Arial" w:cs="Arial" w:eastAsia="Arial" w:hAnsi="Arial"/>
                <w:sz w:val="14"/>
                <w:szCs w:val="14"/>
                <w:color w:val="auto"/>
              </w:rPr>
              <w:t>[*CTR]</w:t>
            </w:r>
          </w:p>
        </w:tc>
      </w:tr>
      <w:tr>
        <w:trPr>
          <w:trHeight w:val="156"/>
        </w:trPr>
        <w:tc>
          <w:tcPr>
            <w:tcW w:w="1180" w:type="dxa"/>
            <w:vAlign w:val="bottom"/>
            <w:tcBorders>
              <w:left w:val="single" w:sz="8" w:color="auto"/>
            </w:tcBorders>
          </w:tcPr>
          <w:p>
            <w:pPr>
              <w:spacing w:after="0"/>
              <w:rPr>
                <w:sz w:val="13"/>
                <w:szCs w:val="13"/>
                <w:color w:val="auto"/>
              </w:rPr>
            </w:pPr>
          </w:p>
        </w:tc>
        <w:tc>
          <w:tcPr>
            <w:tcW w:w="900" w:type="dxa"/>
            <w:vAlign w:val="bottom"/>
            <w:tcBorders>
              <w:bottom w:val="single" w:sz="8" w:color="auto"/>
              <w:right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4</w:t>
            </w:r>
          </w:p>
        </w:tc>
        <w:tc>
          <w:tcPr>
            <w:tcW w:w="2920" w:type="dxa"/>
            <w:vAlign w:val="bottom"/>
            <w:tcBorders>
              <w:bottom w:val="single" w:sz="8" w:color="auto"/>
              <w:right w:val="single" w:sz="8" w:color="auto"/>
            </w:tcBorders>
          </w:tcPr>
          <w:p>
            <w:pPr>
              <w:ind w:left="2380"/>
              <w:spacing w:after="0" w:line="155" w:lineRule="exact"/>
              <w:rPr>
                <w:sz w:val="20"/>
                <w:szCs w:val="20"/>
                <w:color w:val="auto"/>
              </w:rPr>
            </w:pPr>
            <w:r>
              <w:rPr>
                <w:rFonts w:ascii="Arial" w:cs="Arial" w:eastAsia="Arial" w:hAnsi="Arial"/>
                <w:sz w:val="14"/>
                <w:szCs w:val="14"/>
                <w:color w:val="auto"/>
              </w:rPr>
              <w:t>[*CTR]</w:t>
            </w:r>
          </w:p>
        </w:tc>
        <w:tc>
          <w:tcPr>
            <w:tcW w:w="2940" w:type="dxa"/>
            <w:vAlign w:val="bottom"/>
            <w:tcBorders>
              <w:bottom w:val="single" w:sz="8" w:color="auto"/>
              <w:right w:val="single" w:sz="8" w:color="auto"/>
            </w:tcBorders>
          </w:tcPr>
          <w:p>
            <w:pPr>
              <w:ind w:left="2420"/>
              <w:spacing w:after="0" w:line="155" w:lineRule="exact"/>
              <w:rPr>
                <w:sz w:val="20"/>
                <w:szCs w:val="20"/>
                <w:color w:val="auto"/>
              </w:rPr>
            </w:pPr>
            <w:r>
              <w:rPr>
                <w:rFonts w:ascii="Arial" w:cs="Arial" w:eastAsia="Arial" w:hAnsi="Arial"/>
                <w:sz w:val="14"/>
                <w:szCs w:val="14"/>
                <w:color w:val="auto"/>
              </w:rPr>
              <w:t>[*CTR]</w:t>
            </w:r>
          </w:p>
        </w:tc>
        <w:tc>
          <w:tcPr>
            <w:tcW w:w="1220" w:type="dxa"/>
            <w:vAlign w:val="bottom"/>
            <w:tcBorders>
              <w:bottom w:val="single" w:sz="8" w:color="auto"/>
              <w:right w:val="single" w:sz="8" w:color="auto"/>
            </w:tcBorders>
          </w:tcPr>
          <w:p>
            <w:pPr>
              <w:ind w:left="660"/>
              <w:spacing w:after="0" w:line="155" w:lineRule="exact"/>
              <w:rPr>
                <w:sz w:val="20"/>
                <w:szCs w:val="20"/>
                <w:color w:val="auto"/>
              </w:rPr>
            </w:pPr>
            <w:r>
              <w:rPr>
                <w:rFonts w:ascii="Arial" w:cs="Arial" w:eastAsia="Arial" w:hAnsi="Arial"/>
                <w:sz w:val="14"/>
                <w:szCs w:val="14"/>
                <w:color w:val="auto"/>
              </w:rPr>
              <w:t>[*CTR]</w:t>
            </w:r>
          </w:p>
        </w:tc>
      </w:tr>
      <w:tr>
        <w:trPr>
          <w:trHeight w:val="156"/>
        </w:trPr>
        <w:tc>
          <w:tcPr>
            <w:tcW w:w="1180" w:type="dxa"/>
            <w:vAlign w:val="bottom"/>
            <w:tcBorders>
              <w:left w:val="single" w:sz="8" w:color="auto"/>
            </w:tcBorders>
          </w:tcPr>
          <w:p>
            <w:pPr>
              <w:spacing w:after="0"/>
              <w:rPr>
                <w:sz w:val="13"/>
                <w:szCs w:val="13"/>
                <w:color w:val="auto"/>
              </w:rPr>
            </w:pPr>
          </w:p>
        </w:tc>
        <w:tc>
          <w:tcPr>
            <w:tcW w:w="900" w:type="dxa"/>
            <w:vAlign w:val="bottom"/>
            <w:tcBorders>
              <w:bottom w:val="single" w:sz="8" w:color="auto"/>
              <w:right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5</w:t>
            </w:r>
          </w:p>
        </w:tc>
        <w:tc>
          <w:tcPr>
            <w:tcW w:w="2920" w:type="dxa"/>
            <w:vAlign w:val="bottom"/>
            <w:tcBorders>
              <w:bottom w:val="single" w:sz="8" w:color="auto"/>
              <w:right w:val="single" w:sz="8" w:color="auto"/>
            </w:tcBorders>
          </w:tcPr>
          <w:p>
            <w:pPr>
              <w:ind w:left="2380"/>
              <w:spacing w:after="0" w:line="155" w:lineRule="exact"/>
              <w:rPr>
                <w:sz w:val="20"/>
                <w:szCs w:val="20"/>
                <w:color w:val="auto"/>
              </w:rPr>
            </w:pPr>
            <w:r>
              <w:rPr>
                <w:rFonts w:ascii="Arial" w:cs="Arial" w:eastAsia="Arial" w:hAnsi="Arial"/>
                <w:sz w:val="14"/>
                <w:szCs w:val="14"/>
                <w:color w:val="auto"/>
              </w:rPr>
              <w:t>[*CTR]</w:t>
            </w:r>
          </w:p>
        </w:tc>
        <w:tc>
          <w:tcPr>
            <w:tcW w:w="2940" w:type="dxa"/>
            <w:vAlign w:val="bottom"/>
            <w:tcBorders>
              <w:bottom w:val="single" w:sz="8" w:color="auto"/>
              <w:right w:val="single" w:sz="8" w:color="auto"/>
            </w:tcBorders>
          </w:tcPr>
          <w:p>
            <w:pPr>
              <w:ind w:left="2420"/>
              <w:spacing w:after="0" w:line="155" w:lineRule="exact"/>
              <w:rPr>
                <w:sz w:val="20"/>
                <w:szCs w:val="20"/>
                <w:color w:val="auto"/>
              </w:rPr>
            </w:pPr>
            <w:r>
              <w:rPr>
                <w:rFonts w:ascii="Arial" w:cs="Arial" w:eastAsia="Arial" w:hAnsi="Arial"/>
                <w:sz w:val="14"/>
                <w:szCs w:val="14"/>
                <w:color w:val="auto"/>
              </w:rPr>
              <w:t>[*CTR]</w:t>
            </w:r>
          </w:p>
        </w:tc>
        <w:tc>
          <w:tcPr>
            <w:tcW w:w="1220" w:type="dxa"/>
            <w:vAlign w:val="bottom"/>
            <w:tcBorders>
              <w:bottom w:val="single" w:sz="8" w:color="auto"/>
              <w:right w:val="single" w:sz="8" w:color="auto"/>
            </w:tcBorders>
          </w:tcPr>
          <w:p>
            <w:pPr>
              <w:ind w:left="660"/>
              <w:spacing w:after="0" w:line="155" w:lineRule="exact"/>
              <w:rPr>
                <w:sz w:val="20"/>
                <w:szCs w:val="20"/>
                <w:color w:val="auto"/>
              </w:rPr>
            </w:pPr>
            <w:r>
              <w:rPr>
                <w:rFonts w:ascii="Arial" w:cs="Arial" w:eastAsia="Arial" w:hAnsi="Arial"/>
                <w:sz w:val="14"/>
                <w:szCs w:val="14"/>
                <w:color w:val="auto"/>
              </w:rPr>
              <w:t>[*CTR]</w:t>
            </w:r>
          </w:p>
        </w:tc>
      </w:tr>
      <w:tr>
        <w:trPr>
          <w:trHeight w:val="156"/>
        </w:trPr>
        <w:tc>
          <w:tcPr>
            <w:tcW w:w="1180" w:type="dxa"/>
            <w:vAlign w:val="bottom"/>
            <w:tcBorders>
              <w:left w:val="single" w:sz="8" w:color="auto"/>
            </w:tcBorders>
          </w:tcPr>
          <w:p>
            <w:pPr>
              <w:spacing w:after="0"/>
              <w:rPr>
                <w:sz w:val="13"/>
                <w:szCs w:val="13"/>
                <w:color w:val="auto"/>
              </w:rPr>
            </w:pPr>
          </w:p>
        </w:tc>
        <w:tc>
          <w:tcPr>
            <w:tcW w:w="900" w:type="dxa"/>
            <w:vAlign w:val="bottom"/>
            <w:tcBorders>
              <w:bottom w:val="single" w:sz="8" w:color="auto"/>
              <w:right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6</w:t>
            </w:r>
          </w:p>
        </w:tc>
        <w:tc>
          <w:tcPr>
            <w:tcW w:w="2920" w:type="dxa"/>
            <w:vAlign w:val="bottom"/>
            <w:tcBorders>
              <w:bottom w:val="single" w:sz="8" w:color="auto"/>
              <w:right w:val="single" w:sz="8" w:color="auto"/>
            </w:tcBorders>
          </w:tcPr>
          <w:p>
            <w:pPr>
              <w:ind w:left="2380"/>
              <w:spacing w:after="0" w:line="155" w:lineRule="exact"/>
              <w:rPr>
                <w:sz w:val="20"/>
                <w:szCs w:val="20"/>
                <w:color w:val="auto"/>
              </w:rPr>
            </w:pPr>
            <w:r>
              <w:rPr>
                <w:rFonts w:ascii="Arial" w:cs="Arial" w:eastAsia="Arial" w:hAnsi="Arial"/>
                <w:sz w:val="14"/>
                <w:szCs w:val="14"/>
                <w:color w:val="auto"/>
              </w:rPr>
              <w:t>[*CTR]</w:t>
            </w:r>
          </w:p>
        </w:tc>
        <w:tc>
          <w:tcPr>
            <w:tcW w:w="2940" w:type="dxa"/>
            <w:vAlign w:val="bottom"/>
            <w:tcBorders>
              <w:bottom w:val="single" w:sz="8" w:color="auto"/>
              <w:right w:val="single" w:sz="8" w:color="auto"/>
            </w:tcBorders>
          </w:tcPr>
          <w:p>
            <w:pPr>
              <w:ind w:left="2420"/>
              <w:spacing w:after="0" w:line="155" w:lineRule="exact"/>
              <w:rPr>
                <w:sz w:val="20"/>
                <w:szCs w:val="20"/>
                <w:color w:val="auto"/>
              </w:rPr>
            </w:pPr>
            <w:r>
              <w:rPr>
                <w:rFonts w:ascii="Arial" w:cs="Arial" w:eastAsia="Arial" w:hAnsi="Arial"/>
                <w:sz w:val="14"/>
                <w:szCs w:val="14"/>
                <w:color w:val="auto"/>
              </w:rPr>
              <w:t>[*CTR]</w:t>
            </w:r>
          </w:p>
        </w:tc>
        <w:tc>
          <w:tcPr>
            <w:tcW w:w="1220" w:type="dxa"/>
            <w:vAlign w:val="bottom"/>
            <w:tcBorders>
              <w:bottom w:val="single" w:sz="8" w:color="auto"/>
              <w:right w:val="single" w:sz="8" w:color="auto"/>
            </w:tcBorders>
          </w:tcPr>
          <w:p>
            <w:pPr>
              <w:ind w:left="660"/>
              <w:spacing w:after="0" w:line="155" w:lineRule="exact"/>
              <w:rPr>
                <w:sz w:val="20"/>
                <w:szCs w:val="20"/>
                <w:color w:val="auto"/>
              </w:rPr>
            </w:pPr>
            <w:r>
              <w:rPr>
                <w:rFonts w:ascii="Arial" w:cs="Arial" w:eastAsia="Arial" w:hAnsi="Arial"/>
                <w:sz w:val="14"/>
                <w:szCs w:val="14"/>
                <w:color w:val="auto"/>
              </w:rPr>
              <w:t>[*CTR]</w:t>
            </w:r>
          </w:p>
        </w:tc>
      </w:tr>
      <w:tr>
        <w:trPr>
          <w:trHeight w:val="156"/>
        </w:trPr>
        <w:tc>
          <w:tcPr>
            <w:tcW w:w="1180" w:type="dxa"/>
            <w:vAlign w:val="bottom"/>
            <w:tcBorders>
              <w:left w:val="single" w:sz="8" w:color="auto"/>
            </w:tcBorders>
          </w:tcPr>
          <w:p>
            <w:pPr>
              <w:spacing w:after="0"/>
              <w:rPr>
                <w:sz w:val="13"/>
                <w:szCs w:val="13"/>
                <w:color w:val="auto"/>
              </w:rPr>
            </w:pPr>
          </w:p>
        </w:tc>
        <w:tc>
          <w:tcPr>
            <w:tcW w:w="900" w:type="dxa"/>
            <w:vAlign w:val="bottom"/>
            <w:tcBorders>
              <w:bottom w:val="single" w:sz="8" w:color="auto"/>
              <w:right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7</w:t>
            </w:r>
          </w:p>
        </w:tc>
        <w:tc>
          <w:tcPr>
            <w:tcW w:w="2920" w:type="dxa"/>
            <w:vAlign w:val="bottom"/>
            <w:tcBorders>
              <w:bottom w:val="single" w:sz="8" w:color="auto"/>
              <w:right w:val="single" w:sz="8" w:color="auto"/>
            </w:tcBorders>
          </w:tcPr>
          <w:p>
            <w:pPr>
              <w:ind w:left="2380"/>
              <w:spacing w:after="0" w:line="155" w:lineRule="exact"/>
              <w:rPr>
                <w:sz w:val="20"/>
                <w:szCs w:val="20"/>
                <w:color w:val="auto"/>
              </w:rPr>
            </w:pPr>
            <w:r>
              <w:rPr>
                <w:rFonts w:ascii="Arial" w:cs="Arial" w:eastAsia="Arial" w:hAnsi="Arial"/>
                <w:sz w:val="14"/>
                <w:szCs w:val="14"/>
                <w:color w:val="auto"/>
              </w:rPr>
              <w:t>[*CTR]</w:t>
            </w:r>
          </w:p>
        </w:tc>
        <w:tc>
          <w:tcPr>
            <w:tcW w:w="2940" w:type="dxa"/>
            <w:vAlign w:val="bottom"/>
            <w:tcBorders>
              <w:bottom w:val="single" w:sz="8" w:color="auto"/>
              <w:right w:val="single" w:sz="8" w:color="auto"/>
            </w:tcBorders>
          </w:tcPr>
          <w:p>
            <w:pPr>
              <w:ind w:left="2420"/>
              <w:spacing w:after="0" w:line="155" w:lineRule="exact"/>
              <w:rPr>
                <w:sz w:val="20"/>
                <w:szCs w:val="20"/>
                <w:color w:val="auto"/>
              </w:rPr>
            </w:pPr>
            <w:r>
              <w:rPr>
                <w:rFonts w:ascii="Arial" w:cs="Arial" w:eastAsia="Arial" w:hAnsi="Arial"/>
                <w:sz w:val="14"/>
                <w:szCs w:val="14"/>
                <w:color w:val="auto"/>
              </w:rPr>
              <w:t>[*CTR]</w:t>
            </w:r>
          </w:p>
        </w:tc>
        <w:tc>
          <w:tcPr>
            <w:tcW w:w="1220" w:type="dxa"/>
            <w:vAlign w:val="bottom"/>
            <w:tcBorders>
              <w:bottom w:val="single" w:sz="8" w:color="auto"/>
              <w:right w:val="single" w:sz="8" w:color="auto"/>
            </w:tcBorders>
          </w:tcPr>
          <w:p>
            <w:pPr>
              <w:ind w:left="660"/>
              <w:spacing w:after="0" w:line="155" w:lineRule="exact"/>
              <w:rPr>
                <w:sz w:val="20"/>
                <w:szCs w:val="20"/>
                <w:color w:val="auto"/>
              </w:rPr>
            </w:pPr>
            <w:r>
              <w:rPr>
                <w:rFonts w:ascii="Arial" w:cs="Arial" w:eastAsia="Arial" w:hAnsi="Arial"/>
                <w:sz w:val="14"/>
                <w:szCs w:val="14"/>
                <w:color w:val="auto"/>
              </w:rPr>
              <w:t>[*CTR]</w:t>
            </w:r>
          </w:p>
        </w:tc>
      </w:tr>
      <w:tr>
        <w:trPr>
          <w:trHeight w:val="156"/>
        </w:trPr>
        <w:tc>
          <w:tcPr>
            <w:tcW w:w="1180" w:type="dxa"/>
            <w:vAlign w:val="bottom"/>
            <w:tcBorders>
              <w:left w:val="single" w:sz="8" w:color="auto"/>
            </w:tcBorders>
          </w:tcPr>
          <w:p>
            <w:pPr>
              <w:spacing w:after="0"/>
              <w:rPr>
                <w:sz w:val="13"/>
                <w:szCs w:val="13"/>
                <w:color w:val="auto"/>
              </w:rPr>
            </w:pPr>
          </w:p>
        </w:tc>
        <w:tc>
          <w:tcPr>
            <w:tcW w:w="900" w:type="dxa"/>
            <w:vAlign w:val="bottom"/>
            <w:tcBorders>
              <w:bottom w:val="single" w:sz="8" w:color="auto"/>
              <w:right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8</w:t>
            </w:r>
          </w:p>
        </w:tc>
        <w:tc>
          <w:tcPr>
            <w:tcW w:w="2920" w:type="dxa"/>
            <w:vAlign w:val="bottom"/>
            <w:tcBorders>
              <w:bottom w:val="single" w:sz="8" w:color="auto"/>
              <w:right w:val="single" w:sz="8" w:color="auto"/>
            </w:tcBorders>
          </w:tcPr>
          <w:p>
            <w:pPr>
              <w:ind w:left="2380"/>
              <w:spacing w:after="0" w:line="155" w:lineRule="exact"/>
              <w:rPr>
                <w:sz w:val="20"/>
                <w:szCs w:val="20"/>
                <w:color w:val="auto"/>
              </w:rPr>
            </w:pPr>
            <w:r>
              <w:rPr>
                <w:rFonts w:ascii="Arial" w:cs="Arial" w:eastAsia="Arial" w:hAnsi="Arial"/>
                <w:sz w:val="14"/>
                <w:szCs w:val="14"/>
                <w:color w:val="auto"/>
              </w:rPr>
              <w:t>[*CTR]</w:t>
            </w:r>
          </w:p>
        </w:tc>
        <w:tc>
          <w:tcPr>
            <w:tcW w:w="2940" w:type="dxa"/>
            <w:vAlign w:val="bottom"/>
            <w:tcBorders>
              <w:bottom w:val="single" w:sz="8" w:color="auto"/>
              <w:right w:val="single" w:sz="8" w:color="auto"/>
            </w:tcBorders>
          </w:tcPr>
          <w:p>
            <w:pPr>
              <w:ind w:left="2420"/>
              <w:spacing w:after="0" w:line="155" w:lineRule="exact"/>
              <w:rPr>
                <w:sz w:val="20"/>
                <w:szCs w:val="20"/>
                <w:color w:val="auto"/>
              </w:rPr>
            </w:pPr>
            <w:r>
              <w:rPr>
                <w:rFonts w:ascii="Arial" w:cs="Arial" w:eastAsia="Arial" w:hAnsi="Arial"/>
                <w:sz w:val="14"/>
                <w:szCs w:val="14"/>
                <w:color w:val="auto"/>
              </w:rPr>
              <w:t>[*CTR]</w:t>
            </w:r>
          </w:p>
        </w:tc>
        <w:tc>
          <w:tcPr>
            <w:tcW w:w="1220" w:type="dxa"/>
            <w:vAlign w:val="bottom"/>
            <w:tcBorders>
              <w:bottom w:val="single" w:sz="8" w:color="auto"/>
              <w:right w:val="single" w:sz="8" w:color="auto"/>
            </w:tcBorders>
          </w:tcPr>
          <w:p>
            <w:pPr>
              <w:ind w:left="660"/>
              <w:spacing w:after="0" w:line="155" w:lineRule="exact"/>
              <w:rPr>
                <w:sz w:val="20"/>
                <w:szCs w:val="20"/>
                <w:color w:val="auto"/>
              </w:rPr>
            </w:pPr>
            <w:r>
              <w:rPr>
                <w:rFonts w:ascii="Arial" w:cs="Arial" w:eastAsia="Arial" w:hAnsi="Arial"/>
                <w:sz w:val="14"/>
                <w:szCs w:val="14"/>
                <w:color w:val="auto"/>
              </w:rPr>
              <w:t>[*CTR]</w:t>
            </w:r>
          </w:p>
        </w:tc>
      </w:tr>
      <w:tr>
        <w:trPr>
          <w:trHeight w:val="156"/>
        </w:trPr>
        <w:tc>
          <w:tcPr>
            <w:tcW w:w="1180" w:type="dxa"/>
            <w:vAlign w:val="bottom"/>
            <w:tcBorders>
              <w:left w:val="single" w:sz="8" w:color="auto"/>
            </w:tcBorders>
          </w:tcPr>
          <w:p>
            <w:pPr>
              <w:spacing w:after="0"/>
              <w:rPr>
                <w:sz w:val="13"/>
                <w:szCs w:val="13"/>
                <w:color w:val="auto"/>
              </w:rPr>
            </w:pPr>
          </w:p>
        </w:tc>
        <w:tc>
          <w:tcPr>
            <w:tcW w:w="900" w:type="dxa"/>
            <w:vAlign w:val="bottom"/>
            <w:tcBorders>
              <w:bottom w:val="single" w:sz="8" w:color="auto"/>
              <w:right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9</w:t>
            </w:r>
          </w:p>
        </w:tc>
        <w:tc>
          <w:tcPr>
            <w:tcW w:w="2920" w:type="dxa"/>
            <w:vAlign w:val="bottom"/>
            <w:tcBorders>
              <w:bottom w:val="single" w:sz="8" w:color="auto"/>
              <w:right w:val="single" w:sz="8" w:color="auto"/>
            </w:tcBorders>
          </w:tcPr>
          <w:p>
            <w:pPr>
              <w:ind w:left="2380"/>
              <w:spacing w:after="0" w:line="155" w:lineRule="exact"/>
              <w:rPr>
                <w:sz w:val="20"/>
                <w:szCs w:val="20"/>
                <w:color w:val="auto"/>
              </w:rPr>
            </w:pPr>
            <w:r>
              <w:rPr>
                <w:rFonts w:ascii="Arial" w:cs="Arial" w:eastAsia="Arial" w:hAnsi="Arial"/>
                <w:sz w:val="14"/>
                <w:szCs w:val="14"/>
                <w:color w:val="auto"/>
              </w:rPr>
              <w:t>[*CTR]</w:t>
            </w:r>
          </w:p>
        </w:tc>
        <w:tc>
          <w:tcPr>
            <w:tcW w:w="2940" w:type="dxa"/>
            <w:vAlign w:val="bottom"/>
            <w:tcBorders>
              <w:bottom w:val="single" w:sz="8" w:color="auto"/>
              <w:right w:val="single" w:sz="8" w:color="auto"/>
            </w:tcBorders>
          </w:tcPr>
          <w:p>
            <w:pPr>
              <w:ind w:left="2420"/>
              <w:spacing w:after="0" w:line="155" w:lineRule="exact"/>
              <w:rPr>
                <w:sz w:val="20"/>
                <w:szCs w:val="20"/>
                <w:color w:val="auto"/>
              </w:rPr>
            </w:pPr>
            <w:r>
              <w:rPr>
                <w:rFonts w:ascii="Arial" w:cs="Arial" w:eastAsia="Arial" w:hAnsi="Arial"/>
                <w:sz w:val="14"/>
                <w:szCs w:val="14"/>
                <w:color w:val="auto"/>
              </w:rPr>
              <w:t>[*CTR]</w:t>
            </w:r>
          </w:p>
        </w:tc>
        <w:tc>
          <w:tcPr>
            <w:tcW w:w="1220" w:type="dxa"/>
            <w:vAlign w:val="bottom"/>
            <w:tcBorders>
              <w:bottom w:val="single" w:sz="8" w:color="auto"/>
              <w:right w:val="single" w:sz="8" w:color="auto"/>
            </w:tcBorders>
          </w:tcPr>
          <w:p>
            <w:pPr>
              <w:ind w:left="660"/>
              <w:spacing w:after="0" w:line="155" w:lineRule="exact"/>
              <w:rPr>
                <w:sz w:val="20"/>
                <w:szCs w:val="20"/>
                <w:color w:val="auto"/>
              </w:rPr>
            </w:pPr>
            <w:r>
              <w:rPr>
                <w:rFonts w:ascii="Arial" w:cs="Arial" w:eastAsia="Arial" w:hAnsi="Arial"/>
                <w:sz w:val="14"/>
                <w:szCs w:val="14"/>
                <w:color w:val="auto"/>
              </w:rPr>
              <w:t>[*CTR]</w:t>
            </w:r>
          </w:p>
        </w:tc>
      </w:tr>
      <w:tr>
        <w:trPr>
          <w:trHeight w:val="156"/>
        </w:trPr>
        <w:tc>
          <w:tcPr>
            <w:tcW w:w="1180" w:type="dxa"/>
            <w:vAlign w:val="bottom"/>
            <w:tcBorders>
              <w:left w:val="single" w:sz="8" w:color="auto"/>
            </w:tcBorders>
          </w:tcPr>
          <w:p>
            <w:pPr>
              <w:spacing w:after="0"/>
              <w:rPr>
                <w:sz w:val="13"/>
                <w:szCs w:val="13"/>
                <w:color w:val="auto"/>
              </w:rPr>
            </w:pPr>
          </w:p>
        </w:tc>
        <w:tc>
          <w:tcPr>
            <w:tcW w:w="900" w:type="dxa"/>
            <w:vAlign w:val="bottom"/>
            <w:tcBorders>
              <w:bottom w:val="single" w:sz="8" w:color="auto"/>
              <w:right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10</w:t>
            </w:r>
          </w:p>
        </w:tc>
        <w:tc>
          <w:tcPr>
            <w:tcW w:w="2920" w:type="dxa"/>
            <w:vAlign w:val="bottom"/>
            <w:tcBorders>
              <w:bottom w:val="single" w:sz="8" w:color="auto"/>
              <w:right w:val="single" w:sz="8" w:color="auto"/>
            </w:tcBorders>
          </w:tcPr>
          <w:p>
            <w:pPr>
              <w:ind w:left="2380"/>
              <w:spacing w:after="0" w:line="155" w:lineRule="exact"/>
              <w:rPr>
                <w:sz w:val="20"/>
                <w:szCs w:val="20"/>
                <w:color w:val="auto"/>
              </w:rPr>
            </w:pPr>
            <w:r>
              <w:rPr>
                <w:rFonts w:ascii="Arial" w:cs="Arial" w:eastAsia="Arial" w:hAnsi="Arial"/>
                <w:sz w:val="14"/>
                <w:szCs w:val="14"/>
                <w:color w:val="auto"/>
              </w:rPr>
              <w:t>[*CTR]</w:t>
            </w:r>
          </w:p>
        </w:tc>
        <w:tc>
          <w:tcPr>
            <w:tcW w:w="2940" w:type="dxa"/>
            <w:vAlign w:val="bottom"/>
            <w:tcBorders>
              <w:bottom w:val="single" w:sz="8" w:color="auto"/>
              <w:right w:val="single" w:sz="8" w:color="auto"/>
            </w:tcBorders>
          </w:tcPr>
          <w:p>
            <w:pPr>
              <w:ind w:left="2420"/>
              <w:spacing w:after="0" w:line="155" w:lineRule="exact"/>
              <w:rPr>
                <w:sz w:val="20"/>
                <w:szCs w:val="20"/>
                <w:color w:val="auto"/>
              </w:rPr>
            </w:pPr>
            <w:r>
              <w:rPr>
                <w:rFonts w:ascii="Arial" w:cs="Arial" w:eastAsia="Arial" w:hAnsi="Arial"/>
                <w:sz w:val="14"/>
                <w:szCs w:val="14"/>
                <w:color w:val="auto"/>
              </w:rPr>
              <w:t>[*CTR]</w:t>
            </w:r>
          </w:p>
        </w:tc>
        <w:tc>
          <w:tcPr>
            <w:tcW w:w="1220" w:type="dxa"/>
            <w:vAlign w:val="bottom"/>
            <w:tcBorders>
              <w:bottom w:val="single" w:sz="8" w:color="auto"/>
              <w:right w:val="single" w:sz="8" w:color="auto"/>
            </w:tcBorders>
          </w:tcPr>
          <w:p>
            <w:pPr>
              <w:ind w:left="660"/>
              <w:spacing w:after="0" w:line="155" w:lineRule="exact"/>
              <w:rPr>
                <w:sz w:val="20"/>
                <w:szCs w:val="20"/>
                <w:color w:val="auto"/>
              </w:rPr>
            </w:pPr>
            <w:r>
              <w:rPr>
                <w:rFonts w:ascii="Arial" w:cs="Arial" w:eastAsia="Arial" w:hAnsi="Arial"/>
                <w:sz w:val="14"/>
                <w:szCs w:val="14"/>
                <w:color w:val="auto"/>
              </w:rPr>
              <w:t>[*CTR]</w:t>
            </w:r>
          </w:p>
        </w:tc>
      </w:tr>
      <w:tr>
        <w:trPr>
          <w:trHeight w:val="156"/>
        </w:trPr>
        <w:tc>
          <w:tcPr>
            <w:tcW w:w="1180" w:type="dxa"/>
            <w:vAlign w:val="bottom"/>
            <w:tcBorders>
              <w:left w:val="single" w:sz="8" w:color="auto"/>
            </w:tcBorders>
          </w:tcPr>
          <w:p>
            <w:pPr>
              <w:spacing w:after="0"/>
              <w:rPr>
                <w:sz w:val="13"/>
                <w:szCs w:val="13"/>
                <w:color w:val="auto"/>
              </w:rPr>
            </w:pPr>
          </w:p>
        </w:tc>
        <w:tc>
          <w:tcPr>
            <w:tcW w:w="900" w:type="dxa"/>
            <w:vAlign w:val="bottom"/>
            <w:tcBorders>
              <w:bottom w:val="single" w:sz="8" w:color="auto"/>
              <w:right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11</w:t>
            </w:r>
          </w:p>
        </w:tc>
        <w:tc>
          <w:tcPr>
            <w:tcW w:w="2920" w:type="dxa"/>
            <w:vAlign w:val="bottom"/>
            <w:tcBorders>
              <w:bottom w:val="single" w:sz="8" w:color="auto"/>
              <w:right w:val="single" w:sz="8" w:color="auto"/>
            </w:tcBorders>
          </w:tcPr>
          <w:p>
            <w:pPr>
              <w:ind w:left="2380"/>
              <w:spacing w:after="0" w:line="155" w:lineRule="exact"/>
              <w:rPr>
                <w:sz w:val="20"/>
                <w:szCs w:val="20"/>
                <w:color w:val="auto"/>
              </w:rPr>
            </w:pPr>
            <w:r>
              <w:rPr>
                <w:rFonts w:ascii="Arial" w:cs="Arial" w:eastAsia="Arial" w:hAnsi="Arial"/>
                <w:sz w:val="14"/>
                <w:szCs w:val="14"/>
                <w:color w:val="auto"/>
              </w:rPr>
              <w:t>[*CTR]</w:t>
            </w:r>
          </w:p>
        </w:tc>
        <w:tc>
          <w:tcPr>
            <w:tcW w:w="2940" w:type="dxa"/>
            <w:vAlign w:val="bottom"/>
            <w:tcBorders>
              <w:bottom w:val="single" w:sz="8" w:color="auto"/>
              <w:right w:val="single" w:sz="8" w:color="auto"/>
            </w:tcBorders>
          </w:tcPr>
          <w:p>
            <w:pPr>
              <w:ind w:left="2420"/>
              <w:spacing w:after="0" w:line="155" w:lineRule="exact"/>
              <w:rPr>
                <w:sz w:val="20"/>
                <w:szCs w:val="20"/>
                <w:color w:val="auto"/>
              </w:rPr>
            </w:pPr>
            <w:r>
              <w:rPr>
                <w:rFonts w:ascii="Arial" w:cs="Arial" w:eastAsia="Arial" w:hAnsi="Arial"/>
                <w:sz w:val="14"/>
                <w:szCs w:val="14"/>
                <w:color w:val="auto"/>
              </w:rPr>
              <w:t>[*CTR]</w:t>
            </w:r>
          </w:p>
        </w:tc>
        <w:tc>
          <w:tcPr>
            <w:tcW w:w="1220" w:type="dxa"/>
            <w:vAlign w:val="bottom"/>
            <w:tcBorders>
              <w:bottom w:val="single" w:sz="8" w:color="auto"/>
              <w:right w:val="single" w:sz="8" w:color="auto"/>
            </w:tcBorders>
          </w:tcPr>
          <w:p>
            <w:pPr>
              <w:ind w:left="660"/>
              <w:spacing w:after="0" w:line="155" w:lineRule="exact"/>
              <w:rPr>
                <w:sz w:val="20"/>
                <w:szCs w:val="20"/>
                <w:color w:val="auto"/>
              </w:rPr>
            </w:pPr>
            <w:r>
              <w:rPr>
                <w:rFonts w:ascii="Arial" w:cs="Arial" w:eastAsia="Arial" w:hAnsi="Arial"/>
                <w:sz w:val="14"/>
                <w:szCs w:val="14"/>
                <w:color w:val="auto"/>
              </w:rPr>
              <w:t>[*CTR]</w:t>
            </w:r>
          </w:p>
        </w:tc>
      </w:tr>
      <w:tr>
        <w:trPr>
          <w:trHeight w:val="156"/>
        </w:trPr>
        <w:tc>
          <w:tcPr>
            <w:tcW w:w="1180" w:type="dxa"/>
            <w:vAlign w:val="bottom"/>
            <w:tcBorders>
              <w:left w:val="single" w:sz="8" w:color="auto"/>
            </w:tcBorders>
          </w:tcPr>
          <w:p>
            <w:pPr>
              <w:spacing w:after="0"/>
              <w:rPr>
                <w:sz w:val="13"/>
                <w:szCs w:val="13"/>
                <w:color w:val="auto"/>
              </w:rPr>
            </w:pPr>
          </w:p>
        </w:tc>
        <w:tc>
          <w:tcPr>
            <w:tcW w:w="900" w:type="dxa"/>
            <w:vAlign w:val="bottom"/>
            <w:tcBorders>
              <w:bottom w:val="single" w:sz="8" w:color="auto"/>
              <w:right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12</w:t>
            </w:r>
          </w:p>
        </w:tc>
        <w:tc>
          <w:tcPr>
            <w:tcW w:w="2920" w:type="dxa"/>
            <w:vAlign w:val="bottom"/>
            <w:tcBorders>
              <w:bottom w:val="single" w:sz="8" w:color="auto"/>
              <w:right w:val="single" w:sz="8" w:color="auto"/>
            </w:tcBorders>
          </w:tcPr>
          <w:p>
            <w:pPr>
              <w:ind w:left="2380"/>
              <w:spacing w:after="0" w:line="155" w:lineRule="exact"/>
              <w:rPr>
                <w:sz w:val="20"/>
                <w:szCs w:val="20"/>
                <w:color w:val="auto"/>
              </w:rPr>
            </w:pPr>
            <w:r>
              <w:rPr>
                <w:rFonts w:ascii="Arial" w:cs="Arial" w:eastAsia="Arial" w:hAnsi="Arial"/>
                <w:sz w:val="14"/>
                <w:szCs w:val="14"/>
                <w:color w:val="auto"/>
              </w:rPr>
              <w:t>[*CTR]</w:t>
            </w:r>
          </w:p>
        </w:tc>
        <w:tc>
          <w:tcPr>
            <w:tcW w:w="2940" w:type="dxa"/>
            <w:vAlign w:val="bottom"/>
            <w:tcBorders>
              <w:bottom w:val="single" w:sz="8" w:color="auto"/>
              <w:right w:val="single" w:sz="8" w:color="auto"/>
            </w:tcBorders>
          </w:tcPr>
          <w:p>
            <w:pPr>
              <w:ind w:left="2420"/>
              <w:spacing w:after="0" w:line="155" w:lineRule="exact"/>
              <w:rPr>
                <w:sz w:val="20"/>
                <w:szCs w:val="20"/>
                <w:color w:val="auto"/>
              </w:rPr>
            </w:pPr>
            <w:r>
              <w:rPr>
                <w:rFonts w:ascii="Arial" w:cs="Arial" w:eastAsia="Arial" w:hAnsi="Arial"/>
                <w:sz w:val="14"/>
                <w:szCs w:val="14"/>
                <w:color w:val="auto"/>
              </w:rPr>
              <w:t>[*CTR]</w:t>
            </w:r>
          </w:p>
        </w:tc>
        <w:tc>
          <w:tcPr>
            <w:tcW w:w="1220" w:type="dxa"/>
            <w:vAlign w:val="bottom"/>
            <w:tcBorders>
              <w:bottom w:val="single" w:sz="8" w:color="auto"/>
              <w:right w:val="single" w:sz="8" w:color="auto"/>
            </w:tcBorders>
          </w:tcPr>
          <w:p>
            <w:pPr>
              <w:ind w:left="660"/>
              <w:spacing w:after="0" w:line="155" w:lineRule="exact"/>
              <w:rPr>
                <w:sz w:val="20"/>
                <w:szCs w:val="20"/>
                <w:color w:val="auto"/>
              </w:rPr>
            </w:pPr>
            <w:r>
              <w:rPr>
                <w:rFonts w:ascii="Arial" w:cs="Arial" w:eastAsia="Arial" w:hAnsi="Arial"/>
                <w:sz w:val="14"/>
                <w:szCs w:val="14"/>
                <w:color w:val="auto"/>
              </w:rPr>
              <w:t>[*CTR]</w:t>
            </w:r>
          </w:p>
        </w:tc>
      </w:tr>
      <w:tr>
        <w:trPr>
          <w:trHeight w:val="156"/>
        </w:trPr>
        <w:tc>
          <w:tcPr>
            <w:tcW w:w="1180" w:type="dxa"/>
            <w:vAlign w:val="bottom"/>
            <w:tcBorders>
              <w:left w:val="single" w:sz="8" w:color="auto"/>
            </w:tcBorders>
          </w:tcPr>
          <w:p>
            <w:pPr>
              <w:spacing w:after="0"/>
              <w:rPr>
                <w:sz w:val="13"/>
                <w:szCs w:val="13"/>
                <w:color w:val="auto"/>
              </w:rPr>
            </w:pPr>
          </w:p>
        </w:tc>
        <w:tc>
          <w:tcPr>
            <w:tcW w:w="900" w:type="dxa"/>
            <w:vAlign w:val="bottom"/>
            <w:tcBorders>
              <w:bottom w:val="single" w:sz="8" w:color="auto"/>
              <w:right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13</w:t>
            </w:r>
          </w:p>
        </w:tc>
        <w:tc>
          <w:tcPr>
            <w:tcW w:w="2920" w:type="dxa"/>
            <w:vAlign w:val="bottom"/>
            <w:tcBorders>
              <w:bottom w:val="single" w:sz="8" w:color="auto"/>
              <w:right w:val="single" w:sz="8" w:color="auto"/>
            </w:tcBorders>
          </w:tcPr>
          <w:p>
            <w:pPr>
              <w:ind w:left="2380"/>
              <w:spacing w:after="0" w:line="155" w:lineRule="exact"/>
              <w:rPr>
                <w:sz w:val="20"/>
                <w:szCs w:val="20"/>
                <w:color w:val="auto"/>
              </w:rPr>
            </w:pPr>
            <w:r>
              <w:rPr>
                <w:rFonts w:ascii="Arial" w:cs="Arial" w:eastAsia="Arial" w:hAnsi="Arial"/>
                <w:sz w:val="14"/>
                <w:szCs w:val="14"/>
                <w:color w:val="auto"/>
              </w:rPr>
              <w:t>[*CTR]</w:t>
            </w:r>
          </w:p>
        </w:tc>
        <w:tc>
          <w:tcPr>
            <w:tcW w:w="2940" w:type="dxa"/>
            <w:vAlign w:val="bottom"/>
            <w:tcBorders>
              <w:bottom w:val="single" w:sz="8" w:color="auto"/>
              <w:right w:val="single" w:sz="8" w:color="auto"/>
            </w:tcBorders>
          </w:tcPr>
          <w:p>
            <w:pPr>
              <w:ind w:left="2420"/>
              <w:spacing w:after="0" w:line="155" w:lineRule="exact"/>
              <w:rPr>
                <w:sz w:val="20"/>
                <w:szCs w:val="20"/>
                <w:color w:val="auto"/>
              </w:rPr>
            </w:pPr>
            <w:r>
              <w:rPr>
                <w:rFonts w:ascii="Arial" w:cs="Arial" w:eastAsia="Arial" w:hAnsi="Arial"/>
                <w:sz w:val="14"/>
                <w:szCs w:val="14"/>
                <w:color w:val="auto"/>
              </w:rPr>
              <w:t>[*CTR]</w:t>
            </w:r>
          </w:p>
        </w:tc>
        <w:tc>
          <w:tcPr>
            <w:tcW w:w="1220" w:type="dxa"/>
            <w:vAlign w:val="bottom"/>
            <w:tcBorders>
              <w:bottom w:val="single" w:sz="8" w:color="auto"/>
              <w:right w:val="single" w:sz="8" w:color="auto"/>
            </w:tcBorders>
          </w:tcPr>
          <w:p>
            <w:pPr>
              <w:ind w:left="660"/>
              <w:spacing w:after="0" w:line="155" w:lineRule="exact"/>
              <w:rPr>
                <w:sz w:val="20"/>
                <w:szCs w:val="20"/>
                <w:color w:val="auto"/>
              </w:rPr>
            </w:pPr>
            <w:r>
              <w:rPr>
                <w:rFonts w:ascii="Arial" w:cs="Arial" w:eastAsia="Arial" w:hAnsi="Arial"/>
                <w:sz w:val="14"/>
                <w:szCs w:val="14"/>
                <w:color w:val="auto"/>
              </w:rPr>
              <w:t>[*CTR]</w:t>
            </w:r>
          </w:p>
        </w:tc>
      </w:tr>
      <w:tr>
        <w:trPr>
          <w:trHeight w:val="156"/>
        </w:trPr>
        <w:tc>
          <w:tcPr>
            <w:tcW w:w="1180" w:type="dxa"/>
            <w:vAlign w:val="bottom"/>
            <w:tcBorders>
              <w:left w:val="single" w:sz="8" w:color="auto"/>
            </w:tcBorders>
          </w:tcPr>
          <w:p>
            <w:pPr>
              <w:spacing w:after="0"/>
              <w:rPr>
                <w:sz w:val="13"/>
                <w:szCs w:val="13"/>
                <w:color w:val="auto"/>
              </w:rPr>
            </w:pPr>
          </w:p>
        </w:tc>
        <w:tc>
          <w:tcPr>
            <w:tcW w:w="900" w:type="dxa"/>
            <w:vAlign w:val="bottom"/>
            <w:tcBorders>
              <w:bottom w:val="single" w:sz="8" w:color="auto"/>
              <w:right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14</w:t>
            </w:r>
          </w:p>
        </w:tc>
        <w:tc>
          <w:tcPr>
            <w:tcW w:w="2920" w:type="dxa"/>
            <w:vAlign w:val="bottom"/>
            <w:tcBorders>
              <w:bottom w:val="single" w:sz="8" w:color="auto"/>
              <w:right w:val="single" w:sz="8" w:color="auto"/>
            </w:tcBorders>
          </w:tcPr>
          <w:p>
            <w:pPr>
              <w:ind w:left="2380"/>
              <w:spacing w:after="0" w:line="155" w:lineRule="exact"/>
              <w:rPr>
                <w:sz w:val="20"/>
                <w:szCs w:val="20"/>
                <w:color w:val="auto"/>
              </w:rPr>
            </w:pPr>
            <w:r>
              <w:rPr>
                <w:rFonts w:ascii="Arial" w:cs="Arial" w:eastAsia="Arial" w:hAnsi="Arial"/>
                <w:sz w:val="14"/>
                <w:szCs w:val="14"/>
                <w:color w:val="auto"/>
              </w:rPr>
              <w:t>[*CTR]</w:t>
            </w:r>
          </w:p>
        </w:tc>
        <w:tc>
          <w:tcPr>
            <w:tcW w:w="2940" w:type="dxa"/>
            <w:vAlign w:val="bottom"/>
            <w:tcBorders>
              <w:bottom w:val="single" w:sz="8" w:color="auto"/>
              <w:right w:val="single" w:sz="8" w:color="auto"/>
            </w:tcBorders>
          </w:tcPr>
          <w:p>
            <w:pPr>
              <w:ind w:left="2420"/>
              <w:spacing w:after="0" w:line="155" w:lineRule="exact"/>
              <w:rPr>
                <w:sz w:val="20"/>
                <w:szCs w:val="20"/>
                <w:color w:val="auto"/>
              </w:rPr>
            </w:pPr>
            <w:r>
              <w:rPr>
                <w:rFonts w:ascii="Arial" w:cs="Arial" w:eastAsia="Arial" w:hAnsi="Arial"/>
                <w:sz w:val="14"/>
                <w:szCs w:val="14"/>
                <w:color w:val="auto"/>
              </w:rPr>
              <w:t>[*CTR]</w:t>
            </w:r>
          </w:p>
        </w:tc>
        <w:tc>
          <w:tcPr>
            <w:tcW w:w="1220" w:type="dxa"/>
            <w:vAlign w:val="bottom"/>
            <w:tcBorders>
              <w:bottom w:val="single" w:sz="8" w:color="auto"/>
              <w:right w:val="single" w:sz="8" w:color="auto"/>
            </w:tcBorders>
          </w:tcPr>
          <w:p>
            <w:pPr>
              <w:ind w:left="660"/>
              <w:spacing w:after="0" w:line="155" w:lineRule="exact"/>
              <w:rPr>
                <w:sz w:val="20"/>
                <w:szCs w:val="20"/>
                <w:color w:val="auto"/>
              </w:rPr>
            </w:pPr>
            <w:r>
              <w:rPr>
                <w:rFonts w:ascii="Arial" w:cs="Arial" w:eastAsia="Arial" w:hAnsi="Arial"/>
                <w:sz w:val="14"/>
                <w:szCs w:val="14"/>
                <w:color w:val="auto"/>
              </w:rPr>
              <w:t>[*CTR]</w:t>
            </w:r>
          </w:p>
        </w:tc>
      </w:tr>
      <w:tr>
        <w:trPr>
          <w:trHeight w:val="156"/>
        </w:trPr>
        <w:tc>
          <w:tcPr>
            <w:tcW w:w="1180" w:type="dxa"/>
            <w:vAlign w:val="bottom"/>
            <w:tcBorders>
              <w:left w:val="single" w:sz="8" w:color="auto"/>
            </w:tcBorders>
          </w:tcPr>
          <w:p>
            <w:pPr>
              <w:spacing w:after="0"/>
              <w:rPr>
                <w:sz w:val="13"/>
                <w:szCs w:val="13"/>
                <w:color w:val="auto"/>
              </w:rPr>
            </w:pPr>
          </w:p>
        </w:tc>
        <w:tc>
          <w:tcPr>
            <w:tcW w:w="900" w:type="dxa"/>
            <w:vAlign w:val="bottom"/>
            <w:tcBorders>
              <w:bottom w:val="single" w:sz="8" w:color="auto"/>
              <w:right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15</w:t>
            </w:r>
          </w:p>
        </w:tc>
        <w:tc>
          <w:tcPr>
            <w:tcW w:w="2920" w:type="dxa"/>
            <w:vAlign w:val="bottom"/>
            <w:tcBorders>
              <w:bottom w:val="single" w:sz="8" w:color="auto"/>
              <w:right w:val="single" w:sz="8" w:color="auto"/>
            </w:tcBorders>
          </w:tcPr>
          <w:p>
            <w:pPr>
              <w:ind w:left="2380"/>
              <w:spacing w:after="0" w:line="155" w:lineRule="exact"/>
              <w:rPr>
                <w:sz w:val="20"/>
                <w:szCs w:val="20"/>
                <w:color w:val="auto"/>
              </w:rPr>
            </w:pPr>
            <w:r>
              <w:rPr>
                <w:rFonts w:ascii="Arial" w:cs="Arial" w:eastAsia="Arial" w:hAnsi="Arial"/>
                <w:sz w:val="14"/>
                <w:szCs w:val="14"/>
                <w:color w:val="auto"/>
              </w:rPr>
              <w:t>[*CTR]</w:t>
            </w:r>
          </w:p>
        </w:tc>
        <w:tc>
          <w:tcPr>
            <w:tcW w:w="2940" w:type="dxa"/>
            <w:vAlign w:val="bottom"/>
            <w:tcBorders>
              <w:bottom w:val="single" w:sz="8" w:color="auto"/>
              <w:right w:val="single" w:sz="8" w:color="auto"/>
            </w:tcBorders>
          </w:tcPr>
          <w:p>
            <w:pPr>
              <w:ind w:left="2420"/>
              <w:spacing w:after="0" w:line="155" w:lineRule="exact"/>
              <w:rPr>
                <w:sz w:val="20"/>
                <w:szCs w:val="20"/>
                <w:color w:val="auto"/>
              </w:rPr>
            </w:pPr>
            <w:r>
              <w:rPr>
                <w:rFonts w:ascii="Arial" w:cs="Arial" w:eastAsia="Arial" w:hAnsi="Arial"/>
                <w:sz w:val="14"/>
                <w:szCs w:val="14"/>
                <w:color w:val="auto"/>
              </w:rPr>
              <w:t>[*CTR]</w:t>
            </w:r>
          </w:p>
        </w:tc>
        <w:tc>
          <w:tcPr>
            <w:tcW w:w="1220" w:type="dxa"/>
            <w:vAlign w:val="bottom"/>
            <w:tcBorders>
              <w:bottom w:val="single" w:sz="8" w:color="auto"/>
              <w:right w:val="single" w:sz="8" w:color="auto"/>
            </w:tcBorders>
          </w:tcPr>
          <w:p>
            <w:pPr>
              <w:ind w:left="660"/>
              <w:spacing w:after="0" w:line="155" w:lineRule="exact"/>
              <w:rPr>
                <w:sz w:val="20"/>
                <w:szCs w:val="20"/>
                <w:color w:val="auto"/>
              </w:rPr>
            </w:pPr>
            <w:r>
              <w:rPr>
                <w:rFonts w:ascii="Arial" w:cs="Arial" w:eastAsia="Arial" w:hAnsi="Arial"/>
                <w:sz w:val="14"/>
                <w:szCs w:val="14"/>
                <w:color w:val="auto"/>
              </w:rPr>
              <w:t>[*CTR]</w:t>
            </w:r>
          </w:p>
        </w:tc>
      </w:tr>
      <w:tr>
        <w:trPr>
          <w:trHeight w:val="156"/>
        </w:trPr>
        <w:tc>
          <w:tcPr>
            <w:tcW w:w="1180" w:type="dxa"/>
            <w:vAlign w:val="bottom"/>
            <w:tcBorders>
              <w:left w:val="single" w:sz="8" w:color="auto"/>
            </w:tcBorders>
          </w:tcPr>
          <w:p>
            <w:pPr>
              <w:spacing w:after="0"/>
              <w:rPr>
                <w:sz w:val="13"/>
                <w:szCs w:val="13"/>
                <w:color w:val="auto"/>
              </w:rPr>
            </w:pPr>
          </w:p>
        </w:tc>
        <w:tc>
          <w:tcPr>
            <w:tcW w:w="900" w:type="dxa"/>
            <w:vAlign w:val="bottom"/>
            <w:tcBorders>
              <w:bottom w:val="single" w:sz="8" w:color="auto"/>
              <w:right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16</w:t>
            </w:r>
          </w:p>
        </w:tc>
        <w:tc>
          <w:tcPr>
            <w:tcW w:w="2920" w:type="dxa"/>
            <w:vAlign w:val="bottom"/>
            <w:tcBorders>
              <w:bottom w:val="single" w:sz="8" w:color="auto"/>
              <w:right w:val="single" w:sz="8" w:color="auto"/>
            </w:tcBorders>
          </w:tcPr>
          <w:p>
            <w:pPr>
              <w:ind w:left="2380"/>
              <w:spacing w:after="0" w:line="155" w:lineRule="exact"/>
              <w:rPr>
                <w:sz w:val="20"/>
                <w:szCs w:val="20"/>
                <w:color w:val="auto"/>
              </w:rPr>
            </w:pPr>
            <w:r>
              <w:rPr>
                <w:rFonts w:ascii="Arial" w:cs="Arial" w:eastAsia="Arial" w:hAnsi="Arial"/>
                <w:sz w:val="14"/>
                <w:szCs w:val="14"/>
                <w:color w:val="auto"/>
              </w:rPr>
              <w:t>[*CTR]</w:t>
            </w:r>
          </w:p>
        </w:tc>
        <w:tc>
          <w:tcPr>
            <w:tcW w:w="2940" w:type="dxa"/>
            <w:vAlign w:val="bottom"/>
            <w:tcBorders>
              <w:bottom w:val="single" w:sz="8" w:color="auto"/>
              <w:right w:val="single" w:sz="8" w:color="auto"/>
            </w:tcBorders>
          </w:tcPr>
          <w:p>
            <w:pPr>
              <w:ind w:left="2420"/>
              <w:spacing w:after="0" w:line="155" w:lineRule="exact"/>
              <w:rPr>
                <w:sz w:val="20"/>
                <w:szCs w:val="20"/>
                <w:color w:val="auto"/>
              </w:rPr>
            </w:pPr>
            <w:r>
              <w:rPr>
                <w:rFonts w:ascii="Arial" w:cs="Arial" w:eastAsia="Arial" w:hAnsi="Arial"/>
                <w:sz w:val="14"/>
                <w:szCs w:val="14"/>
                <w:color w:val="auto"/>
              </w:rPr>
              <w:t>[*CTR]</w:t>
            </w:r>
          </w:p>
        </w:tc>
        <w:tc>
          <w:tcPr>
            <w:tcW w:w="1220" w:type="dxa"/>
            <w:vAlign w:val="bottom"/>
            <w:tcBorders>
              <w:bottom w:val="single" w:sz="8" w:color="auto"/>
              <w:right w:val="single" w:sz="8" w:color="auto"/>
            </w:tcBorders>
          </w:tcPr>
          <w:p>
            <w:pPr>
              <w:ind w:left="660"/>
              <w:spacing w:after="0" w:line="155" w:lineRule="exact"/>
              <w:rPr>
                <w:sz w:val="20"/>
                <w:szCs w:val="20"/>
                <w:color w:val="auto"/>
              </w:rPr>
            </w:pPr>
            <w:r>
              <w:rPr>
                <w:rFonts w:ascii="Arial" w:cs="Arial" w:eastAsia="Arial" w:hAnsi="Arial"/>
                <w:sz w:val="14"/>
                <w:szCs w:val="14"/>
                <w:color w:val="auto"/>
              </w:rPr>
              <w:t>[*CTR]</w:t>
            </w:r>
          </w:p>
        </w:tc>
      </w:tr>
      <w:tr>
        <w:trPr>
          <w:trHeight w:val="156"/>
        </w:trPr>
        <w:tc>
          <w:tcPr>
            <w:tcW w:w="1180" w:type="dxa"/>
            <w:vAlign w:val="bottom"/>
            <w:tcBorders>
              <w:left w:val="single" w:sz="8" w:color="auto"/>
              <w:bottom w:val="single" w:sz="8" w:color="auto"/>
            </w:tcBorders>
          </w:tcPr>
          <w:p>
            <w:pPr>
              <w:spacing w:after="0"/>
              <w:rPr>
                <w:sz w:val="13"/>
                <w:szCs w:val="13"/>
                <w:color w:val="auto"/>
              </w:rPr>
            </w:pPr>
          </w:p>
        </w:tc>
        <w:tc>
          <w:tcPr>
            <w:tcW w:w="900" w:type="dxa"/>
            <w:vAlign w:val="bottom"/>
            <w:tcBorders>
              <w:bottom w:val="single" w:sz="8" w:color="auto"/>
              <w:right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17</w:t>
            </w:r>
          </w:p>
        </w:tc>
        <w:tc>
          <w:tcPr>
            <w:tcW w:w="2920" w:type="dxa"/>
            <w:vAlign w:val="bottom"/>
            <w:tcBorders>
              <w:bottom w:val="single" w:sz="8" w:color="auto"/>
              <w:right w:val="single" w:sz="8" w:color="auto"/>
            </w:tcBorders>
          </w:tcPr>
          <w:p>
            <w:pPr>
              <w:ind w:left="2380"/>
              <w:spacing w:after="0" w:line="155" w:lineRule="exact"/>
              <w:rPr>
                <w:sz w:val="20"/>
                <w:szCs w:val="20"/>
                <w:color w:val="auto"/>
              </w:rPr>
            </w:pPr>
            <w:r>
              <w:rPr>
                <w:rFonts w:ascii="Arial" w:cs="Arial" w:eastAsia="Arial" w:hAnsi="Arial"/>
                <w:sz w:val="14"/>
                <w:szCs w:val="14"/>
                <w:color w:val="auto"/>
              </w:rPr>
              <w:t>[*CTR]</w:t>
            </w:r>
          </w:p>
        </w:tc>
        <w:tc>
          <w:tcPr>
            <w:tcW w:w="2940" w:type="dxa"/>
            <w:vAlign w:val="bottom"/>
            <w:tcBorders>
              <w:bottom w:val="single" w:sz="8" w:color="auto"/>
              <w:right w:val="single" w:sz="8" w:color="auto"/>
            </w:tcBorders>
          </w:tcPr>
          <w:p>
            <w:pPr>
              <w:ind w:left="2420"/>
              <w:spacing w:after="0" w:line="155" w:lineRule="exact"/>
              <w:rPr>
                <w:sz w:val="20"/>
                <w:szCs w:val="20"/>
                <w:color w:val="auto"/>
              </w:rPr>
            </w:pPr>
            <w:r>
              <w:rPr>
                <w:rFonts w:ascii="Arial" w:cs="Arial" w:eastAsia="Arial" w:hAnsi="Arial"/>
                <w:sz w:val="14"/>
                <w:szCs w:val="14"/>
                <w:color w:val="auto"/>
              </w:rPr>
              <w:t>[*CTR]</w:t>
            </w:r>
          </w:p>
        </w:tc>
        <w:tc>
          <w:tcPr>
            <w:tcW w:w="1220" w:type="dxa"/>
            <w:vAlign w:val="bottom"/>
            <w:tcBorders>
              <w:bottom w:val="single" w:sz="8" w:color="auto"/>
              <w:right w:val="single" w:sz="8" w:color="auto"/>
            </w:tcBorders>
          </w:tcPr>
          <w:p>
            <w:pPr>
              <w:ind w:left="660"/>
              <w:spacing w:after="0" w:line="155" w:lineRule="exact"/>
              <w:rPr>
                <w:sz w:val="20"/>
                <w:szCs w:val="20"/>
                <w:color w:val="auto"/>
              </w:rPr>
            </w:pPr>
            <w:r>
              <w:rPr>
                <w:rFonts w:ascii="Arial" w:cs="Arial" w:eastAsia="Arial" w:hAnsi="Arial"/>
                <w:sz w:val="14"/>
                <w:szCs w:val="14"/>
                <w:color w:val="auto"/>
              </w:rPr>
              <w:t>[*CTR]</w:t>
            </w:r>
          </w:p>
        </w:tc>
      </w:tr>
    </w:tbl>
    <w:p>
      <w:pPr>
        <w:spacing w:after="0" w:line="1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182880</wp:posOffset>
            </wp:positionV>
            <wp:extent cx="1380490" cy="3689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clrChange>
                        <a:clrFrom>
                          <a:srgbClr val="FFFFFF"/>
                        </a:clrFrom>
                        <a:clrTo>
                          <a:srgbClr val="FFFFFF">
                            <a:alpha val="0"/>
                          </a:srgbClr>
                        </a:clrTo>
                      </a:clrChange>
                      <a:extLst>
                        <a:ext uri="{28A0092B-C50C-407E-A947-70E740481C1C}"/>
                      </a:extLst>
                    </a:blip>
                    <a:srcRect/>
                    <a:stretch>
                      <a:fillRect/>
                    </a:stretch>
                  </pic:blipFill>
                  <pic:spPr bwMode="auto">
                    <a:xfrm>
                      <a:off x="0" y="0"/>
                      <a:ext cx="1380490" cy="36893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Attachment A to AAL-PA-3219-LA-1701988</w:t>
      </w:r>
    </w:p>
    <w:p>
      <w:pPr>
        <w:spacing w:after="0" w:line="230" w:lineRule="auto"/>
        <w:rPr>
          <w:sz w:val="20"/>
          <w:szCs w:val="20"/>
          <w:color w:val="auto"/>
        </w:rPr>
      </w:pPr>
      <w:r>
        <w:rPr>
          <w:rFonts w:ascii="Arial" w:cs="Arial" w:eastAsia="Arial" w:hAnsi="Arial"/>
          <w:sz w:val="22"/>
          <w:szCs w:val="22"/>
          <w:color w:val="auto"/>
        </w:rPr>
        <w:t>[*CTR],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Letter Agreement AAL-PA-3219-LA-1302236R1</w:t>
      </w:r>
    </w:p>
    <w:p>
      <w:pPr>
        <w:spacing w:after="0" w:line="4"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BOEING PROPRIETARY</w:t>
      </w:r>
    </w:p>
    <w:p>
      <w:pPr>
        <w:spacing w:after="0" w:line="66"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[*CTR]=[CONFIDENTIAL PORTION OMITTED AND FILED SEPARATELY WITH THE COMMISSION PURSUANT TO A REQUEST FOR CONFIDENTIAL TREATMENT]</w:t>
      </w:r>
    </w:p>
    <w:p>
      <w:pPr>
        <w:sectPr>
          <w:pgSz w:w="11900" w:h="16838" w:orient="portrait"/>
          <w:cols w:equalWidth="0" w:num="1">
            <w:col w:w="11420"/>
          </w:cols>
          <w:pgMar w:left="240" w:top="1260" w:right="239" w:bottom="1440" w:gutter="0" w:footer="0" w:header="0"/>
        </w:sectPr>
      </w:pPr>
    </w:p>
    <w:bookmarkStart w:id="134" w:name="page135"/>
    <w:bookmarkEnd w:id="134"/>
    <w:p>
      <w:pPr>
        <w:jc w:val="right"/>
        <w:spacing w:after="0"/>
        <w:rPr>
          <w:sz w:val="20"/>
          <w:szCs w:val="20"/>
          <w:color w:val="auto"/>
        </w:rPr>
      </w:pPr>
      <w:r>
        <w:rPr>
          <w:rFonts w:ascii="Arial" w:cs="Arial" w:eastAsia="Arial" w:hAnsi="Arial"/>
          <w:sz w:val="20"/>
          <w:szCs w:val="20"/>
          <w:b w:val="1"/>
          <w:bCs w:val="1"/>
          <w:color w:val="auto"/>
        </w:rPr>
        <w:t>Exhibit 12.1</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9600" w:type="dxa"/>
            <w:vAlign w:val="bottom"/>
          </w:tcPr>
          <w:p>
            <w:pPr>
              <w:jc w:val="center"/>
              <w:ind w:left="1688"/>
              <w:spacing w:after="0"/>
              <w:rPr>
                <w:sz w:val="20"/>
                <w:szCs w:val="20"/>
                <w:color w:val="auto"/>
              </w:rPr>
            </w:pPr>
            <w:r>
              <w:rPr>
                <w:rFonts w:ascii="Arial" w:cs="Arial" w:eastAsia="Arial" w:hAnsi="Arial"/>
                <w:sz w:val="20"/>
                <w:szCs w:val="20"/>
                <w:b w:val="1"/>
                <w:bCs w:val="1"/>
                <w:color w:val="auto"/>
                <w:w w:val="92"/>
              </w:rPr>
              <w:t>American Airlines Group Inc.</w:t>
            </w: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600" w:type="dxa"/>
            <w:vAlign w:val="bottom"/>
          </w:tcPr>
          <w:p>
            <w:pPr>
              <w:jc w:val="center"/>
              <w:ind w:left="1688"/>
              <w:spacing w:after="0"/>
              <w:rPr>
                <w:sz w:val="20"/>
                <w:szCs w:val="20"/>
                <w:color w:val="auto"/>
              </w:rPr>
            </w:pPr>
            <w:r>
              <w:rPr>
                <w:rFonts w:ascii="Arial" w:cs="Arial" w:eastAsia="Arial" w:hAnsi="Arial"/>
                <w:sz w:val="20"/>
                <w:szCs w:val="20"/>
                <w:b w:val="1"/>
                <w:bCs w:val="1"/>
                <w:color w:val="auto"/>
                <w:w w:val="89"/>
              </w:rPr>
              <w:t>Computation of Ratio of Earnings to Fixed Charges</w:t>
            </w: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9600" w:type="dxa"/>
            <w:vAlign w:val="bottom"/>
          </w:tcPr>
          <w:p>
            <w:pPr>
              <w:jc w:val="center"/>
              <w:ind w:left="1708"/>
              <w:spacing w:after="0"/>
              <w:rPr>
                <w:sz w:val="20"/>
                <w:szCs w:val="20"/>
                <w:color w:val="auto"/>
              </w:rPr>
            </w:pPr>
            <w:r>
              <w:rPr>
                <w:rFonts w:ascii="Arial" w:cs="Arial" w:eastAsia="Arial" w:hAnsi="Arial"/>
                <w:sz w:val="20"/>
                <w:szCs w:val="20"/>
                <w:b w:val="1"/>
                <w:bCs w:val="1"/>
                <w:color w:val="auto"/>
                <w:w w:val="92"/>
              </w:rPr>
              <w:t>(In millions)</w:t>
            </w: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9600" w:type="dxa"/>
            <w:vAlign w:val="bottom"/>
          </w:tcPr>
          <w:p>
            <w:pPr>
              <w:spacing w:after="0"/>
              <w:rPr>
                <w:sz w:val="24"/>
                <w:szCs w:val="24"/>
                <w:color w:val="auto"/>
              </w:rPr>
            </w:pPr>
          </w:p>
        </w:tc>
        <w:tc>
          <w:tcPr>
            <w:tcW w:w="180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600" w:type="dxa"/>
            <w:vAlign w:val="bottom"/>
            <w:tcBorders>
              <w:bottom w:val="single" w:sz="8" w:color="CCEEFF"/>
            </w:tcBorders>
          </w:tcPr>
          <w:p>
            <w:pPr>
              <w:spacing w:after="0"/>
              <w:rPr>
                <w:sz w:val="14"/>
                <w:szCs w:val="14"/>
                <w:color w:val="auto"/>
              </w:rPr>
            </w:pPr>
          </w:p>
        </w:tc>
        <w:tc>
          <w:tcPr>
            <w:tcW w:w="1800" w:type="dxa"/>
            <w:vAlign w:val="bottom"/>
            <w:tcBorders>
              <w:bottom w:val="single" w:sz="8" w:color="auto"/>
            </w:tcBorders>
            <w:gridSpan w:val="4"/>
          </w:tcPr>
          <w:p>
            <w:pPr>
              <w:jc w:val="right"/>
              <w:ind w:right="480"/>
              <w:spacing w:after="0"/>
              <w:rPr>
                <w:sz w:val="20"/>
                <w:szCs w:val="20"/>
                <w:color w:val="auto"/>
              </w:rPr>
            </w:pPr>
            <w:r>
              <w:rPr>
                <w:rFonts w:ascii="Arial" w:cs="Arial" w:eastAsia="Arial" w:hAnsi="Arial"/>
                <w:sz w:val="14"/>
                <w:szCs w:val="14"/>
                <w:b w:val="1"/>
                <w:bCs w:val="1"/>
                <w:color w:val="auto"/>
              </w:rPr>
              <w:t>June 30, 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74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tcPr>
          <w:p>
            <w:pPr>
              <w:ind w:left="340"/>
              <w:spacing w:after="0"/>
              <w:rPr>
                <w:sz w:val="20"/>
                <w:szCs w:val="20"/>
                <w:color w:val="auto"/>
              </w:rPr>
            </w:pPr>
            <w:r>
              <w:rPr>
                <w:rFonts w:ascii="Arial" w:cs="Arial" w:eastAsia="Arial" w:hAnsi="Arial"/>
                <w:sz w:val="18"/>
                <w:szCs w:val="18"/>
                <w:color w:val="auto"/>
              </w:rPr>
              <w:t>Add: Total fixed charges (per below)</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1,038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Interest capitalized</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00" w:type="dxa"/>
            <w:vAlign w:val="bottom"/>
          </w:tcPr>
          <w:p>
            <w:pPr>
              <w:ind w:left="700"/>
              <w:spacing w:after="0"/>
              <w:rPr>
                <w:sz w:val="20"/>
                <w:szCs w:val="20"/>
                <w:color w:val="auto"/>
              </w:rPr>
            </w:pPr>
            <w:r>
              <w:rPr>
                <w:rFonts w:ascii="Arial" w:cs="Arial" w:eastAsia="Arial" w:hAnsi="Arial"/>
                <w:sz w:val="18"/>
                <w:szCs w:val="18"/>
                <w:color w:val="auto"/>
              </w:rPr>
              <w:t>Total earnings before income taxes</w:t>
            </w:r>
          </w:p>
        </w:tc>
        <w:tc>
          <w:tcPr>
            <w:tcW w:w="5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2,670</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9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Fixed charges:</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tcPr>
          <w:p>
            <w:pPr>
              <w:ind w:left="340"/>
              <w:spacing w:after="0"/>
              <w:rPr>
                <w:sz w:val="20"/>
                <w:szCs w:val="20"/>
                <w:color w:val="auto"/>
              </w:rPr>
            </w:pPr>
            <w:r>
              <w:rPr>
                <w:rFonts w:ascii="Arial" w:cs="Arial" w:eastAsia="Arial" w:hAnsi="Arial"/>
                <w:sz w:val="18"/>
                <w:szCs w:val="18"/>
                <w:color w:val="auto"/>
              </w:rPr>
              <w:t>Interest</w:t>
            </w:r>
          </w:p>
        </w:tc>
        <w:tc>
          <w:tcPr>
            <w:tcW w:w="7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Portion of rental expense representative of the interest factor</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600" w:type="dxa"/>
            <w:vAlign w:val="bottom"/>
          </w:tcPr>
          <w:p>
            <w:pPr>
              <w:ind w:left="700"/>
              <w:spacing w:after="0"/>
              <w:rPr>
                <w:sz w:val="20"/>
                <w:szCs w:val="20"/>
                <w:color w:val="auto"/>
              </w:rPr>
            </w:pPr>
            <w:r>
              <w:rPr>
                <w:rFonts w:ascii="Arial" w:cs="Arial" w:eastAsia="Arial" w:hAnsi="Arial"/>
                <w:sz w:val="18"/>
                <w:szCs w:val="18"/>
                <w:color w:val="auto"/>
              </w:rPr>
              <w:t>Total fixed charges</w:t>
            </w:r>
          </w:p>
        </w:tc>
        <w:tc>
          <w:tcPr>
            <w:tcW w:w="56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1,038</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16" w:right="2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b w:val="1"/>
          <w:bCs w:val="1"/>
          <w:color w:val="auto"/>
        </w:rPr>
        <w:t>Exhibit 12.2</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9600" w:type="dxa"/>
            <w:vAlign w:val="bottom"/>
          </w:tcPr>
          <w:p>
            <w:pPr>
              <w:jc w:val="center"/>
              <w:ind w:left="1688"/>
              <w:spacing w:after="0"/>
              <w:rPr>
                <w:sz w:val="20"/>
                <w:szCs w:val="20"/>
                <w:color w:val="auto"/>
              </w:rPr>
            </w:pPr>
            <w:r>
              <w:rPr>
                <w:rFonts w:ascii="Arial" w:cs="Arial" w:eastAsia="Arial" w:hAnsi="Arial"/>
                <w:sz w:val="20"/>
                <w:szCs w:val="20"/>
                <w:b w:val="1"/>
                <w:bCs w:val="1"/>
                <w:color w:val="auto"/>
                <w:w w:val="91"/>
              </w:rPr>
              <w:t>American Airlines, Inc.</w:t>
            </w: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600" w:type="dxa"/>
            <w:vAlign w:val="bottom"/>
          </w:tcPr>
          <w:p>
            <w:pPr>
              <w:jc w:val="center"/>
              <w:ind w:left="1688"/>
              <w:spacing w:after="0"/>
              <w:rPr>
                <w:sz w:val="20"/>
                <w:szCs w:val="20"/>
                <w:color w:val="auto"/>
              </w:rPr>
            </w:pPr>
            <w:r>
              <w:rPr>
                <w:rFonts w:ascii="Arial" w:cs="Arial" w:eastAsia="Arial" w:hAnsi="Arial"/>
                <w:sz w:val="20"/>
                <w:szCs w:val="20"/>
                <w:b w:val="1"/>
                <w:bCs w:val="1"/>
                <w:color w:val="auto"/>
                <w:w w:val="89"/>
              </w:rPr>
              <w:t>Computation of Ratio of Earnings to Fixed Charges</w:t>
            </w: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9600" w:type="dxa"/>
            <w:vAlign w:val="bottom"/>
          </w:tcPr>
          <w:p>
            <w:pPr>
              <w:jc w:val="center"/>
              <w:ind w:left="1708"/>
              <w:spacing w:after="0"/>
              <w:rPr>
                <w:sz w:val="20"/>
                <w:szCs w:val="20"/>
                <w:color w:val="auto"/>
              </w:rPr>
            </w:pPr>
            <w:r>
              <w:rPr>
                <w:rFonts w:ascii="Arial" w:cs="Arial" w:eastAsia="Arial" w:hAnsi="Arial"/>
                <w:sz w:val="20"/>
                <w:szCs w:val="20"/>
                <w:b w:val="1"/>
                <w:bCs w:val="1"/>
                <w:color w:val="auto"/>
                <w:w w:val="92"/>
              </w:rPr>
              <w:t>(In millions)</w:t>
            </w: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9600" w:type="dxa"/>
            <w:vAlign w:val="bottom"/>
          </w:tcPr>
          <w:p>
            <w:pPr>
              <w:spacing w:after="0"/>
              <w:rPr>
                <w:sz w:val="24"/>
                <w:szCs w:val="24"/>
                <w:color w:val="auto"/>
              </w:rPr>
            </w:pPr>
          </w:p>
        </w:tc>
        <w:tc>
          <w:tcPr>
            <w:tcW w:w="180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600" w:type="dxa"/>
            <w:vAlign w:val="bottom"/>
            <w:tcBorders>
              <w:bottom w:val="single" w:sz="8" w:color="CCEEFF"/>
            </w:tcBorders>
          </w:tcPr>
          <w:p>
            <w:pPr>
              <w:spacing w:after="0"/>
              <w:rPr>
                <w:sz w:val="14"/>
                <w:szCs w:val="14"/>
                <w:color w:val="auto"/>
              </w:rPr>
            </w:pPr>
          </w:p>
        </w:tc>
        <w:tc>
          <w:tcPr>
            <w:tcW w:w="1800" w:type="dxa"/>
            <w:vAlign w:val="bottom"/>
            <w:tcBorders>
              <w:bottom w:val="single" w:sz="8" w:color="auto"/>
            </w:tcBorders>
            <w:gridSpan w:val="4"/>
          </w:tcPr>
          <w:p>
            <w:pPr>
              <w:jc w:val="right"/>
              <w:ind w:right="480"/>
              <w:spacing w:after="0"/>
              <w:rPr>
                <w:sz w:val="20"/>
                <w:szCs w:val="20"/>
                <w:color w:val="auto"/>
              </w:rPr>
            </w:pPr>
            <w:r>
              <w:rPr>
                <w:rFonts w:ascii="Arial" w:cs="Arial" w:eastAsia="Arial" w:hAnsi="Arial"/>
                <w:sz w:val="14"/>
                <w:szCs w:val="14"/>
                <w:b w:val="1"/>
                <w:bCs w:val="1"/>
                <w:color w:val="auto"/>
              </w:rPr>
              <w:t>June 30, 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74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tcPr>
          <w:p>
            <w:pPr>
              <w:ind w:left="340"/>
              <w:spacing w:after="0"/>
              <w:rPr>
                <w:sz w:val="20"/>
                <w:szCs w:val="20"/>
                <w:color w:val="auto"/>
              </w:rPr>
            </w:pPr>
            <w:r>
              <w:rPr>
                <w:rFonts w:ascii="Arial" w:cs="Arial" w:eastAsia="Arial" w:hAnsi="Arial"/>
                <w:sz w:val="18"/>
                <w:szCs w:val="18"/>
                <w:color w:val="auto"/>
              </w:rPr>
              <w:t>Add: Total fixed charges (per below)</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1,002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Interest capitalized</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00" w:type="dxa"/>
            <w:vAlign w:val="bottom"/>
          </w:tcPr>
          <w:p>
            <w:pPr>
              <w:ind w:left="700"/>
              <w:spacing w:after="0"/>
              <w:rPr>
                <w:sz w:val="20"/>
                <w:szCs w:val="20"/>
                <w:color w:val="auto"/>
              </w:rPr>
            </w:pPr>
            <w:r>
              <w:rPr>
                <w:rFonts w:ascii="Arial" w:cs="Arial" w:eastAsia="Arial" w:hAnsi="Arial"/>
                <w:sz w:val="18"/>
                <w:szCs w:val="18"/>
                <w:color w:val="auto"/>
              </w:rPr>
              <w:t>Total earnings before income taxes</w:t>
            </w:r>
          </w:p>
        </w:tc>
        <w:tc>
          <w:tcPr>
            <w:tcW w:w="5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2,717</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9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Fixed charges:</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tcPr>
          <w:p>
            <w:pPr>
              <w:ind w:left="340"/>
              <w:spacing w:after="0"/>
              <w:rPr>
                <w:sz w:val="20"/>
                <w:szCs w:val="20"/>
                <w:color w:val="auto"/>
              </w:rPr>
            </w:pPr>
            <w:r>
              <w:rPr>
                <w:rFonts w:ascii="Arial" w:cs="Arial" w:eastAsia="Arial" w:hAnsi="Arial"/>
                <w:sz w:val="18"/>
                <w:szCs w:val="18"/>
                <w:color w:val="auto"/>
              </w:rPr>
              <w:t>Interest</w:t>
            </w:r>
          </w:p>
        </w:tc>
        <w:tc>
          <w:tcPr>
            <w:tcW w:w="7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Portion of rental expense representative of the interest factor</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600" w:type="dxa"/>
            <w:vAlign w:val="bottom"/>
          </w:tcPr>
          <w:p>
            <w:pPr>
              <w:ind w:left="700"/>
              <w:spacing w:after="0"/>
              <w:rPr>
                <w:sz w:val="20"/>
                <w:szCs w:val="20"/>
                <w:color w:val="auto"/>
              </w:rPr>
            </w:pPr>
            <w:r>
              <w:rPr>
                <w:rFonts w:ascii="Arial" w:cs="Arial" w:eastAsia="Arial" w:hAnsi="Arial"/>
                <w:sz w:val="18"/>
                <w:szCs w:val="18"/>
                <w:color w:val="auto"/>
              </w:rPr>
              <w:t>Total fixed charges</w:t>
            </w:r>
          </w:p>
        </w:tc>
        <w:tc>
          <w:tcPr>
            <w:tcW w:w="56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1,002</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1" w:right="239" w:bottom="1440" w:gutter="0" w:footer="0" w:header="0"/>
        </w:sectPr>
      </w:pPr>
    </w:p>
    <w:bookmarkStart w:id="136" w:name="page137"/>
    <w:bookmarkEnd w:id="136"/>
    <w:p>
      <w:pPr>
        <w:jc w:val="right"/>
        <w:spacing w:after="0"/>
        <w:rPr>
          <w:sz w:val="20"/>
          <w:szCs w:val="20"/>
          <w:color w:val="auto"/>
        </w:rPr>
      </w:pPr>
      <w:r>
        <w:rPr>
          <w:rFonts w:ascii="Arial" w:cs="Arial" w:eastAsia="Arial" w:hAnsi="Arial"/>
          <w:sz w:val="20"/>
          <w:szCs w:val="20"/>
          <w:b w:val="1"/>
          <w:bCs w:val="1"/>
          <w:color w:val="auto"/>
        </w:rPr>
        <w:t>Exhibit 31.1</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CEO CERTIFICATION</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color w:val="auto"/>
        </w:rPr>
        <w:t>I, W. Douglas Parker, certify that:</w:t>
      </w:r>
    </w:p>
    <w:p>
      <w:pPr>
        <w:spacing w:after="0" w:line="108" w:lineRule="exact"/>
        <w:rPr>
          <w:sz w:val="20"/>
          <w:szCs w:val="20"/>
          <w:color w:val="auto"/>
        </w:rPr>
      </w:pPr>
    </w:p>
    <w:p>
      <w:pPr>
        <w:ind w:left="1360" w:hanging="553"/>
        <w:spacing w:after="0"/>
        <w:tabs>
          <w:tab w:leader="none" w:pos="1360" w:val="left"/>
        </w:tabs>
        <w:numPr>
          <w:ilvl w:val="0"/>
          <w:numId w:val="103"/>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American Airlines Group Inc.;</w:t>
      </w:r>
    </w:p>
    <w:p>
      <w:pPr>
        <w:spacing w:after="0" w:line="107" w:lineRule="exact"/>
        <w:rPr>
          <w:rFonts w:ascii="Arial" w:cs="Arial" w:eastAsia="Arial" w:hAnsi="Arial"/>
          <w:sz w:val="20"/>
          <w:szCs w:val="20"/>
          <w:color w:val="auto"/>
        </w:rPr>
      </w:pPr>
    </w:p>
    <w:p>
      <w:pPr>
        <w:jc w:val="both"/>
        <w:ind w:firstLine="807"/>
        <w:spacing w:after="0" w:line="250" w:lineRule="auto"/>
        <w:tabs>
          <w:tab w:leader="none" w:pos="1433" w:val="left"/>
        </w:tabs>
        <w:numPr>
          <w:ilvl w:val="0"/>
          <w:numId w:val="103"/>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8" w:lineRule="exact"/>
        <w:rPr>
          <w:rFonts w:ascii="Arial" w:cs="Arial" w:eastAsia="Arial" w:hAnsi="Arial"/>
          <w:sz w:val="20"/>
          <w:szCs w:val="20"/>
          <w:color w:val="auto"/>
        </w:rPr>
      </w:pPr>
    </w:p>
    <w:p>
      <w:pPr>
        <w:jc w:val="both"/>
        <w:ind w:firstLine="807"/>
        <w:spacing w:after="0" w:line="369" w:lineRule="auto"/>
        <w:tabs>
          <w:tab w:leader="none" w:pos="1401" w:val="left"/>
        </w:tabs>
        <w:numPr>
          <w:ilvl w:val="0"/>
          <w:numId w:val="10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6"/>
          <w:szCs w:val="16"/>
          <w:color w:val="auto"/>
        </w:rPr>
      </w:pPr>
    </w:p>
    <w:p>
      <w:pPr>
        <w:jc w:val="both"/>
        <w:ind w:right="20" w:firstLine="807"/>
        <w:spacing w:after="0" w:line="250" w:lineRule="auto"/>
        <w:tabs>
          <w:tab w:leader="none" w:pos="1546" w:val="left"/>
        </w:tabs>
        <w:numPr>
          <w:ilvl w:val="0"/>
          <w:numId w:val="103"/>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8" w:lineRule="exact"/>
        <w:rPr>
          <w:rFonts w:ascii="Arial" w:cs="Arial" w:eastAsia="Arial" w:hAnsi="Arial"/>
          <w:sz w:val="20"/>
          <w:szCs w:val="20"/>
          <w:color w:val="auto"/>
        </w:rPr>
      </w:pPr>
    </w:p>
    <w:p>
      <w:pPr>
        <w:jc w:val="both"/>
        <w:ind w:left="800" w:firstLine="431"/>
        <w:spacing w:after="0" w:line="291" w:lineRule="auto"/>
        <w:tabs>
          <w:tab w:leader="none" w:pos="1506" w:val="left"/>
        </w:tabs>
        <w:numPr>
          <w:ilvl w:val="1"/>
          <w:numId w:val="10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3" w:lineRule="exact"/>
        <w:rPr>
          <w:rFonts w:ascii="Arial" w:cs="Arial" w:eastAsia="Arial" w:hAnsi="Arial"/>
          <w:sz w:val="18"/>
          <w:szCs w:val="18"/>
          <w:color w:val="auto"/>
        </w:rPr>
      </w:pPr>
    </w:p>
    <w:p>
      <w:pPr>
        <w:jc w:val="both"/>
        <w:ind w:left="800" w:firstLine="431"/>
        <w:spacing w:after="0" w:line="269" w:lineRule="auto"/>
        <w:tabs>
          <w:tab w:leader="none" w:pos="1544" w:val="left"/>
        </w:tabs>
        <w:numPr>
          <w:ilvl w:val="1"/>
          <w:numId w:val="103"/>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9"/>
          <w:szCs w:val="19"/>
          <w:color w:val="auto"/>
        </w:rPr>
      </w:pPr>
    </w:p>
    <w:p>
      <w:pPr>
        <w:jc w:val="both"/>
        <w:ind w:left="800" w:firstLine="431"/>
        <w:spacing w:after="0" w:line="250" w:lineRule="auto"/>
        <w:tabs>
          <w:tab w:leader="none" w:pos="1495" w:val="left"/>
        </w:tabs>
        <w:numPr>
          <w:ilvl w:val="1"/>
          <w:numId w:val="103"/>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8" w:lineRule="exact"/>
        <w:rPr>
          <w:rFonts w:ascii="Arial" w:cs="Arial" w:eastAsia="Arial" w:hAnsi="Arial"/>
          <w:sz w:val="20"/>
          <w:szCs w:val="20"/>
          <w:color w:val="auto"/>
        </w:rPr>
      </w:pPr>
    </w:p>
    <w:p>
      <w:pPr>
        <w:jc w:val="both"/>
        <w:ind w:left="800" w:firstLine="431"/>
        <w:spacing w:after="0" w:line="269" w:lineRule="auto"/>
        <w:tabs>
          <w:tab w:leader="none" w:pos="1536" w:val="left"/>
        </w:tabs>
        <w:numPr>
          <w:ilvl w:val="1"/>
          <w:numId w:val="103"/>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9"/>
          <w:szCs w:val="19"/>
          <w:color w:val="auto"/>
        </w:rPr>
      </w:pPr>
    </w:p>
    <w:p>
      <w:pPr>
        <w:jc w:val="both"/>
        <w:ind w:firstLine="807"/>
        <w:spacing w:after="0" w:line="250" w:lineRule="auto"/>
        <w:tabs>
          <w:tab w:leader="none" w:pos="1427" w:val="left"/>
        </w:tabs>
        <w:numPr>
          <w:ilvl w:val="0"/>
          <w:numId w:val="103"/>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8" w:lineRule="exact"/>
        <w:rPr>
          <w:rFonts w:ascii="Arial" w:cs="Arial" w:eastAsia="Arial" w:hAnsi="Arial"/>
          <w:sz w:val="20"/>
          <w:szCs w:val="20"/>
          <w:color w:val="auto"/>
        </w:rPr>
      </w:pPr>
    </w:p>
    <w:p>
      <w:pPr>
        <w:jc w:val="both"/>
        <w:ind w:left="800" w:firstLine="431"/>
        <w:spacing w:after="0" w:line="250" w:lineRule="auto"/>
        <w:tabs>
          <w:tab w:leader="none" w:pos="1512" w:val="left"/>
        </w:tabs>
        <w:numPr>
          <w:ilvl w:val="1"/>
          <w:numId w:val="103"/>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8" w:lineRule="exact"/>
        <w:rPr>
          <w:rFonts w:ascii="Arial" w:cs="Arial" w:eastAsia="Arial" w:hAnsi="Arial"/>
          <w:sz w:val="20"/>
          <w:szCs w:val="20"/>
          <w:color w:val="auto"/>
        </w:rPr>
      </w:pPr>
    </w:p>
    <w:p>
      <w:pPr>
        <w:ind w:left="800" w:firstLine="431"/>
        <w:spacing w:after="0" w:line="260" w:lineRule="auto"/>
        <w:tabs>
          <w:tab w:leader="none" w:pos="1542" w:val="left"/>
        </w:tabs>
        <w:numPr>
          <w:ilvl w:val="1"/>
          <w:numId w:val="103"/>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Date: July 28, 2017</w:t>
      </w:r>
    </w:p>
    <w:p>
      <w:pPr>
        <w:spacing w:after="0" w:line="243"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/s/ W. Douglas Parker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10160</wp:posOffset>
            </wp:positionV>
            <wp:extent cx="289877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20"/>
          <w:szCs w:val="20"/>
          <w:color w:val="auto"/>
        </w:rPr>
        <w:t>Name: W. Douglas Parker</w:t>
      </w:r>
    </w:p>
    <w:p>
      <w:pPr>
        <w:spacing w:after="0" w:line="8" w:lineRule="exact"/>
        <w:rPr>
          <w:sz w:val="20"/>
          <w:szCs w:val="20"/>
          <w:color w:val="auto"/>
        </w:rPr>
      </w:pPr>
    </w:p>
    <w:p>
      <w:pPr>
        <w:ind w:left="6860"/>
        <w:spacing w:after="0"/>
        <w:tabs>
          <w:tab w:leader="none" w:pos="746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Chief Executive Officer</w:t>
      </w:r>
    </w:p>
    <w:p>
      <w:pPr>
        <w:sectPr>
          <w:pgSz w:w="11900" w:h="16838" w:orient="portrait"/>
          <w:cols w:equalWidth="0" w:num="1">
            <w:col w:w="11420"/>
          </w:cols>
          <w:pgMar w:left="240" w:top="116" w:right="239" w:bottom="1440" w:gutter="0" w:footer="0" w:header="0"/>
        </w:sectPr>
      </w:pPr>
    </w:p>
    <w:bookmarkStart w:id="137" w:name="page138"/>
    <w:bookmarkEnd w:id="137"/>
    <w:p>
      <w:pPr>
        <w:jc w:val="right"/>
        <w:spacing w:after="0"/>
        <w:rPr>
          <w:sz w:val="20"/>
          <w:szCs w:val="20"/>
          <w:color w:val="auto"/>
        </w:rPr>
      </w:pPr>
      <w:r>
        <w:rPr>
          <w:rFonts w:ascii="Arial" w:cs="Arial" w:eastAsia="Arial" w:hAnsi="Arial"/>
          <w:sz w:val="20"/>
          <w:szCs w:val="20"/>
          <w:b w:val="1"/>
          <w:bCs w:val="1"/>
          <w:color w:val="auto"/>
        </w:rPr>
        <w:t>Exhibit 31.2</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CFO CERTIFICATION</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color w:val="auto"/>
        </w:rPr>
        <w:t>I, Derek J. Kerr, certify that:</w:t>
      </w:r>
    </w:p>
    <w:p>
      <w:pPr>
        <w:spacing w:after="0" w:line="108" w:lineRule="exact"/>
        <w:rPr>
          <w:sz w:val="20"/>
          <w:szCs w:val="20"/>
          <w:color w:val="auto"/>
        </w:rPr>
      </w:pPr>
    </w:p>
    <w:p>
      <w:pPr>
        <w:ind w:left="1360" w:hanging="553"/>
        <w:spacing w:after="0"/>
        <w:tabs>
          <w:tab w:leader="none" w:pos="1360" w:val="left"/>
        </w:tabs>
        <w:numPr>
          <w:ilvl w:val="0"/>
          <w:numId w:val="104"/>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American Airlines Group Inc.;</w:t>
      </w:r>
    </w:p>
    <w:p>
      <w:pPr>
        <w:spacing w:after="0" w:line="107" w:lineRule="exact"/>
        <w:rPr>
          <w:rFonts w:ascii="Arial" w:cs="Arial" w:eastAsia="Arial" w:hAnsi="Arial"/>
          <w:sz w:val="20"/>
          <w:szCs w:val="20"/>
          <w:color w:val="auto"/>
        </w:rPr>
      </w:pPr>
    </w:p>
    <w:p>
      <w:pPr>
        <w:jc w:val="both"/>
        <w:ind w:firstLine="807"/>
        <w:spacing w:after="0" w:line="250" w:lineRule="auto"/>
        <w:tabs>
          <w:tab w:leader="none" w:pos="1433" w:val="left"/>
        </w:tabs>
        <w:numPr>
          <w:ilvl w:val="0"/>
          <w:numId w:val="104"/>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8" w:lineRule="exact"/>
        <w:rPr>
          <w:rFonts w:ascii="Arial" w:cs="Arial" w:eastAsia="Arial" w:hAnsi="Arial"/>
          <w:sz w:val="20"/>
          <w:szCs w:val="20"/>
          <w:color w:val="auto"/>
        </w:rPr>
      </w:pPr>
    </w:p>
    <w:p>
      <w:pPr>
        <w:jc w:val="both"/>
        <w:ind w:firstLine="807"/>
        <w:spacing w:after="0" w:line="369" w:lineRule="auto"/>
        <w:tabs>
          <w:tab w:leader="none" w:pos="1401" w:val="left"/>
        </w:tabs>
        <w:numPr>
          <w:ilvl w:val="0"/>
          <w:numId w:val="10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6"/>
          <w:szCs w:val="16"/>
          <w:color w:val="auto"/>
        </w:rPr>
      </w:pPr>
    </w:p>
    <w:p>
      <w:pPr>
        <w:jc w:val="both"/>
        <w:ind w:right="20" w:firstLine="807"/>
        <w:spacing w:after="0" w:line="250" w:lineRule="auto"/>
        <w:tabs>
          <w:tab w:leader="none" w:pos="1546" w:val="left"/>
        </w:tabs>
        <w:numPr>
          <w:ilvl w:val="0"/>
          <w:numId w:val="104"/>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8" w:lineRule="exact"/>
        <w:rPr>
          <w:rFonts w:ascii="Arial" w:cs="Arial" w:eastAsia="Arial" w:hAnsi="Arial"/>
          <w:sz w:val="20"/>
          <w:szCs w:val="20"/>
          <w:color w:val="auto"/>
        </w:rPr>
      </w:pPr>
    </w:p>
    <w:p>
      <w:pPr>
        <w:jc w:val="both"/>
        <w:ind w:left="800" w:firstLine="431"/>
        <w:spacing w:after="0" w:line="291" w:lineRule="auto"/>
        <w:tabs>
          <w:tab w:leader="none" w:pos="1506" w:val="left"/>
        </w:tabs>
        <w:numPr>
          <w:ilvl w:val="1"/>
          <w:numId w:val="10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3" w:lineRule="exact"/>
        <w:rPr>
          <w:rFonts w:ascii="Arial" w:cs="Arial" w:eastAsia="Arial" w:hAnsi="Arial"/>
          <w:sz w:val="18"/>
          <w:szCs w:val="18"/>
          <w:color w:val="auto"/>
        </w:rPr>
      </w:pPr>
    </w:p>
    <w:p>
      <w:pPr>
        <w:jc w:val="both"/>
        <w:ind w:left="800" w:firstLine="431"/>
        <w:spacing w:after="0" w:line="269" w:lineRule="auto"/>
        <w:tabs>
          <w:tab w:leader="none" w:pos="1544" w:val="left"/>
        </w:tabs>
        <w:numPr>
          <w:ilvl w:val="1"/>
          <w:numId w:val="104"/>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9"/>
          <w:szCs w:val="19"/>
          <w:color w:val="auto"/>
        </w:rPr>
      </w:pPr>
    </w:p>
    <w:p>
      <w:pPr>
        <w:jc w:val="both"/>
        <w:ind w:left="800" w:firstLine="431"/>
        <w:spacing w:after="0" w:line="250" w:lineRule="auto"/>
        <w:tabs>
          <w:tab w:leader="none" w:pos="1495" w:val="left"/>
        </w:tabs>
        <w:numPr>
          <w:ilvl w:val="1"/>
          <w:numId w:val="104"/>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8" w:lineRule="exact"/>
        <w:rPr>
          <w:rFonts w:ascii="Arial" w:cs="Arial" w:eastAsia="Arial" w:hAnsi="Arial"/>
          <w:sz w:val="20"/>
          <w:szCs w:val="20"/>
          <w:color w:val="auto"/>
        </w:rPr>
      </w:pPr>
    </w:p>
    <w:p>
      <w:pPr>
        <w:jc w:val="both"/>
        <w:ind w:left="800" w:firstLine="431"/>
        <w:spacing w:after="0" w:line="269" w:lineRule="auto"/>
        <w:tabs>
          <w:tab w:leader="none" w:pos="1536" w:val="left"/>
        </w:tabs>
        <w:numPr>
          <w:ilvl w:val="1"/>
          <w:numId w:val="104"/>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9"/>
          <w:szCs w:val="19"/>
          <w:color w:val="auto"/>
        </w:rPr>
      </w:pPr>
    </w:p>
    <w:p>
      <w:pPr>
        <w:jc w:val="both"/>
        <w:ind w:firstLine="807"/>
        <w:spacing w:after="0" w:line="250" w:lineRule="auto"/>
        <w:tabs>
          <w:tab w:leader="none" w:pos="1427" w:val="left"/>
        </w:tabs>
        <w:numPr>
          <w:ilvl w:val="0"/>
          <w:numId w:val="104"/>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8" w:lineRule="exact"/>
        <w:rPr>
          <w:rFonts w:ascii="Arial" w:cs="Arial" w:eastAsia="Arial" w:hAnsi="Arial"/>
          <w:sz w:val="20"/>
          <w:szCs w:val="20"/>
          <w:color w:val="auto"/>
        </w:rPr>
      </w:pPr>
    </w:p>
    <w:p>
      <w:pPr>
        <w:jc w:val="both"/>
        <w:ind w:left="800" w:firstLine="431"/>
        <w:spacing w:after="0" w:line="250" w:lineRule="auto"/>
        <w:tabs>
          <w:tab w:leader="none" w:pos="1512" w:val="left"/>
        </w:tabs>
        <w:numPr>
          <w:ilvl w:val="1"/>
          <w:numId w:val="104"/>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8" w:lineRule="exact"/>
        <w:rPr>
          <w:rFonts w:ascii="Arial" w:cs="Arial" w:eastAsia="Arial" w:hAnsi="Arial"/>
          <w:sz w:val="20"/>
          <w:szCs w:val="20"/>
          <w:color w:val="auto"/>
        </w:rPr>
      </w:pPr>
    </w:p>
    <w:p>
      <w:pPr>
        <w:ind w:left="800" w:firstLine="431"/>
        <w:spacing w:after="0" w:line="260" w:lineRule="auto"/>
        <w:tabs>
          <w:tab w:leader="none" w:pos="1542" w:val="left"/>
        </w:tabs>
        <w:numPr>
          <w:ilvl w:val="1"/>
          <w:numId w:val="104"/>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Date: July 28, 2017</w:t>
      </w:r>
    </w:p>
    <w:p>
      <w:pPr>
        <w:spacing w:after="0" w:line="243"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10160</wp:posOffset>
            </wp:positionV>
            <wp:extent cx="289877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20"/>
          <w:szCs w:val="20"/>
          <w:color w:val="auto"/>
        </w:rPr>
        <w:t>Name: Derek J. Kerr</w:t>
      </w:r>
    </w:p>
    <w:p>
      <w:pPr>
        <w:spacing w:after="0" w:line="8" w:lineRule="exact"/>
        <w:rPr>
          <w:sz w:val="20"/>
          <w:szCs w:val="20"/>
          <w:color w:val="auto"/>
        </w:rPr>
      </w:pPr>
    </w:p>
    <w:p>
      <w:pPr>
        <w:ind w:left="6860"/>
        <w:spacing w:after="0"/>
        <w:tabs>
          <w:tab w:leader="none" w:pos="746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Executive Vice President and Chief</w:t>
      </w:r>
    </w:p>
    <w:p>
      <w:pPr>
        <w:ind w:left="6860"/>
        <w:spacing w:after="0"/>
        <w:rPr>
          <w:sz w:val="20"/>
          <w:szCs w:val="20"/>
          <w:color w:val="auto"/>
        </w:rPr>
      </w:pPr>
      <w:r>
        <w:rPr>
          <w:rFonts w:ascii="Arial" w:cs="Arial" w:eastAsia="Arial" w:hAnsi="Arial"/>
          <w:sz w:val="20"/>
          <w:szCs w:val="20"/>
          <w:color w:val="auto"/>
        </w:rPr>
        <w:t>Financial Officer</w:t>
      </w:r>
    </w:p>
    <w:p>
      <w:pPr>
        <w:sectPr>
          <w:pgSz w:w="11900" w:h="16838" w:orient="portrait"/>
          <w:cols w:equalWidth="0" w:num="1">
            <w:col w:w="11420"/>
          </w:cols>
          <w:pgMar w:left="240" w:top="115" w:right="239" w:bottom="1440" w:gutter="0" w:footer="0" w:header="0"/>
        </w:sectPr>
      </w:pPr>
    </w:p>
    <w:bookmarkStart w:id="138" w:name="page139"/>
    <w:bookmarkEnd w:id="138"/>
    <w:p>
      <w:pPr>
        <w:jc w:val="right"/>
        <w:spacing w:after="0"/>
        <w:rPr>
          <w:sz w:val="20"/>
          <w:szCs w:val="20"/>
          <w:color w:val="auto"/>
        </w:rPr>
      </w:pPr>
      <w:r>
        <w:rPr>
          <w:rFonts w:ascii="Arial" w:cs="Arial" w:eastAsia="Arial" w:hAnsi="Arial"/>
          <w:sz w:val="20"/>
          <w:szCs w:val="20"/>
          <w:b w:val="1"/>
          <w:bCs w:val="1"/>
          <w:color w:val="auto"/>
        </w:rPr>
        <w:t>Exhibit 31.3</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CEO CERTIFICATION</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color w:val="auto"/>
        </w:rPr>
        <w:t>I, W. Douglas Parker, certify that:</w:t>
      </w:r>
    </w:p>
    <w:p>
      <w:pPr>
        <w:spacing w:after="0" w:line="108" w:lineRule="exact"/>
        <w:rPr>
          <w:sz w:val="20"/>
          <w:szCs w:val="20"/>
          <w:color w:val="auto"/>
        </w:rPr>
      </w:pPr>
    </w:p>
    <w:p>
      <w:pPr>
        <w:ind w:left="1360" w:hanging="553"/>
        <w:spacing w:after="0"/>
        <w:tabs>
          <w:tab w:leader="none" w:pos="1360" w:val="left"/>
        </w:tabs>
        <w:numPr>
          <w:ilvl w:val="0"/>
          <w:numId w:val="105"/>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American Airlines, Inc.;</w:t>
      </w:r>
    </w:p>
    <w:p>
      <w:pPr>
        <w:spacing w:after="0" w:line="107" w:lineRule="exact"/>
        <w:rPr>
          <w:rFonts w:ascii="Arial" w:cs="Arial" w:eastAsia="Arial" w:hAnsi="Arial"/>
          <w:sz w:val="20"/>
          <w:szCs w:val="20"/>
          <w:color w:val="auto"/>
        </w:rPr>
      </w:pPr>
    </w:p>
    <w:p>
      <w:pPr>
        <w:jc w:val="both"/>
        <w:ind w:firstLine="807"/>
        <w:spacing w:after="0" w:line="250" w:lineRule="auto"/>
        <w:tabs>
          <w:tab w:leader="none" w:pos="1433" w:val="left"/>
        </w:tabs>
        <w:numPr>
          <w:ilvl w:val="0"/>
          <w:numId w:val="105"/>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8" w:lineRule="exact"/>
        <w:rPr>
          <w:rFonts w:ascii="Arial" w:cs="Arial" w:eastAsia="Arial" w:hAnsi="Arial"/>
          <w:sz w:val="20"/>
          <w:szCs w:val="20"/>
          <w:color w:val="auto"/>
        </w:rPr>
      </w:pPr>
    </w:p>
    <w:p>
      <w:pPr>
        <w:jc w:val="both"/>
        <w:ind w:firstLine="807"/>
        <w:spacing w:after="0" w:line="369" w:lineRule="auto"/>
        <w:tabs>
          <w:tab w:leader="none" w:pos="1401" w:val="left"/>
        </w:tabs>
        <w:numPr>
          <w:ilvl w:val="0"/>
          <w:numId w:val="10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6"/>
          <w:szCs w:val="16"/>
          <w:color w:val="auto"/>
        </w:rPr>
      </w:pPr>
    </w:p>
    <w:p>
      <w:pPr>
        <w:jc w:val="both"/>
        <w:ind w:right="20" w:firstLine="807"/>
        <w:spacing w:after="0" w:line="250" w:lineRule="auto"/>
        <w:tabs>
          <w:tab w:leader="none" w:pos="1546" w:val="left"/>
        </w:tabs>
        <w:numPr>
          <w:ilvl w:val="0"/>
          <w:numId w:val="105"/>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8" w:lineRule="exact"/>
        <w:rPr>
          <w:rFonts w:ascii="Arial" w:cs="Arial" w:eastAsia="Arial" w:hAnsi="Arial"/>
          <w:sz w:val="20"/>
          <w:szCs w:val="20"/>
          <w:color w:val="auto"/>
        </w:rPr>
      </w:pPr>
    </w:p>
    <w:p>
      <w:pPr>
        <w:jc w:val="both"/>
        <w:ind w:left="800" w:firstLine="431"/>
        <w:spacing w:after="0" w:line="291" w:lineRule="auto"/>
        <w:tabs>
          <w:tab w:leader="none" w:pos="1506" w:val="left"/>
        </w:tabs>
        <w:numPr>
          <w:ilvl w:val="1"/>
          <w:numId w:val="10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3" w:lineRule="exact"/>
        <w:rPr>
          <w:rFonts w:ascii="Arial" w:cs="Arial" w:eastAsia="Arial" w:hAnsi="Arial"/>
          <w:sz w:val="18"/>
          <w:szCs w:val="18"/>
          <w:color w:val="auto"/>
        </w:rPr>
      </w:pPr>
    </w:p>
    <w:p>
      <w:pPr>
        <w:jc w:val="both"/>
        <w:ind w:left="800" w:firstLine="431"/>
        <w:spacing w:after="0" w:line="269" w:lineRule="auto"/>
        <w:tabs>
          <w:tab w:leader="none" w:pos="1544" w:val="left"/>
        </w:tabs>
        <w:numPr>
          <w:ilvl w:val="1"/>
          <w:numId w:val="105"/>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9"/>
          <w:szCs w:val="19"/>
          <w:color w:val="auto"/>
        </w:rPr>
      </w:pPr>
    </w:p>
    <w:p>
      <w:pPr>
        <w:jc w:val="both"/>
        <w:ind w:left="800" w:firstLine="431"/>
        <w:spacing w:after="0" w:line="250" w:lineRule="auto"/>
        <w:tabs>
          <w:tab w:leader="none" w:pos="1495" w:val="left"/>
        </w:tabs>
        <w:numPr>
          <w:ilvl w:val="1"/>
          <w:numId w:val="105"/>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8" w:lineRule="exact"/>
        <w:rPr>
          <w:rFonts w:ascii="Arial" w:cs="Arial" w:eastAsia="Arial" w:hAnsi="Arial"/>
          <w:sz w:val="20"/>
          <w:szCs w:val="20"/>
          <w:color w:val="auto"/>
        </w:rPr>
      </w:pPr>
    </w:p>
    <w:p>
      <w:pPr>
        <w:jc w:val="both"/>
        <w:ind w:left="800" w:firstLine="431"/>
        <w:spacing w:after="0" w:line="269" w:lineRule="auto"/>
        <w:tabs>
          <w:tab w:leader="none" w:pos="1536" w:val="left"/>
        </w:tabs>
        <w:numPr>
          <w:ilvl w:val="1"/>
          <w:numId w:val="105"/>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9"/>
          <w:szCs w:val="19"/>
          <w:color w:val="auto"/>
        </w:rPr>
      </w:pPr>
    </w:p>
    <w:p>
      <w:pPr>
        <w:jc w:val="both"/>
        <w:ind w:firstLine="807"/>
        <w:spacing w:after="0" w:line="250" w:lineRule="auto"/>
        <w:tabs>
          <w:tab w:leader="none" w:pos="1427" w:val="left"/>
        </w:tabs>
        <w:numPr>
          <w:ilvl w:val="0"/>
          <w:numId w:val="105"/>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8" w:lineRule="exact"/>
        <w:rPr>
          <w:rFonts w:ascii="Arial" w:cs="Arial" w:eastAsia="Arial" w:hAnsi="Arial"/>
          <w:sz w:val="20"/>
          <w:szCs w:val="20"/>
          <w:color w:val="auto"/>
        </w:rPr>
      </w:pPr>
    </w:p>
    <w:p>
      <w:pPr>
        <w:jc w:val="both"/>
        <w:ind w:left="800" w:firstLine="431"/>
        <w:spacing w:after="0" w:line="250" w:lineRule="auto"/>
        <w:tabs>
          <w:tab w:leader="none" w:pos="1512" w:val="left"/>
        </w:tabs>
        <w:numPr>
          <w:ilvl w:val="1"/>
          <w:numId w:val="105"/>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8" w:lineRule="exact"/>
        <w:rPr>
          <w:rFonts w:ascii="Arial" w:cs="Arial" w:eastAsia="Arial" w:hAnsi="Arial"/>
          <w:sz w:val="20"/>
          <w:szCs w:val="20"/>
          <w:color w:val="auto"/>
        </w:rPr>
      </w:pPr>
    </w:p>
    <w:p>
      <w:pPr>
        <w:ind w:left="800" w:firstLine="431"/>
        <w:spacing w:after="0" w:line="260" w:lineRule="auto"/>
        <w:tabs>
          <w:tab w:leader="none" w:pos="1542" w:val="left"/>
        </w:tabs>
        <w:numPr>
          <w:ilvl w:val="1"/>
          <w:numId w:val="105"/>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Date: July 28, 2017</w:t>
      </w:r>
    </w:p>
    <w:p>
      <w:pPr>
        <w:spacing w:after="0" w:line="243"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/s/ W. Douglas Parker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10160</wp:posOffset>
            </wp:positionV>
            <wp:extent cx="289877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20"/>
          <w:szCs w:val="20"/>
          <w:color w:val="auto"/>
        </w:rPr>
        <w:t>Name: W. Douglas Parker</w:t>
      </w:r>
    </w:p>
    <w:p>
      <w:pPr>
        <w:spacing w:after="0" w:line="8" w:lineRule="exact"/>
        <w:rPr>
          <w:sz w:val="20"/>
          <w:szCs w:val="20"/>
          <w:color w:val="auto"/>
        </w:rPr>
      </w:pPr>
    </w:p>
    <w:p>
      <w:pPr>
        <w:ind w:left="6860"/>
        <w:spacing w:after="0"/>
        <w:tabs>
          <w:tab w:leader="none" w:pos="746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Chief Executive Officer</w:t>
      </w:r>
    </w:p>
    <w:p>
      <w:pPr>
        <w:sectPr>
          <w:pgSz w:w="11900" w:h="16838" w:orient="portrait"/>
          <w:cols w:equalWidth="0" w:num="1">
            <w:col w:w="11420"/>
          </w:cols>
          <w:pgMar w:left="240" w:top="115" w:right="239" w:bottom="1440" w:gutter="0" w:footer="0" w:header="0"/>
        </w:sectPr>
      </w:pPr>
    </w:p>
    <w:bookmarkStart w:id="139" w:name="page140"/>
    <w:bookmarkEnd w:id="139"/>
    <w:p>
      <w:pPr>
        <w:jc w:val="right"/>
        <w:spacing w:after="0"/>
        <w:rPr>
          <w:sz w:val="20"/>
          <w:szCs w:val="20"/>
          <w:color w:val="auto"/>
        </w:rPr>
      </w:pPr>
      <w:r>
        <w:rPr>
          <w:rFonts w:ascii="Arial" w:cs="Arial" w:eastAsia="Arial" w:hAnsi="Arial"/>
          <w:sz w:val="20"/>
          <w:szCs w:val="20"/>
          <w:b w:val="1"/>
          <w:bCs w:val="1"/>
          <w:color w:val="auto"/>
        </w:rPr>
        <w:t>Exhibit 31.4</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CFO CERTIFICATION</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color w:val="auto"/>
        </w:rPr>
        <w:t>I, Derek J. Kerr, certify that:</w:t>
      </w:r>
    </w:p>
    <w:p>
      <w:pPr>
        <w:spacing w:after="0" w:line="108" w:lineRule="exact"/>
        <w:rPr>
          <w:sz w:val="20"/>
          <w:szCs w:val="20"/>
          <w:color w:val="auto"/>
        </w:rPr>
      </w:pPr>
    </w:p>
    <w:p>
      <w:pPr>
        <w:ind w:left="1360" w:hanging="553"/>
        <w:spacing w:after="0"/>
        <w:tabs>
          <w:tab w:leader="none" w:pos="1360" w:val="left"/>
        </w:tabs>
        <w:numPr>
          <w:ilvl w:val="0"/>
          <w:numId w:val="106"/>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American Airlines, Inc.;</w:t>
      </w:r>
    </w:p>
    <w:p>
      <w:pPr>
        <w:spacing w:after="0" w:line="107" w:lineRule="exact"/>
        <w:rPr>
          <w:rFonts w:ascii="Arial" w:cs="Arial" w:eastAsia="Arial" w:hAnsi="Arial"/>
          <w:sz w:val="20"/>
          <w:szCs w:val="20"/>
          <w:color w:val="auto"/>
        </w:rPr>
      </w:pPr>
    </w:p>
    <w:p>
      <w:pPr>
        <w:jc w:val="both"/>
        <w:ind w:firstLine="807"/>
        <w:spacing w:after="0" w:line="250" w:lineRule="auto"/>
        <w:tabs>
          <w:tab w:leader="none" w:pos="1433" w:val="left"/>
        </w:tabs>
        <w:numPr>
          <w:ilvl w:val="0"/>
          <w:numId w:val="106"/>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8" w:lineRule="exact"/>
        <w:rPr>
          <w:rFonts w:ascii="Arial" w:cs="Arial" w:eastAsia="Arial" w:hAnsi="Arial"/>
          <w:sz w:val="20"/>
          <w:szCs w:val="20"/>
          <w:color w:val="auto"/>
        </w:rPr>
      </w:pPr>
    </w:p>
    <w:p>
      <w:pPr>
        <w:jc w:val="both"/>
        <w:ind w:firstLine="807"/>
        <w:spacing w:after="0" w:line="369" w:lineRule="auto"/>
        <w:tabs>
          <w:tab w:leader="none" w:pos="1401" w:val="left"/>
        </w:tabs>
        <w:numPr>
          <w:ilvl w:val="0"/>
          <w:numId w:val="10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6"/>
          <w:szCs w:val="16"/>
          <w:color w:val="auto"/>
        </w:rPr>
      </w:pPr>
    </w:p>
    <w:p>
      <w:pPr>
        <w:jc w:val="both"/>
        <w:ind w:right="20" w:firstLine="807"/>
        <w:spacing w:after="0" w:line="250" w:lineRule="auto"/>
        <w:tabs>
          <w:tab w:leader="none" w:pos="1546" w:val="left"/>
        </w:tabs>
        <w:numPr>
          <w:ilvl w:val="0"/>
          <w:numId w:val="106"/>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8" w:lineRule="exact"/>
        <w:rPr>
          <w:rFonts w:ascii="Arial" w:cs="Arial" w:eastAsia="Arial" w:hAnsi="Arial"/>
          <w:sz w:val="20"/>
          <w:szCs w:val="20"/>
          <w:color w:val="auto"/>
        </w:rPr>
      </w:pPr>
    </w:p>
    <w:p>
      <w:pPr>
        <w:jc w:val="both"/>
        <w:ind w:left="800" w:firstLine="431"/>
        <w:spacing w:after="0" w:line="291" w:lineRule="auto"/>
        <w:tabs>
          <w:tab w:leader="none" w:pos="1506" w:val="left"/>
        </w:tabs>
        <w:numPr>
          <w:ilvl w:val="1"/>
          <w:numId w:val="10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3" w:lineRule="exact"/>
        <w:rPr>
          <w:rFonts w:ascii="Arial" w:cs="Arial" w:eastAsia="Arial" w:hAnsi="Arial"/>
          <w:sz w:val="18"/>
          <w:szCs w:val="18"/>
          <w:color w:val="auto"/>
        </w:rPr>
      </w:pPr>
    </w:p>
    <w:p>
      <w:pPr>
        <w:jc w:val="both"/>
        <w:ind w:left="800" w:firstLine="431"/>
        <w:spacing w:after="0" w:line="269" w:lineRule="auto"/>
        <w:tabs>
          <w:tab w:leader="none" w:pos="1544" w:val="left"/>
        </w:tabs>
        <w:numPr>
          <w:ilvl w:val="1"/>
          <w:numId w:val="106"/>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9"/>
          <w:szCs w:val="19"/>
          <w:color w:val="auto"/>
        </w:rPr>
      </w:pPr>
    </w:p>
    <w:p>
      <w:pPr>
        <w:jc w:val="both"/>
        <w:ind w:left="800" w:firstLine="431"/>
        <w:spacing w:after="0" w:line="250" w:lineRule="auto"/>
        <w:tabs>
          <w:tab w:leader="none" w:pos="1495" w:val="left"/>
        </w:tabs>
        <w:numPr>
          <w:ilvl w:val="1"/>
          <w:numId w:val="106"/>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8" w:lineRule="exact"/>
        <w:rPr>
          <w:rFonts w:ascii="Arial" w:cs="Arial" w:eastAsia="Arial" w:hAnsi="Arial"/>
          <w:sz w:val="20"/>
          <w:szCs w:val="20"/>
          <w:color w:val="auto"/>
        </w:rPr>
      </w:pPr>
    </w:p>
    <w:p>
      <w:pPr>
        <w:jc w:val="both"/>
        <w:ind w:left="800" w:firstLine="431"/>
        <w:spacing w:after="0" w:line="269" w:lineRule="auto"/>
        <w:tabs>
          <w:tab w:leader="none" w:pos="1536" w:val="left"/>
        </w:tabs>
        <w:numPr>
          <w:ilvl w:val="1"/>
          <w:numId w:val="106"/>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9"/>
          <w:szCs w:val="19"/>
          <w:color w:val="auto"/>
        </w:rPr>
      </w:pPr>
    </w:p>
    <w:p>
      <w:pPr>
        <w:jc w:val="both"/>
        <w:ind w:firstLine="807"/>
        <w:spacing w:after="0" w:line="250" w:lineRule="auto"/>
        <w:tabs>
          <w:tab w:leader="none" w:pos="1427" w:val="left"/>
        </w:tabs>
        <w:numPr>
          <w:ilvl w:val="0"/>
          <w:numId w:val="106"/>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8" w:lineRule="exact"/>
        <w:rPr>
          <w:rFonts w:ascii="Arial" w:cs="Arial" w:eastAsia="Arial" w:hAnsi="Arial"/>
          <w:sz w:val="20"/>
          <w:szCs w:val="20"/>
          <w:color w:val="auto"/>
        </w:rPr>
      </w:pPr>
    </w:p>
    <w:p>
      <w:pPr>
        <w:jc w:val="both"/>
        <w:ind w:left="800" w:firstLine="431"/>
        <w:spacing w:after="0" w:line="250" w:lineRule="auto"/>
        <w:tabs>
          <w:tab w:leader="none" w:pos="1512" w:val="left"/>
        </w:tabs>
        <w:numPr>
          <w:ilvl w:val="1"/>
          <w:numId w:val="106"/>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8" w:lineRule="exact"/>
        <w:rPr>
          <w:rFonts w:ascii="Arial" w:cs="Arial" w:eastAsia="Arial" w:hAnsi="Arial"/>
          <w:sz w:val="20"/>
          <w:szCs w:val="20"/>
          <w:color w:val="auto"/>
        </w:rPr>
      </w:pPr>
    </w:p>
    <w:p>
      <w:pPr>
        <w:ind w:left="800" w:firstLine="431"/>
        <w:spacing w:after="0" w:line="260" w:lineRule="auto"/>
        <w:tabs>
          <w:tab w:leader="none" w:pos="1542" w:val="left"/>
        </w:tabs>
        <w:numPr>
          <w:ilvl w:val="1"/>
          <w:numId w:val="106"/>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Date: July 28, 2017</w:t>
      </w:r>
    </w:p>
    <w:p>
      <w:pPr>
        <w:spacing w:after="0" w:line="243"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171069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71069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20"/>
          <w:szCs w:val="20"/>
          <w:color w:val="auto"/>
        </w:rPr>
        <w:t>Name: Derek J. Kerr</w:t>
      </w:r>
    </w:p>
    <w:p>
      <w:pPr>
        <w:ind w:left="6860"/>
        <w:spacing w:after="0"/>
        <w:tabs>
          <w:tab w:leader="none" w:pos="746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Executive Vice President and Chief</w:t>
      </w:r>
    </w:p>
    <w:p>
      <w:pPr>
        <w:ind w:left="6860"/>
        <w:spacing w:after="0"/>
        <w:rPr>
          <w:sz w:val="20"/>
          <w:szCs w:val="20"/>
          <w:color w:val="auto"/>
        </w:rPr>
      </w:pPr>
      <w:r>
        <w:rPr>
          <w:rFonts w:ascii="Arial" w:cs="Arial" w:eastAsia="Arial" w:hAnsi="Arial"/>
          <w:sz w:val="20"/>
          <w:szCs w:val="20"/>
          <w:color w:val="auto"/>
        </w:rPr>
        <w:t>Financial Officer</w:t>
      </w:r>
    </w:p>
    <w:p>
      <w:pPr>
        <w:sectPr>
          <w:pgSz w:w="11900" w:h="16838" w:orient="portrait"/>
          <w:cols w:equalWidth="0" w:num="1">
            <w:col w:w="11420"/>
          </w:cols>
          <w:pgMar w:left="240" w:top="115" w:right="239" w:bottom="1440" w:gutter="0" w:footer="0" w:header="0"/>
        </w:sectPr>
      </w:pPr>
    </w:p>
    <w:bookmarkStart w:id="140" w:name="page141"/>
    <w:bookmarkEnd w:id="140"/>
    <w:p>
      <w:pPr>
        <w:jc w:val="right"/>
        <w:spacing w:after="0"/>
        <w:rPr>
          <w:sz w:val="20"/>
          <w:szCs w:val="20"/>
          <w:color w:val="auto"/>
        </w:rPr>
      </w:pPr>
      <w:r>
        <w:rPr>
          <w:rFonts w:ascii="Arial" w:cs="Arial" w:eastAsia="Arial" w:hAnsi="Arial"/>
          <w:sz w:val="20"/>
          <w:szCs w:val="20"/>
          <w:b w:val="1"/>
          <w:bCs w:val="1"/>
          <w:color w:val="auto"/>
        </w:rPr>
        <w:t>Exhibit 32.1</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of CEO and CFO Pursuant to</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20"/>
          <w:szCs w:val="20"/>
          <w:b w:val="1"/>
          <w:bCs w:val="1"/>
          <w:color w:val="auto"/>
        </w:rPr>
        <w:t>18 U.S.C. Section 1350,</w:t>
      </w:r>
    </w:p>
    <w:p>
      <w:pPr>
        <w:ind w:left="4720"/>
        <w:spacing w:after="0"/>
        <w:rPr>
          <w:sz w:val="20"/>
          <w:szCs w:val="20"/>
          <w:color w:val="auto"/>
        </w:rPr>
      </w:pPr>
      <w:r>
        <w:rPr>
          <w:rFonts w:ascii="Arial" w:cs="Arial" w:eastAsia="Arial" w:hAnsi="Arial"/>
          <w:sz w:val="20"/>
          <w:szCs w:val="20"/>
          <w:b w:val="1"/>
          <w:bCs w:val="1"/>
          <w:color w:val="auto"/>
        </w:rPr>
        <w:t>as Adopted Pursuant to</w:t>
      </w:r>
    </w:p>
    <w:p>
      <w:pPr>
        <w:jc w:val="center"/>
        <w:spacing w:after="0"/>
        <w:rPr>
          <w:sz w:val="20"/>
          <w:szCs w:val="20"/>
          <w:color w:val="auto"/>
        </w:rPr>
      </w:pPr>
      <w:r>
        <w:rPr>
          <w:rFonts w:ascii="Arial" w:cs="Arial" w:eastAsia="Arial" w:hAnsi="Arial"/>
          <w:sz w:val="20"/>
          <w:szCs w:val="20"/>
          <w:b w:val="1"/>
          <w:bCs w:val="1"/>
          <w:color w:val="auto"/>
        </w:rPr>
        <w:t>Section 906 of the Sarbanes-Oxley Act of 2002</w:t>
      </w:r>
    </w:p>
    <w:p>
      <w:pPr>
        <w:spacing w:after="0" w:line="20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In connection with the Quarterly Report on Form 10-Q of American Airlines Group Inc. (the “Company”) for the quarterly period ended June 30, 2017 (the “Report”), W. Douglas Parker, as Chief Executive Officer of the Company, and Derek J. Kerr, as Executive Vice President and Chief Financial Officer of the Company, each hereby certifies, pursuant to 18 U.S.C. Section 1350, as adopted pursuant to Section 906 of the Sarbanes-Oxley Act of 2002, that, to the best of his knowledge:</w:t>
      </w:r>
    </w:p>
    <w:p>
      <w:pPr>
        <w:spacing w:after="0" w:line="192" w:lineRule="exact"/>
        <w:rPr>
          <w:sz w:val="20"/>
          <w:szCs w:val="20"/>
          <w:color w:val="auto"/>
        </w:rPr>
      </w:pPr>
    </w:p>
    <w:p>
      <w:pPr>
        <w:ind w:left="880" w:hanging="416"/>
        <w:spacing w:after="0"/>
        <w:tabs>
          <w:tab w:leader="none" w:pos="880" w:val="left"/>
        </w:tabs>
        <w:numPr>
          <w:ilvl w:val="0"/>
          <w:numId w:val="107"/>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215" w:lineRule="exact"/>
        <w:rPr>
          <w:rFonts w:ascii="Arial" w:cs="Arial" w:eastAsia="Arial" w:hAnsi="Arial"/>
          <w:sz w:val="20"/>
          <w:szCs w:val="20"/>
          <w:color w:val="auto"/>
        </w:rPr>
      </w:pPr>
    </w:p>
    <w:p>
      <w:pPr>
        <w:ind w:firstLine="464"/>
        <w:spacing w:after="0" w:line="260" w:lineRule="auto"/>
        <w:tabs>
          <w:tab w:leader="none" w:pos="915" w:val="left"/>
        </w:tabs>
        <w:numPr>
          <w:ilvl w:val="0"/>
          <w:numId w:val="107"/>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0"/>
          <w:szCs w:val="20"/>
          <w:color w:val="auto"/>
        </w:rPr>
        <w:t>/s/ W. Douglas Parker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289877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 W. Douglas Parker</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Title: Chief Executive Officer</w:t>
      </w:r>
    </w:p>
    <w:p>
      <w:pPr>
        <w:spacing w:after="0"/>
        <w:rPr>
          <w:sz w:val="20"/>
          <w:szCs w:val="20"/>
          <w:color w:val="auto"/>
        </w:rPr>
      </w:pPr>
      <w:r>
        <w:rPr>
          <w:rFonts w:ascii="Arial" w:cs="Arial" w:eastAsia="Arial" w:hAnsi="Arial"/>
          <w:sz w:val="20"/>
          <w:szCs w:val="20"/>
          <w:color w:val="auto"/>
        </w:rPr>
        <w:t>Date: July 28, 2017</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20"/>
          <w:szCs w:val="20"/>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71069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710690"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 Derek J. Kerr</w:t>
      </w:r>
    </w:p>
    <w:p>
      <w:pPr>
        <w:spacing w:after="0"/>
        <w:rPr>
          <w:sz w:val="20"/>
          <w:szCs w:val="20"/>
          <w:color w:val="auto"/>
        </w:rPr>
      </w:pPr>
      <w:r>
        <w:rPr>
          <w:rFonts w:ascii="Arial" w:cs="Arial" w:eastAsia="Arial" w:hAnsi="Arial"/>
          <w:sz w:val="20"/>
          <w:szCs w:val="20"/>
          <w:color w:val="auto"/>
        </w:rPr>
        <w:t>Title: Executive Vice President and Chief Financial Officer</w:t>
      </w:r>
    </w:p>
    <w:p>
      <w:pPr>
        <w:spacing w:after="0"/>
        <w:rPr>
          <w:sz w:val="20"/>
          <w:szCs w:val="20"/>
          <w:color w:val="auto"/>
        </w:rPr>
      </w:pPr>
      <w:r>
        <w:rPr>
          <w:rFonts w:ascii="Arial" w:cs="Arial" w:eastAsia="Arial" w:hAnsi="Arial"/>
          <w:sz w:val="20"/>
          <w:szCs w:val="20"/>
          <w:color w:val="auto"/>
        </w:rPr>
        <w:t>Date: July 28, 2017</w:t>
      </w:r>
    </w:p>
    <w:p>
      <w:pPr>
        <w:spacing w:after="0" w:line="200"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This certification is being furnished to accompany the Report pursuant to 18 U.S.C. § 1350 and shall not be deemed filed by the Company for purposes of Section 18 of the Securities Exchange Act of 1934, as amended, and is not to be incorporated by reference into any filing of the Company, whether made before or after the date hereof, regardless of any general incorporation language in such filing.</w:t>
      </w:r>
    </w:p>
    <w:p>
      <w:pPr>
        <w:sectPr>
          <w:pgSz w:w="11900" w:h="16838" w:orient="portrait"/>
          <w:cols w:equalWidth="0" w:num="1">
            <w:col w:w="11420"/>
          </w:cols>
          <w:pgMar w:left="240" w:top="115" w:right="239" w:bottom="1440" w:gutter="0" w:footer="0" w:header="0"/>
        </w:sectPr>
      </w:pPr>
    </w:p>
    <w:bookmarkStart w:id="141" w:name="page142"/>
    <w:bookmarkEnd w:id="141"/>
    <w:p>
      <w:pPr>
        <w:jc w:val="right"/>
        <w:spacing w:after="0"/>
        <w:rPr>
          <w:sz w:val="20"/>
          <w:szCs w:val="20"/>
          <w:color w:val="auto"/>
        </w:rPr>
      </w:pPr>
      <w:r>
        <w:rPr>
          <w:rFonts w:ascii="Arial" w:cs="Arial" w:eastAsia="Arial" w:hAnsi="Arial"/>
          <w:sz w:val="20"/>
          <w:szCs w:val="20"/>
          <w:b w:val="1"/>
          <w:bCs w:val="1"/>
          <w:color w:val="auto"/>
        </w:rPr>
        <w:t>Exhibit 32.2</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of CEO and CFO Pursuant to</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20"/>
          <w:szCs w:val="20"/>
          <w:b w:val="1"/>
          <w:bCs w:val="1"/>
          <w:color w:val="auto"/>
        </w:rPr>
        <w:t>18 U.S.C. Section 1350,</w:t>
      </w:r>
    </w:p>
    <w:p>
      <w:pPr>
        <w:ind w:left="4720"/>
        <w:spacing w:after="0"/>
        <w:rPr>
          <w:sz w:val="20"/>
          <w:szCs w:val="20"/>
          <w:color w:val="auto"/>
        </w:rPr>
      </w:pPr>
      <w:r>
        <w:rPr>
          <w:rFonts w:ascii="Arial" w:cs="Arial" w:eastAsia="Arial" w:hAnsi="Arial"/>
          <w:sz w:val="20"/>
          <w:szCs w:val="20"/>
          <w:b w:val="1"/>
          <w:bCs w:val="1"/>
          <w:color w:val="auto"/>
        </w:rPr>
        <w:t>as Adopted Pursuant to</w:t>
      </w:r>
    </w:p>
    <w:p>
      <w:pPr>
        <w:jc w:val="center"/>
        <w:spacing w:after="0"/>
        <w:rPr>
          <w:sz w:val="20"/>
          <w:szCs w:val="20"/>
          <w:color w:val="auto"/>
        </w:rPr>
      </w:pPr>
      <w:r>
        <w:rPr>
          <w:rFonts w:ascii="Arial" w:cs="Arial" w:eastAsia="Arial" w:hAnsi="Arial"/>
          <w:sz w:val="20"/>
          <w:szCs w:val="20"/>
          <w:b w:val="1"/>
          <w:bCs w:val="1"/>
          <w:color w:val="auto"/>
        </w:rPr>
        <w:t>Section 906 of the Sarbanes-Oxley Act of 2002</w:t>
      </w:r>
    </w:p>
    <w:p>
      <w:pPr>
        <w:spacing w:after="0" w:line="20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In connection with the Quarterly Report on Form 10-Q of American Airlines, Inc. (the “Company”) for the quarterly period ended June 30, 2017 (the “Report”), W. Douglas Parker, as Chief Executive Officer of the Company, and Derek J. Kerr, as Executive Vice President and Chief Financial Officer of the Company, each hereby certifies, pursuant to 18 U.S.C. Section 1350, as adopted pursuant to Section 906 of the Sarbanes-Oxley Act of 2002, that, to the best of his knowledge:</w:t>
      </w:r>
    </w:p>
    <w:p>
      <w:pPr>
        <w:spacing w:after="0" w:line="192" w:lineRule="exact"/>
        <w:rPr>
          <w:sz w:val="20"/>
          <w:szCs w:val="20"/>
          <w:color w:val="auto"/>
        </w:rPr>
      </w:pPr>
    </w:p>
    <w:p>
      <w:pPr>
        <w:ind w:left="880" w:hanging="416"/>
        <w:spacing w:after="0"/>
        <w:tabs>
          <w:tab w:leader="none" w:pos="880" w:val="left"/>
        </w:tabs>
        <w:numPr>
          <w:ilvl w:val="0"/>
          <w:numId w:val="108"/>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215" w:lineRule="exact"/>
        <w:rPr>
          <w:rFonts w:ascii="Arial" w:cs="Arial" w:eastAsia="Arial" w:hAnsi="Arial"/>
          <w:sz w:val="20"/>
          <w:szCs w:val="20"/>
          <w:color w:val="auto"/>
        </w:rPr>
      </w:pPr>
    </w:p>
    <w:p>
      <w:pPr>
        <w:ind w:firstLine="464"/>
        <w:spacing w:after="0" w:line="260" w:lineRule="auto"/>
        <w:tabs>
          <w:tab w:leader="none" w:pos="915" w:val="left"/>
        </w:tabs>
        <w:numPr>
          <w:ilvl w:val="0"/>
          <w:numId w:val="108"/>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0"/>
          <w:szCs w:val="20"/>
          <w:color w:val="auto"/>
        </w:rPr>
        <w:t>/s/ W. Douglas Parker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72656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726565"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 W. Douglas Parker</w:t>
      </w:r>
    </w:p>
    <w:p>
      <w:pPr>
        <w:spacing w:after="0"/>
        <w:rPr>
          <w:sz w:val="20"/>
          <w:szCs w:val="20"/>
          <w:color w:val="auto"/>
        </w:rPr>
      </w:pPr>
      <w:r>
        <w:rPr>
          <w:rFonts w:ascii="Arial" w:cs="Arial" w:eastAsia="Arial" w:hAnsi="Arial"/>
          <w:sz w:val="20"/>
          <w:szCs w:val="20"/>
          <w:color w:val="auto"/>
        </w:rPr>
        <w:t>Title: Chief Executive Officer</w:t>
      </w:r>
    </w:p>
    <w:p>
      <w:pPr>
        <w:spacing w:after="0"/>
        <w:rPr>
          <w:sz w:val="20"/>
          <w:szCs w:val="20"/>
          <w:color w:val="auto"/>
        </w:rPr>
      </w:pPr>
      <w:r>
        <w:rPr>
          <w:rFonts w:ascii="Arial" w:cs="Arial" w:eastAsia="Arial" w:hAnsi="Arial"/>
          <w:sz w:val="20"/>
          <w:szCs w:val="20"/>
          <w:color w:val="auto"/>
        </w:rPr>
        <w:t>Date: July 28, 2017</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20"/>
          <w:szCs w:val="20"/>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71069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710690"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 Derek J. Kerr</w:t>
      </w:r>
    </w:p>
    <w:p>
      <w:pPr>
        <w:spacing w:after="0"/>
        <w:rPr>
          <w:sz w:val="20"/>
          <w:szCs w:val="20"/>
          <w:color w:val="auto"/>
        </w:rPr>
      </w:pPr>
      <w:r>
        <w:rPr>
          <w:rFonts w:ascii="Arial" w:cs="Arial" w:eastAsia="Arial" w:hAnsi="Arial"/>
          <w:sz w:val="20"/>
          <w:szCs w:val="20"/>
          <w:color w:val="auto"/>
        </w:rPr>
        <w:t>Title: Executive Vice President and Chief Financial Officer</w:t>
      </w:r>
    </w:p>
    <w:p>
      <w:pPr>
        <w:spacing w:after="0"/>
        <w:rPr>
          <w:sz w:val="20"/>
          <w:szCs w:val="20"/>
          <w:color w:val="auto"/>
        </w:rPr>
      </w:pPr>
      <w:r>
        <w:rPr>
          <w:rFonts w:ascii="Arial" w:cs="Arial" w:eastAsia="Arial" w:hAnsi="Arial"/>
          <w:sz w:val="20"/>
          <w:szCs w:val="20"/>
          <w:color w:val="auto"/>
        </w:rPr>
        <w:t>Date: July 28, 2017</w:t>
      </w:r>
    </w:p>
    <w:p>
      <w:pPr>
        <w:spacing w:after="0" w:line="200"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This certification is being furnished to accompany the Report pursuant to 18 U.S.C. § 1350 and shall not be deemed filed by the Company for purposes of Section 18 of the Securities Exchange Act of 1934, as amended, and is not to be incorporated by reference into any filing of the Company, whether made before or after the date hereof, regardless of any general incorporation language in such filing.</w:t>
      </w:r>
    </w:p>
    <w:sectPr>
      <w:pgSz w:w="11900" w:h="16838" w:orient="portrait"/>
      <w:cols w:equalWidth="0" w:num="1">
        <w:col w:w="11420"/>
      </w:cols>
      <w:pgMar w:left="240" w:top="11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F4EF005"/>
    <w:multiLevelType w:val="hybridMultilevel"/>
    <w:lvl w:ilvl="0">
      <w:lvlJc w:val="left"/>
      <w:lvlText w:val="☒"/>
      <w:numFmt w:val="bullet"/>
      <w:start w:val="1"/>
    </w:lvl>
  </w:abstractNum>
  <w:abstractNum w:abstractNumId="1">
    <w:nsid w:val="23F9C13C"/>
    <w:multiLevelType w:val="hybridMultilevel"/>
    <w:lvl w:ilvl="0">
      <w:lvlJc w:val="left"/>
      <w:lvlText w:val="☐"/>
      <w:numFmt w:val="bullet"/>
      <w:start w:val="1"/>
    </w:lvl>
  </w:abstractNum>
  <w:abstractNum w:abstractNumId="2">
    <w:nsid w:val="649BB77C"/>
    <w:multiLevelType w:val="hybridMultilevel"/>
    <w:lvl w:ilvl="0">
      <w:lvlJc w:val="left"/>
      <w:lvlText w:val="(%1)"/>
      <w:numFmt w:val="decimal"/>
      <w:start w:val="1"/>
    </w:lvl>
  </w:abstractNum>
  <w:abstractNum w:abstractNumId="3">
    <w:nsid w:val="275AC794"/>
    <w:multiLevelType w:val="hybridMultilevel"/>
    <w:lvl w:ilvl="0">
      <w:lvlJc w:val="left"/>
      <w:lvlText w:val="(%1)"/>
      <w:numFmt w:val="decimal"/>
      <w:start w:val="1"/>
    </w:lvl>
  </w:abstractNum>
  <w:abstractNum w:abstractNumId="4">
    <w:nsid w:val="39386575"/>
    <w:multiLevelType w:val="hybridMultilevel"/>
    <w:lvl w:ilvl="0">
      <w:lvlJc w:val="left"/>
      <w:lvlText w:val="(%1)"/>
      <w:numFmt w:val="decimal"/>
      <w:start w:val="1"/>
    </w:lvl>
  </w:abstractNum>
  <w:abstractNum w:abstractNumId="5">
    <w:nsid w:val="1CF10FD8"/>
    <w:multiLevelType w:val="hybridMultilevel"/>
    <w:lvl w:ilvl="0">
      <w:lvlJc w:val="left"/>
      <w:lvlText w:val="%1."/>
      <w:numFmt w:val="decimal"/>
      <w:start w:val="12"/>
    </w:lvl>
  </w:abstractNum>
  <w:abstractNum w:abstractNumId="6">
    <w:nsid w:val="180115BE"/>
    <w:multiLevelType w:val="hybridMultilevel"/>
    <w:lvl w:ilvl="0">
      <w:lvlJc w:val="left"/>
      <w:lvlText w:val="(%1)"/>
      <w:numFmt w:val="decimal"/>
      <w:start w:val="1"/>
    </w:lvl>
  </w:abstractNum>
  <w:abstractNum w:abstractNumId="7">
    <w:nsid w:val="235BA861"/>
    <w:multiLevelType w:val="hybridMultilevel"/>
    <w:lvl w:ilvl="0">
      <w:lvlJc w:val="left"/>
      <w:lvlText w:val="(%1)"/>
      <w:numFmt w:val="decimal"/>
      <w:start w:val="5"/>
    </w:lvl>
  </w:abstractNum>
  <w:abstractNum w:abstractNumId="8">
    <w:nsid w:val="47398C89"/>
    <w:multiLevelType w:val="hybridMultilevel"/>
    <w:lvl w:ilvl="0">
      <w:lvlJc w:val="left"/>
      <w:lvlText w:val="(%1)"/>
      <w:numFmt w:val="decimal"/>
      <w:start w:val="1"/>
    </w:lvl>
  </w:abstractNum>
  <w:abstractNum w:abstractNumId="9">
    <w:nsid w:val="354FE9F9"/>
    <w:multiLevelType w:val="hybridMultilevel"/>
    <w:lvl w:ilvl="0">
      <w:lvlJc w:val="left"/>
      <w:lvlText w:val="(%1)"/>
      <w:numFmt w:val="decimal"/>
      <w:start w:val="1"/>
    </w:lvl>
  </w:abstractNum>
  <w:abstractNum w:abstractNumId="10">
    <w:nsid w:val="15B5AF5C"/>
    <w:multiLevelType w:val="hybridMultilevel"/>
    <w:lvl w:ilvl="0">
      <w:lvlJc w:val="left"/>
      <w:lvlText w:val="(%1)"/>
      <w:numFmt w:val="decimal"/>
      <w:start w:val="1"/>
    </w:lvl>
  </w:abstractNum>
  <w:abstractNum w:abstractNumId="11">
    <w:nsid w:val="741226BB"/>
    <w:multiLevelType w:val="hybridMultilevel"/>
    <w:lvl w:ilvl="0">
      <w:lvlJc w:val="left"/>
      <w:lvlText w:val="(%1)"/>
      <w:numFmt w:val="decimal"/>
      <w:start w:val="1"/>
    </w:lvl>
  </w:abstractNum>
  <w:abstractNum w:abstractNumId="12">
    <w:nsid w:val="D34B6A8"/>
    <w:multiLevelType w:val="hybridMultilevel"/>
    <w:lvl w:ilvl="0">
      <w:lvlJc w:val="left"/>
      <w:lvlText w:val="(%1)"/>
      <w:numFmt w:val="decimal"/>
      <w:start w:val="1"/>
    </w:lvl>
  </w:abstractNum>
  <w:abstractNum w:abstractNumId="13">
    <w:nsid w:val="10233C99"/>
    <w:multiLevelType w:val="hybridMultilevel"/>
    <w:lvl w:ilvl="0">
      <w:lvlJc w:val="left"/>
      <w:lvlText w:val="(%1)"/>
      <w:numFmt w:val="lowerLetter"/>
      <w:start w:val="1"/>
    </w:lvl>
  </w:abstractNum>
  <w:abstractNum w:abstractNumId="14">
    <w:nsid w:val="3F6AB60F"/>
    <w:multiLevelType w:val="hybridMultilevel"/>
    <w:lvl w:ilvl="0">
      <w:lvlJc w:val="left"/>
      <w:lvlText w:val="•"/>
      <w:numFmt w:val="bullet"/>
      <w:start w:val="1"/>
    </w:lvl>
  </w:abstractNum>
  <w:abstractNum w:abstractNumId="15">
    <w:nsid w:val="61574095"/>
    <w:multiLevelType w:val="hybridMultilevel"/>
    <w:lvl w:ilvl="0">
      <w:lvlJc w:val="left"/>
      <w:lvlText w:val="(%1)"/>
      <w:numFmt w:val="decimal"/>
      <w:start w:val="1"/>
    </w:lvl>
  </w:abstractNum>
  <w:abstractNum w:abstractNumId="16">
    <w:nsid w:val="7E0C57B1"/>
    <w:multiLevelType w:val="hybridMultilevel"/>
    <w:lvl w:ilvl="0">
      <w:lvlJc w:val="left"/>
      <w:lvlText w:val="•"/>
      <w:numFmt w:val="bullet"/>
      <w:start w:val="1"/>
    </w:lvl>
  </w:abstractNum>
  <w:abstractNum w:abstractNumId="17">
    <w:nsid w:val="77AE35EB"/>
    <w:multiLevelType w:val="hybridMultilevel"/>
    <w:lvl w:ilvl="0">
      <w:lvlJc w:val="left"/>
      <w:lvlText w:val="•"/>
      <w:numFmt w:val="bullet"/>
      <w:start w:val="1"/>
    </w:lvl>
  </w:abstractNum>
  <w:abstractNum w:abstractNumId="18">
    <w:nsid w:val="579BE4F1"/>
    <w:multiLevelType w:val="hybridMultilevel"/>
    <w:lvl w:ilvl="0">
      <w:lvlJc w:val="left"/>
      <w:lvlText w:val="(%1)"/>
      <w:numFmt w:val="decimal"/>
      <w:start w:val="1"/>
    </w:lvl>
  </w:abstractNum>
  <w:abstractNum w:abstractNumId="19">
    <w:nsid w:val="310C50B3"/>
    <w:multiLevelType w:val="hybridMultilevel"/>
    <w:lvl w:ilvl="0">
      <w:lvlJc w:val="left"/>
      <w:lvlText w:val="•"/>
      <w:numFmt w:val="bullet"/>
      <w:start w:val="1"/>
    </w:lvl>
  </w:abstractNum>
  <w:abstractNum w:abstractNumId="20">
    <w:nsid w:val="5FF87E05"/>
    <w:multiLevelType w:val="hybridMultilevel"/>
    <w:lvl w:ilvl="0">
      <w:lvlJc w:val="left"/>
      <w:lvlText w:val="(%1)"/>
      <w:numFmt w:val="decimal"/>
      <w:start w:val="1"/>
    </w:lvl>
  </w:abstractNum>
  <w:abstractNum w:abstractNumId="21">
    <w:nsid w:val="2F305DEF"/>
    <w:multiLevelType w:val="hybridMultilevel"/>
    <w:lvl w:ilvl="0">
      <w:lvlJc w:val="left"/>
      <w:lvlText w:val="•"/>
      <w:numFmt w:val="bullet"/>
      <w:start w:val="1"/>
    </w:lvl>
  </w:abstractNum>
  <w:abstractNum w:abstractNumId="22">
    <w:nsid w:val="25A70BF7"/>
    <w:multiLevelType w:val="hybridMultilevel"/>
    <w:lvl w:ilvl="0">
      <w:lvlJc w:val="left"/>
      <w:lvlText w:val="(%1)"/>
      <w:numFmt w:val="decimal"/>
      <w:start w:val="1"/>
    </w:lvl>
  </w:abstractNum>
  <w:abstractNum w:abstractNumId="23">
    <w:nsid w:val="1DBABF00"/>
    <w:multiLevelType w:val="hybridMultilevel"/>
    <w:lvl w:ilvl="0">
      <w:lvlJc w:val="left"/>
      <w:lvlText w:val="(%1)"/>
      <w:numFmt w:val="decimal"/>
      <w:start w:val="1"/>
    </w:lvl>
  </w:abstractNum>
  <w:abstractNum w:abstractNumId="24">
    <w:nsid w:val="4AD084E9"/>
    <w:multiLevelType w:val="hybridMultilevel"/>
    <w:lvl w:ilvl="0">
      <w:lvlJc w:val="left"/>
      <w:lvlText w:val="(%1)"/>
      <w:numFmt w:val="decimal"/>
      <w:start w:val="1"/>
    </w:lvl>
  </w:abstractNum>
  <w:abstractNum w:abstractNumId="25">
    <w:nsid w:val="1F48EAA1"/>
    <w:multiLevelType w:val="hybridMultilevel"/>
    <w:lvl w:ilvl="0">
      <w:lvlJc w:val="left"/>
      <w:lvlText w:val="•"/>
      <w:numFmt w:val="bullet"/>
      <w:start w:val="1"/>
    </w:lvl>
  </w:abstractNum>
  <w:abstractNum w:abstractNumId="26">
    <w:nsid w:val="1381823A"/>
    <w:multiLevelType w:val="hybridMultilevel"/>
    <w:lvl w:ilvl="0">
      <w:lvlJc w:val="left"/>
      <w:lvlText w:val="•"/>
      <w:numFmt w:val="bullet"/>
      <w:start w:val="1"/>
    </w:lvl>
  </w:abstractNum>
  <w:abstractNum w:abstractNumId="27">
    <w:nsid w:val="5DB70AE5"/>
    <w:multiLevelType w:val="hybridMultilevel"/>
    <w:lvl w:ilvl="0">
      <w:lvlJc w:val="left"/>
      <w:lvlText w:val="•"/>
      <w:numFmt w:val="bullet"/>
      <w:start w:val="1"/>
    </w:lvl>
  </w:abstractNum>
  <w:abstractNum w:abstractNumId="28">
    <w:nsid w:val="100F8FCA"/>
    <w:multiLevelType w:val="hybridMultilevel"/>
    <w:lvl w:ilvl="0">
      <w:lvlJc w:val="left"/>
      <w:lvlText w:val="•"/>
      <w:numFmt w:val="bullet"/>
      <w:start w:val="1"/>
    </w:lvl>
  </w:abstractNum>
  <w:abstractNum w:abstractNumId="29">
    <w:nsid w:val="6590700B"/>
    <w:multiLevelType w:val="hybridMultilevel"/>
    <w:lvl w:ilvl="0">
      <w:lvlJc w:val="left"/>
      <w:lvlText w:val="•"/>
      <w:numFmt w:val="bullet"/>
      <w:start w:val="1"/>
    </w:lvl>
  </w:abstractNum>
  <w:abstractNum w:abstractNumId="30">
    <w:nsid w:val="15014ACB"/>
    <w:multiLevelType w:val="hybridMultilevel"/>
    <w:lvl w:ilvl="0">
      <w:lvlJc w:val="left"/>
      <w:lvlText w:val="•"/>
      <w:numFmt w:val="bullet"/>
      <w:start w:val="1"/>
    </w:lvl>
  </w:abstractNum>
  <w:abstractNum w:abstractNumId="31">
    <w:nsid w:val="5F5E7FD0"/>
    <w:multiLevelType w:val="hybridMultilevel"/>
    <w:lvl w:ilvl="0">
      <w:lvlJc w:val="left"/>
      <w:lvlText w:val="•"/>
      <w:numFmt w:val="bullet"/>
      <w:start w:val="1"/>
    </w:lvl>
  </w:abstractNum>
  <w:abstractNum w:abstractNumId="32">
    <w:nsid w:val="98A3148"/>
    <w:multiLevelType w:val="hybridMultilevel"/>
    <w:lvl w:ilvl="0">
      <w:lvlJc w:val="left"/>
      <w:lvlText w:val="•"/>
      <w:numFmt w:val="bullet"/>
      <w:start w:val="1"/>
    </w:lvl>
  </w:abstractNum>
  <w:abstractNum w:abstractNumId="33">
    <w:nsid w:val="799D0247"/>
    <w:multiLevelType w:val="hybridMultilevel"/>
    <w:lvl w:ilvl="0">
      <w:lvlJc w:val="left"/>
      <w:lvlText w:val="•"/>
      <w:numFmt w:val="bullet"/>
      <w:start w:val="1"/>
    </w:lvl>
  </w:abstractNum>
  <w:abstractNum w:abstractNumId="34">
    <w:nsid w:val="6B94764"/>
    <w:multiLevelType w:val="hybridMultilevel"/>
    <w:lvl w:ilvl="0">
      <w:lvlJc w:val="left"/>
      <w:lvlText w:val="*"/>
      <w:numFmt w:val="bullet"/>
      <w:start w:val="1"/>
    </w:lvl>
    <w:lvl w:ilvl="1">
      <w:lvlJc w:val="left"/>
      <w:lvlText w:val="%2"/>
      <w:numFmt w:val="decimal"/>
      <w:start w:val="101"/>
    </w:lvl>
  </w:abstractNum>
  <w:abstractNum w:abstractNumId="35">
    <w:nsid w:val="42C296BD"/>
    <w:multiLevelType w:val="hybridMultilevel"/>
    <w:lvl w:ilvl="0">
      <w:lvlJc w:val="left"/>
      <w:lvlText w:val="(%1)"/>
      <w:numFmt w:val="lowerLetter"/>
      <w:start w:val="1"/>
    </w:lvl>
  </w:abstractNum>
  <w:abstractNum w:abstractNumId="36">
    <w:nsid w:val="168E121F"/>
    <w:multiLevelType w:val="hybridMultilevel"/>
    <w:lvl w:ilvl="0">
      <w:lvlJc w:val="left"/>
      <w:lvlText w:val="(%1)"/>
      <w:numFmt w:val="lowerRoman"/>
      <w:start w:val="1"/>
    </w:lvl>
  </w:abstractNum>
  <w:abstractNum w:abstractNumId="37">
    <w:nsid w:val="1EBA5D23"/>
    <w:multiLevelType w:val="hybridMultilevel"/>
    <w:lvl w:ilvl="0">
      <w:lvlJc w:val="left"/>
      <w:lvlText w:val="(%1)"/>
      <w:numFmt w:val="lowerRoman"/>
      <w:start w:val="2"/>
    </w:lvl>
  </w:abstractNum>
  <w:abstractNum w:abstractNumId="38">
    <w:nsid w:val="661E3F1E"/>
    <w:multiLevelType w:val="hybridMultilevel"/>
    <w:lvl w:ilvl="0">
      <w:lvlJc w:val="left"/>
      <w:lvlText w:val="(%1)"/>
      <w:numFmt w:val="lowerRoman"/>
      <w:start w:val="3"/>
    </w:lvl>
  </w:abstractNum>
  <w:abstractNum w:abstractNumId="39">
    <w:nsid w:val="5DC79EA8"/>
    <w:multiLevelType w:val="hybridMultilevel"/>
    <w:lvl w:ilvl="0">
      <w:lvlJc w:val="left"/>
      <w:lvlText w:val="(%1)"/>
      <w:numFmt w:val="lowerRoman"/>
      <w:start w:val="4"/>
    </w:lvl>
  </w:abstractNum>
  <w:abstractNum w:abstractNumId="40">
    <w:nsid w:val="540A471C"/>
    <w:multiLevelType w:val="hybridMultilevel"/>
    <w:lvl w:ilvl="0">
      <w:lvlJc w:val="left"/>
      <w:lvlText w:val="(%1)"/>
      <w:numFmt w:val="lowerLetter"/>
      <w:start w:val="1"/>
    </w:lvl>
    <w:lvl w:ilvl="1">
      <w:lvlJc w:val="left"/>
      <w:lvlText w:val="(%2)"/>
      <w:numFmt w:val="upperLetter"/>
      <w:start w:val="9"/>
    </w:lvl>
  </w:abstractNum>
  <w:abstractNum w:abstractNumId="41">
    <w:nsid w:val="7BD3EE7B"/>
    <w:multiLevelType w:val="hybridMultilevel"/>
    <w:lvl w:ilvl="0">
      <w:lvlJc w:val="left"/>
      <w:lvlText w:val="%1"/>
      <w:numFmt w:val="lowerLetter"/>
      <w:start w:val="1"/>
    </w:lvl>
    <w:lvl w:ilvl="1">
      <w:lvlJc w:val="left"/>
      <w:lvlText w:val="(%2)"/>
      <w:numFmt w:val="upperLetter"/>
      <w:start w:val="35"/>
    </w:lvl>
  </w:abstractNum>
  <w:abstractNum w:abstractNumId="42">
    <w:nsid w:val="51D9C564"/>
    <w:multiLevelType w:val="hybridMultilevel"/>
    <w:lvl w:ilvl="0">
      <w:lvlJc w:val="left"/>
      <w:lvlText w:val="(%1)"/>
      <w:numFmt w:val="lowerLetter"/>
      <w:start w:val="4"/>
    </w:lvl>
    <w:lvl w:ilvl="1">
      <w:lvlJc w:val="left"/>
      <w:lvlText w:val="(%2)"/>
      <w:numFmt w:val="upperLetter"/>
      <w:start w:val="35"/>
    </w:lvl>
  </w:abstractNum>
  <w:abstractNum w:abstractNumId="43">
    <w:nsid w:val="613EFDC5"/>
    <w:multiLevelType w:val="hybridMultilevel"/>
    <w:lvl w:ilvl="0">
      <w:lvlJc w:val="left"/>
      <w:lvlText w:val="(%1)"/>
      <w:numFmt w:val="lowerLetter"/>
      <w:start w:val="5"/>
    </w:lvl>
  </w:abstractNum>
  <w:abstractNum w:abstractNumId="44">
    <w:nsid w:val="BF72B14"/>
    <w:multiLevelType w:val="hybridMultilevel"/>
    <w:lvl w:ilvl="0">
      <w:lvlJc w:val="left"/>
      <w:lvlText w:val="%1"/>
      <w:numFmt w:val="lowerRoman"/>
      <w:start w:val="1"/>
    </w:lvl>
    <w:lvl w:ilvl="1">
      <w:lvlJc w:val="left"/>
      <w:lvlText w:val="(%2)"/>
      <w:numFmt w:val="lowerRoman"/>
      <w:start w:val="1"/>
    </w:lvl>
  </w:abstractNum>
  <w:abstractNum w:abstractNumId="45">
    <w:nsid w:val="11447B73"/>
    <w:multiLevelType w:val="hybridMultilevel"/>
    <w:lvl w:ilvl="0">
      <w:lvlJc w:val="left"/>
      <w:lvlText w:val="(%1)"/>
      <w:numFmt w:val="lowerRoman"/>
      <w:start w:val="7"/>
    </w:lvl>
    <w:lvl w:ilvl="1">
      <w:lvlJc w:val="left"/>
      <w:lvlText w:val="%2"/>
      <w:numFmt w:val="lowerRoman"/>
      <w:start w:val="1"/>
    </w:lvl>
  </w:abstractNum>
  <w:abstractNum w:abstractNumId="46">
    <w:nsid w:val="42963E5A"/>
    <w:multiLevelType w:val="hybridMultilevel"/>
    <w:lvl w:ilvl="0">
      <w:lvlJc w:val="left"/>
      <w:lvlText w:val="(%1)"/>
      <w:numFmt w:val="lowerRoman"/>
      <w:start w:val="8"/>
    </w:lvl>
  </w:abstractNum>
  <w:abstractNum w:abstractNumId="47">
    <w:nsid w:val="A0382C5"/>
    <w:multiLevelType w:val="hybridMultilevel"/>
    <w:lvl w:ilvl="0">
      <w:lvlJc w:val="left"/>
      <w:lvlText w:val="(%1)"/>
      <w:numFmt w:val="lowerRoman"/>
      <w:start w:val="11"/>
    </w:lvl>
  </w:abstractNum>
  <w:abstractNum w:abstractNumId="48">
    <w:nsid w:val="8F2B15E"/>
    <w:multiLevelType w:val="hybridMultilevel"/>
    <w:lvl w:ilvl="0">
      <w:lvlJc w:val="left"/>
      <w:lvlText w:val="(%1)"/>
      <w:numFmt w:val="lowerRoman"/>
      <w:start w:val="15"/>
    </w:lvl>
  </w:abstractNum>
  <w:abstractNum w:abstractNumId="49">
    <w:nsid w:val="1A32234B"/>
    <w:multiLevelType w:val="hybridMultilevel"/>
    <w:lvl w:ilvl="0">
      <w:lvlJc w:val="left"/>
      <w:lvlText w:val="(%1)"/>
      <w:numFmt w:val="lowerRoman"/>
      <w:start w:val="18"/>
    </w:lvl>
    <w:lvl w:ilvl="1">
      <w:lvlJc w:val="left"/>
      <w:lvlText w:val="(%2)"/>
      <w:numFmt w:val="lowerLetter"/>
      <w:start w:val="2"/>
    </w:lvl>
  </w:abstractNum>
  <w:abstractNum w:abstractNumId="50">
    <w:nsid w:val="3B0FD379"/>
    <w:multiLevelType w:val="hybridMultilevel"/>
    <w:lvl w:ilvl="0">
      <w:lvlJc w:val="left"/>
      <w:lvlText w:val="(%1)"/>
      <w:numFmt w:val="lowerRoman"/>
      <w:start w:val="19"/>
    </w:lvl>
  </w:abstractNum>
  <w:abstractNum w:abstractNumId="51">
    <w:nsid w:val="68EB2F63"/>
    <w:multiLevelType w:val="hybridMultilevel"/>
    <w:lvl w:ilvl="0">
      <w:lvlJc w:val="left"/>
      <w:lvlText w:val="(%1)"/>
      <w:numFmt w:val="lowerRoman"/>
      <w:start w:val="20"/>
    </w:lvl>
    <w:lvl w:ilvl="1">
      <w:lvlJc w:val="left"/>
      <w:lvlText w:val=";"/>
      <w:numFmt w:val="bullet"/>
      <w:start w:val="1"/>
    </w:lvl>
  </w:abstractNum>
  <w:abstractNum w:abstractNumId="52">
    <w:nsid w:val="4962813B"/>
    <w:multiLevelType w:val="hybridMultilevel"/>
    <w:lvl w:ilvl="0">
      <w:lvlJc w:val="left"/>
      <w:lvlText w:val="(%1)"/>
      <w:numFmt w:val="lowerLetter"/>
      <w:start w:val="1"/>
    </w:lvl>
  </w:abstractNum>
  <w:abstractNum w:abstractNumId="53">
    <w:nsid w:val="60B6DF70"/>
    <w:multiLevelType w:val="hybridMultilevel"/>
    <w:lvl w:ilvl="0">
      <w:lvlJc w:val="left"/>
      <w:lvlText w:val="(%1)"/>
      <w:numFmt w:val="lowerRoman"/>
      <w:start w:val="1"/>
    </w:lvl>
  </w:abstractNum>
  <w:abstractNum w:abstractNumId="54">
    <w:nsid w:val="6A5EE64"/>
    <w:multiLevelType w:val="hybridMultilevel"/>
    <w:lvl w:ilvl="0">
      <w:lvlJc w:val="left"/>
      <w:lvlText w:val="(%1)"/>
      <w:numFmt w:val="lowerLetter"/>
      <w:start w:val="2"/>
    </w:lvl>
  </w:abstractNum>
  <w:abstractNum w:abstractNumId="55">
    <w:nsid w:val="14330624"/>
    <w:multiLevelType w:val="hybridMultilevel"/>
    <w:lvl w:ilvl="0">
      <w:lvlJc w:val="left"/>
      <w:lvlText w:val="(%1)"/>
      <w:numFmt w:val="lowerLetter"/>
      <w:start w:val="35"/>
    </w:lvl>
    <w:lvl w:ilvl="1">
      <w:lvlJc w:val="left"/>
      <w:lvlText w:val="(%2)"/>
      <w:numFmt w:val="lowerLetter"/>
      <w:start w:val="23"/>
    </w:lvl>
  </w:abstractNum>
  <w:abstractNum w:abstractNumId="56">
    <w:nsid w:val="7FFFCA11"/>
    <w:multiLevelType w:val="hybridMultilevel"/>
    <w:lvl w:ilvl="0">
      <w:lvlJc w:val="left"/>
      <w:lvlText w:val="%1"/>
      <w:numFmt w:val="lowerRoman"/>
      <w:start w:val="1"/>
    </w:lvl>
    <w:lvl w:ilvl="1">
      <w:lvlJc w:val="left"/>
      <w:lvlText w:val="(%2)"/>
      <w:numFmt w:val="lowerLetter"/>
      <w:start w:val="25"/>
    </w:lvl>
  </w:abstractNum>
  <w:abstractNum w:abstractNumId="57">
    <w:nsid w:val="1A27709E"/>
    <w:multiLevelType w:val="hybridMultilevel"/>
    <w:lvl w:ilvl="0">
      <w:lvlJc w:val="left"/>
      <w:lvlText w:val="(%1)"/>
      <w:numFmt w:val="lowerRoman"/>
      <w:start w:val="3"/>
    </w:lvl>
    <w:lvl w:ilvl="1">
      <w:lvlJc w:val="left"/>
      <w:lvlText w:val="%2"/>
      <w:numFmt w:val="lowerLetter"/>
      <w:start w:val="1"/>
    </w:lvl>
  </w:abstractNum>
  <w:abstractNum w:abstractNumId="58">
    <w:nsid w:val="71EA1109"/>
    <w:multiLevelType w:val="hybridMultilevel"/>
    <w:lvl w:ilvl="0">
      <w:lvlJc w:val="left"/>
      <w:lvlText w:val="(%1)"/>
      <w:numFmt w:val="lowerRoman"/>
      <w:start w:val="5"/>
    </w:lvl>
  </w:abstractNum>
  <w:abstractNum w:abstractNumId="59">
    <w:nsid w:val="100F59DC"/>
    <w:multiLevelType w:val="hybridMultilevel"/>
    <w:lvl w:ilvl="0">
      <w:lvlJc w:val="left"/>
      <w:lvlText w:val="(%1)"/>
      <w:numFmt w:val="lowerLetter"/>
      <w:start w:val="1"/>
    </w:lvl>
  </w:abstractNum>
  <w:abstractNum w:abstractNumId="60">
    <w:nsid w:val="7FB7E0AA"/>
    <w:multiLevelType w:val="hybridMultilevel"/>
    <w:lvl w:ilvl="0">
      <w:lvlJc w:val="left"/>
      <w:lvlText w:val="(%1)"/>
      <w:numFmt w:val="lowerLetter"/>
      <w:start w:val="3"/>
    </w:lvl>
  </w:abstractNum>
  <w:abstractNum w:abstractNumId="61">
    <w:nsid w:val="6EB5BD4"/>
    <w:multiLevelType w:val="hybridMultilevel"/>
    <w:lvl w:ilvl="0">
      <w:lvlJc w:val="left"/>
      <w:lvlText w:val="%1"/>
      <w:numFmt w:val="decimal"/>
      <w:start w:val="1"/>
    </w:lvl>
    <w:lvl w:ilvl="1">
      <w:lvlJc w:val="left"/>
      <w:lvlText w:val="(%2)"/>
      <w:numFmt w:val="lowerLetter"/>
      <w:start w:val="1"/>
    </w:lvl>
  </w:abstractNum>
  <w:abstractNum w:abstractNumId="62">
    <w:nsid w:val="6F6DD9AC"/>
    <w:multiLevelType w:val="hybridMultilevel"/>
    <w:lvl w:ilvl="0">
      <w:lvlJc w:val="left"/>
      <w:lvlText w:val="(%1)"/>
      <w:numFmt w:val="decimal"/>
      <w:start w:val="2"/>
    </w:lvl>
    <w:lvl w:ilvl="1">
      <w:lvlJc w:val="left"/>
      <w:lvlText w:val="(%2)"/>
      <w:numFmt w:val="lowerLetter"/>
      <w:start w:val="3"/>
    </w:lvl>
  </w:abstractNum>
  <w:abstractNum w:abstractNumId="63">
    <w:nsid w:val="94211F2"/>
    <w:multiLevelType w:val="hybridMultilevel"/>
    <w:lvl w:ilvl="0">
      <w:lvlJc w:val="left"/>
      <w:lvlText w:val="%1"/>
      <w:numFmt w:val="lowerRoman"/>
      <w:start w:val="1"/>
    </w:lvl>
    <w:lvl w:ilvl="1">
      <w:lvlJc w:val="left"/>
      <w:lvlText w:val="(%2)"/>
      <w:numFmt w:val="lowerLetter"/>
      <w:start w:val="4"/>
    </w:lvl>
  </w:abstractNum>
  <w:abstractNum w:abstractNumId="64">
    <w:nsid w:val="885E1B"/>
    <w:multiLevelType w:val="hybridMultilevel"/>
    <w:lvl w:ilvl="0">
      <w:lvlJc w:val="left"/>
      <w:lvlText w:val="(%1)"/>
      <w:numFmt w:val="lowerRoman"/>
      <w:start w:val="2"/>
    </w:lvl>
    <w:lvl w:ilvl="1">
      <w:lvlJc w:val="left"/>
      <w:lvlText w:val="%2"/>
      <w:numFmt w:val="lowerLetter"/>
      <w:start w:val="1"/>
    </w:lvl>
  </w:abstractNum>
  <w:abstractNum w:abstractNumId="65">
    <w:nsid w:val="76272110"/>
    <w:multiLevelType w:val="hybridMultilevel"/>
    <w:lvl w:ilvl="0">
      <w:lvlJc w:val="left"/>
      <w:lvlText w:val="(%1)"/>
      <w:numFmt w:val="lowerLetter"/>
      <w:start w:val="6"/>
    </w:lvl>
  </w:abstractNum>
  <w:abstractNum w:abstractNumId="66">
    <w:nsid w:val="4C04A8AF"/>
    <w:multiLevelType w:val="hybridMultilevel"/>
    <w:lvl w:ilvl="0">
      <w:lvlJc w:val="left"/>
      <w:lvlText w:val="(%1)"/>
      <w:numFmt w:val="lowerLetter"/>
      <w:start w:val="2"/>
    </w:lvl>
  </w:abstractNum>
  <w:abstractNum w:abstractNumId="67">
    <w:nsid w:val="1716703B"/>
    <w:multiLevelType w:val="hybridMultilevel"/>
    <w:lvl w:ilvl="0">
      <w:lvlJc w:val="left"/>
      <w:lvlText w:val="%1."/>
      <w:numFmt w:val="decimal"/>
      <w:start w:val="1"/>
    </w:lvl>
  </w:abstractNum>
  <w:abstractNum w:abstractNumId="68">
    <w:nsid w:val="14E17E33"/>
    <w:multiLevelType w:val="hybridMultilevel"/>
    <w:lvl w:ilvl="0">
      <w:lvlJc w:val="left"/>
      <w:lvlText w:val="%1."/>
      <w:numFmt w:val="decimal"/>
      <w:start w:val="2"/>
    </w:lvl>
  </w:abstractNum>
  <w:abstractNum w:abstractNumId="69">
    <w:nsid w:val="3222E7CD"/>
    <w:multiLevelType w:val="hybridMultilevel"/>
    <w:lvl w:ilvl="0">
      <w:lvlJc w:val="left"/>
      <w:lvlText w:val="%1"/>
      <w:numFmt w:val="decimal"/>
      <w:start w:val="1"/>
    </w:lvl>
    <w:lvl w:ilvl="1">
      <w:lvlJc w:val="left"/>
      <w:lvlText w:val="(%2)"/>
      <w:numFmt w:val="lowerRoman"/>
      <w:start w:val="1"/>
    </w:lvl>
  </w:abstractNum>
  <w:abstractNum w:abstractNumId="70">
    <w:nsid w:val="74DE0EE3"/>
    <w:multiLevelType w:val="hybridMultilevel"/>
    <w:lvl w:ilvl="0">
      <w:lvlJc w:val="left"/>
      <w:lvlText w:val="%1."/>
      <w:numFmt w:val="decimal"/>
      <w:start w:val="3"/>
    </w:lvl>
    <w:lvl w:ilvl="1">
      <w:lvlJc w:val="left"/>
      <w:lvlText w:val="%2"/>
      <w:numFmt w:val="lowerRoman"/>
      <w:start w:val="1"/>
    </w:lvl>
  </w:abstractNum>
  <w:abstractNum w:abstractNumId="71">
    <w:nsid w:val="68EBC550"/>
    <w:multiLevelType w:val="hybridMultilevel"/>
    <w:lvl w:ilvl="0">
      <w:lvlJc w:val="left"/>
      <w:lvlText w:val="%1."/>
      <w:numFmt w:val="decimal"/>
      <w:start w:val="4"/>
    </w:lvl>
  </w:abstractNum>
  <w:abstractNum w:abstractNumId="72">
    <w:nsid w:val="2DF6D648"/>
    <w:multiLevelType w:val="hybridMultilevel"/>
    <w:lvl w:ilvl="0">
      <w:lvlJc w:val="left"/>
      <w:lvlText w:val="%1."/>
      <w:numFmt w:val="decimal"/>
      <w:start w:val="5"/>
    </w:lvl>
  </w:abstractNum>
  <w:abstractNum w:abstractNumId="73">
    <w:nsid w:val="46B7D447"/>
    <w:multiLevelType w:val="hybridMultilevel"/>
    <w:lvl w:ilvl="0">
      <w:lvlJc w:val="left"/>
      <w:lvlText w:val="%1."/>
      <w:numFmt w:val="decimal"/>
      <w:start w:val="6"/>
    </w:lvl>
  </w:abstractNum>
  <w:abstractNum w:abstractNumId="74">
    <w:nsid w:val="4A2AC315"/>
    <w:multiLevelType w:val="hybridMultilevel"/>
    <w:lvl w:ilvl="0">
      <w:lvlJc w:val="left"/>
      <w:lvlText w:val="%1."/>
      <w:numFmt w:val="decimal"/>
      <w:start w:val="7"/>
    </w:lvl>
  </w:abstractNum>
  <w:abstractNum w:abstractNumId="75">
    <w:nsid w:val="39EE015C"/>
    <w:multiLevelType w:val="hybridMultilevel"/>
    <w:lvl w:ilvl="0">
      <w:lvlJc w:val="left"/>
      <w:lvlText w:val="%1."/>
      <w:numFmt w:val="decimal"/>
      <w:start w:val="9"/>
    </w:lvl>
  </w:abstractNum>
  <w:abstractNum w:abstractNumId="76">
    <w:nsid w:val="57FC4FBB"/>
    <w:multiLevelType w:val="hybridMultilevel"/>
    <w:lvl w:ilvl="0">
      <w:lvlJc w:val="left"/>
      <w:lvlText w:val="%1."/>
      <w:numFmt w:val="decimal"/>
      <w:start w:val="1"/>
    </w:lvl>
  </w:abstractNum>
  <w:abstractNum w:abstractNumId="77">
    <w:nsid w:val="CC1016F"/>
    <w:multiLevelType w:val="hybridMultilevel"/>
    <w:lvl w:ilvl="0">
      <w:lvlJc w:val="left"/>
      <w:lvlText w:val="(%1)"/>
      <w:numFmt w:val="decimal"/>
      <w:start w:val="1"/>
    </w:lvl>
  </w:abstractNum>
  <w:abstractNum w:abstractNumId="78">
    <w:nsid w:val="43F18422"/>
    <w:multiLevelType w:val="hybridMultilevel"/>
    <w:lvl w:ilvl="0">
      <w:lvlJc w:val="left"/>
      <w:lvlText w:val="(%1)"/>
      <w:numFmt w:val="decimal"/>
      <w:start w:val="10"/>
    </w:lvl>
  </w:abstractNum>
  <w:abstractNum w:abstractNumId="79">
    <w:nsid w:val="60EF0119"/>
    <w:multiLevelType w:val="hybridMultilevel"/>
    <w:lvl w:ilvl="0">
      <w:lvlJc w:val="left"/>
      <w:lvlText w:val="(%1)"/>
      <w:numFmt w:val="decimal"/>
      <w:start w:val="1"/>
    </w:lvl>
  </w:abstractNum>
  <w:abstractNum w:abstractNumId="80">
    <w:nsid w:val="26F324BA"/>
    <w:multiLevelType w:val="hybridMultilevel"/>
    <w:lvl w:ilvl="0">
      <w:lvlJc w:val="left"/>
      <w:lvlText w:val="(%1)"/>
      <w:numFmt w:val="upperLetter"/>
      <w:start w:val="1"/>
    </w:lvl>
  </w:abstractNum>
  <w:abstractNum w:abstractNumId="81">
    <w:nsid w:val="7F01579B"/>
    <w:multiLevelType w:val="hybridMultilevel"/>
    <w:lvl w:ilvl="0">
      <w:lvlJc w:val="left"/>
      <w:lvlText w:val="(%1)"/>
      <w:numFmt w:val="lowerRoman"/>
      <w:start w:val="1"/>
    </w:lvl>
  </w:abstractNum>
  <w:abstractNum w:abstractNumId="82">
    <w:nsid w:val="49DA307D"/>
    <w:multiLevelType w:val="hybridMultilevel"/>
    <w:lvl w:ilvl="0">
      <w:lvlJc w:val="left"/>
      <w:lvlText w:val="(%1)"/>
      <w:numFmt w:val="lowerLetter"/>
      <w:start w:val="1"/>
    </w:lvl>
    <w:lvl w:ilvl="1">
      <w:lvlJc w:val="left"/>
      <w:lvlText w:val="%2."/>
      <w:numFmt w:val="decimal"/>
      <w:start w:val="1"/>
    </w:lvl>
  </w:abstractNum>
  <w:abstractNum w:abstractNumId="83">
    <w:nsid w:val="7055A5F5"/>
    <w:multiLevelType w:val="hybridMultilevel"/>
    <w:lvl w:ilvl="0">
      <w:lvlJc w:val="left"/>
      <w:lvlText w:val="%1."/>
      <w:numFmt w:val="decimal"/>
      <w:start w:val="4"/>
    </w:lvl>
  </w:abstractNum>
  <w:abstractNum w:abstractNumId="84">
    <w:nsid w:val="5FB8370B"/>
    <w:multiLevelType w:val="hybridMultilevel"/>
    <w:lvl w:ilvl="0">
      <w:lvlJc w:val="left"/>
      <w:lvlText w:val="(%1)"/>
      <w:numFmt w:val="upperLetter"/>
      <w:start w:val="2"/>
    </w:lvl>
  </w:abstractNum>
  <w:abstractNum w:abstractNumId="85">
    <w:nsid w:val="50801EE1"/>
    <w:multiLevelType w:val="hybridMultilevel"/>
    <w:lvl w:ilvl="0">
      <w:lvlJc w:val="left"/>
      <w:lvlText w:val="(%1)"/>
      <w:numFmt w:val="lowerRoman"/>
      <w:start w:val="1"/>
    </w:lvl>
  </w:abstractNum>
  <w:abstractNum w:abstractNumId="86">
    <w:nsid w:val="488AC1A"/>
    <w:multiLevelType w:val="hybridMultilevel"/>
    <w:lvl w:ilvl="0">
      <w:lvlJc w:val="left"/>
      <w:lvlText w:val="%1."/>
      <w:numFmt w:val="decimal"/>
      <w:start w:val="4"/>
    </w:lvl>
  </w:abstractNum>
  <w:abstractNum w:abstractNumId="87">
    <w:nsid w:val="5FB8011C"/>
    <w:multiLevelType w:val="hybridMultilevel"/>
    <w:lvl w:ilvl="0">
      <w:lvlJc w:val="left"/>
      <w:lvlText w:val="%1."/>
      <w:numFmt w:val="decimal"/>
      <w:start w:val="1"/>
    </w:lvl>
  </w:abstractNum>
  <w:abstractNum w:abstractNumId="88">
    <w:nsid w:val="6AA78F7F"/>
    <w:multiLevelType w:val="hybridMultilevel"/>
    <w:lvl w:ilvl="0">
      <w:lvlJc w:val="left"/>
      <w:lvlText w:val="%1."/>
      <w:numFmt w:val="decimal"/>
      <w:start w:val="2"/>
    </w:lvl>
  </w:abstractNum>
  <w:abstractNum w:abstractNumId="89">
    <w:nsid w:val="7672BD23"/>
    <w:multiLevelType w:val="hybridMultilevel"/>
    <w:lvl w:ilvl="0">
      <w:lvlJc w:val="left"/>
      <w:lvlText w:val="%1."/>
      <w:numFmt w:val="decimal"/>
      <w:start w:val="3"/>
    </w:lvl>
  </w:abstractNum>
  <w:abstractNum w:abstractNumId="90">
    <w:nsid w:val="6FC75AF8"/>
    <w:multiLevelType w:val="hybridMultilevel"/>
    <w:lvl w:ilvl="0">
      <w:lvlJc w:val="left"/>
      <w:lvlText w:val="%1."/>
      <w:numFmt w:val="decimal"/>
      <w:start w:val="4"/>
    </w:lvl>
  </w:abstractNum>
  <w:abstractNum w:abstractNumId="91">
    <w:nsid w:val="6A5F7029"/>
    <w:multiLevelType w:val="hybridMultilevel"/>
    <w:lvl w:ilvl="0">
      <w:lvlJc w:val="left"/>
      <w:lvlText w:val="%1."/>
      <w:numFmt w:val="decimal"/>
      <w:start w:val="5"/>
    </w:lvl>
  </w:abstractNum>
  <w:abstractNum w:abstractNumId="92">
    <w:nsid w:val="7D5E18F8"/>
    <w:multiLevelType w:val="hybridMultilevel"/>
    <w:lvl w:ilvl="0">
      <w:lvlJc w:val="left"/>
      <w:lvlText w:val="%1."/>
      <w:numFmt w:val="decimal"/>
      <w:start w:val="1"/>
    </w:lvl>
  </w:abstractNum>
  <w:abstractNum w:abstractNumId="93">
    <w:nsid w:val="5F3534A4"/>
    <w:multiLevelType w:val="hybridMultilevel"/>
    <w:lvl w:ilvl="0">
      <w:lvlJc w:val="left"/>
      <w:lvlText w:val="%1."/>
      <w:numFmt w:val="decimal"/>
      <w:start w:val="1"/>
    </w:lvl>
  </w:abstractNum>
  <w:abstractNum w:abstractNumId="94">
    <w:nsid w:val="73A1821B"/>
    <w:multiLevelType w:val="hybridMultilevel"/>
    <w:lvl w:ilvl="0">
      <w:lvlJc w:val="left"/>
      <w:lvlText w:val="4"/>
      <w:numFmt w:val="bullet"/>
      <w:start w:val="1"/>
    </w:lvl>
  </w:abstractNum>
  <w:abstractNum w:abstractNumId="95">
    <w:nsid w:val="7DE67713"/>
    <w:multiLevelType w:val="hybridMultilevel"/>
    <w:lvl w:ilvl="0">
      <w:lvlJc w:val="left"/>
      <w:lvlText w:val="%1."/>
      <w:numFmt w:val="decimal"/>
      <w:start w:val="1"/>
    </w:lvl>
  </w:abstractNum>
  <w:abstractNum w:abstractNumId="96">
    <w:nsid w:val="555C55B5"/>
    <w:multiLevelType w:val="hybridMultilevel"/>
    <w:lvl w:ilvl="0">
      <w:lvlJc w:val="left"/>
      <w:lvlText w:val="%1."/>
      <w:numFmt w:val="decimal"/>
      <w:start w:val="2"/>
    </w:lvl>
  </w:abstractNum>
  <w:abstractNum w:abstractNumId="97">
    <w:nsid w:val="3FA62ACA"/>
    <w:multiLevelType w:val="hybridMultilevel"/>
    <w:lvl w:ilvl="0">
      <w:lvlJc w:val="left"/>
      <w:lvlText w:val="%1."/>
      <w:numFmt w:val="decimal"/>
      <w:start w:val="3"/>
    </w:lvl>
  </w:abstractNum>
  <w:abstractNum w:abstractNumId="98">
    <w:nsid w:val="14FCE74E"/>
    <w:multiLevelType w:val="hybridMultilevel"/>
    <w:lvl w:ilvl="0">
      <w:lvlJc w:val="left"/>
      <w:lvlText w:val="%1."/>
      <w:numFmt w:val="decimal"/>
      <w:start w:val="4"/>
    </w:lvl>
  </w:abstractNum>
  <w:abstractNum w:abstractNumId="99">
    <w:nsid w:val="6A3DD3E8"/>
    <w:multiLevelType w:val="hybridMultilevel"/>
    <w:lvl w:ilvl="0">
      <w:lvlJc w:val="left"/>
      <w:lvlText w:val="%1."/>
      <w:numFmt w:val="decimal"/>
      <w:start w:val="6"/>
    </w:lvl>
  </w:abstractNum>
  <w:abstractNum w:abstractNumId="100">
    <w:nsid w:val="71C91298"/>
    <w:multiLevelType w:val="hybridMultilevel"/>
    <w:lvl w:ilvl="0">
      <w:lvlJc w:val="left"/>
      <w:lvlText w:val="%1."/>
      <w:numFmt w:val="decimal"/>
      <w:start w:val="1"/>
    </w:lvl>
  </w:abstractNum>
  <w:abstractNum w:abstractNumId="101">
    <w:nsid w:val="9DAF632"/>
    <w:multiLevelType w:val="hybridMultilevel"/>
    <w:lvl w:ilvl="0">
      <w:lvlJc w:val="left"/>
      <w:lvlText w:val="%1."/>
      <w:numFmt w:val="decimal"/>
      <w:start w:val="2"/>
    </w:lvl>
  </w:abstractNum>
  <w:abstractNum w:abstractNumId="102">
    <w:nsid w:val="53299938"/>
    <w:multiLevelType w:val="hybridMultilevel"/>
    <w:lvl w:ilvl="0">
      <w:lvlJc w:val="left"/>
      <w:lvlText w:val="%1."/>
      <w:numFmt w:val="decimal"/>
      <w:start w:val="1"/>
    </w:lvl>
    <w:lvl w:ilvl="1">
      <w:lvlJc w:val="left"/>
      <w:lvlText w:val="(%2)"/>
      <w:numFmt w:val="lowerLetter"/>
      <w:start w:val="1"/>
    </w:lvl>
  </w:abstractNum>
  <w:abstractNum w:abstractNumId="103">
    <w:nsid w:val="1FBFE8E0"/>
    <w:multiLevelType w:val="hybridMultilevel"/>
    <w:lvl w:ilvl="0">
      <w:lvlJc w:val="left"/>
      <w:lvlText w:val="%1."/>
      <w:numFmt w:val="decimal"/>
      <w:start w:val="1"/>
    </w:lvl>
    <w:lvl w:ilvl="1">
      <w:lvlJc w:val="left"/>
      <w:lvlText w:val="(%2)"/>
      <w:numFmt w:val="lowerLetter"/>
      <w:start w:val="1"/>
    </w:lvl>
  </w:abstractNum>
  <w:abstractNum w:abstractNumId="104">
    <w:nsid w:val="5092CA79"/>
    <w:multiLevelType w:val="hybridMultilevel"/>
    <w:lvl w:ilvl="0">
      <w:lvlJc w:val="left"/>
      <w:lvlText w:val="%1."/>
      <w:numFmt w:val="decimal"/>
      <w:start w:val="1"/>
    </w:lvl>
    <w:lvl w:ilvl="1">
      <w:lvlJc w:val="left"/>
      <w:lvlText w:val="(%2)"/>
      <w:numFmt w:val="lowerLetter"/>
      <w:start w:val="1"/>
    </w:lvl>
  </w:abstractNum>
  <w:abstractNum w:abstractNumId="105">
    <w:nsid w:val="1D545C4D"/>
    <w:multiLevelType w:val="hybridMultilevel"/>
    <w:lvl w:ilvl="0">
      <w:lvlJc w:val="left"/>
      <w:lvlText w:val="%1."/>
      <w:numFmt w:val="decimal"/>
      <w:start w:val="1"/>
    </w:lvl>
    <w:lvl w:ilvl="1">
      <w:lvlJc w:val="left"/>
      <w:lvlText w:val="(%2)"/>
      <w:numFmt w:val="lowerLetter"/>
      <w:start w:val="1"/>
    </w:lvl>
  </w:abstractNum>
  <w:abstractNum w:abstractNumId="106">
    <w:nsid w:val="59ADEA3D"/>
    <w:multiLevelType w:val="hybridMultilevel"/>
    <w:lvl w:ilvl="0">
      <w:lvlJc w:val="left"/>
      <w:lvlText w:val="(%1)"/>
      <w:numFmt w:val="decimal"/>
      <w:start w:val="1"/>
    </w:lvl>
  </w:abstractNum>
  <w:abstractNum w:abstractNumId="107">
    <w:nsid w:val="288F1A3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jpeg"/><Relationship Id="rId172" Type="http://schemas.openxmlformats.org/officeDocument/2006/relationships/image" Target="media/image165.jpe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jpe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2019-12-29T05:14:24Z</dcterms:created>
  <dcterms:modified xsi:type="dcterms:W3CDTF">2019-12-29T05:14:24Z</dcterms:modified>
</cp:coreProperties>
</file>