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594995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560705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April 12, 2023</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GROUP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INC.</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26"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38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Delaware</w:t>
            </w:r>
          </w:p>
        </w:tc>
        <w:tc>
          <w:tcPr>
            <w:tcW w:w="1140" w:type="dxa"/>
            <w:vAlign w:val="bottom"/>
          </w:tcPr>
          <w:p>
            <w:pPr>
              <w:spacing w:after="0"/>
              <w:rPr>
                <w:sz w:val="19"/>
                <w:szCs w:val="19"/>
                <w:color w:val="auto"/>
              </w:rPr>
            </w:pPr>
          </w:p>
        </w:tc>
        <w:tc>
          <w:tcPr>
            <w:tcW w:w="1600" w:type="dxa"/>
            <w:vAlign w:val="bottom"/>
          </w:tcPr>
          <w:p>
            <w:pPr>
              <w:jc w:val="center"/>
              <w:ind w:right="430"/>
              <w:spacing w:after="0"/>
              <w:rPr>
                <w:sz w:val="20"/>
                <w:szCs w:val="20"/>
                <w:color w:val="auto"/>
              </w:rPr>
            </w:pPr>
            <w:r>
              <w:rPr>
                <w:rFonts w:ascii="Arial" w:cs="Arial" w:eastAsia="Arial" w:hAnsi="Arial"/>
                <w:sz w:val="18"/>
                <w:szCs w:val="18"/>
                <w:b w:val="1"/>
                <w:bCs w:val="1"/>
                <w:color w:val="auto"/>
                <w:w w:val="99"/>
              </w:rPr>
              <w:t>1-8400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80" w:type="dxa"/>
            <w:vAlign w:val="bottom"/>
          </w:tcPr>
          <w:p>
            <w:pPr>
              <w:jc w:val="center"/>
              <w:ind w:left="136"/>
              <w:spacing w:after="0"/>
              <w:rPr>
                <w:sz w:val="20"/>
                <w:szCs w:val="20"/>
                <w:color w:val="auto"/>
              </w:rPr>
            </w:pPr>
            <w:r>
              <w:rPr>
                <w:rFonts w:ascii="Arial" w:cs="Arial" w:eastAsia="Arial" w:hAnsi="Arial"/>
                <w:sz w:val="18"/>
                <w:szCs w:val="18"/>
                <w:b w:val="1"/>
                <w:bCs w:val="1"/>
                <w:color w:val="auto"/>
                <w:w w:val="99"/>
              </w:rPr>
              <w:t>75-1825172</w:t>
            </w:r>
          </w:p>
        </w:tc>
        <w:tc>
          <w:tcPr>
            <w:tcW w:w="220" w:type="dxa"/>
            <w:vAlign w:val="bottom"/>
          </w:tcPr>
          <w:p>
            <w:pPr>
              <w:spacing w:after="0"/>
              <w:rPr>
                <w:sz w:val="19"/>
                <w:szCs w:val="19"/>
                <w:color w:val="auto"/>
              </w:rPr>
            </w:pPr>
          </w:p>
        </w:tc>
      </w:tr>
      <w:tr>
        <w:trPr>
          <w:trHeight w:val="235"/>
        </w:trPr>
        <w:tc>
          <w:tcPr>
            <w:tcW w:w="2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jc w:val="center"/>
              <w:ind w:right="156"/>
              <w:spacing w:after="0"/>
              <w:rPr>
                <w:sz w:val="20"/>
                <w:szCs w:val="20"/>
                <w:color w:val="auto"/>
              </w:rPr>
            </w:pPr>
            <w:r>
              <w:rPr>
                <w:rFonts w:ascii="Arial" w:cs="Arial" w:eastAsia="Arial" w:hAnsi="Arial"/>
                <w:sz w:val="18"/>
                <w:szCs w:val="18"/>
                <w:b w:val="1"/>
                <w:bCs w:val="1"/>
                <w:color w:val="auto"/>
              </w:rPr>
              <w:t>Delaware</w:t>
            </w:r>
          </w:p>
        </w:tc>
        <w:tc>
          <w:tcPr>
            <w:tcW w:w="2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99"/>
              </w:rPr>
              <w:t>1-2691</w:t>
            </w: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Borders>
              <w:bottom w:val="single" w:sz="8" w:color="auto"/>
            </w:tcBorders>
          </w:tcPr>
          <w:p>
            <w:pPr>
              <w:jc w:val="center"/>
              <w:ind w:left="136"/>
              <w:spacing w:after="0"/>
              <w:rPr>
                <w:sz w:val="20"/>
                <w:szCs w:val="20"/>
                <w:color w:val="auto"/>
              </w:rPr>
            </w:pPr>
            <w:r>
              <w:rPr>
                <w:rFonts w:ascii="Arial" w:cs="Arial" w:eastAsia="Arial" w:hAnsi="Arial"/>
                <w:sz w:val="18"/>
                <w:szCs w:val="18"/>
                <w:b w:val="1"/>
                <w:bCs w:val="1"/>
                <w:color w:val="auto"/>
                <w:w w:val="99"/>
              </w:rPr>
              <w:t>13-1502798</w:t>
            </w:r>
          </w:p>
        </w:tc>
        <w:tc>
          <w:tcPr>
            <w:tcW w:w="220" w:type="dxa"/>
            <w:vAlign w:val="bottom"/>
            <w:tcBorders>
              <w:bottom w:val="single" w:sz="8" w:color="auto"/>
            </w:tcBorders>
          </w:tcPr>
          <w:p>
            <w:pPr>
              <w:spacing w:after="0"/>
              <w:rPr>
                <w:sz w:val="20"/>
                <w:szCs w:val="20"/>
                <w:color w:val="auto"/>
              </w:rPr>
            </w:pPr>
          </w:p>
        </w:tc>
      </w:tr>
      <w:tr>
        <w:trPr>
          <w:trHeight w:val="194"/>
        </w:trPr>
        <w:tc>
          <w:tcPr>
            <w:tcW w:w="240" w:type="dxa"/>
            <w:vAlign w:val="bottom"/>
          </w:tcPr>
          <w:p>
            <w:pPr>
              <w:spacing w:after="0"/>
              <w:rPr>
                <w:sz w:val="16"/>
                <w:szCs w:val="16"/>
                <w:color w:val="auto"/>
              </w:rPr>
            </w:pPr>
          </w:p>
        </w:tc>
        <w:tc>
          <w:tcPr>
            <w:tcW w:w="3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(State or other Jurisdiction of Incorporation)</w:t>
            </w:r>
          </w:p>
        </w:tc>
        <w:tc>
          <w:tcPr>
            <w:tcW w:w="35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(Commission File Number)</w:t>
            </w:r>
          </w:p>
        </w:tc>
        <w:tc>
          <w:tcPr>
            <w:tcW w:w="3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(IRS Employer Identification No.)</w:t>
            </w:r>
          </w:p>
        </w:tc>
      </w:tr>
      <w:tr>
        <w:trPr>
          <w:trHeight w:val="699"/>
        </w:trPr>
        <w:tc>
          <w:tcPr>
            <w:tcW w:w="240" w:type="dxa"/>
            <w:vAlign w:val="bottom"/>
          </w:tcPr>
          <w:p>
            <w:pPr>
              <w:spacing w:after="0"/>
              <w:rPr>
                <w:sz w:val="24"/>
                <w:szCs w:val="24"/>
                <w:color w:val="auto"/>
              </w:rPr>
            </w:pPr>
          </w:p>
        </w:tc>
        <w:tc>
          <w:tcPr>
            <w:tcW w:w="3800" w:type="dxa"/>
            <w:vAlign w:val="bottom"/>
            <w:gridSpan w:val="2"/>
          </w:tcPr>
          <w:p>
            <w:pPr>
              <w:ind w:left="2280"/>
              <w:spacing w:after="0"/>
              <w:rPr>
                <w:sz w:val="20"/>
                <w:szCs w:val="20"/>
                <w:color w:val="auto"/>
              </w:rPr>
            </w:pPr>
            <w:r>
              <w:rPr>
                <w:rFonts w:ascii="Arial" w:cs="Arial" w:eastAsia="Arial" w:hAnsi="Arial"/>
                <w:sz w:val="18"/>
                <w:szCs w:val="18"/>
                <w:b w:val="1"/>
                <w:bCs w:val="1"/>
                <w:color w:val="auto"/>
              </w:rPr>
              <w:t>1 Skyview Drive,</w:t>
            </w:r>
          </w:p>
        </w:tc>
        <w:tc>
          <w:tcPr>
            <w:tcW w:w="1140" w:type="dxa"/>
            <w:vAlign w:val="bottom"/>
          </w:tcPr>
          <w:p>
            <w:pPr>
              <w:ind w:left="80"/>
              <w:spacing w:after="0"/>
              <w:rPr>
                <w:sz w:val="20"/>
                <w:szCs w:val="20"/>
                <w:color w:val="auto"/>
              </w:rPr>
            </w:pPr>
            <w:r>
              <w:rPr>
                <w:rFonts w:ascii="Arial" w:cs="Arial" w:eastAsia="Arial" w:hAnsi="Arial"/>
                <w:sz w:val="18"/>
                <w:szCs w:val="18"/>
                <w:b w:val="1"/>
                <w:bCs w:val="1"/>
                <w:color w:val="auto"/>
              </w:rPr>
              <w:t>Fort Worth,</w:t>
            </w:r>
          </w:p>
        </w:tc>
        <w:tc>
          <w:tcPr>
            <w:tcW w:w="2420" w:type="dxa"/>
            <w:vAlign w:val="bottom"/>
            <w:gridSpan w:val="4"/>
          </w:tcPr>
          <w:p>
            <w:pPr>
              <w:ind w:left="100"/>
              <w:spacing w:after="0"/>
              <w:rPr>
                <w:sz w:val="20"/>
                <w:szCs w:val="20"/>
                <w:color w:val="auto"/>
              </w:rPr>
            </w:pPr>
            <w:r>
              <w:rPr>
                <w:rFonts w:ascii="Arial" w:cs="Arial" w:eastAsia="Arial" w:hAnsi="Arial"/>
                <w:sz w:val="18"/>
                <w:szCs w:val="18"/>
                <w:b w:val="1"/>
                <w:bCs w:val="1"/>
                <w:color w:val="auto"/>
              </w:rPr>
              <w:t>Texas</w:t>
            </w:r>
          </w:p>
        </w:tc>
        <w:tc>
          <w:tcPr>
            <w:tcW w:w="3380" w:type="dxa"/>
            <w:vAlign w:val="bottom"/>
          </w:tcPr>
          <w:p>
            <w:pPr>
              <w:jc w:val="center"/>
              <w:ind w:right="356"/>
              <w:spacing w:after="0"/>
              <w:rPr>
                <w:sz w:val="20"/>
                <w:szCs w:val="20"/>
                <w:color w:val="auto"/>
              </w:rPr>
            </w:pPr>
            <w:r>
              <w:rPr>
                <w:rFonts w:ascii="Arial" w:cs="Arial" w:eastAsia="Arial" w:hAnsi="Arial"/>
                <w:sz w:val="18"/>
                <w:szCs w:val="18"/>
                <w:b w:val="1"/>
                <w:bCs w:val="1"/>
                <w:color w:val="auto"/>
                <w:w w:val="99"/>
              </w:rPr>
              <w:t>76155</w:t>
            </w:r>
          </w:p>
        </w:tc>
        <w:tc>
          <w:tcPr>
            <w:tcW w:w="220" w:type="dxa"/>
            <w:vAlign w:val="bottom"/>
          </w:tcPr>
          <w:p>
            <w:pPr>
              <w:spacing w:after="0"/>
              <w:rPr>
                <w:sz w:val="24"/>
                <w:szCs w:val="24"/>
                <w:color w:val="auto"/>
              </w:rPr>
            </w:pPr>
          </w:p>
        </w:tc>
      </w:tr>
      <w:tr>
        <w:trPr>
          <w:trHeight w:val="235"/>
        </w:trPr>
        <w:tc>
          <w:tcPr>
            <w:tcW w:w="240" w:type="dxa"/>
            <w:vAlign w:val="bottom"/>
          </w:tcPr>
          <w:p>
            <w:pPr>
              <w:spacing w:after="0"/>
              <w:rPr>
                <w:sz w:val="20"/>
                <w:szCs w:val="20"/>
                <w:color w:val="auto"/>
              </w:rPr>
            </w:pPr>
          </w:p>
        </w:tc>
        <w:tc>
          <w:tcPr>
            <w:tcW w:w="3800" w:type="dxa"/>
            <w:vAlign w:val="bottom"/>
            <w:tcBorders>
              <w:bottom w:val="single" w:sz="8" w:color="auto"/>
            </w:tcBorders>
            <w:gridSpan w:val="2"/>
          </w:tcPr>
          <w:p>
            <w:pPr>
              <w:ind w:left="2280"/>
              <w:spacing w:after="0"/>
              <w:rPr>
                <w:sz w:val="20"/>
                <w:szCs w:val="20"/>
                <w:color w:val="auto"/>
              </w:rPr>
            </w:pPr>
            <w:r>
              <w:rPr>
                <w:rFonts w:ascii="Arial" w:cs="Arial" w:eastAsia="Arial" w:hAnsi="Arial"/>
                <w:sz w:val="18"/>
                <w:szCs w:val="18"/>
                <w:b w:val="1"/>
                <w:bCs w:val="1"/>
                <w:color w:val="auto"/>
              </w:rPr>
              <w:t>1 Skyview Drive,</w:t>
            </w: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Fort Worth,</w:t>
            </w:r>
          </w:p>
        </w:tc>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Texas</w:t>
            </w:r>
          </w:p>
        </w:tc>
        <w:tc>
          <w:tcPr>
            <w:tcW w:w="400" w:type="dxa"/>
            <w:vAlign w:val="bottom"/>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3380" w:type="dxa"/>
            <w:vAlign w:val="bottom"/>
            <w:tcBorders>
              <w:bottom w:val="single" w:sz="8" w:color="auto"/>
            </w:tcBorders>
          </w:tcPr>
          <w:p>
            <w:pPr>
              <w:jc w:val="center"/>
              <w:ind w:right="356"/>
              <w:spacing w:after="0"/>
              <w:rPr>
                <w:sz w:val="20"/>
                <w:szCs w:val="20"/>
                <w:color w:val="auto"/>
              </w:rPr>
            </w:pPr>
            <w:r>
              <w:rPr>
                <w:rFonts w:ascii="Arial" w:cs="Arial" w:eastAsia="Arial" w:hAnsi="Arial"/>
                <w:sz w:val="18"/>
                <w:szCs w:val="18"/>
                <w:b w:val="1"/>
                <w:bCs w:val="1"/>
                <w:color w:val="auto"/>
                <w:w w:val="99"/>
              </w:rPr>
              <w:t>76155</w:t>
            </w:r>
          </w:p>
        </w:tc>
        <w:tc>
          <w:tcPr>
            <w:tcW w:w="220" w:type="dxa"/>
            <w:vAlign w:val="bottom"/>
          </w:tcPr>
          <w:p>
            <w:pPr>
              <w:spacing w:after="0"/>
              <w:rPr>
                <w:sz w:val="20"/>
                <w:szCs w:val="20"/>
                <w:color w:val="auto"/>
              </w:rPr>
            </w:pPr>
          </w:p>
        </w:tc>
      </w:tr>
      <w:tr>
        <w:trPr>
          <w:trHeight w:val="194"/>
        </w:trPr>
        <w:tc>
          <w:tcPr>
            <w:tcW w:w="240" w:type="dxa"/>
            <w:vAlign w:val="bottom"/>
          </w:tcPr>
          <w:p>
            <w:pPr>
              <w:spacing w:after="0"/>
              <w:rPr>
                <w:sz w:val="16"/>
                <w:szCs w:val="16"/>
                <w:color w:val="auto"/>
              </w:rPr>
            </w:pPr>
          </w:p>
        </w:tc>
        <w:tc>
          <w:tcPr>
            <w:tcW w:w="4940" w:type="dxa"/>
            <w:vAlign w:val="bottom"/>
            <w:gridSpan w:val="3"/>
          </w:tcPr>
          <w:p>
            <w:pPr>
              <w:ind w:left="1920"/>
              <w:spacing w:after="0"/>
              <w:rPr>
                <w:sz w:val="20"/>
                <w:szCs w:val="20"/>
                <w:color w:val="auto"/>
              </w:rPr>
            </w:pPr>
            <w:r>
              <w:rPr>
                <w:rFonts w:ascii="Arial" w:cs="Arial" w:eastAsia="Arial" w:hAnsi="Arial"/>
                <w:sz w:val="14"/>
                <w:szCs w:val="14"/>
                <w:b w:val="1"/>
                <w:bCs w:val="1"/>
                <w:color w:val="auto"/>
              </w:rPr>
              <w:t>(Address of principal executive offices)</w:t>
            </w:r>
          </w:p>
        </w:tc>
        <w:tc>
          <w:tcPr>
            <w:tcW w:w="1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(Zip Code)</w:t>
            </w:r>
          </w:p>
        </w:tc>
      </w:tr>
    </w:tbl>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ind w:left="5480" w:hanging="471"/>
        <w:spacing w:after="0"/>
        <w:tabs>
          <w:tab w:leader="none" w:pos="54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278-9000</w:t>
      </w:r>
    </w:p>
    <w:p>
      <w:pPr>
        <w:spacing w:after="0" w:line="9" w:lineRule="exact"/>
        <w:rPr>
          <w:rFonts w:ascii="Arial" w:cs="Arial" w:eastAsia="Arial" w:hAnsi="Arial"/>
          <w:sz w:val="18"/>
          <w:szCs w:val="18"/>
          <w:b w:val="1"/>
          <w:bCs w:val="1"/>
          <w:color w:val="auto"/>
        </w:rPr>
      </w:pPr>
    </w:p>
    <w:p>
      <w:pPr>
        <w:ind w:left="5480" w:hanging="471"/>
        <w:spacing w:after="0"/>
        <w:tabs>
          <w:tab w:leader="none" w:pos="5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278-9000</w:t>
      </w:r>
    </w:p>
    <w:p>
      <w:pPr>
        <w:spacing w:after="0" w:line="109" w:lineRule="exact"/>
        <w:rPr>
          <w:sz w:val="24"/>
          <w:szCs w:val="24"/>
          <w:color w:val="auto"/>
        </w:rPr>
      </w:pPr>
    </w:p>
    <w:p>
      <w:pPr>
        <w:ind w:right="380"/>
        <w:spacing w:after="0" w:line="28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77" w:lineRule="exact"/>
        <w:rPr>
          <w:sz w:val="24"/>
          <w:szCs w:val="24"/>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Written communications pursuant to Rule 425 under the Securities Act (17 CFR 230.425)</w:t>
      </w:r>
    </w:p>
    <w:p>
      <w:pPr>
        <w:spacing w:after="0" w:line="50"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Soliciting material pursuant to Rule 14a-12 under the Exchange Act (17 CFR 240.14a-12)</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14d-2(b) under the Exchange Act (17 CFR 240.14d-2(b))</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13e-4(c) under the Exchange Act (17 CFR 240.13e-4(c))</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vMerge w:val="restart"/>
          </w:tcPr>
          <w:p>
            <w:pPr>
              <w:spacing w:after="0"/>
              <w:rPr>
                <w:sz w:val="14"/>
                <w:szCs w:val="14"/>
                <w:color w:val="auto"/>
              </w:rPr>
            </w:pPr>
          </w:p>
        </w:tc>
        <w:tc>
          <w:tcPr>
            <w:tcW w:w="3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Trading</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9"/>
        </w:trPr>
        <w:tc>
          <w:tcPr>
            <w:tcW w:w="376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200" w:type="dxa"/>
            <w:vAlign w:val="bottom"/>
          </w:tcPr>
          <w:p>
            <w:pPr>
              <w:spacing w:after="0"/>
              <w:rPr>
                <w:sz w:val="16"/>
                <w:szCs w:val="16"/>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142"/>
        </w:trPr>
        <w:tc>
          <w:tcPr>
            <w:tcW w:w="40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Common Stock, $0.01 par value per share</w:t>
            </w:r>
          </w:p>
        </w:tc>
        <w:tc>
          <w:tcPr>
            <w:tcW w:w="35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7"/>
              </w:rPr>
              <w:t>AAL</w:t>
            </w:r>
          </w:p>
        </w:tc>
        <w:tc>
          <w:tcPr>
            <w:tcW w:w="3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The Nasdaq Global Select Market</w:t>
            </w:r>
          </w:p>
        </w:tc>
        <w:tc>
          <w:tcPr>
            <w:tcW w:w="0" w:type="dxa"/>
            <w:vAlign w:val="bottom"/>
          </w:tcPr>
          <w:p>
            <w:pPr>
              <w:spacing w:after="0"/>
              <w:rPr>
                <w:sz w:val="1"/>
                <w:szCs w:val="1"/>
                <w:color w:val="auto"/>
              </w:rPr>
            </w:pPr>
          </w:p>
        </w:tc>
      </w:tr>
      <w:tr>
        <w:trPr>
          <w:trHeight w:val="160"/>
        </w:trPr>
        <w:tc>
          <w:tcPr>
            <w:tcW w:w="4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Preferred Stock Purchase Rights</w:t>
            </w:r>
          </w:p>
        </w:tc>
        <w:tc>
          <w:tcPr>
            <w:tcW w:w="35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w:t>
            </w:r>
          </w:p>
        </w:tc>
        <w:tc>
          <w:tcPr>
            <w:tcW w:w="362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95"/>
        </w:trPr>
        <w:tc>
          <w:tcPr>
            <w:tcW w:w="4000" w:type="dxa"/>
            <w:vAlign w:val="bottom"/>
            <w:gridSpan w:val="2"/>
            <w:vMerge w:val="continue"/>
          </w:tcPr>
          <w:p>
            <w:pPr>
              <w:spacing w:after="0"/>
              <w:rPr>
                <w:sz w:val="8"/>
                <w:szCs w:val="8"/>
                <w:color w:val="auto"/>
              </w:rPr>
            </w:pPr>
          </w:p>
        </w:tc>
        <w:tc>
          <w:tcPr>
            <w:tcW w:w="3560" w:type="dxa"/>
            <w:vAlign w:val="bottom"/>
            <w:gridSpan w:val="2"/>
            <w:vMerge w:val="continue"/>
          </w:tcPr>
          <w:p>
            <w:pPr>
              <w:spacing w:after="0"/>
              <w:rPr>
                <w:sz w:val="8"/>
                <w:szCs w:val="8"/>
                <w:color w:val="auto"/>
              </w:rPr>
            </w:pPr>
          </w:p>
        </w:tc>
        <w:tc>
          <w:tcPr>
            <w:tcW w:w="3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5" w:lineRule="exact"/>
        <w:rPr>
          <w:sz w:val="24"/>
          <w:szCs w:val="24"/>
          <w:color w:val="auto"/>
        </w:rPr>
      </w:pPr>
    </w:p>
    <w:p>
      <w:pPr>
        <w:ind w:left="180" w:hanging="172"/>
        <w:spacing w:after="0"/>
        <w:tabs>
          <w:tab w:leader="none" w:pos="180" w:val="left"/>
        </w:tabs>
        <w:numPr>
          <w:ilvl w:val="0"/>
          <w:numId w:val="4"/>
        </w:numPr>
        <w:rPr>
          <w:rFonts w:ascii="Arial" w:cs="Arial" w:eastAsia="Arial" w:hAnsi="Arial"/>
          <w:sz w:val="9"/>
          <w:szCs w:val="9"/>
          <w:color w:val="auto"/>
        </w:rPr>
      </w:pPr>
      <w:r>
        <w:rPr>
          <w:rFonts w:ascii="Arial" w:cs="Arial" w:eastAsia="Arial" w:hAnsi="Arial"/>
          <w:sz w:val="14"/>
          <w:szCs w:val="14"/>
          <w:color w:val="auto"/>
        </w:rPr>
        <w:t>Attached to the Common Stock</w:t>
      </w:r>
    </w:p>
    <w:p>
      <w:pPr>
        <w:spacing w:after="0" w:line="113" w:lineRule="exact"/>
        <w:rPr>
          <w:sz w:val="24"/>
          <w:szCs w:val="24"/>
          <w:color w:val="auto"/>
        </w:rPr>
      </w:pPr>
    </w:p>
    <w:p>
      <w:pPr>
        <w:ind w:right="22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44" w:lineRule="exact"/>
        <w:rPr>
          <w:sz w:val="24"/>
          <w:szCs w:val="24"/>
          <w:color w:val="auto"/>
        </w:rPr>
      </w:pPr>
    </w:p>
    <w:p>
      <w:pPr>
        <w:ind w:left="87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69" w:lineRule="exact"/>
        <w:rPr>
          <w:sz w:val="24"/>
          <w:szCs w:val="24"/>
          <w:color w:val="auto"/>
        </w:rPr>
      </w:pPr>
    </w:p>
    <w:p>
      <w:pPr>
        <w:ind w:right="6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748665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101" w:right="359" w:bottom="1440" w:gutter="0" w:footer="0" w:header="0"/>
        </w:sectPr>
      </w:pPr>
    </w:p>
    <w:bookmarkStart w:id="1" w:name="page2"/>
    <w:bookmarkEnd w:id="1"/>
    <w:p>
      <w:pPr>
        <w:ind w:left="20"/>
        <w:spacing w:after="0"/>
        <w:tabs>
          <w:tab w:leader="none" w:pos="15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American Airlines Group Inc. (“AAG”) and American Airlines, Inc., a wholly owned subsidiary of AAG (“AAI” and, together with AAG and its other consolidated subsidiaries, the “Company”), are providing updated financial and operational guidance relating to the first quarter of 2023.</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in this Item 7.01, including Exhibit 99.1,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document includes forward-looking statements within the meaning of the Securities Act of 1933, as amended, the Securities Exchange Act of 1934, as amended,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herein as well as in the Company’s Annual Report on Form 10-K for the year ended December 31, 2022 (especially in Part I, Item 1A. Risk Factors and Part II, Item 7. Management’s Discussion and Analysis of Financial Condition and Results of Operations), and other risks and uncertainties listed from time to time in the Company’s other filings with the Securities and Exchange Commission.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pacing w:after="0" w:line="235"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340" w:type="dxa"/>
            <w:vAlign w:val="bottom"/>
          </w:tcPr>
          <w:p>
            <w:pPr>
              <w:ind w:left="400"/>
              <w:spacing w:after="0"/>
              <w:rPr>
                <w:sz w:val="20"/>
                <w:szCs w:val="20"/>
                <w:color w:val="auto"/>
              </w:rPr>
            </w:pPr>
            <w:r>
              <w:rPr>
                <w:rFonts w:ascii="Arial" w:cs="Arial" w:eastAsia="Arial" w:hAnsi="Arial"/>
                <w:sz w:val="18"/>
                <w:szCs w:val="18"/>
                <w:b w:val="1"/>
                <w:bCs w:val="1"/>
                <w:color w:val="auto"/>
              </w:rPr>
              <w:t>(d) Exhibits.</w:t>
            </w:r>
          </w:p>
        </w:tc>
        <w:tc>
          <w:tcPr>
            <w:tcW w:w="3040" w:type="dxa"/>
            <w:vAlign w:val="bottom"/>
          </w:tcPr>
          <w:p>
            <w:pPr>
              <w:spacing w:after="0"/>
              <w:rPr>
                <w:sz w:val="21"/>
                <w:szCs w:val="21"/>
                <w:color w:val="auto"/>
              </w:rPr>
            </w:pPr>
          </w:p>
        </w:tc>
        <w:tc>
          <w:tcPr>
            <w:tcW w:w="5860" w:type="dxa"/>
            <w:vAlign w:val="bottom"/>
          </w:tcPr>
          <w:p>
            <w:pPr>
              <w:spacing w:after="0"/>
              <w:rPr>
                <w:sz w:val="21"/>
                <w:szCs w:val="21"/>
                <w:color w:val="auto"/>
              </w:rPr>
            </w:pPr>
          </w:p>
        </w:tc>
      </w:tr>
      <w:tr>
        <w:trPr>
          <w:trHeight w:val="445"/>
        </w:trPr>
        <w:tc>
          <w:tcPr>
            <w:tcW w:w="2340" w:type="dxa"/>
            <w:vAlign w:val="bottom"/>
          </w:tcPr>
          <w:p>
            <w:pPr>
              <w:ind w:left="360"/>
              <w:spacing w:after="0"/>
              <w:rPr>
                <w:sz w:val="20"/>
                <w:szCs w:val="20"/>
                <w:color w:val="auto"/>
              </w:rPr>
            </w:pPr>
            <w:r>
              <w:rPr>
                <w:rFonts w:ascii="Arial" w:cs="Arial" w:eastAsia="Arial" w:hAnsi="Arial"/>
                <w:sz w:val="18"/>
                <w:szCs w:val="18"/>
                <w:b w:val="1"/>
                <w:bCs w:val="1"/>
                <w:color w:val="auto"/>
              </w:rPr>
              <w:t>Exhibit No.</w:t>
            </w:r>
          </w:p>
        </w:tc>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31"/>
        </w:trPr>
        <w:tc>
          <w:tcPr>
            <w:tcW w:w="2340" w:type="dxa"/>
            <w:vAlign w:val="bottom"/>
          </w:tcPr>
          <w:p>
            <w:pPr>
              <w:ind w:left="360"/>
              <w:spacing w:after="0"/>
              <w:rPr>
                <w:sz w:val="20"/>
                <w:szCs w:val="20"/>
                <w:color w:val="auto"/>
              </w:rPr>
            </w:pPr>
            <w:r>
              <w:rPr>
                <w:rFonts w:ascii="Arial" w:cs="Arial" w:eastAsia="Arial" w:hAnsi="Arial"/>
                <w:sz w:val="18"/>
                <w:szCs w:val="18"/>
                <w:color w:val="auto"/>
              </w:rPr>
              <w:t>99.1</w:t>
            </w:r>
          </w:p>
        </w:tc>
        <w:tc>
          <w:tcPr>
            <w:tcW w:w="30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Investor Update, dated April 12, 2023.</w:t>
            </w:r>
          </w:p>
        </w:tc>
        <w:tc>
          <w:tcPr>
            <w:tcW w:w="5860" w:type="dxa"/>
            <w:vAlign w:val="bottom"/>
          </w:tcPr>
          <w:p>
            <w:pPr>
              <w:spacing w:after="0"/>
              <w:rPr>
                <w:sz w:val="20"/>
                <w:szCs w:val="20"/>
                <w:color w:val="auto"/>
              </w:rPr>
            </w:pPr>
          </w:p>
        </w:tc>
      </w:tr>
      <w:tr>
        <w:trPr>
          <w:trHeight w:val="308"/>
        </w:trPr>
        <w:tc>
          <w:tcPr>
            <w:tcW w:w="2340" w:type="dxa"/>
            <w:vAlign w:val="bottom"/>
          </w:tcPr>
          <w:p>
            <w:pPr>
              <w:ind w:left="360"/>
              <w:spacing w:after="0"/>
              <w:rPr>
                <w:sz w:val="20"/>
                <w:szCs w:val="20"/>
                <w:color w:val="auto"/>
              </w:rPr>
            </w:pPr>
            <w:r>
              <w:rPr>
                <w:rFonts w:ascii="Arial" w:cs="Arial" w:eastAsia="Arial" w:hAnsi="Arial"/>
                <w:sz w:val="18"/>
                <w:szCs w:val="18"/>
                <w:color w:val="auto"/>
              </w:rPr>
              <w:t>104.1</w:t>
            </w:r>
          </w:p>
        </w:tc>
        <w:tc>
          <w:tcPr>
            <w:tcW w:w="89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975"/>
        </w:trPr>
        <w:tc>
          <w:tcPr>
            <w:tcW w:w="234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5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American Airlines Group Inc. has duly caused this report to be signed on its behalf by the undersigned hereunto duly authorized.</w:t>
      </w:r>
    </w:p>
    <w:p>
      <w:pPr>
        <w:spacing w:after="0" w:line="34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93" w:lineRule="exact"/>
        <w:rPr>
          <w:sz w:val="20"/>
          <w:szCs w:val="20"/>
          <w:color w:val="auto"/>
        </w:rPr>
      </w:pPr>
    </w:p>
    <w:p>
      <w:pPr>
        <w:ind w:left="20"/>
        <w:spacing w:after="0"/>
        <w:tabs>
          <w:tab w:leader="none" w:pos="6260" w:val="left"/>
          <w:tab w:leader="none" w:pos="6840" w:val="left"/>
        </w:tabs>
        <w:rPr>
          <w:sz w:val="20"/>
          <w:szCs w:val="20"/>
          <w:color w:val="auto"/>
        </w:rPr>
      </w:pPr>
      <w:r>
        <w:rPr>
          <w:rFonts w:ascii="Arial" w:cs="Arial" w:eastAsia="Arial" w:hAnsi="Arial"/>
          <w:sz w:val="18"/>
          <w:szCs w:val="18"/>
          <w:color w:val="auto"/>
        </w:rPr>
        <w:t>Date: April 12,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17780</wp:posOffset>
            </wp:positionV>
            <wp:extent cx="2777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Devon E. May</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3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American Airlines, Inc. has duly caused this report to be signed on its behalf by the undersigned hereunto duly authorized.</w:t>
      </w:r>
    </w:p>
    <w:p>
      <w:pPr>
        <w:spacing w:after="0" w:line="32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93" w:lineRule="exact"/>
        <w:rPr>
          <w:sz w:val="20"/>
          <w:szCs w:val="20"/>
          <w:color w:val="auto"/>
        </w:rPr>
      </w:pPr>
    </w:p>
    <w:p>
      <w:pPr>
        <w:ind w:left="20"/>
        <w:spacing w:after="0"/>
        <w:tabs>
          <w:tab w:leader="none" w:pos="6260" w:val="left"/>
          <w:tab w:leader="none" w:pos="6840" w:val="left"/>
        </w:tabs>
        <w:rPr>
          <w:sz w:val="20"/>
          <w:szCs w:val="20"/>
          <w:color w:val="auto"/>
        </w:rPr>
      </w:pPr>
      <w:r>
        <w:rPr>
          <w:rFonts w:ascii="Arial" w:cs="Arial" w:eastAsia="Arial" w:hAnsi="Arial"/>
          <w:sz w:val="18"/>
          <w:szCs w:val="18"/>
          <w:color w:val="auto"/>
        </w:rPr>
        <w:t>Date: April 12,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17780</wp:posOffset>
            </wp:positionV>
            <wp:extent cx="2777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Devon E. May</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00"/>
          </w:cols>
          <w:pgMar w:left="320" w:top="890" w:right="479" w:bottom="1440" w:gutter="0" w:footer="0" w:header="0"/>
        </w:sectPr>
      </w:pPr>
    </w:p>
    <w:bookmarkStart w:id="3" w:name="page4"/>
    <w:bookmarkEnd w:id="3"/>
    <w:p>
      <w:pPr>
        <w:ind w:left="10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2188210</wp:posOffset>
            </wp:positionH>
            <wp:positionV relativeFrom="page">
              <wp:posOffset>88900</wp:posOffset>
            </wp:positionV>
            <wp:extent cx="3171825"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3171825" cy="480060"/>
                    </a:xfrm>
                    <a:prstGeom prst="rect">
                      <a:avLst/>
                    </a:prstGeom>
                    <a:noFill/>
                  </pic:spPr>
                </pic:pic>
              </a:graphicData>
            </a:graphic>
          </wp:anchor>
        </w:drawing>
        <w:t>Exhibit 99.1</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First Quarter Investor Relations Update</w:t>
      </w:r>
    </w:p>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April 12, 2023</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General Overview</w:t>
      </w:r>
    </w:p>
    <w:p>
      <w:pPr>
        <w:spacing w:after="0" w:line="220" w:lineRule="exact"/>
        <w:rPr>
          <w:sz w:val="20"/>
          <w:szCs w:val="20"/>
          <w:color w:val="auto"/>
        </w:rPr>
      </w:pPr>
    </w:p>
    <w:p>
      <w:pPr>
        <w:ind w:left="240" w:right="100" w:hanging="214"/>
        <w:spacing w:after="0" w:line="189"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Capacity</w:t>
      </w:r>
      <w:r>
        <w:rPr>
          <w:rFonts w:ascii="Arial" w:cs="Arial" w:eastAsia="Arial" w:hAnsi="Arial"/>
          <w:sz w:val="18"/>
          <w:szCs w:val="18"/>
          <w:color w:val="auto"/>
        </w:rPr>
        <w:t>: During the first quarter, the Company flew 65.0 billion total available seat miles, 9.2% higher than the first quarter of 2022, and</w:t>
      </w:r>
      <w:r>
        <w:rPr>
          <w:rFonts w:ascii="Arial" w:cs="Arial" w:eastAsia="Arial" w:hAnsi="Arial"/>
          <w:sz w:val="18"/>
          <w:szCs w:val="18"/>
          <w:b w:val="1"/>
          <w:bCs w:val="1"/>
          <w:color w:val="auto"/>
        </w:rPr>
        <w:t xml:space="preserve"> </w:t>
      </w:r>
      <w:r>
        <w:rPr>
          <w:rFonts w:ascii="Arial" w:cs="Arial" w:eastAsia="Arial" w:hAnsi="Arial"/>
          <w:sz w:val="18"/>
          <w:szCs w:val="18"/>
          <w:color w:val="auto"/>
        </w:rPr>
        <w:t>just above the mid-point of its prior guidance of up 8% to 10%.</w:t>
      </w:r>
    </w:p>
    <w:p>
      <w:pPr>
        <w:spacing w:after="0" w:line="87" w:lineRule="exact"/>
        <w:rPr>
          <w:rFonts w:ascii="Arial" w:cs="Arial" w:eastAsia="Arial" w:hAnsi="Arial"/>
          <w:sz w:val="29"/>
          <w:szCs w:val="29"/>
          <w:color w:val="auto"/>
          <w:vertAlign w:val="superscript"/>
        </w:rPr>
      </w:pPr>
    </w:p>
    <w:p>
      <w:pPr>
        <w:ind w:left="240" w:right="80" w:hanging="214"/>
        <w:spacing w:after="0" w:line="189"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TRASM</w:t>
      </w:r>
      <w:r>
        <w:rPr>
          <w:rFonts w:ascii="Arial" w:cs="Arial" w:eastAsia="Arial" w:hAnsi="Arial"/>
          <w:sz w:val="18"/>
          <w:szCs w:val="18"/>
          <w:color w:val="auto"/>
        </w:rPr>
        <w:t>: First quarter total revenue per available seat mile (TRASM) is expected to be up approximately 25.5% versus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2022, at the mid-point of its previous guidance of up 24% to 27%.</w:t>
      </w:r>
    </w:p>
    <w:p>
      <w:pPr>
        <w:spacing w:after="0" w:line="82" w:lineRule="exact"/>
        <w:rPr>
          <w:rFonts w:ascii="Arial" w:cs="Arial" w:eastAsia="Arial" w:hAnsi="Arial"/>
          <w:sz w:val="29"/>
          <w:szCs w:val="29"/>
          <w:color w:val="auto"/>
          <w:vertAlign w:val="superscript"/>
        </w:rPr>
      </w:pPr>
    </w:p>
    <w:p>
      <w:pPr>
        <w:ind w:left="240" w:right="220" w:hanging="214"/>
        <w:spacing w:after="0" w:line="191"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CASM-ex</w:t>
      </w:r>
      <w:r>
        <w:rPr>
          <w:rFonts w:ascii="Arial" w:cs="Arial" w:eastAsia="Arial" w:hAnsi="Arial"/>
          <w:sz w:val="23"/>
          <w:szCs w:val="23"/>
          <w:b w:val="1"/>
          <w:bCs w:val="1"/>
          <w:color w:val="auto"/>
          <w:vertAlign w:val="superscript"/>
        </w:rPr>
        <w:t>1</w:t>
      </w:r>
      <w:r>
        <w:rPr>
          <w:rFonts w:ascii="Arial" w:cs="Arial" w:eastAsia="Arial" w:hAnsi="Arial"/>
          <w:sz w:val="18"/>
          <w:szCs w:val="18"/>
          <w:color w:val="auto"/>
        </w:rPr>
        <w:t>: The Company expects first quarter CASM-ex to be approximately 1.5% lower than the first quarter of 2022, compared to its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 guidance of down 3% to flat.</w:t>
      </w:r>
    </w:p>
    <w:p>
      <w:pPr>
        <w:spacing w:after="0" w:line="73" w:lineRule="exact"/>
        <w:rPr>
          <w:rFonts w:ascii="Arial" w:cs="Arial" w:eastAsia="Arial" w:hAnsi="Arial"/>
          <w:sz w:val="29"/>
          <w:szCs w:val="29"/>
          <w:color w:val="auto"/>
          <w:vertAlign w:val="superscript"/>
        </w:rPr>
      </w:pPr>
    </w:p>
    <w:p>
      <w:pPr>
        <w:ind w:left="240" w:right="320" w:hanging="214"/>
        <w:spacing w:after="0" w:line="199"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Net special items</w:t>
      </w:r>
      <w:r>
        <w:rPr>
          <w:rFonts w:ascii="Arial" w:cs="Arial" w:eastAsia="Arial" w:hAnsi="Arial"/>
          <w:sz w:val="18"/>
          <w:szCs w:val="18"/>
          <w:color w:val="auto"/>
        </w:rPr>
        <w:t>: The Company expects to report net special items of approximately $23 million in the first quarter, after the effect of</w:t>
      </w:r>
      <w:r>
        <w:rPr>
          <w:rFonts w:ascii="Arial" w:cs="Arial" w:eastAsia="Arial" w:hAnsi="Arial"/>
          <w:sz w:val="18"/>
          <w:szCs w:val="18"/>
          <w:b w:val="1"/>
          <w:bCs w:val="1"/>
          <w:color w:val="auto"/>
        </w:rPr>
        <w:t xml:space="preserve"> </w:t>
      </w:r>
      <w:r>
        <w:rPr>
          <w:rFonts w:ascii="Arial" w:cs="Arial" w:eastAsia="Arial" w:hAnsi="Arial"/>
          <w:sz w:val="18"/>
          <w:szCs w:val="18"/>
          <w:color w:val="auto"/>
        </w:rPr>
        <w:t>taxes</w:t>
      </w:r>
      <w:r>
        <w:rPr>
          <w:rFonts w:ascii="Arial" w:cs="Arial" w:eastAsia="Arial" w:hAnsi="Arial"/>
          <w:sz w:val="23"/>
          <w:szCs w:val="23"/>
          <w:color w:val="auto"/>
          <w:vertAlign w:val="superscript"/>
        </w:rPr>
        <w:t>2</w:t>
      </w:r>
      <w:r>
        <w:rPr>
          <w:rFonts w:ascii="Arial" w:cs="Arial" w:eastAsia="Arial" w:hAnsi="Arial"/>
          <w:sz w:val="18"/>
          <w:szCs w:val="18"/>
          <w:color w:val="auto"/>
        </w:rPr>
        <w:t>.</w:t>
      </w:r>
    </w:p>
    <w:p>
      <w:pPr>
        <w:spacing w:after="0" w:line="1" w:lineRule="exact"/>
        <w:rPr>
          <w:rFonts w:ascii="Arial" w:cs="Arial" w:eastAsia="Arial" w:hAnsi="Arial"/>
          <w:sz w:val="29"/>
          <w:szCs w:val="29"/>
          <w:color w:val="auto"/>
          <w:vertAlign w:val="superscript"/>
        </w:rPr>
      </w:pPr>
    </w:p>
    <w:p>
      <w:pPr>
        <w:ind w:left="240" w:right="80" w:hanging="214"/>
        <w:spacing w:after="0" w:line="191"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Adjusted operating margin</w:t>
      </w:r>
      <w:r>
        <w:rPr>
          <w:rFonts w:ascii="Arial" w:cs="Arial" w:eastAsia="Arial" w:hAnsi="Arial"/>
          <w:sz w:val="23"/>
          <w:szCs w:val="23"/>
          <w:b w:val="1"/>
          <w:bCs w:val="1"/>
          <w:color w:val="auto"/>
          <w:vertAlign w:val="superscript"/>
        </w:rPr>
        <w:t>3</w:t>
      </w:r>
      <w:r>
        <w:rPr>
          <w:rFonts w:ascii="Arial" w:cs="Arial" w:eastAsia="Arial" w:hAnsi="Arial"/>
          <w:sz w:val="18"/>
          <w:szCs w:val="18"/>
          <w:color w:val="auto"/>
        </w:rPr>
        <w:t>: The Company expects to report an adjusted operating margin of approximately 3.5% in the first quarter, at</w:t>
      </w:r>
      <w:r>
        <w:rPr>
          <w:rFonts w:ascii="Arial" w:cs="Arial" w:eastAsia="Arial" w:hAnsi="Arial"/>
          <w:sz w:val="18"/>
          <w:szCs w:val="18"/>
          <w:b w:val="1"/>
          <w:bCs w:val="1"/>
          <w:color w:val="auto"/>
        </w:rPr>
        <w:t xml:space="preserve"> </w:t>
      </w:r>
      <w:r>
        <w:rPr>
          <w:rFonts w:ascii="Arial" w:cs="Arial" w:eastAsia="Arial" w:hAnsi="Arial"/>
          <w:sz w:val="18"/>
          <w:szCs w:val="18"/>
          <w:color w:val="auto"/>
        </w:rPr>
        <w:t>the mid-point of its previous guidance of 2.5% to 4.5%.</w:t>
      </w:r>
    </w:p>
    <w:p>
      <w:pPr>
        <w:spacing w:after="0" w:line="67" w:lineRule="exact"/>
        <w:rPr>
          <w:rFonts w:ascii="Arial" w:cs="Arial" w:eastAsia="Arial" w:hAnsi="Arial"/>
          <w:sz w:val="29"/>
          <w:szCs w:val="29"/>
          <w:color w:val="auto"/>
          <w:vertAlign w:val="superscript"/>
        </w:rPr>
      </w:pPr>
    </w:p>
    <w:p>
      <w:pPr>
        <w:ind w:left="240" w:right="100" w:hanging="214"/>
        <w:spacing w:after="0" w:line="191"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Adjusted EPS</w:t>
      </w:r>
      <w:r>
        <w:rPr>
          <w:rFonts w:ascii="Arial" w:cs="Arial" w:eastAsia="Arial" w:hAnsi="Arial"/>
          <w:sz w:val="23"/>
          <w:szCs w:val="23"/>
          <w:b w:val="1"/>
          <w:bCs w:val="1"/>
          <w:color w:val="auto"/>
          <w:vertAlign w:val="superscript"/>
        </w:rPr>
        <w:t>3</w:t>
      </w:r>
      <w:r>
        <w:rPr>
          <w:rFonts w:ascii="Arial" w:cs="Arial" w:eastAsia="Arial" w:hAnsi="Arial"/>
          <w:sz w:val="18"/>
          <w:szCs w:val="18"/>
          <w:color w:val="auto"/>
        </w:rPr>
        <w:t>: The Company expects to report first quarter adjusted earnings per diluted share of between $0.01 and $0.05,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its prior guidance of approximately breakeven.</w:t>
      </w:r>
    </w:p>
    <w:p>
      <w:pPr>
        <w:spacing w:after="0" w:line="73" w:lineRule="exact"/>
        <w:rPr>
          <w:rFonts w:ascii="Arial" w:cs="Arial" w:eastAsia="Arial" w:hAnsi="Arial"/>
          <w:sz w:val="29"/>
          <w:szCs w:val="29"/>
          <w:color w:val="auto"/>
          <w:vertAlign w:val="superscript"/>
        </w:rPr>
      </w:pPr>
    </w:p>
    <w:p>
      <w:pPr>
        <w:ind w:left="240" w:right="60" w:hanging="214"/>
        <w:spacing w:after="0" w:line="189"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Liquidity</w:t>
      </w:r>
      <w:r>
        <w:rPr>
          <w:rFonts w:ascii="Arial" w:cs="Arial" w:eastAsia="Arial" w:hAnsi="Arial"/>
          <w:sz w:val="18"/>
          <w:szCs w:val="18"/>
          <w:color w:val="auto"/>
        </w:rPr>
        <w:t>: The Company expects to end the first quarter with approximately $14.4 billion in total available liquidity, comprised of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short-term investments plus undrawn capacity under revolving and other credit facilities.</w:t>
      </w:r>
    </w:p>
    <w:p>
      <w:pPr>
        <w:spacing w:after="0" w:line="197" w:lineRule="exact"/>
        <w:rPr>
          <w:sz w:val="20"/>
          <w:szCs w:val="20"/>
          <w:color w:val="auto"/>
        </w:rPr>
      </w:pPr>
    </w:p>
    <w:p>
      <w:pPr>
        <w:ind w:right="320"/>
        <w:spacing w:after="0" w:line="267" w:lineRule="auto"/>
        <w:rPr>
          <w:sz w:val="20"/>
          <w:szCs w:val="20"/>
          <w:color w:val="auto"/>
        </w:rPr>
      </w:pPr>
      <w:r>
        <w:rPr>
          <w:rFonts w:ascii="Arial" w:cs="Arial" w:eastAsia="Arial" w:hAnsi="Arial"/>
          <w:sz w:val="18"/>
          <w:szCs w:val="18"/>
          <w:i w:val="1"/>
          <w:iCs w:val="1"/>
          <w:color w:val="auto"/>
        </w:rPr>
        <w:t>These results and those reflected in the attached reconciliation tables are preliminary and final results for the quarter may change. These preliminary results are based upon the Company’s current estimates and are subject to completion of the Company’s financial closing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19284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both"/>
        <w:ind w:firstLine="8"/>
        <w:spacing w:after="0" w:line="237" w:lineRule="auto"/>
        <w:tabs>
          <w:tab w:leader="none" w:pos="103" w:val="left"/>
        </w:tabs>
        <w:numPr>
          <w:ilvl w:val="0"/>
          <w:numId w:val="6"/>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CASM-ex is cost per available seat mile (CASM) excluding fuel and net special items and is a non-GAAP measure. The updated guidance provided herein is presented to provide comparability with prior guidance. For a reconciliation of CASM to CASM-ex, please see the GAAP to non-GAAP reconciliation at the end of this document.</w:t>
      </w:r>
    </w:p>
    <w:p>
      <w:pPr>
        <w:spacing w:after="0" w:line="31" w:lineRule="exact"/>
        <w:rPr>
          <w:sz w:val="20"/>
          <w:szCs w:val="20"/>
          <w:color w:val="auto"/>
        </w:rPr>
      </w:pPr>
    </w:p>
    <w:p>
      <w:pPr>
        <w:ind w:left="120" w:hanging="112"/>
        <w:spacing w:after="0"/>
        <w:tabs>
          <w:tab w:leader="none" w:pos="120" w:val="left"/>
        </w:tabs>
        <w:numPr>
          <w:ilvl w:val="0"/>
          <w:numId w:val="7"/>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Includes a net tax effect of ~$5 million.</w:t>
      </w:r>
    </w:p>
    <w:p>
      <w:pPr>
        <w:spacing w:after="0" w:line="69" w:lineRule="exact"/>
        <w:rPr>
          <w:sz w:val="20"/>
          <w:szCs w:val="20"/>
          <w:color w:val="auto"/>
        </w:rPr>
      </w:pPr>
    </w:p>
    <w:p>
      <w:pPr>
        <w:ind w:firstLine="8"/>
        <w:spacing w:after="0" w:line="233" w:lineRule="auto"/>
        <w:tabs>
          <w:tab w:leader="none" w:pos="88" w:val="left"/>
        </w:tabs>
        <w:numPr>
          <w:ilvl w:val="0"/>
          <w:numId w:val="8"/>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Adjusted operating margin and adjusted earnings per diluted share exclude net special items and are non-GAAP measures. The updated guidance provided herein is presented to provide comparability with prior guidance. For a reconciliation of adjusted operating margin and adjusted earnings per diluted share to their most comparable GAAP measures, please see the GAAP to non-GAAP reconciliation at the end of this document.</w:t>
      </w:r>
    </w:p>
    <w:p>
      <w:pPr>
        <w:sectPr>
          <w:pgSz w:w="11900" w:h="16838" w:orient="portrait"/>
          <w:cols w:equalWidth="0" w:num="1">
            <w:col w:w="11200"/>
          </w:cols>
          <w:pgMar w:left="320" w:top="985" w:right="3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2188210</wp:posOffset>
            </wp:positionH>
            <wp:positionV relativeFrom="page">
              <wp:posOffset>88900</wp:posOffset>
            </wp:positionV>
            <wp:extent cx="3171825"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3171825" cy="480060"/>
                    </a:xfrm>
                    <a:prstGeom prst="rect">
                      <a:avLst/>
                    </a:prstGeom>
                    <a:noFill/>
                  </pic:spPr>
                </pic:pic>
              </a:graphicData>
            </a:graphic>
          </wp:anchor>
        </w:drawing>
        <w:t>First Quarter Investor Relations Update</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Financial Update - April 12, 2023</w:t>
      </w:r>
    </w:p>
    <w:p>
      <w:pPr>
        <w:spacing w:after="0" w:line="268"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5320" w:type="dxa"/>
            <w:vAlign w:val="bottom"/>
            <w:tcBorders>
              <w:top w:val="single" w:sz="8" w:color="auto"/>
              <w:left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gridSpan w:val="3"/>
          </w:tcPr>
          <w:p>
            <w:pPr>
              <w:jc w:val="center"/>
              <w:ind w:left="779"/>
              <w:spacing w:after="0" w:line="230" w:lineRule="exact"/>
              <w:rPr>
                <w:sz w:val="20"/>
                <w:szCs w:val="20"/>
                <w:color w:val="auto"/>
              </w:rPr>
            </w:pPr>
            <w:r>
              <w:rPr>
                <w:rFonts w:ascii="Arial" w:cs="Arial" w:eastAsia="Arial" w:hAnsi="Arial"/>
                <w:sz w:val="16"/>
                <w:szCs w:val="16"/>
                <w:b w:val="1"/>
                <w:bCs w:val="1"/>
                <w:color w:val="auto"/>
                <w:w w:val="98"/>
              </w:rPr>
              <w:t>1Q 2023</w:t>
            </w:r>
            <w:r>
              <w:rPr>
                <w:rFonts w:ascii="Arial" w:cs="Arial" w:eastAsia="Arial" w:hAnsi="Arial"/>
                <w:sz w:val="21"/>
                <w:szCs w:val="21"/>
                <w:b w:val="1"/>
                <w:bCs w:val="1"/>
                <w:color w:val="auto"/>
                <w:w w:val="98"/>
                <w:vertAlign w:val="superscript"/>
              </w:rPr>
              <w:t>1</w:t>
            </w:r>
          </w:p>
        </w:tc>
        <w:tc>
          <w:tcPr>
            <w:tcW w:w="24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20" w:type="dxa"/>
            <w:vAlign w:val="bottom"/>
            <w:tcBorders>
              <w:left w:val="single" w:sz="8" w:color="auto"/>
            </w:tcBorders>
            <w:vMerge w:val="restart"/>
          </w:tcPr>
          <w:p>
            <w:pPr>
              <w:ind w:left="20"/>
              <w:spacing w:after="0"/>
              <w:rPr>
                <w:sz w:val="20"/>
                <w:szCs w:val="20"/>
                <w:color w:val="auto"/>
              </w:rPr>
            </w:pPr>
            <w:r>
              <w:rPr>
                <w:rFonts w:ascii="Arial" w:cs="Arial" w:eastAsia="Arial" w:hAnsi="Arial"/>
                <w:sz w:val="16"/>
                <w:szCs w:val="16"/>
                <w:color w:val="auto"/>
              </w:rPr>
              <w:t>Available seat miles (ASMs)</w:t>
            </w:r>
          </w:p>
        </w:tc>
        <w:tc>
          <w:tcPr>
            <w:tcW w:w="3340" w:type="dxa"/>
            <w:vAlign w:val="bottom"/>
            <w:gridSpan w:val="4"/>
          </w:tcPr>
          <w:p>
            <w:pPr>
              <w:jc w:val="right"/>
              <w:ind w:right="520"/>
              <w:spacing w:after="0"/>
              <w:rPr>
                <w:sz w:val="20"/>
                <w:szCs w:val="20"/>
                <w:color w:val="auto"/>
              </w:rPr>
            </w:pPr>
            <w:r>
              <w:rPr>
                <w:rFonts w:ascii="Arial" w:cs="Arial" w:eastAsia="Arial" w:hAnsi="Arial"/>
                <w:sz w:val="16"/>
                <w:szCs w:val="16"/>
                <w:b w:val="1"/>
                <w:bCs w:val="1"/>
                <w:color w:val="auto"/>
              </w:rPr>
              <w:t>Previous Guidance (1/26/2023)</w:t>
            </w:r>
          </w:p>
        </w:tc>
        <w:tc>
          <w:tcPr>
            <w:tcW w:w="2400" w:type="dxa"/>
            <w:vAlign w:val="bottom"/>
          </w:tcPr>
          <w:p>
            <w:pPr>
              <w:jc w:val="right"/>
              <w:spacing w:after="0"/>
              <w:rPr>
                <w:sz w:val="20"/>
                <w:szCs w:val="20"/>
                <w:color w:val="auto"/>
              </w:rPr>
            </w:pPr>
            <w:r>
              <w:rPr>
                <w:rFonts w:ascii="Arial" w:cs="Arial" w:eastAsia="Arial" w:hAnsi="Arial"/>
                <w:sz w:val="16"/>
                <w:szCs w:val="16"/>
                <w:b w:val="1"/>
                <w:bCs w:val="1"/>
                <w:color w:val="auto"/>
              </w:rPr>
              <w:t>Current Guidance (4/12/2023)</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320" w:type="dxa"/>
            <w:vAlign w:val="bottom"/>
            <w:tcBorders>
              <w:left w:val="single" w:sz="8" w:color="auto"/>
            </w:tcBorders>
            <w:vMerge w:val="continue"/>
          </w:tcPr>
          <w:p>
            <w:pPr>
              <w:spacing w:after="0"/>
              <w:rPr>
                <w:sz w:val="13"/>
                <w:szCs w:val="13"/>
                <w:color w:val="auto"/>
              </w:rPr>
            </w:pPr>
          </w:p>
        </w:tc>
        <w:tc>
          <w:tcPr>
            <w:tcW w:w="28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6"/>
                <w:szCs w:val="16"/>
                <w:color w:val="auto"/>
              </w:rPr>
              <w:t>~ +8.0% to +10.0% (vs.1Q22)</w:t>
            </w:r>
          </w:p>
        </w:tc>
        <w:tc>
          <w:tcPr>
            <w:tcW w:w="1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 +9.2% (vs.1Q22)</w:t>
            </w: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32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 65.0 bil ASMs</w:t>
            </w:r>
          </w:p>
        </w:tc>
        <w:tc>
          <w:tcPr>
            <w:tcW w:w="0" w:type="dxa"/>
            <w:vAlign w:val="bottom"/>
          </w:tcPr>
          <w:p>
            <w:pPr>
              <w:spacing w:after="0"/>
              <w:rPr>
                <w:sz w:val="1"/>
                <w:szCs w:val="1"/>
                <w:color w:val="auto"/>
              </w:rPr>
            </w:pPr>
          </w:p>
        </w:tc>
      </w:tr>
      <w:tr>
        <w:trPr>
          <w:trHeight w:val="215"/>
        </w:trPr>
        <w:tc>
          <w:tcPr>
            <w:tcW w:w="53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TRASM</w:t>
            </w:r>
          </w:p>
        </w:tc>
        <w:tc>
          <w:tcPr>
            <w:tcW w:w="3340" w:type="dxa"/>
            <w:vAlign w:val="bottom"/>
            <w:gridSpan w:val="4"/>
          </w:tcPr>
          <w:p>
            <w:pPr>
              <w:jc w:val="right"/>
              <w:ind w:right="520"/>
              <w:spacing w:after="0"/>
              <w:rPr>
                <w:sz w:val="20"/>
                <w:szCs w:val="20"/>
                <w:color w:val="auto"/>
              </w:rPr>
            </w:pPr>
            <w:r>
              <w:rPr>
                <w:rFonts w:ascii="Arial" w:cs="Arial" w:eastAsia="Arial" w:hAnsi="Arial"/>
                <w:sz w:val="16"/>
                <w:szCs w:val="16"/>
                <w:color w:val="auto"/>
              </w:rPr>
              <w:t>~ +24.0% to +27.0% (vs.1Q22)</w:t>
            </w:r>
          </w:p>
        </w:tc>
        <w:tc>
          <w:tcPr>
            <w:tcW w:w="2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 +25.5% (vs.1Q22)</w:t>
            </w:r>
          </w:p>
        </w:tc>
        <w:tc>
          <w:tcPr>
            <w:tcW w:w="0" w:type="dxa"/>
            <w:vAlign w:val="bottom"/>
          </w:tcPr>
          <w:p>
            <w:pPr>
              <w:spacing w:after="0"/>
              <w:rPr>
                <w:sz w:val="1"/>
                <w:szCs w:val="1"/>
                <w:color w:val="auto"/>
              </w:rPr>
            </w:pPr>
          </w:p>
        </w:tc>
      </w:tr>
      <w:tr>
        <w:trPr>
          <w:trHeight w:val="216"/>
        </w:trPr>
        <w:tc>
          <w:tcPr>
            <w:tcW w:w="53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CASM excluding fuel and net special items</w:t>
            </w:r>
          </w:p>
        </w:tc>
        <w:tc>
          <w:tcPr>
            <w:tcW w:w="3340" w:type="dxa"/>
            <w:vAlign w:val="bottom"/>
            <w:gridSpan w:val="4"/>
          </w:tcPr>
          <w:p>
            <w:pPr>
              <w:jc w:val="right"/>
              <w:ind w:right="520"/>
              <w:spacing w:after="0"/>
              <w:rPr>
                <w:sz w:val="20"/>
                <w:szCs w:val="20"/>
                <w:color w:val="auto"/>
              </w:rPr>
            </w:pPr>
            <w:r>
              <w:rPr>
                <w:rFonts w:ascii="Arial" w:cs="Arial" w:eastAsia="Arial" w:hAnsi="Arial"/>
                <w:sz w:val="16"/>
                <w:szCs w:val="16"/>
                <w:color w:val="auto"/>
              </w:rPr>
              <w:t>~ -3.0% to Flat (vs.1Q22)</w:t>
            </w:r>
          </w:p>
        </w:tc>
        <w:tc>
          <w:tcPr>
            <w:tcW w:w="2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 -1.5% (vs.1Q22)</w:t>
            </w:r>
          </w:p>
        </w:tc>
        <w:tc>
          <w:tcPr>
            <w:tcW w:w="0" w:type="dxa"/>
            <w:vAlign w:val="bottom"/>
          </w:tcPr>
          <w:p>
            <w:pPr>
              <w:spacing w:after="0"/>
              <w:rPr>
                <w:sz w:val="1"/>
                <w:szCs w:val="1"/>
                <w:color w:val="auto"/>
              </w:rPr>
            </w:pPr>
          </w:p>
        </w:tc>
      </w:tr>
      <w:tr>
        <w:trPr>
          <w:trHeight w:val="216"/>
        </w:trPr>
        <w:tc>
          <w:tcPr>
            <w:tcW w:w="53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Average fuel price (incl. taxes) ($/gal)</w:t>
            </w:r>
          </w:p>
        </w:tc>
        <w:tc>
          <w:tcPr>
            <w:tcW w:w="1520" w:type="dxa"/>
            <w:vAlign w:val="bottom"/>
          </w:tcPr>
          <w:p>
            <w:pPr>
              <w:spacing w:after="0"/>
              <w:rPr>
                <w:sz w:val="18"/>
                <w:szCs w:val="18"/>
                <w:color w:val="auto"/>
              </w:rPr>
            </w:pPr>
          </w:p>
        </w:tc>
        <w:tc>
          <w:tcPr>
            <w:tcW w:w="1820" w:type="dxa"/>
            <w:vAlign w:val="bottom"/>
            <w:gridSpan w:val="3"/>
          </w:tcPr>
          <w:p>
            <w:pPr>
              <w:jc w:val="right"/>
              <w:ind w:right="520"/>
              <w:spacing w:after="0"/>
              <w:rPr>
                <w:sz w:val="20"/>
                <w:szCs w:val="20"/>
                <w:color w:val="auto"/>
              </w:rPr>
            </w:pPr>
            <w:r>
              <w:rPr>
                <w:rFonts w:ascii="Arial" w:cs="Arial" w:eastAsia="Arial" w:hAnsi="Arial"/>
                <w:sz w:val="16"/>
                <w:szCs w:val="16"/>
                <w:color w:val="auto"/>
              </w:rPr>
              <w:t>~ $3.33 to $3.38</w:t>
            </w:r>
          </w:p>
        </w:tc>
        <w:tc>
          <w:tcPr>
            <w:tcW w:w="2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 $3.27 to $3.32</w:t>
            </w:r>
          </w:p>
        </w:tc>
        <w:tc>
          <w:tcPr>
            <w:tcW w:w="0" w:type="dxa"/>
            <w:vAlign w:val="bottom"/>
          </w:tcPr>
          <w:p>
            <w:pPr>
              <w:spacing w:after="0"/>
              <w:rPr>
                <w:sz w:val="1"/>
                <w:szCs w:val="1"/>
                <w:color w:val="auto"/>
              </w:rPr>
            </w:pPr>
          </w:p>
        </w:tc>
      </w:tr>
      <w:tr>
        <w:trPr>
          <w:trHeight w:val="216"/>
        </w:trPr>
        <w:tc>
          <w:tcPr>
            <w:tcW w:w="53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Fuel gallons consumed (mil)</w:t>
            </w:r>
          </w:p>
        </w:tc>
        <w:tc>
          <w:tcPr>
            <w:tcW w:w="1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 955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 970</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Adjusted operating margin</w:t>
            </w:r>
          </w:p>
        </w:tc>
        <w:tc>
          <w:tcPr>
            <w:tcW w:w="1520" w:type="dxa"/>
            <w:vAlign w:val="bottom"/>
          </w:tcPr>
          <w:p>
            <w:pPr>
              <w:spacing w:after="0"/>
              <w:rPr>
                <w:sz w:val="18"/>
                <w:szCs w:val="18"/>
                <w:color w:val="auto"/>
              </w:rPr>
            </w:pPr>
          </w:p>
        </w:tc>
        <w:tc>
          <w:tcPr>
            <w:tcW w:w="1820" w:type="dxa"/>
            <w:vAlign w:val="bottom"/>
            <w:gridSpan w:val="3"/>
          </w:tcPr>
          <w:p>
            <w:pPr>
              <w:jc w:val="right"/>
              <w:ind w:right="520"/>
              <w:spacing w:after="0"/>
              <w:rPr>
                <w:sz w:val="20"/>
                <w:szCs w:val="20"/>
                <w:color w:val="auto"/>
              </w:rPr>
            </w:pPr>
            <w:r>
              <w:rPr>
                <w:rFonts w:ascii="Arial" w:cs="Arial" w:eastAsia="Arial" w:hAnsi="Arial"/>
                <w:sz w:val="16"/>
                <w:szCs w:val="16"/>
                <w:color w:val="auto"/>
              </w:rPr>
              <w:t>~ 2.5% to 4.5%</w:t>
            </w:r>
          </w:p>
        </w:tc>
        <w:tc>
          <w:tcPr>
            <w:tcW w:w="2400" w:type="dxa"/>
            <w:vAlign w:val="bottom"/>
          </w:tcPr>
          <w:p>
            <w:pPr>
              <w:jc w:val="right"/>
              <w:spacing w:after="0"/>
              <w:rPr>
                <w:sz w:val="20"/>
                <w:szCs w:val="20"/>
                <w:color w:val="auto"/>
              </w:rPr>
            </w:pPr>
            <w:r>
              <w:rPr>
                <w:rFonts w:ascii="Arial" w:cs="Arial" w:eastAsia="Arial" w:hAnsi="Arial"/>
                <w:sz w:val="16"/>
                <w:szCs w:val="16"/>
                <w:color w:val="auto"/>
              </w:rPr>
              <w:t>~ 3.5%</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Other nonoperating expense excluding net special items ($ mil)</w:t>
            </w:r>
          </w:p>
        </w:tc>
        <w:tc>
          <w:tcPr>
            <w:tcW w:w="1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 $415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 $410</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Adjusted earnings per diluted share</w:t>
            </w:r>
          </w:p>
        </w:tc>
        <w:tc>
          <w:tcPr>
            <w:tcW w:w="1520" w:type="dxa"/>
            <w:vAlign w:val="bottom"/>
          </w:tcPr>
          <w:p>
            <w:pPr>
              <w:spacing w:after="0"/>
              <w:rPr>
                <w:sz w:val="18"/>
                <w:szCs w:val="18"/>
                <w:color w:val="auto"/>
              </w:rPr>
            </w:pPr>
          </w:p>
        </w:tc>
        <w:tc>
          <w:tcPr>
            <w:tcW w:w="1820" w:type="dxa"/>
            <w:vAlign w:val="bottom"/>
            <w:gridSpan w:val="3"/>
          </w:tcPr>
          <w:p>
            <w:pPr>
              <w:jc w:val="right"/>
              <w:ind w:right="520"/>
              <w:spacing w:after="0"/>
              <w:rPr>
                <w:sz w:val="20"/>
                <w:szCs w:val="20"/>
                <w:color w:val="auto"/>
              </w:rPr>
            </w:pPr>
            <w:r>
              <w:rPr>
                <w:rFonts w:ascii="Arial" w:cs="Arial" w:eastAsia="Arial" w:hAnsi="Arial"/>
                <w:sz w:val="16"/>
                <w:szCs w:val="16"/>
                <w:color w:val="auto"/>
              </w:rPr>
              <w:t>~ Breakeven</w:t>
            </w:r>
          </w:p>
        </w:tc>
        <w:tc>
          <w:tcPr>
            <w:tcW w:w="2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 $0.01 to $0.05</w:t>
            </w:r>
          </w:p>
        </w:tc>
        <w:tc>
          <w:tcPr>
            <w:tcW w:w="0" w:type="dxa"/>
            <w:vAlign w:val="bottom"/>
          </w:tcPr>
          <w:p>
            <w:pPr>
              <w:spacing w:after="0"/>
              <w:rPr>
                <w:sz w:val="1"/>
                <w:szCs w:val="1"/>
                <w:color w:val="auto"/>
              </w:rPr>
            </w:pPr>
          </w:p>
        </w:tc>
      </w:tr>
      <w:tr>
        <w:trPr>
          <w:trHeight w:val="474"/>
        </w:trPr>
        <w:tc>
          <w:tcPr>
            <w:tcW w:w="5320" w:type="dxa"/>
            <w:vAlign w:val="bottom"/>
            <w:tcBorders>
              <w:left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4360" w:type="dxa"/>
            <w:vAlign w:val="bottom"/>
            <w:tcBorders>
              <w:right w:val="single" w:sz="8" w:color="auto"/>
            </w:tcBorders>
            <w:gridSpan w:val="5"/>
          </w:tcPr>
          <w:p>
            <w:pPr>
              <w:jc w:val="center"/>
              <w:ind w:right="1660"/>
              <w:spacing w:after="0"/>
              <w:rPr>
                <w:sz w:val="20"/>
                <w:szCs w:val="20"/>
                <w:color w:val="auto"/>
              </w:rPr>
            </w:pPr>
            <w:r>
              <w:rPr>
                <w:rFonts w:ascii="Arial" w:cs="Arial" w:eastAsia="Arial" w:hAnsi="Arial"/>
                <w:sz w:val="16"/>
                <w:szCs w:val="16"/>
                <w:b w:val="1"/>
                <w:bCs w:val="1"/>
                <w:color w:val="auto"/>
              </w:rPr>
              <w:t>1Q 2023 Shares Forecast</w:t>
            </w:r>
          </w:p>
        </w:tc>
        <w:tc>
          <w:tcPr>
            <w:tcW w:w="0" w:type="dxa"/>
            <w:vAlign w:val="bottom"/>
          </w:tcPr>
          <w:p>
            <w:pPr>
              <w:spacing w:after="0"/>
              <w:rPr>
                <w:sz w:val="1"/>
                <w:szCs w:val="1"/>
                <w:color w:val="auto"/>
              </w:rPr>
            </w:pPr>
          </w:p>
        </w:tc>
      </w:tr>
      <w:tr>
        <w:trPr>
          <w:trHeight w:val="210"/>
        </w:trPr>
        <w:tc>
          <w:tcPr>
            <w:tcW w:w="5320" w:type="dxa"/>
            <w:vAlign w:val="bottom"/>
            <w:tcBorders>
              <w:left w:val="single" w:sz="8" w:color="auto"/>
            </w:tcBorders>
          </w:tcPr>
          <w:p>
            <w:pPr>
              <w:spacing w:after="0"/>
              <w:rPr>
                <w:sz w:val="18"/>
                <w:szCs w:val="18"/>
                <w:color w:val="auto"/>
              </w:rPr>
            </w:pPr>
          </w:p>
        </w:tc>
        <w:tc>
          <w:tcPr>
            <w:tcW w:w="3340" w:type="dxa"/>
            <w:vAlign w:val="bottom"/>
            <w:tcBorders>
              <w:top w:val="single" w:sz="8" w:color="auto"/>
            </w:tcBorders>
            <w:gridSpan w:val="4"/>
          </w:tcPr>
          <w:p>
            <w:pPr>
              <w:ind w:left="920"/>
              <w:spacing w:after="0" w:line="210" w:lineRule="exact"/>
              <w:rPr>
                <w:sz w:val="20"/>
                <w:szCs w:val="20"/>
                <w:color w:val="auto"/>
              </w:rPr>
            </w:pPr>
            <w:r>
              <w:rPr>
                <w:rFonts w:ascii="Arial" w:cs="Arial" w:eastAsia="Arial" w:hAnsi="Arial"/>
                <w:sz w:val="16"/>
                <w:szCs w:val="16"/>
                <w:b w:val="1"/>
                <w:bCs w:val="1"/>
                <w:color w:val="auto"/>
              </w:rPr>
              <w:t>Shares (mil)</w:t>
            </w:r>
            <w:r>
              <w:rPr>
                <w:rFonts w:ascii="Arial" w:cs="Arial" w:eastAsia="Arial" w:hAnsi="Arial"/>
                <w:sz w:val="21"/>
                <w:szCs w:val="21"/>
                <w:b w:val="1"/>
                <w:bCs w:val="1"/>
                <w:color w:val="auto"/>
                <w:vertAlign w:val="superscript"/>
              </w:rPr>
              <w:t>2</w:t>
            </w:r>
          </w:p>
        </w:tc>
        <w:tc>
          <w:tcPr>
            <w:tcW w:w="240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Earnings Level ($ mil)</w:t>
            </w:r>
          </w:p>
        </w:tc>
        <w:tc>
          <w:tcPr>
            <w:tcW w:w="1520" w:type="dxa"/>
            <w:vAlign w:val="bottom"/>
            <w:tcBorders>
              <w:top w:val="single" w:sz="8" w:color="auto"/>
            </w:tcBorders>
          </w:tcPr>
          <w:p>
            <w:pPr>
              <w:ind w:left="960"/>
              <w:spacing w:after="0"/>
              <w:rPr>
                <w:sz w:val="20"/>
                <w:szCs w:val="20"/>
                <w:color w:val="auto"/>
              </w:rPr>
            </w:pPr>
            <w:r>
              <w:rPr>
                <w:rFonts w:ascii="Arial" w:cs="Arial" w:eastAsia="Arial" w:hAnsi="Arial"/>
                <w:sz w:val="16"/>
                <w:szCs w:val="16"/>
                <w:b w:val="1"/>
                <w:bCs w:val="1"/>
                <w:color w:val="auto"/>
              </w:rPr>
              <w:t>Basic</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Diluted</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40" w:type="dxa"/>
            <w:vAlign w:val="bottom"/>
            <w:tcBorders>
              <w:right w:val="single" w:sz="8" w:color="auto"/>
            </w:tcBorders>
            <w:gridSpan w:val="2"/>
          </w:tcPr>
          <w:p>
            <w:pPr>
              <w:jc w:val="right"/>
              <w:ind w:right="160"/>
              <w:spacing w:after="0" w:line="210" w:lineRule="exact"/>
              <w:rPr>
                <w:sz w:val="20"/>
                <w:szCs w:val="20"/>
                <w:color w:val="auto"/>
              </w:rPr>
            </w:pPr>
            <w:r>
              <w:rPr>
                <w:rFonts w:ascii="Arial" w:cs="Arial" w:eastAsia="Arial" w:hAnsi="Arial"/>
                <w:sz w:val="16"/>
                <w:szCs w:val="16"/>
                <w:b w:val="1"/>
                <w:bCs w:val="1"/>
                <w:color w:val="auto"/>
              </w:rPr>
              <w:t>Addback ($ mil)</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08"/>
        </w:trPr>
        <w:tc>
          <w:tcPr>
            <w:tcW w:w="532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6"/>
                <w:szCs w:val="16"/>
                <w:color w:val="auto"/>
              </w:rPr>
              <w:t>Earnings above $118</w:t>
            </w:r>
          </w:p>
        </w:tc>
        <w:tc>
          <w:tcPr>
            <w:tcW w:w="1520" w:type="dxa"/>
            <w:vAlign w:val="bottom"/>
            <w:tcBorders>
              <w:top w:val="single" w:sz="8" w:color="auto"/>
            </w:tcBorders>
          </w:tcPr>
          <w:p>
            <w:pPr>
              <w:ind w:left="940"/>
              <w:spacing w:after="0"/>
              <w:rPr>
                <w:sz w:val="20"/>
                <w:szCs w:val="20"/>
                <w:color w:val="auto"/>
              </w:rPr>
            </w:pPr>
            <w:r>
              <w:rPr>
                <w:rFonts w:ascii="Arial" w:cs="Arial" w:eastAsia="Arial" w:hAnsi="Arial"/>
                <w:sz w:val="16"/>
                <w:szCs w:val="16"/>
                <w:color w:val="auto"/>
              </w:rPr>
              <w:t>652.0</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718.4</w:t>
            </w: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Earnings up to $118</w:t>
            </w:r>
          </w:p>
        </w:tc>
        <w:tc>
          <w:tcPr>
            <w:tcW w:w="1520" w:type="dxa"/>
            <w:vAlign w:val="bottom"/>
          </w:tcPr>
          <w:p>
            <w:pPr>
              <w:ind w:left="940"/>
              <w:spacing w:after="0"/>
              <w:rPr>
                <w:sz w:val="20"/>
                <w:szCs w:val="20"/>
                <w:color w:val="auto"/>
              </w:rPr>
            </w:pPr>
            <w:r>
              <w:rPr>
                <w:rFonts w:ascii="Arial" w:cs="Arial" w:eastAsia="Arial" w:hAnsi="Arial"/>
                <w:sz w:val="16"/>
                <w:szCs w:val="16"/>
                <w:color w:val="auto"/>
              </w:rPr>
              <w:t>652.0</w:t>
            </w:r>
          </w:p>
        </w:tc>
        <w:tc>
          <w:tcPr>
            <w:tcW w:w="1300" w:type="dxa"/>
            <w:vAlign w:val="bottom"/>
          </w:tcPr>
          <w:p>
            <w:pPr>
              <w:jc w:val="right"/>
              <w:spacing w:after="0"/>
              <w:rPr>
                <w:sz w:val="20"/>
                <w:szCs w:val="20"/>
                <w:color w:val="auto"/>
              </w:rPr>
            </w:pPr>
            <w:r>
              <w:rPr>
                <w:rFonts w:ascii="Arial" w:cs="Arial" w:eastAsia="Arial" w:hAnsi="Arial"/>
                <w:sz w:val="16"/>
                <w:szCs w:val="16"/>
                <w:color w:val="auto"/>
              </w:rPr>
              <w:t>656.7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3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Net loss</w:t>
            </w:r>
          </w:p>
        </w:tc>
        <w:tc>
          <w:tcPr>
            <w:tcW w:w="15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652.0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652.0</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Notes:</w:t>
      </w:r>
    </w:p>
    <w:p>
      <w:pPr>
        <w:spacing w:after="0" w:line="59" w:lineRule="exact"/>
        <w:rPr>
          <w:sz w:val="20"/>
          <w:szCs w:val="20"/>
          <w:color w:val="auto"/>
        </w:rPr>
      </w:pPr>
    </w:p>
    <w:p>
      <w:pPr>
        <w:ind w:left="440" w:right="600" w:hanging="414"/>
        <w:spacing w:after="0" w:line="246" w:lineRule="auto"/>
        <w:tabs>
          <w:tab w:leader="none" w:pos="4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Includes guidance on certain non-GAAP measures, which exclude, among other things, net special items. Please see the GAAP to non-GAAP reconciliation at the end of this document. Numbers may not recalculate due to rounding.</w:t>
      </w:r>
    </w:p>
    <w:p>
      <w:pPr>
        <w:ind w:left="440" w:hanging="414"/>
        <w:spacing w:after="0" w:line="246" w:lineRule="auto"/>
        <w:tabs>
          <w:tab w:leader="none" w:pos="4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Shares outstanding are based upon several estimates and assumptions, including average per share stock price and stock award activity. The number of shares in actual calculations of earnings per share will likely be different from those set forth above.</w:t>
      </w:r>
    </w:p>
    <w:p>
      <w:pPr>
        <w:ind w:left="440" w:hanging="414"/>
        <w:spacing w:after="0"/>
        <w:tabs>
          <w:tab w:leader="none" w:pos="4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Interest addback for earnings per share calculation for 6.5% convertible notes, net of estimated profit sharing, short-term incentive and tax effects.</w:t>
      </w:r>
    </w:p>
    <w:p>
      <w:pPr>
        <w:sectPr>
          <w:pgSz w:w="11900" w:h="16838" w:orient="portrait"/>
          <w:cols w:equalWidth="0" w:num="1">
            <w:col w:w="11220"/>
          </w:cols>
          <w:pgMar w:left="320" w:top="1353" w:right="35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2188210</wp:posOffset>
            </wp:positionH>
            <wp:positionV relativeFrom="page">
              <wp:posOffset>88900</wp:posOffset>
            </wp:positionV>
            <wp:extent cx="3171825"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171825" cy="480060"/>
                    </a:xfrm>
                    <a:prstGeom prst="rect">
                      <a:avLst/>
                    </a:prstGeom>
                    <a:noFill/>
                  </pic:spPr>
                </pic:pic>
              </a:graphicData>
            </a:graphic>
          </wp:anchor>
        </w:drawing>
        <w:t>GAAP to Non-GAAP Reconciliation</w:t>
      </w:r>
    </w:p>
    <w:p>
      <w:pPr>
        <w:spacing w:after="0" w:line="4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April 12, 2023</w:t>
      </w:r>
    </w:p>
    <w:p>
      <w:pPr>
        <w:spacing w:after="0" w:line="274"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Company sometimes uses financial measures that are derived from the condensed consolidated financial statements or otherwise provided in the form of guidance but that are not presented in accordance with GAAP to understand and evaluate its current operating performance and to allow for period-to-period comparisons. The Company believes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The Company is providing a reconciliation of reported non-GAAP financial measures to their comparable financial measures on a GAAP basis.</w:t>
      </w:r>
    </w:p>
    <w:p>
      <w:pPr>
        <w:spacing w:after="0" w:line="136" w:lineRule="exact"/>
        <w:rPr>
          <w:sz w:val="20"/>
          <w:szCs w:val="20"/>
          <w:color w:val="auto"/>
        </w:rPr>
      </w:pPr>
    </w:p>
    <w:p>
      <w:pPr>
        <w:jc w:val="both"/>
        <w:ind w:right="3500"/>
        <w:spacing w:after="0" w:line="256" w:lineRule="auto"/>
        <w:rPr>
          <w:sz w:val="20"/>
          <w:szCs w:val="20"/>
          <w:color w:val="auto"/>
        </w:rPr>
      </w:pPr>
      <w:r>
        <w:rPr>
          <w:rFonts w:ascii="Arial" w:cs="Arial" w:eastAsia="Arial" w:hAnsi="Arial"/>
          <w:sz w:val="16"/>
          <w:szCs w:val="16"/>
          <w:color w:val="auto"/>
        </w:rPr>
        <w:t>The tables below present the reconciliations of the following GAAP measures to their non-GAAP measures: -Operating income (GAAP measure) to operating income excluding net special items (non-GAAP measure) -Operating margin (GAAP measure) to operating margin excluding net special items (non-GAAP measure) -Net income (GAAP measure) to net income excluding net special items (non-GAAP measure)</w:t>
      </w:r>
    </w:p>
    <w:p>
      <w:pPr>
        <w:spacing w:after="0"/>
        <w:rPr>
          <w:sz w:val="20"/>
          <w:szCs w:val="20"/>
          <w:color w:val="auto"/>
        </w:rPr>
      </w:pPr>
      <w:r>
        <w:rPr>
          <w:rFonts w:ascii="Arial" w:cs="Arial" w:eastAsia="Arial" w:hAnsi="Arial"/>
          <w:sz w:val="16"/>
          <w:szCs w:val="16"/>
          <w:color w:val="auto"/>
        </w:rPr>
        <w:t>-Earnings per diluted share (GAAP measure) to earnings per diluted share excluding net special items (non-GAAP measure)</w:t>
      </w:r>
    </w:p>
    <w:p>
      <w:pPr>
        <w:spacing w:after="0" w:line="165"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Management uses these non-GAAP financial measures to evaluate the Company's current operating performance and to allow for period-to-period comparisons. As net special items may vary from period-to-period in nature and amount, the adjustment to exclude net special items allows management an additional tool to understand the Company’s core operating performance. Additionally, the tables below also present the reconciliations of total operating costs (GAAP measure) to total operating costs excluding net special items and fuel (non-GAAP measure), total operating costs per ASM (CASM) to CASM excluding net special items and fuel, and other non-operating expense to other non-operating expense excluding net special items. Management uses total operating costs excluding net special items and fuel, CASM excluding net special items and fuel, and other non-operating expense excluding net special items to evaluate the Company's current operating performance and for period-to-period comparisons. The price of fuel, over which the Company has no control, impacts the comparability of period-to-period financial performance. The adjustment to exclude fuel and net special items allows management an additional tool to understand and analyze the Company’s non-fuel costs and core operating performance.</w:t>
      </w:r>
    </w:p>
    <w:p>
      <w:pPr>
        <w:sectPr>
          <w:pgSz w:w="11900" w:h="16838" w:orient="portrait"/>
          <w:cols w:equalWidth="0" w:num="1">
            <w:col w:w="11200"/>
          </w:cols>
          <w:pgMar w:left="320" w:top="1353"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2188210</wp:posOffset>
            </wp:positionH>
            <wp:positionV relativeFrom="page">
              <wp:posOffset>88900</wp:posOffset>
            </wp:positionV>
            <wp:extent cx="3171825" cy="480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3171825" cy="480060"/>
                    </a:xfrm>
                    <a:prstGeom prst="rect">
                      <a:avLst/>
                    </a:prstGeom>
                    <a:noFill/>
                  </pic:spPr>
                </pic:pic>
              </a:graphicData>
            </a:graphic>
          </wp:anchor>
        </w:drawing>
        <w:t>GAAP to Non-GAAP Reconciliation</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April 12, 2023</w:t>
      </w:r>
    </w:p>
    <w:p>
      <w:pPr>
        <w:spacing w:after="0" w:line="310" w:lineRule="exact"/>
        <w:rPr>
          <w:sz w:val="20"/>
          <w:szCs w:val="20"/>
          <w:color w:val="auto"/>
        </w:rPr>
      </w:pPr>
    </w:p>
    <w:p>
      <w:pPr>
        <w:ind w:left="20" w:right="2520"/>
        <w:spacing w:after="0" w:line="276" w:lineRule="auto"/>
        <w:rPr>
          <w:sz w:val="20"/>
          <w:szCs w:val="20"/>
          <w:color w:val="auto"/>
        </w:rPr>
      </w:pPr>
      <w:r>
        <w:rPr>
          <w:rFonts w:ascii="Arial" w:cs="Arial" w:eastAsia="Arial" w:hAnsi="Arial"/>
          <w:sz w:val="18"/>
          <w:szCs w:val="18"/>
          <w:b w:val="1"/>
          <w:bCs w:val="1"/>
          <w:color w:val="auto"/>
        </w:rPr>
        <w:t xml:space="preserve">GAAP to Non-GAAP Reconciliation of Operating Income, Net Income and Earnings Per Diluted Share </w:t>
      </w:r>
      <w:r>
        <w:rPr>
          <w:rFonts w:ascii="Arial" w:cs="Arial" w:eastAsia="Arial" w:hAnsi="Arial"/>
          <w:sz w:val="18"/>
          <w:szCs w:val="18"/>
          <w:b w:val="1"/>
          <w:bCs w:val="1"/>
          <w:i w:val="1"/>
          <w:iCs w:val="1"/>
          <w:color w:val="auto"/>
        </w:rPr>
        <w:t>($ mil, except ASM, TRASM, share and per share data)</w:t>
      </w:r>
    </w:p>
    <w:tbl>
      <w:tblPr>
        <w:tblLayout w:type="fixed"/>
        <w:tblInd w:w="0" w:type="dxa"/>
        <w:tblCellMar>
          <w:top w:w="0" w:type="dxa"/>
          <w:left w:w="0" w:type="dxa"/>
          <w:bottom w:w="0" w:type="dxa"/>
          <w:right w:w="0" w:type="dxa"/>
        </w:tblCellMar>
      </w:tblPr>
      <w:tr>
        <w:trPr>
          <w:trHeight w:val="204"/>
        </w:trPr>
        <w:tc>
          <w:tcPr>
            <w:tcW w:w="87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1Q23 Range</w:t>
            </w:r>
          </w:p>
        </w:tc>
        <w:tc>
          <w:tcPr>
            <w:tcW w:w="660" w:type="dxa"/>
            <w:vAlign w:val="bottom"/>
            <w:tcBorders>
              <w:bottom w:val="single" w:sz="8" w:color="auto"/>
            </w:tcBorders>
          </w:tcPr>
          <w:p>
            <w:pPr>
              <w:spacing w:after="0"/>
              <w:rPr>
                <w:sz w:val="17"/>
                <w:szCs w:val="17"/>
                <w:color w:val="auto"/>
              </w:rPr>
            </w:pPr>
          </w:p>
        </w:tc>
      </w:tr>
      <w:tr>
        <w:trPr>
          <w:trHeight w:val="209"/>
        </w:trPr>
        <w:tc>
          <w:tcPr>
            <w:tcW w:w="8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6"/>
                <w:szCs w:val="16"/>
                <w:b w:val="1"/>
                <w:bCs w:val="1"/>
                <w:color w:val="auto"/>
              </w:rPr>
              <w:t>Low</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High</w:t>
            </w:r>
          </w:p>
        </w:tc>
      </w:tr>
      <w:tr>
        <w:trPr>
          <w:trHeight w:val="210"/>
        </w:trPr>
        <w:tc>
          <w:tcPr>
            <w:tcW w:w="8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ASMs (bil)</w:t>
            </w: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w:t>
            </w:r>
          </w:p>
        </w:tc>
      </w:tr>
      <w:tr>
        <w:trPr>
          <w:trHeight w:val="215"/>
        </w:trPr>
        <w:tc>
          <w:tcPr>
            <w:tcW w:w="8720" w:type="dxa"/>
            <w:vAlign w:val="bottom"/>
          </w:tcPr>
          <w:p>
            <w:pPr>
              <w:ind w:left="20"/>
              <w:spacing w:after="0"/>
              <w:rPr>
                <w:sz w:val="20"/>
                <w:szCs w:val="20"/>
                <w:color w:val="auto"/>
              </w:rPr>
            </w:pPr>
            <w:r>
              <w:rPr>
                <w:rFonts w:ascii="Arial" w:cs="Arial" w:eastAsia="Arial" w:hAnsi="Arial"/>
                <w:sz w:val="16"/>
                <w:szCs w:val="16"/>
                <w:color w:val="auto"/>
              </w:rPr>
              <w:t>TRASM (cts)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18.76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18.76</w:t>
            </w:r>
          </w:p>
        </w:tc>
      </w:tr>
      <w:tr>
        <w:trPr>
          <w:trHeight w:val="217"/>
        </w:trPr>
        <w:tc>
          <w:tcPr>
            <w:tcW w:w="8720" w:type="dxa"/>
            <w:vAlign w:val="bottom"/>
            <w:shd w:val="clear" w:color="auto" w:fill="CCEEFF"/>
          </w:tcPr>
          <w:p>
            <w:pPr>
              <w:ind w:left="240"/>
              <w:spacing w:after="0"/>
              <w:rPr>
                <w:sz w:val="20"/>
                <w:szCs w:val="20"/>
                <w:color w:val="auto"/>
              </w:rPr>
            </w:pPr>
            <w:r>
              <w:rPr>
                <w:rFonts w:ascii="Arial" w:cs="Arial" w:eastAsia="Arial" w:hAnsi="Arial"/>
                <w:sz w:val="16"/>
                <w:szCs w:val="16"/>
                <w:i w:val="1"/>
                <w:iCs w:val="1"/>
                <w:color w:val="auto"/>
              </w:rPr>
              <w:t>TRASM % H/(L) vs. 1Q 2022</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25.5%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25.5%</w:t>
            </w:r>
          </w:p>
        </w:tc>
      </w:tr>
      <w:tr>
        <w:trPr>
          <w:trHeight w:val="215"/>
        </w:trPr>
        <w:tc>
          <w:tcPr>
            <w:tcW w:w="872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12,194</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12,194</w:t>
            </w:r>
          </w:p>
        </w:tc>
      </w:tr>
      <w:tr>
        <w:trPr>
          <w:trHeight w:val="257"/>
        </w:trPr>
        <w:tc>
          <w:tcPr>
            <w:tcW w:w="87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15"/>
        </w:trPr>
        <w:tc>
          <w:tcPr>
            <w:tcW w:w="87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414</w:t>
            </w:r>
          </w:p>
        </w:tc>
      </w:tr>
      <w:tr>
        <w:trPr>
          <w:trHeight w:val="217"/>
        </w:trPr>
        <w:tc>
          <w:tcPr>
            <w:tcW w:w="8720" w:type="dxa"/>
            <w:vAlign w:val="bottom"/>
            <w:shd w:val="clear" w:color="auto" w:fill="CCEEFF"/>
          </w:tcPr>
          <w:p>
            <w:pPr>
              <w:ind w:left="240"/>
              <w:spacing w:after="0"/>
              <w:rPr>
                <w:sz w:val="20"/>
                <w:szCs w:val="20"/>
                <w:color w:val="auto"/>
              </w:rPr>
            </w:pPr>
            <w:r>
              <w:rPr>
                <w:rFonts w:ascii="Arial" w:cs="Arial" w:eastAsia="Arial" w:hAnsi="Arial"/>
                <w:sz w:val="16"/>
                <w:szCs w:val="16"/>
                <w:i w:val="1"/>
                <w:iCs w:val="1"/>
                <w:color w:val="auto"/>
              </w:rPr>
              <w:t>Operating margin</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3.4%</w:t>
            </w:r>
          </w:p>
        </w:tc>
      </w:tr>
      <w:tr>
        <w:trPr>
          <w:trHeight w:val="215"/>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net special items</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excluding net special items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r>
      <w:tr>
        <w:trPr>
          <w:trHeight w:val="215"/>
        </w:trPr>
        <w:tc>
          <w:tcPr>
            <w:tcW w:w="8720" w:type="dxa"/>
            <w:vAlign w:val="bottom"/>
          </w:tcPr>
          <w:p>
            <w:pPr>
              <w:ind w:left="240"/>
              <w:spacing w:after="0"/>
              <w:rPr>
                <w:sz w:val="20"/>
                <w:szCs w:val="20"/>
                <w:color w:val="auto"/>
              </w:rPr>
            </w:pPr>
            <w:r>
              <w:rPr>
                <w:rFonts w:ascii="Arial" w:cs="Arial" w:eastAsia="Arial" w:hAnsi="Arial"/>
                <w:sz w:val="16"/>
                <w:szCs w:val="16"/>
                <w:i w:val="1"/>
                <w:iCs w:val="1"/>
                <w:color w:val="auto"/>
              </w:rPr>
              <w:t>Operating margin excluding net special items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i w:val="1"/>
                <w:iCs w:val="1"/>
                <w:color w:val="auto"/>
              </w:rPr>
              <w:t>3.5%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i w:val="1"/>
                <w:iCs w:val="1"/>
                <w:color w:val="auto"/>
              </w:rPr>
              <w:t>3.5%</w:t>
            </w:r>
          </w:p>
        </w:tc>
      </w:tr>
      <w:tr>
        <w:trPr>
          <w:trHeight w:val="258"/>
        </w:trPr>
        <w:tc>
          <w:tcPr>
            <w:tcW w:w="87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15"/>
        </w:trPr>
        <w:tc>
          <w:tcPr>
            <w:tcW w:w="87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special items</w:t>
            </w: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9"/>
        </w:trPr>
        <w:tc>
          <w:tcPr>
            <w:tcW w:w="8720" w:type="dxa"/>
            <w:vAlign w:val="bottom"/>
          </w:tcPr>
          <w:p>
            <w:pPr>
              <w:ind w:left="20"/>
              <w:spacing w:after="0"/>
              <w:rPr>
                <w:sz w:val="20"/>
                <w:szCs w:val="20"/>
                <w:color w:val="auto"/>
              </w:rPr>
            </w:pPr>
            <w:r>
              <w:rPr>
                <w:rFonts w:ascii="Arial" w:cs="Arial" w:eastAsia="Arial" w:hAnsi="Arial"/>
                <w:sz w:val="16"/>
                <w:szCs w:val="16"/>
                <w:color w:val="auto"/>
              </w:rPr>
              <w:t>Net income excluding net special items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57"/>
        </w:trPr>
        <w:tc>
          <w:tcPr>
            <w:tcW w:w="87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15"/>
        </w:trPr>
        <w:tc>
          <w:tcPr>
            <w:tcW w:w="8720" w:type="dxa"/>
            <w:vAlign w:val="bottom"/>
          </w:tcPr>
          <w:p>
            <w:pPr>
              <w:ind w:left="20"/>
              <w:spacing w:after="0"/>
              <w:rPr>
                <w:sz w:val="20"/>
                <w:szCs w:val="20"/>
                <w:color w:val="auto"/>
              </w:rPr>
            </w:pPr>
            <w:r>
              <w:rPr>
                <w:rFonts w:ascii="Arial" w:cs="Arial" w:eastAsia="Arial" w:hAnsi="Arial"/>
                <w:sz w:val="16"/>
                <w:szCs w:val="16"/>
                <w:color w:val="auto"/>
              </w:rPr>
              <w:t>Diluted shares outstanding for computing earnings per share (mil)</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652.0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656.7</w:t>
            </w:r>
          </w:p>
        </w:tc>
      </w:tr>
      <w:tr>
        <w:trPr>
          <w:trHeight w:val="217"/>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shares outstanding for computing earnings per share excluding net special items (mil)</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656.7</w:t>
            </w:r>
          </w:p>
        </w:tc>
      </w:tr>
      <w:tr>
        <w:trPr>
          <w:trHeight w:val="256"/>
        </w:trPr>
        <w:tc>
          <w:tcPr>
            <w:tcW w:w="8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diluted share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15"/>
        </w:trPr>
        <w:tc>
          <w:tcPr>
            <w:tcW w:w="8720" w:type="dxa"/>
            <w:vAlign w:val="bottom"/>
          </w:tcPr>
          <w:p>
            <w:pPr>
              <w:ind w:left="20"/>
              <w:spacing w:after="0"/>
              <w:rPr>
                <w:sz w:val="20"/>
                <w:szCs w:val="20"/>
                <w:color w:val="auto"/>
              </w:rPr>
            </w:pPr>
            <w:r>
              <w:rPr>
                <w:rFonts w:ascii="Arial" w:cs="Arial" w:eastAsia="Arial" w:hAnsi="Arial"/>
                <w:sz w:val="16"/>
                <w:szCs w:val="16"/>
                <w:color w:val="auto"/>
              </w:rPr>
              <w:t>Earnings per diluted share excluding net special items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0.05</w:t>
            </w:r>
          </w:p>
        </w:tc>
      </w:tr>
    </w:tbl>
    <w:p>
      <w:pPr>
        <w:spacing w:after="0" w:line="16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Note: Amounts may not recalculate due to rounding.</w:t>
      </w:r>
    </w:p>
    <w:p>
      <w:pPr>
        <w:sectPr>
          <w:pgSz w:w="11900" w:h="16838" w:orient="portrait"/>
          <w:cols w:equalWidth="0" w:num="1">
            <w:col w:w="11160"/>
          </w:cols>
          <w:pgMar w:left="360" w:top="1353" w:right="37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2188210</wp:posOffset>
            </wp:positionH>
            <wp:positionV relativeFrom="page">
              <wp:posOffset>88900</wp:posOffset>
            </wp:positionV>
            <wp:extent cx="317182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3171825" cy="480060"/>
                    </a:xfrm>
                    <a:prstGeom prst="rect">
                      <a:avLst/>
                    </a:prstGeom>
                    <a:noFill/>
                  </pic:spPr>
                </pic:pic>
              </a:graphicData>
            </a:graphic>
          </wp:anchor>
        </w:drawing>
        <w:t>GAAP to Non-GAAP Reconciliation</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April 12, 2023</w:t>
      </w:r>
    </w:p>
    <w:p>
      <w:pPr>
        <w:spacing w:after="0" w:line="310" w:lineRule="exact"/>
        <w:rPr>
          <w:sz w:val="20"/>
          <w:szCs w:val="20"/>
          <w:color w:val="auto"/>
        </w:rPr>
      </w:pPr>
    </w:p>
    <w:p>
      <w:pPr>
        <w:ind w:left="20" w:right="5040"/>
        <w:spacing w:after="0" w:line="312" w:lineRule="auto"/>
        <w:rPr>
          <w:sz w:val="20"/>
          <w:szCs w:val="20"/>
          <w:color w:val="auto"/>
        </w:rPr>
      </w:pPr>
      <w:r>
        <w:rPr>
          <w:rFonts w:ascii="Arial" w:cs="Arial" w:eastAsia="Arial" w:hAnsi="Arial"/>
          <w:sz w:val="18"/>
          <w:szCs w:val="18"/>
          <w:b w:val="1"/>
          <w:bCs w:val="1"/>
          <w:color w:val="auto"/>
        </w:rPr>
        <w:t xml:space="preserve">GAAP to Non-GAAP Reconciliation of Total Operating Costs and CASM </w:t>
      </w:r>
      <w:r>
        <w:rPr>
          <w:rFonts w:ascii="Arial" w:cs="Arial" w:eastAsia="Arial" w:hAnsi="Arial"/>
          <w:sz w:val="18"/>
          <w:szCs w:val="18"/>
          <w:b w:val="1"/>
          <w:bCs w:val="1"/>
          <w:i w:val="1"/>
          <w:iCs w:val="1"/>
          <w:color w:val="auto"/>
        </w:rPr>
        <w:t>($ mil, except ASM and CASM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7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1Q23 Range</w:t>
            </w:r>
          </w:p>
        </w:tc>
        <w:tc>
          <w:tcPr>
            <w:tcW w:w="660" w:type="dxa"/>
            <w:vAlign w:val="bottom"/>
            <w:tcBorders>
              <w:bottom w:val="single" w:sz="8" w:color="auto"/>
            </w:tcBorders>
          </w:tcPr>
          <w:p>
            <w:pPr>
              <w:spacing w:after="0"/>
              <w:rPr>
                <w:sz w:val="18"/>
                <w:szCs w:val="18"/>
                <w:color w:val="auto"/>
              </w:rPr>
            </w:pPr>
          </w:p>
        </w:tc>
      </w:tr>
      <w:tr>
        <w:trPr>
          <w:trHeight w:val="209"/>
        </w:trPr>
        <w:tc>
          <w:tcPr>
            <w:tcW w:w="8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Low</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High</w:t>
            </w:r>
          </w:p>
        </w:tc>
      </w:tr>
      <w:tr>
        <w:trPr>
          <w:trHeight w:val="210"/>
        </w:trPr>
        <w:tc>
          <w:tcPr>
            <w:tcW w:w="8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11,751</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11,800</w:t>
            </w:r>
          </w:p>
        </w:tc>
      </w:tr>
      <w:tr>
        <w:trPr>
          <w:trHeight w:val="215"/>
        </w:trPr>
        <w:tc>
          <w:tcPr>
            <w:tcW w:w="8720" w:type="dxa"/>
            <w:vAlign w:val="bottom"/>
          </w:tcPr>
          <w:p>
            <w:pPr>
              <w:ind w:left="20"/>
              <w:spacing w:after="0"/>
              <w:rPr>
                <w:sz w:val="20"/>
                <w:szCs w:val="20"/>
                <w:color w:val="auto"/>
              </w:rPr>
            </w:pPr>
            <w:r>
              <w:rPr>
                <w:rFonts w:ascii="Arial" w:cs="Arial" w:eastAsia="Arial" w:hAnsi="Arial"/>
                <w:sz w:val="16"/>
                <w:szCs w:val="16"/>
                <w:color w:val="auto"/>
              </w:rPr>
              <w:t>Less fuel expense</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3,172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3,220</w:t>
            </w:r>
          </w:p>
        </w:tc>
      </w:tr>
      <w:tr>
        <w:trPr>
          <w:trHeight w:val="217"/>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operating net special items</w:t>
            </w: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8720" w:type="dxa"/>
            <w:vAlign w:val="bottom"/>
          </w:tcPr>
          <w:p>
            <w:pPr>
              <w:ind w:left="20"/>
              <w:spacing w:after="0"/>
              <w:rPr>
                <w:sz w:val="20"/>
                <w:szCs w:val="20"/>
                <w:color w:val="auto"/>
              </w:rPr>
            </w:pPr>
            <w:r>
              <w:rPr>
                <w:rFonts w:ascii="Arial" w:cs="Arial" w:eastAsia="Arial" w:hAnsi="Arial"/>
                <w:sz w:val="16"/>
                <w:szCs w:val="16"/>
                <w:color w:val="auto"/>
              </w:rPr>
              <w:t>Total operating expense excluding fuel and net special items (Non-GAAP)</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8,567</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8,567</w:t>
            </w:r>
          </w:p>
        </w:tc>
      </w:tr>
      <w:tr>
        <w:trPr>
          <w:trHeight w:val="271"/>
        </w:trPr>
        <w:tc>
          <w:tcPr>
            <w:tcW w:w="87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15"/>
        </w:trPr>
        <w:tc>
          <w:tcPr>
            <w:tcW w:w="8720" w:type="dxa"/>
            <w:vAlign w:val="bottom"/>
          </w:tcPr>
          <w:p>
            <w:pPr>
              <w:ind w:left="20"/>
              <w:spacing w:after="0"/>
              <w:rPr>
                <w:sz w:val="20"/>
                <w:szCs w:val="20"/>
                <w:color w:val="auto"/>
              </w:rPr>
            </w:pPr>
            <w:r>
              <w:rPr>
                <w:rFonts w:ascii="Arial" w:cs="Arial" w:eastAsia="Arial" w:hAnsi="Arial"/>
                <w:sz w:val="16"/>
                <w:szCs w:val="16"/>
                <w:color w:val="auto"/>
              </w:rPr>
              <w:t>Total CASM (cts)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18.08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18.15</w:t>
            </w:r>
          </w:p>
        </w:tc>
      </w:tr>
      <w:tr>
        <w:trPr>
          <w:trHeight w:val="271"/>
        </w:trPr>
        <w:tc>
          <w:tcPr>
            <w:tcW w:w="87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15"/>
        </w:trPr>
        <w:tc>
          <w:tcPr>
            <w:tcW w:w="8720" w:type="dxa"/>
            <w:vAlign w:val="bottom"/>
          </w:tcPr>
          <w:p>
            <w:pPr>
              <w:ind w:left="20"/>
              <w:spacing w:after="0"/>
              <w:rPr>
                <w:sz w:val="20"/>
                <w:szCs w:val="20"/>
                <w:color w:val="auto"/>
              </w:rPr>
            </w:pPr>
            <w:r>
              <w:rPr>
                <w:rFonts w:ascii="Arial" w:cs="Arial" w:eastAsia="Arial" w:hAnsi="Arial"/>
                <w:sz w:val="16"/>
                <w:szCs w:val="16"/>
                <w:color w:val="auto"/>
              </w:rPr>
              <w:t>Total CASM excluding fuel and net special items (cts) (Non-GAAP)</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13.18</w:t>
            </w:r>
          </w:p>
        </w:tc>
      </w:tr>
      <w:tr>
        <w:trPr>
          <w:trHeight w:val="217"/>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Percentage change compared to 1Q 2022 (%)</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-1.5%</w:t>
            </w:r>
          </w:p>
        </w:tc>
      </w:tr>
      <w:tr>
        <w:trPr>
          <w:trHeight w:val="270"/>
        </w:trPr>
        <w:tc>
          <w:tcPr>
            <w:tcW w:w="8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ASMs (bil)</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r>
      <w:tr>
        <w:trPr>
          <w:trHeight w:val="270"/>
        </w:trPr>
        <w:tc>
          <w:tcPr>
            <w:tcW w:w="8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non-operating expense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r>
      <w:tr>
        <w:trPr>
          <w:trHeight w:val="215"/>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non-operating net special items</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10"/>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non-operating expense excluding net special items (Non-GAAP)</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r>
    </w:tbl>
    <w:p>
      <w:pPr>
        <w:spacing w:after="0" w:line="163"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Note: Amounts may not recalculate due to rounding.</w:t>
      </w:r>
    </w:p>
    <w:p>
      <w:pPr>
        <w:sectPr>
          <w:pgSz w:w="11900" w:h="16838" w:orient="portrait"/>
          <w:cols w:equalWidth="0" w:num="1">
            <w:col w:w="11160"/>
          </w:cols>
          <w:pgMar w:left="360" w:top="1353" w:right="379" w:bottom="1440" w:gutter="0" w:footer="0" w:header="0"/>
        </w:sectPr>
      </w:pPr>
    </w:p>
    <w:bookmarkStart w:id="8" w:name="page9"/>
    <w:bookmarkEnd w:id="8"/>
    <w:p>
      <w:pPr>
        <w:ind w:left="49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2188210</wp:posOffset>
            </wp:positionH>
            <wp:positionV relativeFrom="page">
              <wp:posOffset>88900</wp:posOffset>
            </wp:positionV>
            <wp:extent cx="3171825" cy="480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3171825" cy="480060"/>
                    </a:xfrm>
                    <a:prstGeom prst="rect">
                      <a:avLst/>
                    </a:prstGeom>
                    <a:noFill/>
                  </pic:spPr>
                </pic:pic>
              </a:graphicData>
            </a:graphic>
          </wp:anchor>
        </w:drawing>
        <w:t>April 12, 2023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Certain of the statements contained in this presentation should be considered forward-looking statements within the meaning of the Securities Act of 1933, as amended, the Securities Exchange Act of 1934, as amended,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herein as well as in the Company’s Annual Report on Form 10-K for the year ended December 31, 2022 (especially in Part I, Item 1A. Risk Factors and Part II, Item 7. Management’s Discussion and Analysis of Financial Condition and Results of Operations), and other risks and uncertainties listed from time to time in the Company’s other filings with the Securities and Exchange Commission.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sectPr>
      <w:pgSz w:w="11900" w:h="16838" w:orient="portrait"/>
      <w:cols w:equalWidth="0" w:num="1">
        <w:col w:w="11220"/>
      </w:cols>
      <w:pgMar w:left="320" w:top="135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682"/>
    </w:lvl>
  </w:abstractNum>
  <w:abstractNum w:abstractNumId="1">
    <w:nsid w:val="3D1B58BA"/>
    <w:multiLevelType w:val="hybridMultilevel"/>
    <w:lvl w:ilvl="0">
      <w:lvlJc w:val="left"/>
      <w:lvlText w:val="(%1)"/>
      <w:numFmt w:val="decimal"/>
      <w:start w:val="682"/>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bullet"/>
      <w:start w:val="1"/>
    </w:lvl>
  </w:abstractNum>
  <w:abstractNum w:abstractNumId="6">
    <w:nsid w:val="7545E146"/>
    <w:multiLevelType w:val="hybridMultilevel"/>
    <w:lvl w:ilvl="0">
      <w:lvlJc w:val="left"/>
      <w:lvlText w:val="2"/>
      <w:numFmt w:val="bullet"/>
      <w:start w:val="1"/>
    </w:lvl>
  </w:abstractNum>
  <w:abstractNum w:abstractNumId="7">
    <w:nsid w:val="515F007C"/>
    <w:multiLevelType w:val="hybridMultilevel"/>
    <w:lvl w:ilvl="0">
      <w:lvlJc w:val="left"/>
      <w:lvlText w:val="3"/>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2023-04-12T06:32:37Z</dcterms:created>
  <dcterms:modified xsi:type="dcterms:W3CDTF">2023-04-12T06:32:37Z</dcterms:modified>
</cp:coreProperties>
</file>