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311150</wp:posOffset>
            </wp:positionH>
            <wp:positionV relativeFrom="page">
              <wp:posOffset>757555</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723265</wp:posOffset>
            </wp:positionV>
            <wp:extent cx="69265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25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December 4, 2020</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AMERICAN AIRLINES GROUP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AMERICAN AIRLINES, INC.</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22" w:lineRule="exact"/>
        <w:rPr>
          <w:sz w:val="24"/>
          <w:szCs w:val="24"/>
          <w:color w:val="auto"/>
        </w:rPr>
      </w:pPr>
    </w:p>
    <w:tbl>
      <w:tblPr>
        <w:tblLayout w:type="fixed"/>
        <w:tblInd w:w="20" w:type="dxa"/>
        <w:tblCellMar>
          <w:top w:w="0" w:type="dxa"/>
          <w:left w:w="0" w:type="dxa"/>
          <w:bottom w:w="0" w:type="dxa"/>
          <w:right w:w="0" w:type="dxa"/>
        </w:tblCellMar>
      </w:tblPr>
      <w:tr>
        <w:trPr>
          <w:trHeight w:val="229"/>
        </w:trPr>
        <w:tc>
          <w:tcPr>
            <w:tcW w:w="240" w:type="dxa"/>
            <w:vAlign w:val="bottom"/>
          </w:tcPr>
          <w:p>
            <w:pPr>
              <w:spacing w:after="0"/>
              <w:rPr>
                <w:sz w:val="19"/>
                <w:szCs w:val="19"/>
                <w:color w:val="auto"/>
              </w:rPr>
            </w:pPr>
          </w:p>
        </w:tc>
        <w:tc>
          <w:tcPr>
            <w:tcW w:w="38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rPr>
              <w:t>Delaware</w:t>
            </w:r>
          </w:p>
        </w:tc>
        <w:tc>
          <w:tcPr>
            <w:tcW w:w="1060" w:type="dxa"/>
            <w:vAlign w:val="bottom"/>
          </w:tcPr>
          <w:p>
            <w:pPr>
              <w:spacing w:after="0"/>
              <w:rPr>
                <w:sz w:val="19"/>
                <w:szCs w:val="19"/>
                <w:color w:val="auto"/>
              </w:rPr>
            </w:pPr>
          </w:p>
        </w:tc>
        <w:tc>
          <w:tcPr>
            <w:tcW w:w="1680" w:type="dxa"/>
            <w:vAlign w:val="bottom"/>
          </w:tcPr>
          <w:p>
            <w:pPr>
              <w:jc w:val="center"/>
              <w:ind w:right="350"/>
              <w:spacing w:after="0"/>
              <w:rPr>
                <w:sz w:val="20"/>
                <w:szCs w:val="20"/>
                <w:color w:val="auto"/>
              </w:rPr>
            </w:pPr>
            <w:r>
              <w:rPr>
                <w:rFonts w:ascii="Arial" w:cs="Arial" w:eastAsia="Arial" w:hAnsi="Arial"/>
                <w:sz w:val="18"/>
                <w:szCs w:val="18"/>
                <w:b w:val="1"/>
                <w:bCs w:val="1"/>
                <w:color w:val="auto"/>
                <w:w w:val="99"/>
              </w:rPr>
              <w:t>1-8400</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380" w:type="dxa"/>
            <w:vAlign w:val="bottom"/>
          </w:tcPr>
          <w:p>
            <w:pPr>
              <w:jc w:val="center"/>
              <w:ind w:left="136"/>
              <w:spacing w:after="0"/>
              <w:rPr>
                <w:sz w:val="20"/>
                <w:szCs w:val="20"/>
                <w:color w:val="auto"/>
              </w:rPr>
            </w:pPr>
            <w:r>
              <w:rPr>
                <w:rFonts w:ascii="Arial" w:cs="Arial" w:eastAsia="Arial" w:hAnsi="Arial"/>
                <w:sz w:val="18"/>
                <w:szCs w:val="18"/>
                <w:b w:val="1"/>
                <w:bCs w:val="1"/>
                <w:color w:val="auto"/>
                <w:w w:val="99"/>
              </w:rPr>
              <w:t>75-1825172</w:t>
            </w:r>
          </w:p>
        </w:tc>
        <w:tc>
          <w:tcPr>
            <w:tcW w:w="220" w:type="dxa"/>
            <w:vAlign w:val="bottom"/>
          </w:tcPr>
          <w:p>
            <w:pPr>
              <w:spacing w:after="0"/>
              <w:rPr>
                <w:sz w:val="19"/>
                <w:szCs w:val="19"/>
                <w:color w:val="auto"/>
              </w:rPr>
            </w:pPr>
          </w:p>
        </w:tc>
      </w:tr>
      <w:tr>
        <w:trPr>
          <w:trHeight w:val="239"/>
        </w:trPr>
        <w:tc>
          <w:tcPr>
            <w:tcW w:w="24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tcPr>
          <w:p>
            <w:pPr>
              <w:jc w:val="center"/>
              <w:ind w:right="156"/>
              <w:spacing w:after="0"/>
              <w:rPr>
                <w:sz w:val="20"/>
                <w:szCs w:val="20"/>
                <w:color w:val="auto"/>
              </w:rPr>
            </w:pPr>
            <w:r>
              <w:rPr>
                <w:rFonts w:ascii="Arial" w:cs="Arial" w:eastAsia="Arial" w:hAnsi="Arial"/>
                <w:sz w:val="18"/>
                <w:szCs w:val="18"/>
                <w:b w:val="1"/>
                <w:bCs w:val="1"/>
                <w:color w:val="auto"/>
              </w:rPr>
              <w:t>Delaware</w:t>
            </w:r>
          </w:p>
        </w:tc>
        <w:tc>
          <w:tcPr>
            <w:tcW w:w="24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b w:val="1"/>
                <w:bCs w:val="1"/>
                <w:color w:val="auto"/>
                <w:w w:val="99"/>
              </w:rPr>
              <w:t>1-2691</w:t>
            </w:r>
          </w:p>
        </w:tc>
        <w:tc>
          <w:tcPr>
            <w:tcW w:w="4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380" w:type="dxa"/>
            <w:vAlign w:val="bottom"/>
            <w:tcBorders>
              <w:bottom w:val="single" w:sz="8" w:color="auto"/>
            </w:tcBorders>
          </w:tcPr>
          <w:p>
            <w:pPr>
              <w:jc w:val="center"/>
              <w:ind w:left="136"/>
              <w:spacing w:after="0"/>
              <w:rPr>
                <w:sz w:val="20"/>
                <w:szCs w:val="20"/>
                <w:color w:val="auto"/>
              </w:rPr>
            </w:pPr>
            <w:r>
              <w:rPr>
                <w:rFonts w:ascii="Arial" w:cs="Arial" w:eastAsia="Arial" w:hAnsi="Arial"/>
                <w:sz w:val="18"/>
                <w:szCs w:val="18"/>
                <w:b w:val="1"/>
                <w:bCs w:val="1"/>
                <w:color w:val="auto"/>
                <w:w w:val="99"/>
              </w:rPr>
              <w:t>13-1502798</w:t>
            </w:r>
          </w:p>
        </w:tc>
        <w:tc>
          <w:tcPr>
            <w:tcW w:w="220" w:type="dxa"/>
            <w:vAlign w:val="bottom"/>
            <w:tcBorders>
              <w:bottom w:val="single" w:sz="8" w:color="auto"/>
            </w:tcBorders>
          </w:tcPr>
          <w:p>
            <w:pPr>
              <w:spacing w:after="0"/>
              <w:rPr>
                <w:sz w:val="20"/>
                <w:szCs w:val="20"/>
                <w:color w:val="auto"/>
              </w:rPr>
            </w:pPr>
          </w:p>
        </w:tc>
      </w:tr>
      <w:tr>
        <w:trPr>
          <w:trHeight w:val="184"/>
        </w:trPr>
        <w:tc>
          <w:tcPr>
            <w:tcW w:w="240" w:type="dxa"/>
            <w:vAlign w:val="bottom"/>
          </w:tcPr>
          <w:p>
            <w:pPr>
              <w:spacing w:after="0"/>
              <w:rPr>
                <w:sz w:val="16"/>
                <w:szCs w:val="16"/>
                <w:color w:val="auto"/>
              </w:rPr>
            </w:pPr>
          </w:p>
        </w:tc>
        <w:tc>
          <w:tcPr>
            <w:tcW w:w="38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(State or other Jurisdiction of Incorporation)</w:t>
            </w:r>
          </w:p>
        </w:tc>
        <w:tc>
          <w:tcPr>
            <w:tcW w:w="35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(Commission File Number)</w:t>
            </w:r>
          </w:p>
        </w:tc>
        <w:tc>
          <w:tcPr>
            <w:tcW w:w="3600" w:type="dxa"/>
            <w:vAlign w:val="bottom"/>
            <w:gridSpan w:val="2"/>
          </w:tcPr>
          <w:p>
            <w:pPr>
              <w:jc w:val="center"/>
              <w:spacing w:after="0"/>
              <w:rPr>
                <w:sz w:val="20"/>
                <w:szCs w:val="20"/>
                <w:color w:val="auto"/>
              </w:rPr>
            </w:pPr>
            <w:r>
              <w:rPr>
                <w:rFonts w:ascii="Arial" w:cs="Arial" w:eastAsia="Arial" w:hAnsi="Arial"/>
                <w:sz w:val="14"/>
                <w:szCs w:val="14"/>
                <w:b w:val="1"/>
                <w:bCs w:val="1"/>
                <w:color w:val="auto"/>
              </w:rPr>
              <w:t>(IRS Employer Identification No.)</w:t>
            </w:r>
          </w:p>
        </w:tc>
      </w:tr>
      <w:tr>
        <w:trPr>
          <w:trHeight w:val="678"/>
        </w:trPr>
        <w:tc>
          <w:tcPr>
            <w:tcW w:w="240" w:type="dxa"/>
            <w:vAlign w:val="bottom"/>
          </w:tcPr>
          <w:p>
            <w:pPr>
              <w:spacing w:after="0"/>
              <w:rPr>
                <w:sz w:val="24"/>
                <w:szCs w:val="24"/>
                <w:color w:val="auto"/>
              </w:rPr>
            </w:pPr>
          </w:p>
        </w:tc>
        <w:tc>
          <w:tcPr>
            <w:tcW w:w="4860" w:type="dxa"/>
            <w:vAlign w:val="bottom"/>
            <w:gridSpan w:val="3"/>
          </w:tcPr>
          <w:p>
            <w:pPr>
              <w:ind w:left="2280"/>
              <w:spacing w:after="0"/>
              <w:rPr>
                <w:sz w:val="20"/>
                <w:szCs w:val="20"/>
                <w:color w:val="auto"/>
              </w:rPr>
            </w:pPr>
            <w:r>
              <w:rPr>
                <w:rFonts w:ascii="Arial" w:cs="Arial" w:eastAsia="Arial" w:hAnsi="Arial"/>
                <w:sz w:val="18"/>
                <w:szCs w:val="18"/>
                <w:b w:val="1"/>
                <w:bCs w:val="1"/>
                <w:color w:val="auto"/>
              </w:rPr>
              <w:t>1 Skyview Drive, Fort Worth,</w:t>
            </w:r>
          </w:p>
        </w:tc>
        <w:tc>
          <w:tcPr>
            <w:tcW w:w="2500" w:type="dxa"/>
            <w:vAlign w:val="bottom"/>
            <w:gridSpan w:val="4"/>
          </w:tcPr>
          <w:p>
            <w:pPr>
              <w:ind w:left="180"/>
              <w:spacing w:after="0"/>
              <w:rPr>
                <w:sz w:val="20"/>
                <w:szCs w:val="20"/>
                <w:color w:val="auto"/>
              </w:rPr>
            </w:pPr>
            <w:r>
              <w:rPr>
                <w:rFonts w:ascii="Arial" w:cs="Arial" w:eastAsia="Arial" w:hAnsi="Arial"/>
                <w:sz w:val="18"/>
                <w:szCs w:val="18"/>
                <w:b w:val="1"/>
                <w:bCs w:val="1"/>
                <w:color w:val="auto"/>
              </w:rPr>
              <w:t>Texas</w:t>
            </w:r>
          </w:p>
        </w:tc>
        <w:tc>
          <w:tcPr>
            <w:tcW w:w="3380" w:type="dxa"/>
            <w:vAlign w:val="bottom"/>
          </w:tcPr>
          <w:p>
            <w:pPr>
              <w:jc w:val="center"/>
              <w:ind w:right="356"/>
              <w:spacing w:after="0"/>
              <w:rPr>
                <w:sz w:val="20"/>
                <w:szCs w:val="20"/>
                <w:color w:val="auto"/>
              </w:rPr>
            </w:pPr>
            <w:r>
              <w:rPr>
                <w:rFonts w:ascii="Arial" w:cs="Arial" w:eastAsia="Arial" w:hAnsi="Arial"/>
                <w:sz w:val="18"/>
                <w:szCs w:val="18"/>
                <w:b w:val="1"/>
                <w:bCs w:val="1"/>
                <w:color w:val="auto"/>
                <w:w w:val="99"/>
              </w:rPr>
              <w:t>76155</w:t>
            </w:r>
          </w:p>
        </w:tc>
        <w:tc>
          <w:tcPr>
            <w:tcW w:w="220" w:type="dxa"/>
            <w:vAlign w:val="bottom"/>
          </w:tcPr>
          <w:p>
            <w:pPr>
              <w:spacing w:after="0"/>
              <w:rPr>
                <w:sz w:val="24"/>
                <w:szCs w:val="24"/>
                <w:color w:val="auto"/>
              </w:rPr>
            </w:pPr>
          </w:p>
        </w:tc>
      </w:tr>
      <w:tr>
        <w:trPr>
          <w:trHeight w:val="239"/>
        </w:trPr>
        <w:tc>
          <w:tcPr>
            <w:tcW w:w="240" w:type="dxa"/>
            <w:vAlign w:val="bottom"/>
          </w:tcPr>
          <w:p>
            <w:pPr>
              <w:spacing w:after="0"/>
              <w:rPr>
                <w:sz w:val="20"/>
                <w:szCs w:val="20"/>
                <w:color w:val="auto"/>
              </w:rPr>
            </w:pPr>
          </w:p>
        </w:tc>
        <w:tc>
          <w:tcPr>
            <w:tcW w:w="4860" w:type="dxa"/>
            <w:vAlign w:val="bottom"/>
            <w:tcBorders>
              <w:bottom w:val="single" w:sz="8" w:color="auto"/>
            </w:tcBorders>
            <w:gridSpan w:val="3"/>
          </w:tcPr>
          <w:p>
            <w:pPr>
              <w:ind w:left="2280"/>
              <w:spacing w:after="0"/>
              <w:rPr>
                <w:sz w:val="20"/>
                <w:szCs w:val="20"/>
                <w:color w:val="auto"/>
              </w:rPr>
            </w:pPr>
            <w:r>
              <w:rPr>
                <w:rFonts w:ascii="Arial" w:cs="Arial" w:eastAsia="Arial" w:hAnsi="Arial"/>
                <w:sz w:val="18"/>
                <w:szCs w:val="18"/>
                <w:b w:val="1"/>
                <w:bCs w:val="1"/>
                <w:color w:val="auto"/>
              </w:rPr>
              <w:t>1 Skyview Drive, Fort Worth,</w:t>
            </w:r>
          </w:p>
        </w:tc>
        <w:tc>
          <w:tcPr>
            <w:tcW w:w="16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Texas</w:t>
            </w:r>
          </w:p>
        </w:tc>
        <w:tc>
          <w:tcPr>
            <w:tcW w:w="400" w:type="dxa"/>
            <w:vAlign w:val="bottom"/>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3380" w:type="dxa"/>
            <w:vAlign w:val="bottom"/>
            <w:tcBorders>
              <w:bottom w:val="single" w:sz="8" w:color="auto"/>
            </w:tcBorders>
          </w:tcPr>
          <w:p>
            <w:pPr>
              <w:jc w:val="center"/>
              <w:ind w:right="356"/>
              <w:spacing w:after="0"/>
              <w:rPr>
                <w:sz w:val="20"/>
                <w:szCs w:val="20"/>
                <w:color w:val="auto"/>
              </w:rPr>
            </w:pPr>
            <w:r>
              <w:rPr>
                <w:rFonts w:ascii="Arial" w:cs="Arial" w:eastAsia="Arial" w:hAnsi="Arial"/>
                <w:sz w:val="18"/>
                <w:szCs w:val="18"/>
                <w:b w:val="1"/>
                <w:bCs w:val="1"/>
                <w:color w:val="auto"/>
                <w:w w:val="99"/>
              </w:rPr>
              <w:t>76155</w:t>
            </w:r>
          </w:p>
        </w:tc>
        <w:tc>
          <w:tcPr>
            <w:tcW w:w="220" w:type="dxa"/>
            <w:vAlign w:val="bottom"/>
          </w:tcPr>
          <w:p>
            <w:pPr>
              <w:spacing w:after="0"/>
              <w:rPr>
                <w:sz w:val="20"/>
                <w:szCs w:val="20"/>
                <w:color w:val="auto"/>
              </w:rPr>
            </w:pPr>
          </w:p>
        </w:tc>
      </w:tr>
      <w:tr>
        <w:trPr>
          <w:trHeight w:val="184"/>
        </w:trPr>
        <w:tc>
          <w:tcPr>
            <w:tcW w:w="240" w:type="dxa"/>
            <w:vAlign w:val="bottom"/>
          </w:tcPr>
          <w:p>
            <w:pPr>
              <w:spacing w:after="0"/>
              <w:rPr>
                <w:sz w:val="16"/>
                <w:szCs w:val="16"/>
                <w:color w:val="auto"/>
              </w:rPr>
            </w:pPr>
          </w:p>
        </w:tc>
        <w:tc>
          <w:tcPr>
            <w:tcW w:w="4860" w:type="dxa"/>
            <w:vAlign w:val="bottom"/>
            <w:gridSpan w:val="3"/>
          </w:tcPr>
          <w:p>
            <w:pPr>
              <w:ind w:left="1920"/>
              <w:spacing w:after="0"/>
              <w:rPr>
                <w:sz w:val="20"/>
                <w:szCs w:val="20"/>
                <w:color w:val="auto"/>
              </w:rPr>
            </w:pPr>
            <w:r>
              <w:rPr>
                <w:rFonts w:ascii="Arial" w:cs="Arial" w:eastAsia="Arial" w:hAnsi="Arial"/>
                <w:sz w:val="14"/>
                <w:szCs w:val="14"/>
                <w:b w:val="1"/>
                <w:bCs w:val="1"/>
                <w:color w:val="auto"/>
              </w:rPr>
              <w:t>(Address of principal executive offices)</w:t>
            </w:r>
          </w:p>
        </w:tc>
        <w:tc>
          <w:tcPr>
            <w:tcW w:w="1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(Zip Code)</w:t>
            </w:r>
          </w:p>
        </w:tc>
      </w:tr>
    </w:tbl>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31" w:lineRule="exact"/>
        <w:rPr>
          <w:sz w:val="24"/>
          <w:szCs w:val="24"/>
          <w:color w:val="auto"/>
        </w:rPr>
      </w:pPr>
    </w:p>
    <w:p>
      <w:pPr>
        <w:ind w:left="5480" w:hanging="471"/>
        <w:spacing w:after="0"/>
        <w:tabs>
          <w:tab w:leader="none" w:pos="54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963-1234</w:t>
      </w:r>
    </w:p>
    <w:p>
      <w:pPr>
        <w:spacing w:after="0" w:line="9" w:lineRule="exact"/>
        <w:rPr>
          <w:rFonts w:ascii="Arial" w:cs="Arial" w:eastAsia="Arial" w:hAnsi="Arial"/>
          <w:sz w:val="18"/>
          <w:szCs w:val="18"/>
          <w:b w:val="1"/>
          <w:bCs w:val="1"/>
          <w:color w:val="auto"/>
        </w:rPr>
      </w:pPr>
    </w:p>
    <w:p>
      <w:pPr>
        <w:ind w:left="5480" w:hanging="471"/>
        <w:spacing w:after="0"/>
        <w:tabs>
          <w:tab w:leader="none" w:pos="54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963-1234</w:t>
      </w:r>
    </w:p>
    <w:p>
      <w:pPr>
        <w:spacing w:after="0" w:line="3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647700</wp:posOffset>
            </wp:positionH>
            <wp:positionV relativeFrom="paragraph">
              <wp:posOffset>20320</wp:posOffset>
            </wp:positionV>
            <wp:extent cx="5854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54700" cy="8890"/>
                    </a:xfrm>
                    <a:prstGeom prst="rect">
                      <a:avLst/>
                    </a:prstGeom>
                    <a:noFill/>
                  </pic:spPr>
                </pic:pic>
              </a:graphicData>
            </a:graphic>
          </wp:anchor>
        </w:drawing>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38" w:lineRule="exact"/>
        <w:rPr>
          <w:sz w:val="24"/>
          <w:szCs w:val="24"/>
          <w:color w:val="auto"/>
        </w:rPr>
      </w:pPr>
    </w:p>
    <w:p>
      <w:pPr>
        <w:ind w:right="380"/>
        <w:spacing w:after="0" w:line="259"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118" w:lineRule="exact"/>
        <w:rPr>
          <w:sz w:val="24"/>
          <w:szCs w:val="24"/>
          <w:color w:val="auto"/>
        </w:rPr>
      </w:pPr>
    </w:p>
    <w:p>
      <w:pPr>
        <w:ind w:left="600" w:hanging="574"/>
        <w:spacing w:after="0"/>
        <w:tabs>
          <w:tab w:leader="none" w:pos="60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Written communications pursuant to Rule 425 under the Securities Act (17 CFR 230.425)</w:t>
      </w:r>
    </w:p>
    <w:p>
      <w:pPr>
        <w:spacing w:after="0" w:line="34" w:lineRule="exact"/>
        <w:rPr>
          <w:rFonts w:ascii="MS PGothic" w:cs="MS PGothic" w:eastAsia="MS PGothic" w:hAnsi="MS PGothic"/>
          <w:sz w:val="18"/>
          <w:szCs w:val="18"/>
          <w:color w:val="auto"/>
        </w:rPr>
      </w:pPr>
    </w:p>
    <w:p>
      <w:pPr>
        <w:ind w:left="600" w:hanging="574"/>
        <w:spacing w:after="0"/>
        <w:tabs>
          <w:tab w:leader="none" w:pos="60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Soliciting material pursuant to Rule 14a-12 under the Exchange Act (17 CFR 240.14a-12)</w:t>
      </w:r>
    </w:p>
    <w:p>
      <w:pPr>
        <w:spacing w:after="0" w:line="34" w:lineRule="exact"/>
        <w:rPr>
          <w:rFonts w:ascii="MS PGothic" w:cs="MS PGothic" w:eastAsia="MS PGothic" w:hAnsi="MS PGothic"/>
          <w:sz w:val="18"/>
          <w:szCs w:val="18"/>
          <w:color w:val="auto"/>
        </w:rPr>
      </w:pPr>
    </w:p>
    <w:p>
      <w:pPr>
        <w:ind w:left="600" w:hanging="574"/>
        <w:spacing w:after="0"/>
        <w:tabs>
          <w:tab w:leader="none" w:pos="60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Pre-commencement communications pursuant to Rule 14d-2(b) under the Exchange Act (17 CFR 240.14d-2(b))</w:t>
      </w:r>
    </w:p>
    <w:p>
      <w:pPr>
        <w:spacing w:after="0" w:line="34" w:lineRule="exact"/>
        <w:rPr>
          <w:rFonts w:ascii="MS PGothic" w:cs="MS PGothic" w:eastAsia="MS PGothic" w:hAnsi="MS PGothic"/>
          <w:sz w:val="18"/>
          <w:szCs w:val="18"/>
          <w:color w:val="auto"/>
        </w:rPr>
      </w:pPr>
    </w:p>
    <w:p>
      <w:pPr>
        <w:ind w:left="600" w:hanging="574"/>
        <w:spacing w:after="0"/>
        <w:tabs>
          <w:tab w:leader="none" w:pos="60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Pre-commencement communications pursuant to Rule 13e-4(c) under the Exchange Act (17 CFR 240.13e-4(c))</w:t>
      </w:r>
    </w:p>
    <w:p>
      <w:pPr>
        <w:spacing w:after="0" w:line="12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9" w:lineRule="exact"/>
        <w:rPr>
          <w:sz w:val="24"/>
          <w:szCs w:val="24"/>
          <w:color w:val="auto"/>
        </w:rPr>
      </w:pPr>
    </w:p>
    <w:tbl>
      <w:tblPr>
        <w:tblLayout w:type="fixed"/>
        <w:tblInd w:w="40" w:type="dxa"/>
        <w:tblCellMar>
          <w:top w:w="0" w:type="dxa"/>
          <w:left w:w="0" w:type="dxa"/>
          <w:bottom w:w="0" w:type="dxa"/>
          <w:right w:w="0" w:type="dxa"/>
        </w:tblCellMar>
      </w:tblPr>
      <w:tr>
        <w:trPr>
          <w:trHeight w:val="161"/>
        </w:trPr>
        <w:tc>
          <w:tcPr>
            <w:tcW w:w="37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240" w:type="dxa"/>
            <w:vAlign w:val="bottom"/>
            <w:vMerge w:val="restart"/>
          </w:tcPr>
          <w:p>
            <w:pPr>
              <w:spacing w:after="0"/>
              <w:rPr>
                <w:sz w:val="14"/>
                <w:szCs w:val="14"/>
                <w:color w:val="auto"/>
              </w:rPr>
            </w:pPr>
          </w:p>
        </w:tc>
        <w:tc>
          <w:tcPr>
            <w:tcW w:w="3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Trading</w:t>
            </w: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c>
          <w:tcPr>
            <w:tcW w:w="0" w:type="dxa"/>
            <w:vAlign w:val="bottom"/>
          </w:tcPr>
          <w:p>
            <w:pPr>
              <w:spacing w:after="0"/>
              <w:rPr>
                <w:sz w:val="1"/>
                <w:szCs w:val="1"/>
                <w:color w:val="auto"/>
              </w:rPr>
            </w:pPr>
          </w:p>
        </w:tc>
      </w:tr>
      <w:tr>
        <w:trPr>
          <w:trHeight w:val="175"/>
        </w:trPr>
        <w:tc>
          <w:tcPr>
            <w:tcW w:w="376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200" w:type="dxa"/>
            <w:vAlign w:val="bottom"/>
          </w:tcPr>
          <w:p>
            <w:pPr>
              <w:spacing w:after="0"/>
              <w:rPr>
                <w:sz w:val="15"/>
                <w:szCs w:val="15"/>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on which registered</w:t>
            </w:r>
          </w:p>
        </w:tc>
        <w:tc>
          <w:tcPr>
            <w:tcW w:w="0" w:type="dxa"/>
            <w:vAlign w:val="bottom"/>
          </w:tcPr>
          <w:p>
            <w:pPr>
              <w:spacing w:after="0"/>
              <w:rPr>
                <w:sz w:val="1"/>
                <w:szCs w:val="1"/>
                <w:color w:val="auto"/>
              </w:rPr>
            </w:pPr>
          </w:p>
        </w:tc>
      </w:tr>
      <w:tr>
        <w:trPr>
          <w:trHeight w:val="184"/>
        </w:trPr>
        <w:tc>
          <w:tcPr>
            <w:tcW w:w="4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Common Stock, $0.01 par value per share</w:t>
            </w:r>
          </w:p>
        </w:tc>
        <w:tc>
          <w:tcPr>
            <w:tcW w:w="35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AAL</w:t>
            </w: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rPr>
              <w:t>The Nasdaq Global Select Market</w:t>
            </w:r>
          </w:p>
        </w:tc>
        <w:tc>
          <w:tcPr>
            <w:tcW w:w="0" w:type="dxa"/>
            <w:vAlign w:val="bottom"/>
          </w:tcPr>
          <w:p>
            <w:pPr>
              <w:spacing w:after="0"/>
              <w:rPr>
                <w:sz w:val="1"/>
                <w:szCs w:val="1"/>
                <w:color w:val="auto"/>
              </w:rPr>
            </w:pPr>
          </w:p>
        </w:tc>
      </w:tr>
    </w:tbl>
    <w:p>
      <w:pPr>
        <w:spacing w:after="0" w:line="106" w:lineRule="exact"/>
        <w:rPr>
          <w:sz w:val="24"/>
          <w:szCs w:val="24"/>
          <w:color w:val="auto"/>
        </w:rPr>
      </w:pPr>
    </w:p>
    <w:p>
      <w:pPr>
        <w:ind w:right="220"/>
        <w:spacing w:after="0" w:line="26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71" w:lineRule="exact"/>
        <w:rPr>
          <w:sz w:val="24"/>
          <w:szCs w:val="24"/>
          <w:color w:val="auto"/>
        </w:rPr>
      </w:pPr>
    </w:p>
    <w:p>
      <w:pPr>
        <w:ind w:left="872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385" w:lineRule="exact"/>
        <w:rPr>
          <w:sz w:val="24"/>
          <w:szCs w:val="24"/>
          <w:color w:val="auto"/>
        </w:rPr>
      </w:pPr>
    </w:p>
    <w:p>
      <w:pPr>
        <w:ind w:right="60"/>
        <w:spacing w:after="0" w:line="214"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864235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238760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115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20"/>
          </w:cols>
          <w:pgMar w:left="320" w:top="1351" w:right="359" w:bottom="1440" w:gutter="0" w:footer="0" w:header="0"/>
        </w:sectPr>
      </w:pPr>
    </w:p>
    <w:bookmarkStart w:id="1" w:name="page2"/>
    <w:bookmarkEnd w:id="1"/>
    <w:p>
      <w:pPr>
        <w:ind w:left="20"/>
        <w:spacing w:after="0"/>
        <w:tabs>
          <w:tab w:leader="none" w:pos="15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7"/>
          <w:szCs w:val="17"/>
          <w:b w:val="1"/>
          <w:bCs w:val="1"/>
          <w:color w:val="auto"/>
        </w:rPr>
        <w:t>OTHER EVENTS.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Performance Update</w:t>
      </w:r>
    </w:p>
    <w:p>
      <w:pPr>
        <w:spacing w:after="0" w:line="1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Like others in the industry, American Airlines Group Inc. (the "Company") has seen a slowing in demand and forward bookings due to the recent acceleration of the pandemic. Following a strong start to the fourth quarter of 2020, rising COVID-19 case counts and associated travel restrictions in the immediate period leading up to the Thanksgiving holiday have resulted in a slowing of net bookings growth, which has persisted into December.</w:t>
      </w:r>
    </w:p>
    <w:p>
      <w:pPr>
        <w:spacing w:after="0" w:line="15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Due to the slowing of demand and forward bookings referenced above and modestly higher fuel prices, the Company now expects its fourth quarter 2020 average daily cash burn</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to come in at the high end of its previously forecasted range of $25-$30 million per day. As a result, the Company now expects to end the fourth quarter with more than $14 billion in total available liquidity, which includes the undrawn portion of our CARES Act loan from the U.S. Treasury and which excludes any additional proceeds from sales of our common stock that we may still make pursuant to the remaining capacity available under our existing at-the-market offering described in the prospectus supplement filed with the Securities and Exchange Commission on October 22, 2020.</w:t>
      </w:r>
    </w:p>
    <w:p>
      <w:pPr>
        <w:spacing w:after="0" w:line="16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Company continues to expect the recovery in demand to be volatile and difficult to accurately forecast. These projections are based on the Company’s current outlook and actual results could differ materially.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1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Certain of the statements contained in this report should be considered forward-looking statements within the meaning of the Securities Act of 1933, as amended (the Securities Act), the Securities Exchange Act of 1934, as amended (the Exchange Act), and the Private Securities Litigation Reform Act of 1995. These forward-looking statements may be identified by words such as “may,” “will,” “expect,” “intend,” “anticipate,” “believe,” “estimate,” “plan,” “project,” “could,” “should,” “would,” “continue,” “seek,” “target,” “guidance,” “outlook,” “if current trends continue,” “optimistic,” “forecast” and other similar words. Such statements include, but are not limited to, statements about the company’s plans, objectives, expectations, intentions, estimates and strategies for the future, and other statements that are not historical facts. These forward-looking statements are based on the company’s current objectives, beliefs and expectations, and they are subject to significant risks and uncertainties that may cause actual results and financial position and timing of certain events to differ materially from the information in the forward-looking statements. These risks and uncertainties include, but are not limited to, those set forth in the company’s Quarterly Report on Form 10-Q for the quarter ended September 30, 2020 (especially in Part I, Item 2. Management’s Discussion and Analysis of Financial Condition and Results of Operations, and Part II, Item 1A. Risk Factors), and other risks and uncertainties listed from time to time in the company’s other filings with the Securities and Exchange Commission. There may be other factors of which the company is not currently aware that may affect matters discussed in the forward-looking statements and may also cause actual results to differ materially from those discussed. In particular, the consequences of the COVID-19 outbreak to economic conditions and the travel industry in general and the financial position and operating results of the company in particular have been material, are changing rapidly, and cannot be predicted. The company does not assume any obligation to publicly update or supplement any forward-looking statement to reflect actual results, changes in assumptions or changes in other factors affecting these forward-looking statements other than as required by law. Forward looking statements speak only as of the date hereof or as of the dates indicated in the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1714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240" w:firstLine="8"/>
        <w:spacing w:after="0" w:line="215" w:lineRule="auto"/>
        <w:tabs>
          <w:tab w:leader="none" w:pos="115" w:val="left"/>
        </w:tabs>
        <w:numPr>
          <w:ilvl w:val="0"/>
          <w:numId w:val="4"/>
        </w:numPr>
        <w:rPr>
          <w:rFonts w:ascii="Arial" w:cs="Arial" w:eastAsia="Arial" w:hAnsi="Arial"/>
          <w:sz w:val="23"/>
          <w:szCs w:val="23"/>
          <w:color w:val="auto"/>
          <w:vertAlign w:val="superscript"/>
        </w:rPr>
      </w:pPr>
      <w:r>
        <w:rPr>
          <w:rFonts w:ascii="Arial" w:cs="Arial" w:eastAsia="Arial" w:hAnsi="Arial"/>
          <w:sz w:val="16"/>
          <w:szCs w:val="16"/>
          <w:color w:val="auto"/>
        </w:rPr>
        <w:t>The Company defines cash burn as net cash provided by (used in) operating activities, net cash provided by (used in) investing activities and net cash provided by (used in) financing activities, adjusted for (1) CARES Act Payroll Support Program grant proceeds, (2) net purchases (proceeds from sale) of short-term investments and restricted short-term investments, (3) proceeds from issuance of long-term debt, net of deferred financing costs, but excluding aircraft financing, (4) proceeds from issuance of equity, (5) prepayments of long-term debt and (6) other cash flows that are not representative of our core operating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Pursuant to the requirements of the Securities Exchange Act of 1934, American Airlines Group Inc. has duly caused this report to be signed on its behalf by the undersigned hereunto duly authorized.</w:t>
      </w: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4120" w:type="dxa"/>
            <w:vAlign w:val="bottom"/>
          </w:tcPr>
          <w:p>
            <w:pPr>
              <w:spacing w:after="0"/>
              <w:rPr>
                <w:sz w:val="20"/>
                <w:szCs w:val="20"/>
                <w:color w:val="auto"/>
              </w:rPr>
            </w:pPr>
          </w:p>
        </w:tc>
        <w:tc>
          <w:tcPr>
            <w:tcW w:w="7080" w:type="dxa"/>
            <w:vAlign w:val="bottom"/>
            <w:gridSpan w:val="2"/>
          </w:tcPr>
          <w:p>
            <w:pPr>
              <w:ind w:left="214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MERICAN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IRLINES</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ROUP</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tc>
      </w:tr>
      <w:tr>
        <w:trPr>
          <w:trHeight w:val="499"/>
        </w:trPr>
        <w:tc>
          <w:tcPr>
            <w:tcW w:w="4120" w:type="dxa"/>
            <w:vAlign w:val="bottom"/>
          </w:tcPr>
          <w:p>
            <w:pPr>
              <w:spacing w:after="0"/>
              <w:rPr>
                <w:sz w:val="20"/>
                <w:szCs w:val="20"/>
                <w:color w:val="auto"/>
              </w:rPr>
            </w:pPr>
            <w:r>
              <w:rPr>
                <w:rFonts w:ascii="Arial" w:cs="Arial" w:eastAsia="Arial" w:hAnsi="Arial"/>
                <w:sz w:val="18"/>
                <w:szCs w:val="18"/>
                <w:color w:val="auto"/>
              </w:rPr>
              <w:t>Date: December 4, 2020</w:t>
            </w:r>
          </w:p>
        </w:tc>
        <w:tc>
          <w:tcPr>
            <w:tcW w:w="2700" w:type="dxa"/>
            <w:vAlign w:val="bottom"/>
          </w:tcPr>
          <w:p>
            <w:pPr>
              <w:ind w:left="2140"/>
              <w:spacing w:after="0"/>
              <w:rPr>
                <w:sz w:val="20"/>
                <w:szCs w:val="20"/>
                <w:color w:val="auto"/>
              </w:rPr>
            </w:pPr>
            <w:r>
              <w:rPr>
                <w:rFonts w:ascii="Arial" w:cs="Arial" w:eastAsia="Arial" w:hAnsi="Arial"/>
                <w:sz w:val="18"/>
                <w:szCs w:val="18"/>
                <w:color w:val="auto"/>
              </w:rPr>
              <w:t>By:</w:t>
            </w:r>
          </w:p>
        </w:tc>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Derek J. Kerr</w:t>
            </w:r>
          </w:p>
        </w:tc>
      </w:tr>
      <w:tr>
        <w:trPr>
          <w:trHeight w:val="223"/>
        </w:trPr>
        <w:tc>
          <w:tcPr>
            <w:tcW w:w="41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4380" w:type="dxa"/>
            <w:vAlign w:val="bottom"/>
          </w:tcPr>
          <w:p>
            <w:pPr>
              <w:ind w:left="20"/>
              <w:spacing w:after="0"/>
              <w:rPr>
                <w:sz w:val="20"/>
                <w:szCs w:val="20"/>
                <w:color w:val="auto"/>
              </w:rPr>
            </w:pPr>
            <w:r>
              <w:rPr>
                <w:rFonts w:ascii="Arial" w:cs="Arial" w:eastAsia="Arial" w:hAnsi="Arial"/>
                <w:sz w:val="18"/>
                <w:szCs w:val="18"/>
                <w:color w:val="auto"/>
              </w:rPr>
              <w:t>Derek J. Kerr</w:t>
            </w:r>
          </w:p>
        </w:tc>
      </w:tr>
    </w:tbl>
    <w:p>
      <w:pPr>
        <w:ind w:left="6860"/>
        <w:spacing w:after="0" w:line="218" w:lineRule="auto"/>
        <w:rPr>
          <w:sz w:val="20"/>
          <w:szCs w:val="20"/>
          <w:color w:val="auto"/>
        </w:rPr>
      </w:pPr>
      <w:r>
        <w:rPr>
          <w:rFonts w:ascii="Arial" w:cs="Arial" w:eastAsia="Arial" w:hAnsi="Arial"/>
          <w:sz w:val="18"/>
          <w:szCs w:val="18"/>
          <w:color w:val="auto"/>
        </w:rPr>
        <w:t>Executive Vice President and</w:t>
      </w:r>
    </w:p>
    <w:p>
      <w:pPr>
        <w:ind w:left="6860"/>
        <w:spacing w:after="0"/>
        <w:rPr>
          <w:sz w:val="20"/>
          <w:szCs w:val="20"/>
          <w:color w:val="auto"/>
        </w:rPr>
      </w:pPr>
      <w:r>
        <w:rPr>
          <w:rFonts w:ascii="Arial" w:cs="Arial" w:eastAsia="Arial" w:hAnsi="Arial"/>
          <w:sz w:val="18"/>
          <w:szCs w:val="18"/>
          <w:color w:val="auto"/>
        </w:rPr>
        <w:t>Chief Financial Officer</w:t>
      </w:r>
    </w:p>
    <w:p>
      <w:pPr>
        <w:spacing w:after="0" w:line="22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Pursuant to the requirements of the Securities Exchange Act of 1934, American Airlines, Inc. has duly caused this report to be signed on its behalf by the undersigned hereunto duly authorized.</w:t>
      </w:r>
    </w:p>
    <w:p>
      <w:pPr>
        <w:spacing w:after="0" w:line="351"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4120" w:type="dxa"/>
            <w:vAlign w:val="bottom"/>
          </w:tcPr>
          <w:p>
            <w:pPr>
              <w:spacing w:after="0"/>
              <w:rPr>
                <w:sz w:val="20"/>
                <w:szCs w:val="20"/>
                <w:color w:val="auto"/>
              </w:rPr>
            </w:pPr>
          </w:p>
        </w:tc>
        <w:tc>
          <w:tcPr>
            <w:tcW w:w="7080" w:type="dxa"/>
            <w:vAlign w:val="bottom"/>
            <w:gridSpan w:val="2"/>
          </w:tcPr>
          <w:p>
            <w:pPr>
              <w:ind w:left="214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MERICAN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IRLINES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tc>
      </w:tr>
      <w:tr>
        <w:trPr>
          <w:trHeight w:val="499"/>
        </w:trPr>
        <w:tc>
          <w:tcPr>
            <w:tcW w:w="4120" w:type="dxa"/>
            <w:vAlign w:val="bottom"/>
          </w:tcPr>
          <w:p>
            <w:pPr>
              <w:spacing w:after="0"/>
              <w:rPr>
                <w:sz w:val="20"/>
                <w:szCs w:val="20"/>
                <w:color w:val="auto"/>
              </w:rPr>
            </w:pPr>
            <w:r>
              <w:rPr>
                <w:rFonts w:ascii="Arial" w:cs="Arial" w:eastAsia="Arial" w:hAnsi="Arial"/>
                <w:sz w:val="18"/>
                <w:szCs w:val="18"/>
                <w:color w:val="auto"/>
              </w:rPr>
              <w:t>Date: December 4, 2020</w:t>
            </w:r>
          </w:p>
        </w:tc>
        <w:tc>
          <w:tcPr>
            <w:tcW w:w="2580" w:type="dxa"/>
            <w:vAlign w:val="bottom"/>
          </w:tcPr>
          <w:p>
            <w:pPr>
              <w:ind w:left="2140"/>
              <w:spacing w:after="0"/>
              <w:rPr>
                <w:sz w:val="20"/>
                <w:szCs w:val="20"/>
                <w:color w:val="auto"/>
              </w:rPr>
            </w:pPr>
            <w:r>
              <w:rPr>
                <w:rFonts w:ascii="Arial" w:cs="Arial" w:eastAsia="Arial" w:hAnsi="Arial"/>
                <w:sz w:val="18"/>
                <w:szCs w:val="18"/>
                <w:color w:val="auto"/>
              </w:rPr>
              <w:t>By:</w:t>
            </w:r>
          </w:p>
        </w:tc>
        <w:tc>
          <w:tcPr>
            <w:tcW w:w="45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Derek J. Kerr</w:t>
            </w:r>
          </w:p>
        </w:tc>
      </w:tr>
      <w:tr>
        <w:trPr>
          <w:trHeight w:val="223"/>
        </w:trPr>
        <w:tc>
          <w:tcPr>
            <w:tcW w:w="41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500" w:type="dxa"/>
            <w:vAlign w:val="bottom"/>
          </w:tcPr>
          <w:p>
            <w:pPr>
              <w:ind w:left="140"/>
              <w:spacing w:after="0"/>
              <w:rPr>
                <w:sz w:val="20"/>
                <w:szCs w:val="20"/>
                <w:color w:val="auto"/>
              </w:rPr>
            </w:pPr>
            <w:r>
              <w:rPr>
                <w:rFonts w:ascii="Arial" w:cs="Arial" w:eastAsia="Arial" w:hAnsi="Arial"/>
                <w:sz w:val="18"/>
                <w:szCs w:val="18"/>
                <w:color w:val="auto"/>
              </w:rPr>
              <w:t>Derek J. Kerr</w:t>
            </w:r>
          </w:p>
        </w:tc>
      </w:tr>
    </w:tbl>
    <w:p>
      <w:pPr>
        <w:ind w:left="6860"/>
        <w:spacing w:after="0" w:line="218" w:lineRule="auto"/>
        <w:rPr>
          <w:sz w:val="20"/>
          <w:szCs w:val="20"/>
          <w:color w:val="auto"/>
        </w:rPr>
      </w:pPr>
      <w:r>
        <w:rPr>
          <w:rFonts w:ascii="Arial" w:cs="Arial" w:eastAsia="Arial" w:hAnsi="Arial"/>
          <w:sz w:val="18"/>
          <w:szCs w:val="18"/>
          <w:color w:val="auto"/>
        </w:rPr>
        <w:t>Executive Vice President and</w:t>
      </w:r>
    </w:p>
    <w:p>
      <w:pPr>
        <w:ind w:left="68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20"/>
      </w:cols>
      <w:pgMar w:left="320" w:top="88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817"/>
    </w:lvl>
  </w:abstractNum>
  <w:abstractNum w:abstractNumId="1">
    <w:nsid w:val="19495CFF"/>
    <w:multiLevelType w:val="hybridMultilevel"/>
    <w:lvl w:ilvl="0">
      <w:lvlJc w:val="left"/>
      <w:lvlText w:val="(%1)"/>
      <w:numFmt w:val="decimal"/>
      <w:start w:val="817"/>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2020-12-04T07:31:53Z</dcterms:created>
  <dcterms:modified xsi:type="dcterms:W3CDTF">2020-12-04T07:31:53Z</dcterms:modified>
</cp:coreProperties>
</file>