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9, 2018</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6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rPr>
              <w:t>Delaware</w:t>
            </w:r>
          </w:p>
        </w:tc>
        <w:tc>
          <w:tcPr>
            <w:tcW w:w="28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9"/>
              </w:rPr>
              <w:t>1-8400</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9"/>
              </w:rPr>
              <w:t>75-1825172</w:t>
            </w:r>
          </w:p>
        </w:tc>
      </w:tr>
      <w:tr>
        <w:trPr>
          <w:trHeight w:val="26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8"/>
                <w:szCs w:val="18"/>
                <w:b w:val="1"/>
                <w:bCs w:val="1"/>
                <w:color w:val="auto"/>
                <w:w w:val="99"/>
              </w:rPr>
              <w:t>1-2691</w:t>
            </w:r>
          </w:p>
        </w:tc>
        <w:tc>
          <w:tcPr>
            <w:tcW w:w="220" w:type="dxa"/>
            <w:vAlign w:val="bottom"/>
          </w:tcPr>
          <w:p>
            <w:pPr>
              <w:spacing w:after="0"/>
              <w:rPr>
                <w:sz w:val="22"/>
                <w:szCs w:val="22"/>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13-1502798</w:t>
            </w:r>
          </w:p>
        </w:tc>
      </w:tr>
      <w:tr>
        <w:trPr>
          <w:trHeight w:val="204"/>
        </w:trPr>
        <w:tc>
          <w:tcPr>
            <w:tcW w:w="4760" w:type="dxa"/>
            <w:vAlign w:val="bottom"/>
            <w:gridSpan w:val="3"/>
          </w:tcPr>
          <w:p>
            <w:pPr>
              <w:jc w:val="center"/>
              <w:ind w:right="1080"/>
              <w:spacing w:after="0"/>
              <w:rPr>
                <w:sz w:val="20"/>
                <w:szCs w:val="20"/>
                <w:color w:val="auto"/>
              </w:rPr>
            </w:pPr>
            <w:r>
              <w:rPr>
                <w:rFonts w:ascii="Arial" w:cs="Arial" w:eastAsia="Arial" w:hAnsi="Arial"/>
                <w:sz w:val="14"/>
                <w:szCs w:val="14"/>
                <w:color w:val="auto"/>
              </w:rPr>
              <w:t>(State or other Jurisdiction of Incorporation)</w:t>
            </w:r>
          </w:p>
        </w:tc>
        <w:tc>
          <w:tcPr>
            <w:tcW w:w="3020" w:type="dxa"/>
            <w:vAlign w:val="bottom"/>
            <w:gridSpan w:val="4"/>
          </w:tcPr>
          <w:p>
            <w:pPr>
              <w:jc w:val="center"/>
              <w:ind w:right="1080"/>
              <w:spacing w:after="0"/>
              <w:rPr>
                <w:sz w:val="20"/>
                <w:szCs w:val="20"/>
                <w:color w:val="auto"/>
              </w:rPr>
            </w:pPr>
            <w:r>
              <w:rPr>
                <w:rFonts w:ascii="Arial" w:cs="Arial" w:eastAsia="Arial" w:hAnsi="Arial"/>
                <w:sz w:val="14"/>
                <w:szCs w:val="14"/>
                <w:color w:val="auto"/>
              </w:rPr>
              <w:t>(Commission File Number)</w:t>
            </w:r>
          </w:p>
        </w:tc>
        <w:tc>
          <w:tcPr>
            <w:tcW w:w="3640" w:type="dxa"/>
            <w:vAlign w:val="bottom"/>
          </w:tcPr>
          <w:p>
            <w:pPr>
              <w:jc w:val="center"/>
              <w:spacing w:after="0"/>
              <w:rPr>
                <w:sz w:val="20"/>
                <w:szCs w:val="20"/>
                <w:color w:val="auto"/>
              </w:rPr>
            </w:pPr>
            <w:r>
              <w:rPr>
                <w:rFonts w:ascii="Arial" w:cs="Arial" w:eastAsia="Arial" w:hAnsi="Arial"/>
                <w:sz w:val="14"/>
                <w:szCs w:val="14"/>
                <w:color w:val="auto"/>
              </w:rPr>
              <w:t>(IRS Employer Identification No.)</w:t>
            </w:r>
          </w:p>
        </w:tc>
      </w:tr>
      <w:tr>
        <w:trPr>
          <w:trHeight w:val="647"/>
        </w:trPr>
        <w:tc>
          <w:tcPr>
            <w:tcW w:w="4760" w:type="dxa"/>
            <w:vAlign w:val="bottom"/>
            <w:gridSpan w:val="3"/>
          </w:tcPr>
          <w:p>
            <w:pPr>
              <w:jc w:val="center"/>
              <w:ind w:left="776"/>
              <w:spacing w:after="0"/>
              <w:rPr>
                <w:sz w:val="20"/>
                <w:szCs w:val="20"/>
                <w:color w:val="auto"/>
              </w:rPr>
            </w:pPr>
            <w:r>
              <w:rPr>
                <w:rFonts w:ascii="Arial" w:cs="Arial" w:eastAsia="Arial" w:hAnsi="Arial"/>
                <w:sz w:val="18"/>
                <w:szCs w:val="18"/>
                <w:b w:val="1"/>
                <w:bCs w:val="1"/>
                <w:color w:val="auto"/>
                <w:w w:val="99"/>
              </w:rPr>
              <w:t>4333 Amon Carter Blvd., Fort Worth, Texas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ind w:right="1856"/>
              <w:spacing w:after="0"/>
              <w:rPr>
                <w:sz w:val="20"/>
                <w:szCs w:val="20"/>
                <w:color w:val="auto"/>
              </w:rPr>
            </w:pPr>
            <w:r>
              <w:rPr>
                <w:rFonts w:ascii="Arial" w:cs="Arial" w:eastAsia="Arial" w:hAnsi="Arial"/>
                <w:sz w:val="18"/>
                <w:szCs w:val="18"/>
                <w:b w:val="1"/>
                <w:bCs w:val="1"/>
                <w:color w:val="auto"/>
                <w:w w:val="99"/>
              </w:rPr>
              <w:t>76155</w:t>
            </w:r>
          </w:p>
        </w:tc>
      </w:tr>
      <w:tr>
        <w:trPr>
          <w:trHeight w:val="264"/>
        </w:trPr>
        <w:tc>
          <w:tcPr>
            <w:tcW w:w="4760" w:type="dxa"/>
            <w:vAlign w:val="bottom"/>
            <w:tcBorders>
              <w:bottom w:val="single" w:sz="8" w:color="auto"/>
            </w:tcBorders>
            <w:gridSpan w:val="3"/>
          </w:tcPr>
          <w:p>
            <w:pPr>
              <w:jc w:val="center"/>
              <w:ind w:left="776"/>
              <w:spacing w:after="0"/>
              <w:rPr>
                <w:sz w:val="20"/>
                <w:szCs w:val="20"/>
                <w:color w:val="auto"/>
              </w:rPr>
            </w:pPr>
            <w:r>
              <w:rPr>
                <w:rFonts w:ascii="Arial" w:cs="Arial" w:eastAsia="Arial" w:hAnsi="Arial"/>
                <w:sz w:val="18"/>
                <w:szCs w:val="18"/>
                <w:b w:val="1"/>
                <w:bCs w:val="1"/>
                <w:color w:val="auto"/>
                <w:w w:val="99"/>
              </w:rPr>
              <w:t>4333 Amon Carter Blvd., Fort Worth, Texas</w:t>
            </w:r>
          </w:p>
        </w:tc>
        <w:tc>
          <w:tcPr>
            <w:tcW w:w="8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tcPr>
          <w:p>
            <w:pPr>
              <w:jc w:val="center"/>
              <w:ind w:right="1856"/>
              <w:spacing w:after="0"/>
              <w:rPr>
                <w:sz w:val="20"/>
                <w:szCs w:val="20"/>
                <w:color w:val="auto"/>
              </w:rPr>
            </w:pPr>
            <w:r>
              <w:rPr>
                <w:rFonts w:ascii="Arial" w:cs="Arial" w:eastAsia="Arial" w:hAnsi="Arial"/>
                <w:sz w:val="18"/>
                <w:szCs w:val="18"/>
                <w:b w:val="1"/>
                <w:bCs w:val="1"/>
                <w:color w:val="auto"/>
                <w:w w:val="99"/>
              </w:rPr>
              <w:t>76155</w:t>
            </w:r>
          </w:p>
        </w:tc>
      </w:tr>
      <w:tr>
        <w:trPr>
          <w:trHeight w:val="204"/>
        </w:trPr>
        <w:tc>
          <w:tcPr>
            <w:tcW w:w="4760" w:type="dxa"/>
            <w:vAlign w:val="bottom"/>
            <w:gridSpan w:val="3"/>
          </w:tcPr>
          <w:p>
            <w:pPr>
              <w:jc w:val="center"/>
              <w:ind w:left="776"/>
              <w:spacing w:after="0"/>
              <w:rPr>
                <w:sz w:val="20"/>
                <w:szCs w:val="20"/>
                <w:color w:val="auto"/>
              </w:rPr>
            </w:pPr>
            <w:r>
              <w:rPr>
                <w:rFonts w:ascii="Arial" w:cs="Arial" w:eastAsia="Arial" w:hAnsi="Arial"/>
                <w:sz w:val="14"/>
                <w:szCs w:val="14"/>
                <w:color w:val="auto"/>
              </w:rPr>
              <w:t>(Address of principal executive offices)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jc w:val="center"/>
              <w:ind w:right="1876"/>
              <w:spacing w:after="0"/>
              <w:rPr>
                <w:sz w:val="20"/>
                <w:szCs w:val="20"/>
                <w:color w:val="auto"/>
              </w:rPr>
            </w:pPr>
            <w:r>
              <w:rPr>
                <w:rFonts w:ascii="Arial" w:cs="Arial" w:eastAsia="Arial" w:hAnsi="Arial"/>
                <w:sz w:val="14"/>
                <w:szCs w:val="14"/>
                <w:color w:val="auto"/>
              </w:rPr>
              <w:t>(Zip Code)</w:t>
            </w:r>
          </w:p>
        </w:tc>
      </w:tr>
    </w:tbl>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963-1234</w:t>
      </w:r>
    </w:p>
    <w:p>
      <w:pPr>
        <w:spacing w:after="0" w:line="9" w:lineRule="exact"/>
        <w:rPr>
          <w:rFonts w:ascii="Arial" w:cs="Arial" w:eastAsia="Arial" w:hAnsi="Arial"/>
          <w:sz w:val="18"/>
          <w:szCs w:val="18"/>
          <w:color w:val="auto"/>
        </w:rPr>
      </w:pPr>
    </w:p>
    <w:p>
      <w:pPr>
        <w:ind w:left="5560" w:hanging="462"/>
        <w:spacing w:after="0"/>
        <w:tabs>
          <w:tab w:leader="none" w:pos="5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963-1234</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5857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right="580"/>
        <w:spacing w:after="0" w:line="26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74" w:lineRule="exact"/>
        <w:rPr>
          <w:rFonts w:ascii="MS PGothic" w:cs="MS PGothic" w:eastAsia="MS PGothic" w:hAnsi="MS PGothic"/>
          <w:sz w:val="18"/>
          <w:szCs w:val="18"/>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47" w:lineRule="exact"/>
        <w:rPr>
          <w:rFonts w:ascii="MS PGothic" w:cs="MS PGothic" w:eastAsia="MS PGothic" w:hAnsi="MS PGothic"/>
          <w:sz w:val="18"/>
          <w:szCs w:val="18"/>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61" w:lineRule="exact"/>
        <w:rPr>
          <w:rFonts w:ascii="MS PGothic" w:cs="MS PGothic" w:eastAsia="MS PGothic" w:hAnsi="MS PGothic"/>
          <w:sz w:val="18"/>
          <w:szCs w:val="18"/>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250" w:lineRule="exact"/>
        <w:rPr>
          <w:sz w:val="24"/>
          <w:szCs w:val="24"/>
          <w:color w:val="auto"/>
        </w:rPr>
      </w:pPr>
    </w:p>
    <w:p>
      <w:pPr>
        <w:spacing w:after="0" w:line="26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or Rule 12b-2 of the Securities Exchange Act of 1934.</w:t>
      </w:r>
    </w:p>
    <w:p>
      <w:pPr>
        <w:spacing w:after="0" w:line="127" w:lineRule="exact"/>
        <w:rPr>
          <w:sz w:val="24"/>
          <w:szCs w:val="24"/>
          <w:color w:val="auto"/>
        </w:rPr>
      </w:pPr>
    </w:p>
    <w:p>
      <w:pPr>
        <w:ind w:left="89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7" w:lineRule="exact"/>
        <w:rPr>
          <w:sz w:val="24"/>
          <w:szCs w:val="24"/>
          <w:color w:val="auto"/>
        </w:rPr>
      </w:pPr>
    </w:p>
    <w:p>
      <w:pPr>
        <w:ind w:right="2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53" w:lineRule="exact"/>
        <w:rPr>
          <w:sz w:val="20"/>
          <w:szCs w:val="20"/>
          <w:color w:val="auto"/>
        </w:rPr>
      </w:pPr>
    </w:p>
    <w:p>
      <w:pPr>
        <w:jc w:val="both"/>
        <w:ind w:right="280" w:firstLine="432"/>
        <w:spacing w:after="0" w:line="256" w:lineRule="auto"/>
        <w:rPr>
          <w:sz w:val="20"/>
          <w:szCs w:val="20"/>
          <w:color w:val="auto"/>
        </w:rPr>
      </w:pPr>
      <w:r>
        <w:rPr>
          <w:rFonts w:ascii="Arial" w:cs="Arial" w:eastAsia="Arial" w:hAnsi="Arial"/>
          <w:sz w:val="18"/>
          <w:szCs w:val="18"/>
          <w:color w:val="auto"/>
        </w:rPr>
        <w:t xml:space="preserve">On October 9, 2018, American Airlines Group Inc. (“American”) provided an update for investors presenting information relating to its financial and operational outlook for the third quarter of 2018. This investor presentation is located on American’s website at </w:t>
      </w:r>
      <w:r>
        <w:rPr>
          <w:rFonts w:ascii="Arial" w:cs="Arial" w:eastAsia="Arial" w:hAnsi="Arial"/>
          <w:sz w:val="18"/>
          <w:szCs w:val="18"/>
          <w:u w:val="single" w:color="auto"/>
          <w:color w:val="auto"/>
        </w:rPr>
        <w:t>www.aa.com</w:t>
      </w:r>
      <w:r>
        <w:rPr>
          <w:rFonts w:ascii="Arial" w:cs="Arial" w:eastAsia="Arial" w:hAnsi="Arial"/>
          <w:sz w:val="18"/>
          <w:szCs w:val="18"/>
          <w:color w:val="auto"/>
        </w:rPr>
        <w:t xml:space="preserve"> under “Investor Relations.” The update is furnished as Exhibit 99.1 to this Current Report on Form 8-K.</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in this Item 7.01, including Exhibit 99.1, is being furnished and shall not be deemed to be “filed” for purposes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18 of the Securities Exchange Act of 1934, as amended, or otherwise subject to the liabilities of that Section and shall not be deemed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into any registration statement or other document filed pursuant to the Securities Act of 1933, as amended, except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shall be expressly set forth by specific reference in such filing.</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4420" w:type="dxa"/>
            <w:vAlign w:val="bottom"/>
            <w:gridSpan w:val="2"/>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13"/>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(d) Exhibits.</w:t>
            </w: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27"/>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Exhibit No.</w:t>
            </w:r>
          </w:p>
        </w:tc>
        <w:tc>
          <w:tcPr>
            <w:tcW w:w="12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338"/>
        </w:trPr>
        <w:tc>
          <w:tcPr>
            <w:tcW w:w="1480" w:type="dxa"/>
            <w:vAlign w:val="bottom"/>
          </w:tcPr>
          <w:p>
            <w:pPr>
              <w:ind w:left="340"/>
              <w:spacing w:after="0"/>
              <w:rPr>
                <w:sz w:val="20"/>
                <w:szCs w:val="20"/>
                <w:color w:val="auto"/>
              </w:rPr>
            </w:pPr>
            <w:r>
              <w:rPr>
                <w:rFonts w:ascii="Arial" w:cs="Arial" w:eastAsia="Arial" w:hAnsi="Arial"/>
                <w:sz w:val="18"/>
                <w:szCs w:val="18"/>
                <w:color w:val="auto"/>
              </w:rPr>
              <w:t>99.1</w:t>
            </w:r>
          </w:p>
        </w:tc>
        <w:tc>
          <w:tcPr>
            <w:tcW w:w="1260" w:type="dxa"/>
            <w:vAlign w:val="bottom"/>
          </w:tcPr>
          <w:p>
            <w:pPr>
              <w:spacing w:after="0"/>
              <w:rPr>
                <w:sz w:val="24"/>
                <w:szCs w:val="24"/>
                <w:color w:val="auto"/>
              </w:rPr>
            </w:pPr>
          </w:p>
        </w:tc>
        <w:tc>
          <w:tcPr>
            <w:tcW w:w="3160" w:type="dxa"/>
            <w:vAlign w:val="bottom"/>
            <w:tcBorders>
              <w:bottom w:val="single" w:sz="8" w:color="0000FF"/>
            </w:tcBorders>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Investor Update, dated October 9, 2018</w:t>
              </w:r>
            </w:hyperlink>
          </w:p>
        </w:tc>
      </w:tr>
    </w:tbl>
    <w:p>
      <w:pPr>
        <w:sectPr>
          <w:pgSz w:w="11900" w:h="16838" w:orient="portrait"/>
          <w:cols w:equalWidth="0" w:num="1">
            <w:col w:w="11260"/>
          </w:cols>
          <w:pgMar w:left="240" w:top="738" w:right="3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200" w:lineRule="exact"/>
        <w:rPr>
          <w:sz w:val="20"/>
          <w:szCs w:val="20"/>
          <w:color w:val="auto"/>
        </w:rPr>
      </w:pPr>
    </w:p>
    <w:p>
      <w:pPr>
        <w:spacing w:after="0" w:line="25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420" w:val="left"/>
          <w:tab w:leader="none" w:pos="6980" w:val="left"/>
        </w:tabs>
        <w:rPr>
          <w:sz w:val="20"/>
          <w:szCs w:val="20"/>
          <w:color w:val="auto"/>
        </w:rPr>
      </w:pPr>
      <w:r>
        <w:rPr>
          <w:rFonts w:ascii="Arial" w:cs="Arial" w:eastAsia="Arial" w:hAnsi="Arial"/>
          <w:sz w:val="18"/>
          <w:szCs w:val="18"/>
          <w:color w:val="auto"/>
        </w:rPr>
        <w:t>Date: October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4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ind w:left="700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200" w:lineRule="exact"/>
        <w:rPr>
          <w:sz w:val="20"/>
          <w:szCs w:val="20"/>
          <w:color w:val="auto"/>
        </w:rPr>
      </w:pPr>
    </w:p>
    <w:p>
      <w:pPr>
        <w:spacing w:after="0" w:line="25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420" w:val="left"/>
          <w:tab w:leader="none" w:pos="6980" w:val="left"/>
        </w:tabs>
        <w:rPr>
          <w:sz w:val="20"/>
          <w:szCs w:val="20"/>
          <w:color w:val="auto"/>
        </w:rPr>
      </w:pPr>
      <w:r>
        <w:rPr>
          <w:rFonts w:ascii="Arial" w:cs="Arial" w:eastAsia="Arial" w:hAnsi="Arial"/>
          <w:sz w:val="18"/>
          <w:szCs w:val="18"/>
          <w:color w:val="auto"/>
        </w:rPr>
        <w:t>Date: October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60"/>
          </w:cols>
          <w:pgMar w:left="240" w:top="576"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2198370</wp:posOffset>
            </wp:positionH>
            <wp:positionV relativeFrom="page">
              <wp:posOffset>88900</wp:posOffset>
            </wp:positionV>
            <wp:extent cx="317309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173095" cy="480060"/>
                    </a:xfrm>
                    <a:prstGeom prst="rect">
                      <a:avLst/>
                    </a:prstGeom>
                    <a:noFill/>
                  </pic:spPr>
                </pic:pic>
              </a:graphicData>
            </a:graphic>
          </wp:anchor>
        </w:drawing>
        <w:t>Exhibit 99.1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Investor Relations Update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9, 2018</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Overview</w:t>
      </w:r>
    </w:p>
    <w:p>
      <w:pPr>
        <w:spacing w:after="0" w:line="284" w:lineRule="exact"/>
        <w:rPr>
          <w:sz w:val="20"/>
          <w:szCs w:val="20"/>
          <w:color w:val="auto"/>
        </w:rPr>
      </w:pPr>
    </w:p>
    <w:p>
      <w:pPr>
        <w:ind w:left="700" w:right="200" w:hanging="226"/>
        <w:spacing w:after="0" w:line="23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6"/>
          <w:szCs w:val="16"/>
          <w:b w:val="1"/>
          <w:bCs w:val="1"/>
          <w:color w:val="auto"/>
        </w:rPr>
        <w:t xml:space="preserve">Special items </w:t>
      </w:r>
      <w:r>
        <w:rPr>
          <w:rFonts w:ascii="Arial" w:cs="Arial" w:eastAsia="Arial" w:hAnsi="Arial"/>
          <w:sz w:val="16"/>
          <w:szCs w:val="16"/>
          <w:color w:val="auto"/>
        </w:rPr>
        <w:t>- The company expects its total pre-tax net special items in the third quarter will approximate $230 million</w:t>
      </w:r>
      <w:r>
        <w:rPr>
          <w:rFonts w:ascii="Arial" w:cs="Arial" w:eastAsia="Arial" w:hAnsi="Arial"/>
          <w:sz w:val="21"/>
          <w:szCs w:val="21"/>
          <w:color w:val="auto"/>
          <w:vertAlign w:val="superscript"/>
        </w:rPr>
        <w:t>1</w:t>
      </w:r>
      <w:r>
        <w:rPr>
          <w:rFonts w:ascii="Arial" w:cs="Arial" w:eastAsia="Arial" w:hAnsi="Arial"/>
          <w:sz w:val="16"/>
          <w:szCs w:val="16"/>
          <w:color w:val="auto"/>
        </w:rPr>
        <w:t>. Net special items</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principally include fleet restructuring expenses, merger integration expenses and mark-to-market adjustments for bankruptcy obligations and equity investments.</w:t>
      </w:r>
    </w:p>
    <w:p>
      <w:pPr>
        <w:spacing w:after="0" w:line="151" w:lineRule="exact"/>
        <w:rPr>
          <w:rFonts w:ascii="Arial" w:cs="Arial" w:eastAsia="Arial" w:hAnsi="Arial"/>
          <w:sz w:val="18"/>
          <w:szCs w:val="18"/>
          <w:color w:val="auto"/>
        </w:rPr>
      </w:pPr>
    </w:p>
    <w:p>
      <w:pPr>
        <w:jc w:val="both"/>
        <w:ind w:left="700" w:right="320" w:hanging="226"/>
        <w:spacing w:after="0" w:line="25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Despite the impact from Hurricane Florence outlined below, the company now expects its third quarter total revenue per available seat</w:t>
      </w:r>
      <w:r>
        <w:rPr>
          <w:rFonts w:ascii="Arial" w:cs="Arial" w:eastAsia="Arial" w:hAnsi="Arial"/>
          <w:sz w:val="16"/>
          <w:szCs w:val="16"/>
          <w:b w:val="1"/>
          <w:bCs w:val="1"/>
          <w:color w:val="auto"/>
        </w:rPr>
        <w:t xml:space="preserve"> </w:t>
      </w:r>
      <w:r>
        <w:rPr>
          <w:rFonts w:ascii="Arial" w:cs="Arial" w:eastAsia="Arial" w:hAnsi="Arial"/>
          <w:sz w:val="16"/>
          <w:szCs w:val="16"/>
          <w:color w:val="auto"/>
        </w:rPr>
        <w:t>mile (TRASM) to be up approximately 2.0 to 3.0 percent year-over-year vs. previous guidance of up 1.0 to 3.0 percent. The change in TRASM vs. previous guidance is due primarily to stronger domestic yields.</w:t>
      </w:r>
    </w:p>
    <w:p>
      <w:pPr>
        <w:spacing w:after="0" w:line="143" w:lineRule="exact"/>
        <w:rPr>
          <w:rFonts w:ascii="Arial" w:cs="Arial" w:eastAsia="Arial" w:hAnsi="Arial"/>
          <w:sz w:val="18"/>
          <w:szCs w:val="18"/>
          <w:color w:val="auto"/>
        </w:rPr>
      </w:pPr>
    </w:p>
    <w:p>
      <w:pPr>
        <w:ind w:left="700" w:right="1020" w:hanging="226"/>
        <w:spacing w:after="0" w:line="271"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6"/>
          <w:szCs w:val="16"/>
          <w:b w:val="1"/>
          <w:bCs w:val="1"/>
          <w:color w:val="auto"/>
        </w:rPr>
        <w:t xml:space="preserve">CASM </w:t>
      </w:r>
      <w:r>
        <w:rPr>
          <w:rFonts w:ascii="Arial" w:cs="Arial" w:eastAsia="Arial" w:hAnsi="Arial"/>
          <w:sz w:val="16"/>
          <w:szCs w:val="16"/>
          <w:color w:val="auto"/>
        </w:rPr>
        <w:t>- The company continues to expect third quarter consolidated CASM excluding fuel and special items to be up approximately 1.0</w:t>
      </w:r>
      <w:r>
        <w:rPr>
          <w:rFonts w:ascii="Arial" w:cs="Arial" w:eastAsia="Arial" w:hAnsi="Arial"/>
          <w:sz w:val="16"/>
          <w:szCs w:val="16"/>
          <w:b w:val="1"/>
          <w:bCs w:val="1"/>
          <w:color w:val="auto"/>
        </w:rPr>
        <w:t xml:space="preserve"> </w:t>
      </w:r>
      <w:r>
        <w:rPr>
          <w:rFonts w:ascii="Arial" w:cs="Arial" w:eastAsia="Arial" w:hAnsi="Arial"/>
          <w:sz w:val="16"/>
          <w:szCs w:val="16"/>
          <w:color w:val="auto"/>
        </w:rPr>
        <w:t>percent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year-over-year.</w:t>
      </w:r>
    </w:p>
    <w:p>
      <w:pPr>
        <w:spacing w:after="0" w:line="47" w:lineRule="exact"/>
        <w:rPr>
          <w:rFonts w:ascii="Arial" w:cs="Arial" w:eastAsia="Arial" w:hAnsi="Arial"/>
          <w:sz w:val="18"/>
          <w:szCs w:val="18"/>
          <w:color w:val="auto"/>
        </w:rPr>
      </w:pPr>
    </w:p>
    <w:p>
      <w:pPr>
        <w:ind w:left="700" w:right="420" w:hanging="226"/>
        <w:spacing w:after="0" w:line="256"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 As of September 30, 2018, the company had approximately $7.4 billion in total available liquidity, comprised of unrestricted cash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of $4.9 billion and $2.5 billion in undrawn revolver capacity. The company also had a restricted cash position of $154 million.</w:t>
      </w:r>
    </w:p>
    <w:p>
      <w:pPr>
        <w:spacing w:after="0" w:line="136" w:lineRule="exact"/>
        <w:rPr>
          <w:rFonts w:ascii="Arial" w:cs="Arial" w:eastAsia="Arial" w:hAnsi="Arial"/>
          <w:sz w:val="18"/>
          <w:szCs w:val="18"/>
          <w:color w:val="auto"/>
        </w:rPr>
      </w:pPr>
    </w:p>
    <w:p>
      <w:pPr>
        <w:ind w:left="700" w:hanging="2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6"/>
          <w:szCs w:val="16"/>
          <w:b w:val="1"/>
          <w:bCs w:val="1"/>
          <w:color w:val="auto"/>
        </w:rPr>
        <w:t xml:space="preserve">Shares outstanding </w:t>
      </w:r>
      <w:r>
        <w:rPr>
          <w:rFonts w:ascii="Arial" w:cs="Arial" w:eastAsia="Arial" w:hAnsi="Arial"/>
          <w:sz w:val="16"/>
          <w:szCs w:val="16"/>
          <w:color w:val="auto"/>
        </w:rPr>
        <w:t>- The fully diluted weighted average sharecount for the third quarter was approximately 462 million.</w:t>
      </w:r>
    </w:p>
    <w:p>
      <w:pPr>
        <w:spacing w:after="0" w:line="198" w:lineRule="exact"/>
        <w:rPr>
          <w:rFonts w:ascii="Arial" w:cs="Arial" w:eastAsia="Arial" w:hAnsi="Arial"/>
          <w:sz w:val="18"/>
          <w:szCs w:val="18"/>
          <w:color w:val="auto"/>
        </w:rPr>
      </w:pPr>
    </w:p>
    <w:p>
      <w:pPr>
        <w:ind w:left="700" w:right="360" w:hanging="213"/>
        <w:spacing w:after="0" w:line="250" w:lineRule="auto"/>
        <w:tabs>
          <w:tab w:leader="none" w:pos="700" w:val="left"/>
        </w:tabs>
        <w:numPr>
          <w:ilvl w:val="1"/>
          <w:numId w:val="4"/>
        </w:numPr>
        <w:rPr>
          <w:rFonts w:ascii="Arial" w:cs="Arial" w:eastAsia="Arial" w:hAnsi="Arial"/>
          <w:sz w:val="18"/>
          <w:szCs w:val="18"/>
          <w:color w:val="auto"/>
        </w:rPr>
      </w:pPr>
      <w:r>
        <w:rPr>
          <w:rFonts w:ascii="Arial" w:cs="Arial" w:eastAsia="Arial" w:hAnsi="Arial"/>
          <w:sz w:val="16"/>
          <w:szCs w:val="16"/>
          <w:b w:val="1"/>
          <w:bCs w:val="1"/>
          <w:color w:val="auto"/>
        </w:rPr>
        <w:t xml:space="preserve">Storm Impact </w:t>
      </w:r>
      <w:r>
        <w:rPr>
          <w:rFonts w:ascii="Arial" w:cs="Arial" w:eastAsia="Arial" w:hAnsi="Arial"/>
          <w:sz w:val="16"/>
          <w:szCs w:val="16"/>
          <w:color w:val="auto"/>
        </w:rPr>
        <w:t>- In September, the company cancelled approximately 2,100 flights due to the impact of Hurricane Florence. These cancellations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reduced third quarter revenue by approximately $55 million and TRASM by approximately 50 basis points. Taking into account lower costs due to fewer departures, the negative impact to pre-tax income was approximately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-393700</wp:posOffset>
            </wp:positionV>
            <wp:extent cx="686943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94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Notes:</w:t>
      </w:r>
    </w:p>
    <w:p>
      <w:pPr>
        <w:spacing w:after="0" w:line="171" w:lineRule="exact"/>
        <w:rPr>
          <w:sz w:val="20"/>
          <w:szCs w:val="20"/>
          <w:color w:val="auto"/>
        </w:rPr>
      </w:pPr>
    </w:p>
    <w:p>
      <w:pPr>
        <w:ind w:left="720" w:right="40" w:hanging="685"/>
        <w:spacing w:after="0" w:line="281" w:lineRule="auto"/>
        <w:tabs>
          <w:tab w:leader="none" w:pos="7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a reconciliation of special items (including the company’s estimates for the third quarter), please see the GAAP to non-GAAP reconciliation at the end of this document.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refer to the footnotes and the forward looking statements page of this document for additional information</w:t>
      </w:r>
    </w:p>
    <w:p>
      <w:pPr>
        <w:sectPr>
          <w:pgSz w:w="11900" w:h="16838" w:orient="portrait"/>
          <w:cols w:equalWidth="0" w:num="1">
            <w:col w:w="11420"/>
          </w:cols>
          <w:pgMar w:left="240" w:top="87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2198370</wp:posOffset>
            </wp:positionH>
            <wp:positionV relativeFrom="page">
              <wp:posOffset>88900</wp:posOffset>
            </wp:positionV>
            <wp:extent cx="316420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164205" cy="480060"/>
                    </a:xfrm>
                    <a:prstGeom prst="rect">
                      <a:avLst/>
                    </a:prstGeom>
                    <a:noFill/>
                  </pic:spPr>
                </pic:pic>
              </a:graphicData>
            </a:graphic>
          </wp:anchor>
        </w:drawing>
        <w:t>Third Quarter Investor Relations Update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9, 2018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140" w:type="dxa"/>
            <w:vAlign w:val="bottom"/>
            <w:gridSpan w:val="3"/>
          </w:tcPr>
          <w:p>
            <w:pPr>
              <w:ind w:left="1620"/>
              <w:spacing w:after="0"/>
              <w:rPr>
                <w:sz w:val="20"/>
                <w:szCs w:val="20"/>
                <w:color w:val="auto"/>
              </w:rPr>
            </w:pPr>
            <w:r>
              <w:rPr>
                <w:rFonts w:ascii="Arial" w:cs="Arial" w:eastAsia="Arial" w:hAnsi="Arial"/>
                <w:sz w:val="18"/>
                <w:szCs w:val="18"/>
                <w:b w:val="1"/>
                <w:bCs w:val="1"/>
                <w:color w:val="auto"/>
              </w:rPr>
              <w:t>3rd Quarter 2018</w:t>
            </w:r>
          </w:p>
        </w:tc>
        <w:tc>
          <w:tcPr>
            <w:tcW w:w="15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140" w:type="dxa"/>
            <w:vAlign w:val="bottom"/>
            <w:gridSpan w:val="3"/>
          </w:tcPr>
          <w:p>
            <w:pPr>
              <w:jc w:val="right"/>
              <w:ind w:right="880"/>
              <w:spacing w:after="0"/>
              <w:rPr>
                <w:sz w:val="20"/>
                <w:szCs w:val="20"/>
                <w:color w:val="auto"/>
              </w:rPr>
            </w:pPr>
            <w:r>
              <w:rPr>
                <w:rFonts w:ascii="Arial" w:cs="Arial" w:eastAsia="Arial" w:hAnsi="Arial"/>
                <w:sz w:val="18"/>
                <w:szCs w:val="18"/>
                <w:color w:val="auto"/>
              </w:rPr>
              <w:t>Previous Guidance</w:t>
            </w:r>
          </w:p>
        </w:tc>
        <w:tc>
          <w:tcPr>
            <w:tcW w:w="1540" w:type="dxa"/>
            <w:vAlign w:val="bottom"/>
          </w:tcPr>
          <w:p>
            <w:pPr>
              <w:jc w:val="right"/>
              <w:spacing w:after="0"/>
              <w:rPr>
                <w:sz w:val="20"/>
                <w:szCs w:val="20"/>
                <w:color w:val="auto"/>
              </w:rPr>
            </w:pPr>
            <w:r>
              <w:rPr>
                <w:rFonts w:ascii="Arial" w:cs="Arial" w:eastAsia="Arial" w:hAnsi="Arial"/>
                <w:sz w:val="18"/>
                <w:szCs w:val="18"/>
                <w:color w:val="auto"/>
              </w:rPr>
              <w:t>Current Guidance</w:t>
            </w:r>
          </w:p>
        </w:tc>
      </w:tr>
      <w:tr>
        <w:trPr>
          <w:trHeight w:val="277"/>
        </w:trPr>
        <w:tc>
          <w:tcPr>
            <w:tcW w:w="4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358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7/26/2018</w:t>
            </w: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10/9/2018</w:t>
            </w:r>
          </w:p>
        </w:tc>
      </w:tr>
      <w:tr>
        <w:trPr>
          <w:trHeight w:val="216"/>
        </w:trPr>
        <w:tc>
          <w:tcPr>
            <w:tcW w:w="6740" w:type="dxa"/>
            <w:vAlign w:val="bottom"/>
            <w:gridSpan w:val="4"/>
            <w:shd w:val="clear" w:color="auto" w:fill="CCEEFF"/>
          </w:tcPr>
          <w:p>
            <w:pPr>
              <w:ind w:left="40"/>
              <w:spacing w:after="0" w:line="216" w:lineRule="exact"/>
              <w:rPr>
                <w:sz w:val="20"/>
                <w:szCs w:val="20"/>
                <w:color w:val="auto"/>
              </w:rPr>
            </w:pPr>
            <w:r>
              <w:rPr>
                <w:rFonts w:ascii="Arial" w:cs="Arial" w:eastAsia="Arial" w:hAnsi="Arial"/>
                <w:sz w:val="18"/>
                <w:szCs w:val="18"/>
                <w:b w:val="1"/>
                <w:bCs w:val="1"/>
                <w:color w:val="auto"/>
              </w:rPr>
              <w:t>Consolidated Guidance</w:t>
            </w:r>
            <w:r>
              <w:rPr>
                <w:rFonts w:ascii="Arial" w:cs="Arial" w:eastAsia="Arial" w:hAnsi="Arial"/>
                <w:sz w:val="21"/>
                <w:szCs w:val="21"/>
                <w:b w:val="1"/>
                <w:bCs w:val="1"/>
                <w:color w:val="auto"/>
                <w:vertAlign w:val="superscript"/>
              </w:rPr>
              <w:t>1</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auto"/>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58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Available Seat Miles (ASMs) (bil)</w:t>
            </w:r>
          </w:p>
        </w:tc>
        <w:tc>
          <w:tcPr>
            <w:tcW w:w="2280" w:type="dxa"/>
            <w:vAlign w:val="bottom"/>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80"/>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Cargo Revenues ($ mil)</w:t>
            </w:r>
            <w:r>
              <w:rPr>
                <w:rFonts w:ascii="Arial" w:cs="Arial" w:eastAsia="Arial" w:hAnsi="Arial"/>
                <w:sz w:val="21"/>
                <w:szCs w:val="21"/>
                <w:color w:val="auto"/>
                <w:vertAlign w:val="superscript"/>
              </w:rPr>
              <w:t>2</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70"/>
        </w:trPr>
        <w:tc>
          <w:tcPr>
            <w:tcW w:w="40" w:type="dxa"/>
            <w:vAlign w:val="bottom"/>
          </w:tcPr>
          <w:p>
            <w:pPr>
              <w:spacing w:after="0"/>
              <w:rPr>
                <w:sz w:val="23"/>
                <w:szCs w:val="23"/>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Other Revenues ($ mil)</w:t>
            </w:r>
            <w:r>
              <w:rPr>
                <w:rFonts w:ascii="Arial" w:cs="Arial" w:eastAsia="Arial" w:hAnsi="Arial"/>
                <w:sz w:val="21"/>
                <w:szCs w:val="21"/>
                <w:color w:val="auto"/>
                <w:vertAlign w:val="superscript"/>
              </w:rPr>
              <w:t>2</w:t>
            </w:r>
          </w:p>
        </w:tc>
        <w:tc>
          <w:tcPr>
            <w:tcW w:w="228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Total Revenue per ASM (TRASM)</w:t>
            </w:r>
          </w:p>
        </w:tc>
        <w:tc>
          <w:tcPr>
            <w:tcW w:w="3140" w:type="dxa"/>
            <w:vAlign w:val="bottom"/>
            <w:gridSpan w:val="3"/>
            <w:shd w:val="clear" w:color="auto" w:fill="CCEEFF"/>
          </w:tcPr>
          <w:p>
            <w:pPr>
              <w:jc w:val="right"/>
              <w:ind w:right="880"/>
              <w:spacing w:after="0"/>
              <w:rPr>
                <w:sz w:val="20"/>
                <w:szCs w:val="20"/>
                <w:color w:val="auto"/>
              </w:rPr>
            </w:pPr>
            <w:r>
              <w:rPr>
                <w:rFonts w:ascii="Arial" w:cs="Arial" w:eastAsia="Arial" w:hAnsi="Arial"/>
                <w:sz w:val="16"/>
                <w:szCs w:val="16"/>
                <w:color w:val="auto"/>
              </w:rPr>
              <w:t>+1% to +3%</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to +3%</w:t>
            </w: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Average Fuel Price (incl. taxes) ($/gal)</w:t>
            </w:r>
          </w:p>
        </w:tc>
        <w:tc>
          <w:tcPr>
            <w:tcW w:w="3140" w:type="dxa"/>
            <w:vAlign w:val="bottom"/>
            <w:gridSpan w:val="3"/>
          </w:tcPr>
          <w:p>
            <w:pPr>
              <w:jc w:val="right"/>
              <w:ind w:right="880"/>
              <w:spacing w:after="0"/>
              <w:rPr>
                <w:sz w:val="20"/>
                <w:szCs w:val="20"/>
                <w:color w:val="auto"/>
              </w:rPr>
            </w:pPr>
            <w:r>
              <w:rPr>
                <w:rFonts w:ascii="Arial" w:cs="Arial" w:eastAsia="Arial" w:hAnsi="Arial"/>
                <w:sz w:val="16"/>
                <w:szCs w:val="16"/>
                <w:color w:val="auto"/>
              </w:rPr>
              <w:t>2.22 to 2.27</w:t>
            </w:r>
          </w:p>
        </w:tc>
        <w:tc>
          <w:tcPr>
            <w:tcW w:w="1540" w:type="dxa"/>
            <w:vAlign w:val="bottom"/>
          </w:tcPr>
          <w:p>
            <w:pPr>
              <w:jc w:val="right"/>
              <w:spacing w:after="0"/>
              <w:rPr>
                <w:sz w:val="20"/>
                <w:szCs w:val="20"/>
                <w:color w:val="auto"/>
              </w:rPr>
            </w:pPr>
            <w:r>
              <w:rPr>
                <w:rFonts w:ascii="Arial" w:cs="Arial" w:eastAsia="Arial" w:hAnsi="Arial"/>
                <w:sz w:val="16"/>
                <w:szCs w:val="16"/>
                <w:color w:val="auto"/>
              </w:rPr>
              <w:t>2.28 to 2.33</w:t>
            </w:r>
          </w:p>
        </w:tc>
      </w:tr>
      <w:tr>
        <w:trPr>
          <w:trHeight w:val="280"/>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Fuel Gallons Consumed (mil)</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70"/>
        </w:trPr>
        <w:tc>
          <w:tcPr>
            <w:tcW w:w="40" w:type="dxa"/>
            <w:vAlign w:val="bottom"/>
          </w:tcPr>
          <w:p>
            <w:pPr>
              <w:spacing w:after="0"/>
              <w:rPr>
                <w:sz w:val="23"/>
                <w:szCs w:val="23"/>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CASM ex fuel and special items (YOY % change)</w:t>
            </w:r>
            <w:r>
              <w:rPr>
                <w:rFonts w:ascii="Arial" w:cs="Arial" w:eastAsia="Arial" w:hAnsi="Arial"/>
                <w:sz w:val="21"/>
                <w:szCs w:val="21"/>
                <w:color w:val="auto"/>
                <w:vertAlign w:val="superscript"/>
              </w:rPr>
              <w:t>3</w:t>
            </w:r>
          </w:p>
        </w:tc>
        <w:tc>
          <w:tcPr>
            <w:tcW w:w="3140" w:type="dxa"/>
            <w:vAlign w:val="bottom"/>
            <w:gridSpan w:val="3"/>
          </w:tcPr>
          <w:p>
            <w:pPr>
              <w:jc w:val="right"/>
              <w:ind w:right="880"/>
              <w:spacing w:after="0"/>
              <w:rPr>
                <w:sz w:val="20"/>
                <w:szCs w:val="20"/>
                <w:color w:val="auto"/>
              </w:rPr>
            </w:pPr>
            <w:r>
              <w:rPr>
                <w:rFonts w:ascii="Arial" w:cs="Arial" w:eastAsia="Arial" w:hAnsi="Arial"/>
                <w:sz w:val="16"/>
                <w:szCs w:val="16"/>
                <w:color w:val="auto"/>
              </w:rPr>
              <w:t>0% to +2%</w:t>
            </w:r>
          </w:p>
        </w:tc>
        <w:tc>
          <w:tcPr>
            <w:tcW w:w="1540" w:type="dxa"/>
            <w:vAlign w:val="bottom"/>
          </w:tcPr>
          <w:p>
            <w:pPr>
              <w:jc w:val="right"/>
              <w:spacing w:after="0"/>
              <w:rPr>
                <w:sz w:val="20"/>
                <w:szCs w:val="20"/>
                <w:color w:val="auto"/>
              </w:rPr>
            </w:pPr>
            <w:r>
              <w:rPr>
                <w:rFonts w:ascii="Arial" w:cs="Arial" w:eastAsia="Arial" w:hAnsi="Arial"/>
                <w:sz w:val="16"/>
                <w:szCs w:val="16"/>
                <w:color w:val="auto"/>
              </w:rPr>
              <w:t>0% to +2%</w:t>
            </w: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Interest Income ($ mil)</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Interest Expense ($ mil)</w:t>
            </w:r>
          </w:p>
        </w:tc>
        <w:tc>
          <w:tcPr>
            <w:tcW w:w="228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80"/>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 Non-Operating (Income)/Expense ($ mil)</w:t>
            </w:r>
            <w:r>
              <w:rPr>
                <w:rFonts w:ascii="Arial" w:cs="Arial" w:eastAsia="Arial" w:hAnsi="Arial"/>
                <w:sz w:val="21"/>
                <w:szCs w:val="21"/>
                <w:color w:val="auto"/>
                <w:vertAlign w:val="superscript"/>
              </w:rPr>
              <w:t>4</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Pre-tax Margin</w:t>
            </w:r>
          </w:p>
        </w:tc>
        <w:tc>
          <w:tcPr>
            <w:tcW w:w="3140" w:type="dxa"/>
            <w:vAlign w:val="bottom"/>
            <w:gridSpan w:val="3"/>
          </w:tcPr>
          <w:p>
            <w:pPr>
              <w:jc w:val="right"/>
              <w:ind w:right="880"/>
              <w:spacing w:after="0"/>
              <w:rPr>
                <w:sz w:val="20"/>
                <w:szCs w:val="20"/>
                <w:color w:val="auto"/>
              </w:rPr>
            </w:pPr>
            <w:r>
              <w:rPr>
                <w:rFonts w:ascii="Arial" w:cs="Arial" w:eastAsia="Arial" w:hAnsi="Arial"/>
                <w:sz w:val="16"/>
                <w:szCs w:val="16"/>
                <w:color w:val="auto"/>
              </w:rPr>
              <w:t>+5% to +7%</w:t>
            </w:r>
          </w:p>
        </w:tc>
        <w:tc>
          <w:tcPr>
            <w:tcW w:w="1540" w:type="dxa"/>
            <w:vAlign w:val="bottom"/>
          </w:tcPr>
          <w:p>
            <w:pPr>
              <w:jc w:val="right"/>
              <w:spacing w:after="0"/>
              <w:rPr>
                <w:sz w:val="20"/>
                <w:szCs w:val="20"/>
                <w:color w:val="auto"/>
              </w:rPr>
            </w:pPr>
            <w:r>
              <w:rPr>
                <w:rFonts w:ascii="Arial" w:cs="Arial" w:eastAsia="Arial" w:hAnsi="Arial"/>
                <w:sz w:val="16"/>
                <w:szCs w:val="16"/>
                <w:color w:val="auto"/>
              </w:rPr>
              <w:t>+5% to +7%</w:t>
            </w:r>
          </w:p>
        </w:tc>
      </w:tr>
      <w:tr>
        <w:trPr>
          <w:trHeight w:val="307"/>
        </w:trPr>
        <w:tc>
          <w:tcPr>
            <w:tcW w:w="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189"/>
        </w:trPr>
        <w:tc>
          <w:tcPr>
            <w:tcW w:w="6740" w:type="dxa"/>
            <w:vAlign w:val="bottom"/>
            <w:gridSpan w:val="4"/>
          </w:tcPr>
          <w:p>
            <w:pPr>
              <w:ind w:left="40"/>
              <w:spacing w:after="0"/>
              <w:rPr>
                <w:sz w:val="20"/>
                <w:szCs w:val="20"/>
                <w:color w:val="auto"/>
              </w:rPr>
            </w:pPr>
            <w:r>
              <w:rPr>
                <w:rFonts w:ascii="Arial" w:cs="Arial" w:eastAsia="Arial" w:hAnsi="Arial"/>
                <w:sz w:val="16"/>
                <w:szCs w:val="16"/>
                <w:b w:val="1"/>
                <w:bCs w:val="1"/>
                <w:color w:val="auto"/>
              </w:rPr>
              <w:t xml:space="preserve">CAPEX Guidance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mil) Inflow/(Outflow)</w:t>
            </w: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200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35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Non-Aircraft CAPEX</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60"/>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Gross Aircraft CAPEX &amp; net PDPs</w:t>
            </w:r>
          </w:p>
        </w:tc>
        <w:tc>
          <w:tcPr>
            <w:tcW w:w="2280" w:type="dxa"/>
            <w:vAlign w:val="bottom"/>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80"/>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Assumed Aircraft Financing</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r>
      <w:tr>
        <w:trPr>
          <w:trHeight w:val="250"/>
        </w:trPr>
        <w:tc>
          <w:tcPr>
            <w:tcW w:w="40" w:type="dxa"/>
            <w:vAlign w:val="bottom"/>
          </w:tcPr>
          <w:p>
            <w:pPr>
              <w:spacing w:after="0"/>
              <w:rPr>
                <w:sz w:val="21"/>
                <w:szCs w:val="21"/>
                <w:color w:val="auto"/>
              </w:rPr>
            </w:pPr>
          </w:p>
        </w:tc>
        <w:tc>
          <w:tcPr>
            <w:tcW w:w="6700" w:type="dxa"/>
            <w:vAlign w:val="bottom"/>
            <w:gridSpan w:val="3"/>
          </w:tcPr>
          <w:p>
            <w:pPr>
              <w:ind w:left="160"/>
              <w:spacing w:after="0"/>
              <w:rPr>
                <w:sz w:val="20"/>
                <w:szCs w:val="20"/>
                <w:color w:val="auto"/>
              </w:rPr>
            </w:pPr>
            <w:r>
              <w:rPr>
                <w:rFonts w:ascii="Arial" w:cs="Arial" w:eastAsia="Arial" w:hAnsi="Arial"/>
                <w:sz w:val="16"/>
                <w:szCs w:val="16"/>
                <w:color w:val="auto"/>
              </w:rPr>
              <w:t>Net Aircraft CAPEX &amp; PDPs</w:t>
            </w:r>
            <w:r>
              <w:rPr>
                <w:rFonts w:ascii="Arial" w:cs="Arial" w:eastAsia="Arial" w:hAnsi="Arial"/>
                <w:sz w:val="21"/>
                <w:szCs w:val="21"/>
                <w:color w:val="auto"/>
                <w:vertAlign w:val="superscript"/>
              </w:rPr>
              <w:t>5</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Notes:</w:t>
      </w:r>
    </w:p>
    <w:p>
      <w:pPr>
        <w:spacing w:after="0" w:line="171" w:lineRule="exact"/>
        <w:rPr>
          <w:sz w:val="20"/>
          <w:szCs w:val="20"/>
          <w:color w:val="auto"/>
        </w:rPr>
      </w:pPr>
    </w:p>
    <w:p>
      <w:pPr>
        <w:ind w:left="380" w:right="420" w:hanging="345"/>
        <w:spacing w:after="0" w:line="281" w:lineRule="auto"/>
        <w:tabs>
          <w:tab w:leader="none" w:pos="3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guidance on certain non-GAAP measures, which exclude special items. Please see the GAAP to non-GAAP reconciliation at the end of this document.</w:t>
      </w:r>
    </w:p>
    <w:p>
      <w:pPr>
        <w:spacing w:after="0" w:line="1" w:lineRule="exact"/>
        <w:rPr>
          <w:rFonts w:ascii="Arial" w:cs="Arial" w:eastAsia="Arial" w:hAnsi="Arial"/>
          <w:sz w:val="16"/>
          <w:szCs w:val="16"/>
          <w:i w:val="1"/>
          <w:iCs w:val="1"/>
          <w:color w:val="auto"/>
        </w:rPr>
      </w:pPr>
    </w:p>
    <w:p>
      <w:pPr>
        <w:ind w:left="380" w:hanging="345"/>
        <w:spacing w:after="0"/>
        <w:tabs>
          <w:tab w:leader="none" w:pos="3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Cargo/Other revenue includes cargo revenue, loyalty program revenue, and contract services.</w:t>
      </w:r>
    </w:p>
    <w:p>
      <w:pPr>
        <w:spacing w:after="0" w:line="59" w:lineRule="exact"/>
        <w:rPr>
          <w:rFonts w:ascii="Arial" w:cs="Arial" w:eastAsia="Arial" w:hAnsi="Arial"/>
          <w:sz w:val="16"/>
          <w:szCs w:val="16"/>
          <w:i w:val="1"/>
          <w:iCs w:val="1"/>
          <w:color w:val="auto"/>
        </w:rPr>
      </w:pPr>
    </w:p>
    <w:p>
      <w:pPr>
        <w:ind w:left="380" w:hanging="345"/>
        <w:spacing w:after="0"/>
        <w:tabs>
          <w:tab w:leader="none" w:pos="3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CASM ex fuel and special items is a non-GAAP financial measure.</w:t>
      </w:r>
    </w:p>
    <w:p>
      <w:pPr>
        <w:spacing w:after="0" w:line="59" w:lineRule="exact"/>
        <w:rPr>
          <w:rFonts w:ascii="Arial" w:cs="Arial" w:eastAsia="Arial" w:hAnsi="Arial"/>
          <w:sz w:val="16"/>
          <w:szCs w:val="16"/>
          <w:i w:val="1"/>
          <w:iCs w:val="1"/>
          <w:color w:val="auto"/>
        </w:rPr>
      </w:pPr>
    </w:p>
    <w:p>
      <w:pPr>
        <w:ind w:left="380" w:right="220" w:hanging="345"/>
        <w:spacing w:after="0" w:line="281" w:lineRule="auto"/>
        <w:tabs>
          <w:tab w:leader="none" w:pos="3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Other Non-Operating (Income)/Expense primarily includes non-service related pension and retiree medical benefit income/costs, gains and losses from foreign currency, and income/loss from the company’s approximate 25% ownership interest in Republic Airways Holdings Inc.</w:t>
      </w:r>
    </w:p>
    <w:p>
      <w:pPr>
        <w:spacing w:after="0" w:line="1" w:lineRule="exact"/>
        <w:rPr>
          <w:rFonts w:ascii="Arial" w:cs="Arial" w:eastAsia="Arial" w:hAnsi="Arial"/>
          <w:sz w:val="16"/>
          <w:szCs w:val="16"/>
          <w:i w:val="1"/>
          <w:iCs w:val="1"/>
          <w:color w:val="auto"/>
        </w:rPr>
      </w:pPr>
    </w:p>
    <w:p>
      <w:pPr>
        <w:ind w:left="380" w:hanging="345"/>
        <w:spacing w:after="0"/>
        <w:tabs>
          <w:tab w:leader="none" w:pos="3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Numbers may not recalculate due to rounding.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refer to the footnotes and the forward looking statements page of this document for additional information</w:t>
      </w:r>
    </w:p>
    <w:p>
      <w:pPr>
        <w:sectPr>
          <w:pgSz w:w="11900" w:h="16838" w:orient="portrait"/>
          <w:cols w:equalWidth="0" w:num="1">
            <w:col w:w="11420"/>
          </w:cols>
          <w:pgMar w:left="240" w:top="111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2198370</wp:posOffset>
            </wp:positionH>
            <wp:positionV relativeFrom="page">
              <wp:posOffset>88900</wp:posOffset>
            </wp:positionV>
            <wp:extent cx="316420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164205" cy="480060"/>
                    </a:xfrm>
                    <a:prstGeom prst="rect">
                      <a:avLst/>
                    </a:prstGeom>
                    <a:noFill/>
                  </pic:spPr>
                </pic:pic>
              </a:graphicData>
            </a:graphic>
          </wp:anchor>
        </w:drawing>
        <w:t>Third Quarter GAAP to Non-GAAP Reconciliation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9, 2018</w:t>
      </w:r>
    </w:p>
    <w:p>
      <w:pPr>
        <w:spacing w:after="0" w:line="1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company sometimes uses financial measures that are derived from the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 The table below presents the reconciliation of total operating costs (GAAP measure) to total operating costs excluding special items and fuel (non-GAAP measure). Management uses total operating costs excluding special items and fuel to evaluate the company's current operating performance and for period-to-period comparisons. The price of fuel, over which the company has no control, impacts the comparability of period-to-period financial performance. Additionally, special items may vary from period-to-period in nature and amount. These adjustments to exclude aircraft fuel and special items allow management an additional tool to better understand and analyze the company’s non-fuel costs and core operating performance. Additionally, the table below presents the reconciliation of other non-operating expense (GAAP measure) to other non-operating expense excluding special items (non-GAAP measure). Management uses this non-GAAP financial measure to evaluate the company’s current performance and to allow for period-to-period comparisons. As special items may vary from period-to-period in nature and amount, the adjustment to exclude special items allows management an additional tool to better understand the company’s core operating performance.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 GAAP to Non-GAAP Reconciliation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3Q18 Range</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8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r>
      <w:tr>
        <w:trPr>
          <w:trHeight w:val="270"/>
        </w:trPr>
        <w:tc>
          <w:tcPr>
            <w:tcW w:w="8400" w:type="dxa"/>
            <w:vAlign w:val="bottom"/>
          </w:tcPr>
          <w:p>
            <w:pPr>
              <w:ind w:left="40"/>
              <w:spacing w:after="0"/>
              <w:rPr>
                <w:sz w:val="20"/>
                <w:szCs w:val="20"/>
                <w:color w:val="auto"/>
              </w:rPr>
            </w:pPr>
            <w:r>
              <w:rPr>
                <w:rFonts w:ascii="Arial" w:cs="Arial" w:eastAsia="Arial" w:hAnsi="Arial"/>
                <w:sz w:val="14"/>
                <w:szCs w:val="14"/>
                <w:b w:val="1"/>
                <w:bCs w:val="1"/>
                <w:color w:val="auto"/>
              </w:rPr>
              <w:t>Consolidated</w:t>
            </w:r>
            <w:r>
              <w:rPr>
                <w:rFonts w:ascii="Arial" w:cs="Arial" w:eastAsia="Arial" w:hAnsi="Arial"/>
                <w:sz w:val="17"/>
                <w:szCs w:val="17"/>
                <w:b w:val="1"/>
                <w:bCs w:val="1"/>
                <w:color w:val="auto"/>
                <w:vertAlign w:val="superscript"/>
              </w:rPr>
              <w:t>1</w:t>
            </w:r>
          </w:p>
        </w:tc>
        <w:tc>
          <w:tcPr>
            <w:tcW w:w="3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operating expenses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10,813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11,030</w:t>
            </w:r>
          </w:p>
        </w:tc>
        <w:tc>
          <w:tcPr>
            <w:tcW w:w="100" w:type="dxa"/>
            <w:vAlign w:val="bottom"/>
            <w:shd w:val="clear" w:color="auto" w:fill="CCEEFF"/>
          </w:tcPr>
          <w:p>
            <w:pPr>
              <w:spacing w:after="0"/>
              <w:rPr>
                <w:sz w:val="23"/>
                <w:szCs w:val="23"/>
                <w:color w:val="auto"/>
              </w:rPr>
            </w:pPr>
          </w:p>
        </w:tc>
      </w:tr>
      <w:tr>
        <w:trPr>
          <w:trHeight w:val="264"/>
        </w:trPr>
        <w:tc>
          <w:tcPr>
            <w:tcW w:w="8400" w:type="dxa"/>
            <w:vAlign w:val="bottom"/>
          </w:tcPr>
          <w:p>
            <w:pPr>
              <w:ind w:left="40"/>
              <w:spacing w:after="0"/>
              <w:rPr>
                <w:sz w:val="20"/>
                <w:szCs w:val="20"/>
                <w:color w:val="auto"/>
              </w:rPr>
            </w:pPr>
            <w:r>
              <w:rPr>
                <w:rFonts w:ascii="Arial" w:cs="Arial" w:eastAsia="Arial" w:hAnsi="Arial"/>
                <w:sz w:val="14"/>
                <w:szCs w:val="14"/>
                <w:color w:val="auto"/>
              </w:rPr>
              <w:t>Less fuel expense</w:t>
            </w: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2,775</w:t>
            </w:r>
          </w:p>
        </w:tc>
        <w:tc>
          <w:tcPr>
            <w:tcW w:w="100" w:type="dxa"/>
            <w:vAlign w:val="bottom"/>
          </w:tcPr>
          <w:p>
            <w:pPr>
              <w:spacing w:after="0"/>
              <w:rPr>
                <w:sz w:val="22"/>
                <w:szCs w:val="22"/>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special items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3"/>
                <w:szCs w:val="23"/>
                <w:color w:val="auto"/>
              </w:rPr>
            </w:pPr>
          </w:p>
        </w:tc>
      </w:tr>
      <w:tr>
        <w:trPr>
          <w:trHeight w:val="250"/>
        </w:trPr>
        <w:tc>
          <w:tcPr>
            <w:tcW w:w="8400" w:type="dxa"/>
            <w:vAlign w:val="bottom"/>
          </w:tcPr>
          <w:p>
            <w:pPr>
              <w:ind w:left="40"/>
              <w:spacing w:after="0"/>
              <w:rPr>
                <w:sz w:val="20"/>
                <w:szCs w:val="20"/>
                <w:color w:val="auto"/>
              </w:rPr>
            </w:pPr>
            <w:r>
              <w:rPr>
                <w:rFonts w:ascii="Arial" w:cs="Arial" w:eastAsia="Arial" w:hAnsi="Arial"/>
                <w:sz w:val="14"/>
                <w:szCs w:val="14"/>
                <w:color w:val="auto"/>
              </w:rPr>
              <w:t>Consolidated operating expense excluding fuel and special items</w:t>
            </w:r>
          </w:p>
        </w:tc>
        <w:tc>
          <w:tcPr>
            <w:tcW w:w="320" w:type="dxa"/>
            <w:vAlign w:val="bottom"/>
          </w:tcPr>
          <w:p>
            <w:pPr>
              <w:spacing w:after="0"/>
              <w:rPr>
                <w:sz w:val="21"/>
                <w:szCs w:val="21"/>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7,883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8,040</w:t>
            </w:r>
          </w:p>
        </w:tc>
        <w:tc>
          <w:tcPr>
            <w:tcW w:w="100" w:type="dxa"/>
            <w:vAlign w:val="bottom"/>
          </w:tcPr>
          <w:p>
            <w:pPr>
              <w:spacing w:after="0"/>
              <w:rPr>
                <w:sz w:val="21"/>
                <w:szCs w:val="21"/>
                <w:color w:val="auto"/>
              </w:rPr>
            </w:pPr>
          </w:p>
        </w:tc>
      </w:tr>
      <w:tr>
        <w:trPr>
          <w:trHeight w:val="276"/>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CASM (cts)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14.71</w:t>
            </w:r>
          </w:p>
        </w:tc>
        <w:tc>
          <w:tcPr>
            <w:tcW w:w="100" w:type="dxa"/>
            <w:vAlign w:val="bottom"/>
            <w:shd w:val="clear" w:color="auto" w:fill="CCEEFF"/>
          </w:tcPr>
          <w:p>
            <w:pPr>
              <w:spacing w:after="0"/>
              <w:rPr>
                <w:sz w:val="24"/>
                <w:szCs w:val="24"/>
                <w:color w:val="auto"/>
              </w:rPr>
            </w:pPr>
          </w:p>
        </w:tc>
      </w:tr>
      <w:tr>
        <w:trPr>
          <w:trHeight w:val="264"/>
        </w:trPr>
        <w:tc>
          <w:tcPr>
            <w:tcW w:w="8400" w:type="dxa"/>
            <w:vAlign w:val="bottom"/>
          </w:tcPr>
          <w:p>
            <w:pPr>
              <w:ind w:left="40"/>
              <w:spacing w:after="0"/>
              <w:rPr>
                <w:sz w:val="20"/>
                <w:szCs w:val="20"/>
                <w:color w:val="auto"/>
              </w:rPr>
            </w:pPr>
            <w:r>
              <w:rPr>
                <w:rFonts w:ascii="Arial" w:cs="Arial" w:eastAsia="Arial" w:hAnsi="Arial"/>
                <w:sz w:val="14"/>
                <w:szCs w:val="14"/>
                <w:color w:val="auto"/>
              </w:rPr>
              <w:t>Consolidated CASM excluding fuel and special items (Non-GAAP) (cts)</w:t>
            </w: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22"/>
                <w:szCs w:val="22"/>
                <w:color w:val="auto"/>
              </w:rPr>
            </w:pPr>
          </w:p>
        </w:tc>
      </w:tr>
      <w:tr>
        <w:trPr>
          <w:trHeight w:val="276"/>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YOY (%)</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w:t>
            </w:r>
          </w:p>
        </w:tc>
        <w:tc>
          <w:tcPr>
            <w:tcW w:w="100" w:type="dxa"/>
            <w:vAlign w:val="bottom"/>
            <w:shd w:val="clear" w:color="auto" w:fill="CCEEFF"/>
          </w:tcPr>
          <w:p>
            <w:pPr>
              <w:spacing w:after="0"/>
              <w:rPr>
                <w:sz w:val="24"/>
                <w:szCs w:val="24"/>
                <w:color w:val="auto"/>
              </w:rPr>
            </w:pPr>
          </w:p>
        </w:tc>
      </w:tr>
      <w:tr>
        <w:trPr>
          <w:trHeight w:val="264"/>
        </w:trPr>
        <w:tc>
          <w:tcPr>
            <w:tcW w:w="8400" w:type="dxa"/>
            <w:vAlign w:val="bottom"/>
          </w:tcPr>
          <w:p>
            <w:pPr>
              <w:ind w:left="40"/>
              <w:spacing w:after="0"/>
              <w:rPr>
                <w:sz w:val="20"/>
                <w:szCs w:val="20"/>
                <w:color w:val="auto"/>
              </w:rPr>
            </w:pPr>
            <w:r>
              <w:rPr>
                <w:rFonts w:ascii="Arial" w:cs="Arial" w:eastAsia="Arial" w:hAnsi="Arial"/>
                <w:sz w:val="14"/>
                <w:szCs w:val="14"/>
                <w:b w:val="1"/>
                <w:bCs w:val="1"/>
                <w:color w:val="auto"/>
              </w:rPr>
              <w:t>Consolidated ASMs (bil)</w:t>
            </w: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r>
      <w:tr>
        <w:trPr>
          <w:trHeight w:val="249"/>
        </w:trPr>
        <w:tc>
          <w:tcPr>
            <w:tcW w:w="8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0"/>
        </w:trPr>
        <w:tc>
          <w:tcPr>
            <w:tcW w:w="8400" w:type="dxa"/>
            <w:vAlign w:val="bottom"/>
          </w:tcPr>
          <w:p>
            <w:pPr>
              <w:ind w:left="40"/>
              <w:spacing w:after="0"/>
              <w:rPr>
                <w:sz w:val="20"/>
                <w:szCs w:val="20"/>
                <w:color w:val="auto"/>
              </w:rPr>
            </w:pPr>
            <w:r>
              <w:rPr>
                <w:rFonts w:ascii="Arial" w:cs="Arial" w:eastAsia="Arial" w:hAnsi="Arial"/>
                <w:sz w:val="14"/>
                <w:szCs w:val="14"/>
                <w:b w:val="1"/>
                <w:bCs w:val="1"/>
                <w:color w:val="auto"/>
              </w:rPr>
              <w:t>Other non-operating (income)/expense</w:t>
            </w:r>
            <w:r>
              <w:rPr>
                <w:rFonts w:ascii="Arial" w:cs="Arial" w:eastAsia="Arial" w:hAnsi="Arial"/>
                <w:sz w:val="17"/>
                <w:szCs w:val="17"/>
                <w:b w:val="1"/>
                <w:bCs w:val="1"/>
                <w:color w:val="auto"/>
                <w:vertAlign w:val="superscript"/>
              </w:rPr>
              <w:t>1</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non-operating (income)/expense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special items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r>
      <w:tr>
        <w:trPr>
          <w:trHeight w:val="256"/>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non-operating (income)/expense excluding special items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-145415</wp:posOffset>
            </wp:positionV>
            <wp:extent cx="8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-128270</wp:posOffset>
            </wp:positionV>
            <wp:extent cx="8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-111125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-93980</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-76835</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-59690</wp:posOffset>
            </wp:positionV>
            <wp:extent cx="8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-42545</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-25400</wp:posOffset>
            </wp:positionV>
            <wp:extent cx="8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-8255</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-145415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-128270</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-111125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-93980</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-76835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-59690</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-42545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-25400</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-8255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-316865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-299720</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-282575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-265430</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-248285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-231140</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-213995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-196850</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-179705</wp:posOffset>
            </wp:positionV>
            <wp:extent cx="889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-316865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-299720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-282575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-265430</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-248285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-231140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-213995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-196850</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-179705</wp:posOffset>
            </wp:positionV>
            <wp:extent cx="889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-488315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-471170</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-454025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-436880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-419735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-402590</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-385445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-368300</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-351155</wp:posOffset>
            </wp:positionV>
            <wp:extent cx="889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-488315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-471170</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-454025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-436880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-419735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-402590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-385445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-368300</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-351155</wp:posOffset>
            </wp:positionV>
            <wp:extent cx="889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-659765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-642620</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-625475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-608330</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-591185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-574040</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-556895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-539750</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-522605</wp:posOffset>
            </wp:positionV>
            <wp:extent cx="889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-659765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-642620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-625475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-608330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-591185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-574040</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-556895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-539750</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-522605</wp:posOffset>
            </wp:positionV>
            <wp:extent cx="889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-814070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-796925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-779780</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-762635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-745490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-728345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-711200</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-694055</wp:posOffset>
            </wp:positionV>
            <wp:extent cx="889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-814070</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-796925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-779780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-762635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-745490</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-728345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-711200</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-694055</wp:posOffset>
            </wp:positionV>
            <wp:extent cx="889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-985520</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-968375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-951230</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-934085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-916940</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-899795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-882650</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-865505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-848360</wp:posOffset>
            </wp:positionV>
            <wp:extent cx="889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-985520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-968375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-951230</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-934085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-916940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-899795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-882650</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-865505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-848360</wp:posOffset>
            </wp:positionV>
            <wp:extent cx="889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-1156970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-1139825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-1122680</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-1105535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-1088390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-1071245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-1054100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-1036955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-1019810</wp:posOffset>
            </wp:positionV>
            <wp:extent cx="889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-1156970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-1139825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-1122680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-1105535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-1088390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-1071245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-1054100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-1036955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-1019810</wp:posOffset>
            </wp:positionV>
            <wp:extent cx="889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-1328420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-1311275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-1294130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-1276985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-1259840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-1242695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-1225550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-1208405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-1191260</wp:posOffset>
            </wp:positionV>
            <wp:extent cx="889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-1328420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-1311275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-1294130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-1276985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-1259840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-1242695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-1225550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-1208405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-1191260</wp:posOffset>
            </wp:positionV>
            <wp:extent cx="889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-1499870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-1482725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-1465580</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-1448435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-1431290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-1414145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-1397000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-1379855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-1362710</wp:posOffset>
            </wp:positionV>
            <wp:extent cx="889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-1499870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-1482725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-1465580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-1448435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-1431290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-1414145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-1397000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-1379855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-1362710</wp:posOffset>
            </wp:positionV>
            <wp:extent cx="889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-1671955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-1654810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-1637030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-1619885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-1602740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-1585595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-1568450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-1551305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-1534160</wp:posOffset>
            </wp:positionV>
            <wp:extent cx="889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-1671955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-1654810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-1637030</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-1619885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-1602740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-1585595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-1568450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-1551305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-1534160</wp:posOffset>
            </wp:positionV>
            <wp:extent cx="889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-1843405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-1826260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-1809115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-1791970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-1774825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-1757680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-1740535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-1723390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-1706245</wp:posOffset>
            </wp:positionV>
            <wp:extent cx="889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-1843405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-1826260</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-1809115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-1791970</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-1774825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-1757680</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-1740535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-1723390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-1706245</wp:posOffset>
            </wp:positionV>
            <wp:extent cx="889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-2014855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-1997710</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-1980565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-1963420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-1946275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-1929130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-1911985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-1894840</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-1877695</wp:posOffset>
            </wp:positionV>
            <wp:extent cx="889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-2014855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-1997710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-1980565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-1963420</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-1946275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-1929130</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-1911985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-1894840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-1877695</wp:posOffset>
            </wp:positionV>
            <wp:extent cx="889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-2186305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-2169160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-2152015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-2134870</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-2117725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-2100580</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-2083435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-2066290</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-2049145</wp:posOffset>
            </wp:positionV>
            <wp:extent cx="889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-2186305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-2169160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-2152015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-2134870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-2117725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-2100580</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-2083435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-2066290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-2049145</wp:posOffset>
            </wp:positionV>
            <wp:extent cx="889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-2374900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-2357755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-2340610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-2323465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-2306320</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-2289175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-2272030</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-2254885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-2237740</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-2220595</wp:posOffset>
            </wp:positionV>
            <wp:extent cx="889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-2374900</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-2357755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-2340610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-2323465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-2306320</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-2289175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-2272030</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-2254885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-2237740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-2220595</wp:posOffset>
            </wp:positionV>
            <wp:extent cx="889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-2572385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-2555240</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-2538095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-2520950</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-2503805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-2486660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-2469515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-2451735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-2434590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-2417445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-2400300</wp:posOffset>
            </wp:positionV>
            <wp:extent cx="889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-2572385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-2555240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-2538095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-2520950</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-2503805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-2486660</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-2469515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-2451735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-2434590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-2417445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-2400300</wp:posOffset>
            </wp:positionV>
            <wp:extent cx="889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6"/>
          <w:szCs w:val="16"/>
          <w:i w:val="1"/>
          <w:iCs w:val="1"/>
          <w:color w:val="auto"/>
        </w:rPr>
        <w:t>Notes:</w:t>
      </w:r>
      <w:r>
        <w:rPr>
          <w:sz w:val="20"/>
          <w:szCs w:val="20"/>
          <w:color w:val="auto"/>
        </w:rPr>
        <w:tab/>
      </w:r>
      <w:r>
        <w:rPr>
          <w:rFonts w:ascii="Arial" w:cs="Arial" w:eastAsia="Arial" w:hAnsi="Arial"/>
          <w:sz w:val="16"/>
          <w:szCs w:val="16"/>
          <w:i w:val="1"/>
          <w:iCs w:val="1"/>
          <w:color w:val="auto"/>
        </w:rPr>
        <w:t>Amounts may not recalculate due to rounding.</w:t>
      </w:r>
    </w:p>
    <w:p>
      <w:pPr>
        <w:spacing w:after="0" w:line="59" w:lineRule="exact"/>
        <w:rPr>
          <w:sz w:val="20"/>
          <w:szCs w:val="20"/>
          <w:color w:val="auto"/>
        </w:rPr>
      </w:pPr>
    </w:p>
    <w:p>
      <w:pPr>
        <w:ind w:left="840" w:right="380" w:hanging="805"/>
        <w:spacing w:after="0" w:line="281" w:lineRule="auto"/>
        <w:tabs>
          <w:tab w:leader="none" w:pos="8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Net special items principally include fleet restructuring expenses, merger integration expenses and mark-to-market adjustments for bankruptcy obligations and equity investments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refer to the footnotes and the forward looking statements page of this document for additional information</w:t>
      </w:r>
    </w:p>
    <w:p>
      <w:pPr>
        <w:sectPr>
          <w:pgSz w:w="11900" w:h="16838" w:orient="portrait"/>
          <w:cols w:equalWidth="0" w:num="1">
            <w:col w:w="11420"/>
          </w:cols>
          <w:pgMar w:left="240" w:top="1116"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2198370</wp:posOffset>
            </wp:positionH>
            <wp:positionV relativeFrom="page">
              <wp:posOffset>88900</wp:posOffset>
            </wp:positionV>
            <wp:extent cx="3164205" cy="4800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3164205" cy="480060"/>
                    </a:xfrm>
                    <a:prstGeom prst="rect">
                      <a:avLst/>
                    </a:prstGeom>
                    <a:noFill/>
                  </pic:spPr>
                </pic:pic>
              </a:graphicData>
            </a:graphic>
          </wp:anchor>
        </w:drawing>
        <w:t>Forward Looking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9,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document includes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future financial and operating results, the company’s plans, objectives, estimates, expectations and intentions,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Quarterly Report on Form 10-Q for the quarter ended June 30, 2018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Please refer to the footnotes and the forward looking statements page of this document for additional information</w:t>
      </w:r>
    </w:p>
    <w:sectPr>
      <w:pgSz w:w="11900" w:h="16838" w:orient="portrait"/>
      <w:cols w:equalWidth="0" w:num="1">
        <w:col w:w="11420"/>
      </w:cols>
      <w:pgMar w:left="240" w:top="13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817"/>
    </w:lvl>
  </w:abstractNum>
  <w:abstractNum w:abstractNumId="1">
    <w:nsid w:val="238E1F29"/>
    <w:multiLevelType w:val="hybridMultilevel"/>
    <w:lvl w:ilvl="0">
      <w:lvlJc w:val="left"/>
      <w:lvlText w:val="(%1)"/>
      <w:numFmt w:val="decimal"/>
      <w:start w:val="817"/>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2019-12-28T19:23:03Z</dcterms:created>
  <dcterms:modified xsi:type="dcterms:W3CDTF">2019-12-28T19:23:03Z</dcterms:modified>
</cp:coreProperties>
</file>