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346075</wp:posOffset>
            </wp:positionH>
            <wp:positionV relativeFrom="page">
              <wp:posOffset>629285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534670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83820</wp:posOffset>
            </wp:positionV>
            <wp:extent cx="3422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41"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108585</wp:posOffset>
            </wp:positionV>
            <wp:extent cx="3422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99" w:lineRule="exact"/>
        <w:rPr>
          <w:sz w:val="24"/>
          <w:szCs w:val="24"/>
          <w:color w:val="auto"/>
        </w:rPr>
      </w:pPr>
    </w:p>
    <w:p>
      <w:pPr>
        <w:ind w:left="665" w:hanging="665"/>
        <w:spacing w:after="0"/>
        <w:tabs>
          <w:tab w:leader="none" w:pos="665"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34" w:lineRule="exact"/>
        <w:rPr>
          <w:sz w:val="24"/>
          <w:szCs w:val="24"/>
          <w:color w:val="auto"/>
        </w:rPr>
      </w:pPr>
    </w:p>
    <w:p>
      <w:pPr>
        <w:ind w:left="405"/>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147" w:lineRule="exact"/>
        <w:rPr>
          <w:sz w:val="24"/>
          <w:szCs w:val="24"/>
          <w:color w:val="auto"/>
        </w:rPr>
      </w:pPr>
    </w:p>
    <w:p>
      <w:pPr>
        <w:ind w:left="665" w:right="580" w:hanging="665"/>
        <w:spacing w:after="0" w:line="249" w:lineRule="auto"/>
        <w:tabs>
          <w:tab w:leader="none" w:pos="665"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ectPr>
          <w:pgSz w:w="11900" w:h="16838" w:orient="portrait"/>
          <w:cols w:equalWidth="0" w:num="1">
            <w:col w:w="11345"/>
          </w:cols>
          <w:pgMar w:left="275" w:top="998" w:right="279" w:bottom="1440" w:gutter="0" w:footer="0" w:header="0"/>
        </w:sectPr>
      </w:pPr>
    </w:p>
    <w:p>
      <w:pPr>
        <w:ind w:left="405"/>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125" w:lineRule="exact"/>
        <w:rPr>
          <w:sz w:val="24"/>
          <w:szCs w:val="24"/>
          <w:color w:val="auto"/>
        </w:rPr>
      </w:pPr>
    </w:p>
    <w:p>
      <w:pPr>
        <w:sectPr>
          <w:pgSz w:w="11900" w:h="16838" w:orient="portrait"/>
          <w:cols w:equalWidth="0" w:num="2">
            <w:col w:w="3225" w:space="720"/>
            <w:col w:w="7400"/>
          </w:cols>
          <w:pgMar w:left="275" w:top="998" w:right="279" w:bottom="1440" w:gutter="0" w:footer="0" w:header="0"/>
          <w:type w:val="continuous"/>
        </w:sectPr>
      </w:pPr>
    </w:p>
    <w:p>
      <w:pPr>
        <w:jc w:val="center"/>
        <w:ind w:right="-24"/>
        <w:spacing w:after="0"/>
        <w:rPr>
          <w:sz w:val="20"/>
          <w:szCs w:val="20"/>
          <w:color w:val="auto"/>
        </w:rPr>
      </w:pPr>
      <w:r>
        <w:rPr>
          <w:rFonts w:ascii="Arial" w:cs="Arial" w:eastAsia="Arial" w:hAnsi="Arial"/>
          <w:sz w:val="16"/>
          <w:szCs w:val="16"/>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156210</wp:posOffset>
            </wp:positionV>
            <wp:extent cx="3422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ectPr>
          <w:pgSz w:w="11900" w:h="16838" w:orient="portrait"/>
          <w:cols w:equalWidth="0" w:num="1">
            <w:col w:w="11345"/>
          </w:cols>
          <w:pgMar w:left="275" w:top="998" w:right="279" w:bottom="1440" w:gutter="0" w:footer="0" w:header="0"/>
          <w:type w:val="continuous"/>
        </w:sectPr>
      </w:pPr>
    </w:p>
    <w:p>
      <w:pPr>
        <w:spacing w:after="0" w:line="385" w:lineRule="exact"/>
        <w:rPr>
          <w:sz w:val="24"/>
          <w:szCs w:val="24"/>
          <w:color w:val="auto"/>
        </w:rPr>
      </w:pPr>
    </w:p>
    <w:p>
      <w:pPr>
        <w:jc w:val="center"/>
        <w:ind w:right="-4"/>
        <w:spacing w:after="0"/>
        <w:rPr>
          <w:sz w:val="20"/>
          <w:szCs w:val="20"/>
          <w:color w:val="auto"/>
        </w:rPr>
      </w:pPr>
      <w:r>
        <w:rPr>
          <w:rFonts w:ascii="Arial" w:cs="Arial" w:eastAsia="Arial" w:hAnsi="Arial"/>
          <w:sz w:val="23"/>
          <w:szCs w:val="23"/>
          <w:b w:val="1"/>
          <w:bCs w:val="1"/>
          <w:color w:val="auto"/>
        </w:rPr>
        <w:t>American Airlines Group Inc.</w:t>
      </w:r>
    </w:p>
    <w:p>
      <w:pPr>
        <w:spacing w:after="0" w:line="45"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96520</wp:posOffset>
            </wp:positionV>
            <wp:extent cx="34220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97" w:lineRule="exact"/>
        <w:rPr>
          <w:sz w:val="24"/>
          <w:szCs w:val="24"/>
          <w:color w:val="auto"/>
        </w:rPr>
      </w:pPr>
    </w:p>
    <w:tbl>
      <w:tblPr>
        <w:tblLayout w:type="fixed"/>
        <w:tblInd w:w="605" w:type="dxa"/>
        <w:tblCellMar>
          <w:top w:w="0" w:type="dxa"/>
          <w:left w:w="0" w:type="dxa"/>
          <w:bottom w:w="0" w:type="dxa"/>
          <w:right w:w="0" w:type="dxa"/>
        </w:tblCellMar>
      </w:tblPr>
      <w:tr>
        <w:trPr>
          <w:trHeight w:val="215"/>
        </w:trPr>
        <w:tc>
          <w:tcPr>
            <w:tcW w:w="4900" w:type="dxa"/>
            <w:vAlign w:val="bottom"/>
          </w:tcPr>
          <w:p>
            <w:pPr>
              <w:jc w:val="center"/>
              <w:ind w:right="659"/>
              <w:spacing w:after="0"/>
              <w:rPr>
                <w:sz w:val="20"/>
                <w:szCs w:val="20"/>
                <w:color w:val="auto"/>
              </w:rPr>
            </w:pPr>
            <w:r>
              <w:rPr>
                <w:rFonts w:ascii="Arial" w:cs="Arial" w:eastAsia="Arial" w:hAnsi="Arial"/>
                <w:sz w:val="16"/>
                <w:szCs w:val="16"/>
                <w:b w:val="1"/>
                <w:bCs w:val="1"/>
                <w:color w:val="auto"/>
              </w:rPr>
              <w:t>Delaware</w:t>
            </w:r>
          </w:p>
        </w:tc>
        <w:tc>
          <w:tcPr>
            <w:tcW w:w="4440" w:type="dxa"/>
            <w:vAlign w:val="bottom"/>
          </w:tcPr>
          <w:p>
            <w:pPr>
              <w:jc w:val="right"/>
              <w:ind w:right="1339"/>
              <w:spacing w:after="0"/>
              <w:rPr>
                <w:sz w:val="20"/>
                <w:szCs w:val="20"/>
                <w:color w:val="auto"/>
              </w:rPr>
            </w:pPr>
            <w:r>
              <w:rPr>
                <w:rFonts w:ascii="Arial" w:cs="Arial" w:eastAsia="Arial" w:hAnsi="Arial"/>
                <w:sz w:val="16"/>
                <w:szCs w:val="16"/>
                <w:b w:val="1"/>
                <w:bCs w:val="1"/>
                <w:color w:val="auto"/>
              </w:rPr>
              <w:t>75-1825172</w:t>
            </w:r>
          </w:p>
        </w:tc>
      </w:tr>
      <w:tr>
        <w:trPr>
          <w:trHeight w:val="222"/>
        </w:trPr>
        <w:tc>
          <w:tcPr>
            <w:tcW w:w="4900" w:type="dxa"/>
            <w:vAlign w:val="bottom"/>
          </w:tcPr>
          <w:p>
            <w:pPr>
              <w:jc w:val="center"/>
              <w:ind w:right="679"/>
              <w:spacing w:after="0"/>
              <w:rPr>
                <w:sz w:val="20"/>
                <w:szCs w:val="20"/>
                <w:color w:val="auto"/>
              </w:rPr>
            </w:pPr>
            <w:r>
              <w:rPr>
                <w:rFonts w:ascii="Arial" w:cs="Arial" w:eastAsia="Arial" w:hAnsi="Arial"/>
                <w:sz w:val="16"/>
                <w:szCs w:val="16"/>
                <w:i w:val="1"/>
                <w:iCs w:val="1"/>
                <w:color w:val="auto"/>
              </w:rPr>
              <w:t>(State or other jurisdiction of</w:t>
            </w:r>
          </w:p>
        </w:tc>
        <w:tc>
          <w:tcPr>
            <w:tcW w:w="4440" w:type="dxa"/>
            <w:vAlign w:val="bottom"/>
          </w:tcPr>
          <w:p>
            <w:pPr>
              <w:jc w:val="center"/>
              <w:ind w:left="659"/>
              <w:spacing w:after="0"/>
              <w:rPr>
                <w:sz w:val="20"/>
                <w:szCs w:val="20"/>
                <w:color w:val="auto"/>
              </w:rPr>
            </w:pPr>
            <w:r>
              <w:rPr>
                <w:rFonts w:ascii="Arial" w:cs="Arial" w:eastAsia="Arial" w:hAnsi="Arial"/>
                <w:sz w:val="16"/>
                <w:szCs w:val="16"/>
                <w:i w:val="1"/>
                <w:iCs w:val="1"/>
                <w:color w:val="auto"/>
              </w:rPr>
              <w:t>(I.R.S. Employer</w:t>
            </w:r>
          </w:p>
        </w:tc>
      </w:tr>
      <w:tr>
        <w:trPr>
          <w:trHeight w:val="211"/>
        </w:trPr>
        <w:tc>
          <w:tcPr>
            <w:tcW w:w="4900" w:type="dxa"/>
            <w:vAlign w:val="bottom"/>
          </w:tcPr>
          <w:p>
            <w:pPr>
              <w:jc w:val="center"/>
              <w:ind w:right="679"/>
              <w:spacing w:after="0"/>
              <w:rPr>
                <w:sz w:val="20"/>
                <w:szCs w:val="20"/>
                <w:color w:val="auto"/>
              </w:rPr>
            </w:pPr>
            <w:r>
              <w:rPr>
                <w:rFonts w:ascii="Arial" w:cs="Arial" w:eastAsia="Arial" w:hAnsi="Arial"/>
                <w:sz w:val="16"/>
                <w:szCs w:val="16"/>
                <w:i w:val="1"/>
                <w:iCs w:val="1"/>
                <w:color w:val="auto"/>
              </w:rPr>
              <w:t>incorporation or organization)</w:t>
            </w:r>
          </w:p>
        </w:tc>
        <w:tc>
          <w:tcPr>
            <w:tcW w:w="4440" w:type="dxa"/>
            <w:vAlign w:val="bottom"/>
          </w:tcPr>
          <w:p>
            <w:pPr>
              <w:jc w:val="center"/>
              <w:ind w:left="659"/>
              <w:spacing w:after="0"/>
              <w:rPr>
                <w:sz w:val="20"/>
                <w:szCs w:val="20"/>
                <w:color w:val="auto"/>
              </w:rPr>
            </w:pPr>
            <w:r>
              <w:rPr>
                <w:rFonts w:ascii="Arial" w:cs="Arial" w:eastAsia="Arial" w:hAnsi="Arial"/>
                <w:sz w:val="16"/>
                <w:szCs w:val="16"/>
                <w:i w:val="1"/>
                <w:iCs w:val="1"/>
                <w:color w:val="auto"/>
              </w:rPr>
              <w:t>Identification No.)</w:t>
            </w:r>
          </w:p>
        </w:tc>
      </w:tr>
      <w:tr>
        <w:trPr>
          <w:trHeight w:val="243"/>
        </w:trPr>
        <w:tc>
          <w:tcPr>
            <w:tcW w:w="4900" w:type="dxa"/>
            <w:vAlign w:val="bottom"/>
          </w:tcPr>
          <w:p>
            <w:pPr>
              <w:jc w:val="center"/>
              <w:ind w:right="679"/>
              <w:spacing w:after="0"/>
              <w:rPr>
                <w:sz w:val="20"/>
                <w:szCs w:val="20"/>
                <w:color w:val="auto"/>
              </w:rPr>
            </w:pPr>
            <w:r>
              <w:rPr>
                <w:rFonts w:ascii="Arial" w:cs="Arial" w:eastAsia="Arial" w:hAnsi="Arial"/>
                <w:sz w:val="16"/>
                <w:szCs w:val="16"/>
                <w:b w:val="1"/>
                <w:bCs w:val="1"/>
                <w:color w:val="auto"/>
              </w:rPr>
              <w:t>4333 Amon Carter Blvd., Fort Worth, Texas 76155</w:t>
            </w:r>
          </w:p>
        </w:tc>
        <w:tc>
          <w:tcPr>
            <w:tcW w:w="4440" w:type="dxa"/>
            <w:vAlign w:val="bottom"/>
          </w:tcPr>
          <w:p>
            <w:pPr>
              <w:jc w:val="right"/>
              <w:ind w:right="1219"/>
              <w:spacing w:after="0"/>
              <w:rPr>
                <w:sz w:val="20"/>
                <w:szCs w:val="20"/>
                <w:color w:val="auto"/>
              </w:rPr>
            </w:pPr>
            <w:r>
              <w:rPr>
                <w:rFonts w:ascii="Arial" w:cs="Arial" w:eastAsia="Arial" w:hAnsi="Arial"/>
                <w:sz w:val="16"/>
                <w:szCs w:val="16"/>
                <w:b w:val="1"/>
                <w:bCs w:val="1"/>
                <w:color w:val="auto"/>
              </w:rPr>
              <w:t>(817) 963-1234</w:t>
            </w:r>
          </w:p>
        </w:tc>
      </w:tr>
      <w:tr>
        <w:trPr>
          <w:trHeight w:val="243"/>
        </w:trPr>
        <w:tc>
          <w:tcPr>
            <w:tcW w:w="4900" w:type="dxa"/>
            <w:vAlign w:val="bottom"/>
          </w:tcPr>
          <w:p>
            <w:pPr>
              <w:jc w:val="center"/>
              <w:ind w:right="659"/>
              <w:spacing w:after="0"/>
              <w:rPr>
                <w:sz w:val="20"/>
                <w:szCs w:val="20"/>
                <w:color w:val="auto"/>
              </w:rPr>
            </w:pPr>
            <w:r>
              <w:rPr>
                <w:rFonts w:ascii="Arial" w:cs="Arial" w:eastAsia="Arial" w:hAnsi="Arial"/>
                <w:sz w:val="16"/>
                <w:szCs w:val="16"/>
                <w:i w:val="1"/>
                <w:iCs w:val="1"/>
                <w:color w:val="auto"/>
              </w:rPr>
              <w:t>(Address of principal executive offices, including zip code)</w:t>
            </w:r>
          </w:p>
        </w:tc>
        <w:tc>
          <w:tcPr>
            <w:tcW w:w="4440" w:type="dxa"/>
            <w:vAlign w:val="bottom"/>
          </w:tcPr>
          <w:p>
            <w:pPr>
              <w:jc w:val="center"/>
              <w:ind w:left="659"/>
              <w:spacing w:after="0"/>
              <w:rPr>
                <w:sz w:val="20"/>
                <w:szCs w:val="20"/>
                <w:color w:val="auto"/>
              </w:rPr>
            </w:pPr>
            <w:r>
              <w:rPr>
                <w:rFonts w:ascii="Arial" w:cs="Arial" w:eastAsia="Arial" w:hAnsi="Arial"/>
                <w:sz w:val="16"/>
                <w:szCs w:val="16"/>
                <w:i w:val="1"/>
                <w:iCs w:val="1"/>
                <w:color w:val="auto"/>
              </w:rPr>
              <w:t>Registrant’s telephone number, including area code</w:t>
            </w:r>
          </w:p>
        </w:tc>
      </w:tr>
    </w:tbl>
    <w:p>
      <w:pPr>
        <w:spacing w:after="0" w:line="222" w:lineRule="exact"/>
        <w:rPr>
          <w:sz w:val="24"/>
          <w:szCs w:val="24"/>
          <w:color w:val="auto"/>
        </w:rPr>
      </w:pPr>
    </w:p>
    <w:p>
      <w:pPr>
        <w:jc w:val="center"/>
        <w:ind w:right="-4"/>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217"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71" w:lineRule="exact"/>
        <w:rPr>
          <w:sz w:val="24"/>
          <w:szCs w:val="24"/>
          <w:color w:val="auto"/>
        </w:rPr>
      </w:pPr>
    </w:p>
    <w:tbl>
      <w:tblPr>
        <w:tblLayout w:type="fixed"/>
        <w:tblInd w:w="1165"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Exchange on Which Registered</w:t>
            </w:r>
          </w:p>
        </w:tc>
      </w:tr>
      <w:tr>
        <w:trPr>
          <w:trHeight w:val="258"/>
        </w:trPr>
        <w:tc>
          <w:tcPr>
            <w:tcW w:w="5380" w:type="dxa"/>
            <w:vAlign w:val="bottom"/>
          </w:tcPr>
          <w:p>
            <w:pPr>
              <w:spacing w:after="0"/>
              <w:rPr>
                <w:sz w:val="20"/>
                <w:szCs w:val="20"/>
                <w:color w:val="auto"/>
              </w:rPr>
            </w:pPr>
            <w:r>
              <w:rPr>
                <w:rFonts w:ascii="Arial" w:cs="Arial" w:eastAsia="Arial" w:hAnsi="Arial"/>
                <w:sz w:val="16"/>
                <w:szCs w:val="16"/>
                <w:color w:val="auto"/>
              </w:rPr>
              <w:t>Common Stock, $0.01 par value per share</w:t>
            </w:r>
          </w:p>
        </w:tc>
        <w:tc>
          <w:tcPr>
            <w:tcW w:w="3100" w:type="dxa"/>
            <w:vAlign w:val="bottom"/>
          </w:tcPr>
          <w:p>
            <w:pPr>
              <w:jc w:val="center"/>
              <w:spacing w:after="0"/>
              <w:rPr>
                <w:sz w:val="20"/>
                <w:szCs w:val="20"/>
                <w:color w:val="auto"/>
              </w:rPr>
            </w:pPr>
            <w:r>
              <w:rPr>
                <w:rFonts w:ascii="Arial" w:cs="Arial" w:eastAsia="Arial" w:hAnsi="Arial"/>
                <w:sz w:val="16"/>
                <w:szCs w:val="16"/>
                <w:color w:val="auto"/>
              </w:rPr>
              <w:t>NASDAQ</w:t>
            </w:r>
          </w:p>
        </w:tc>
      </w:tr>
    </w:tbl>
    <w:p>
      <w:pPr>
        <w:spacing w:after="0" w:line="109"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41"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156210</wp:posOffset>
            </wp:positionV>
            <wp:extent cx="3422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65" w:lineRule="exact"/>
        <w:rPr>
          <w:sz w:val="24"/>
          <w:szCs w:val="24"/>
          <w:color w:val="auto"/>
        </w:rPr>
      </w:pPr>
    </w:p>
    <w:p>
      <w:pPr>
        <w:jc w:val="center"/>
        <w:ind w:right="-4"/>
        <w:spacing w:after="0"/>
        <w:rPr>
          <w:sz w:val="20"/>
          <w:szCs w:val="20"/>
          <w:color w:val="auto"/>
        </w:rPr>
      </w:pPr>
      <w:r>
        <w:rPr>
          <w:rFonts w:ascii="Arial" w:cs="Arial" w:eastAsia="Arial" w:hAnsi="Arial"/>
          <w:sz w:val="23"/>
          <w:szCs w:val="23"/>
          <w:b w:val="1"/>
          <w:bCs w:val="1"/>
          <w:color w:val="auto"/>
        </w:rPr>
        <w:t>American Airlines, Inc.</w:t>
      </w:r>
    </w:p>
    <w:p>
      <w:pPr>
        <w:spacing w:after="0" w:line="45"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96520</wp:posOffset>
            </wp:positionV>
            <wp:extent cx="3422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ectPr>
          <w:pgSz w:w="11900" w:h="16838" w:orient="portrait"/>
          <w:cols w:equalWidth="0" w:num="1">
            <w:col w:w="11345"/>
          </w:cols>
          <w:pgMar w:left="275" w:top="998" w:right="279" w:bottom="1440" w:gutter="0" w:footer="0" w:header="0"/>
          <w:type w:val="continuous"/>
        </w:sectPr>
      </w:pPr>
    </w:p>
    <w:p>
      <w:pPr>
        <w:spacing w:after="0" w:line="200" w:lineRule="exact"/>
        <w:rPr>
          <w:sz w:val="24"/>
          <w:szCs w:val="24"/>
          <w:color w:val="auto"/>
        </w:rPr>
      </w:pPr>
    </w:p>
    <w:p>
      <w:pPr>
        <w:spacing w:after="0" w:line="217" w:lineRule="exact"/>
        <w:rPr>
          <w:sz w:val="24"/>
          <w:szCs w:val="24"/>
          <w:color w:val="auto"/>
        </w:rPr>
      </w:pPr>
    </w:p>
    <w:p>
      <w:pPr>
        <w:ind w:left="2325"/>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13-1502798</w:t>
      </w:r>
    </w:p>
    <w:p>
      <w:pPr>
        <w:spacing w:after="0" w:line="63" w:lineRule="exact"/>
        <w:rPr>
          <w:sz w:val="24"/>
          <w:szCs w:val="24"/>
          <w:color w:val="auto"/>
        </w:rPr>
      </w:pPr>
    </w:p>
    <w:p>
      <w:pPr>
        <w:sectPr>
          <w:pgSz w:w="11900" w:h="16838" w:orient="portrait"/>
          <w:cols w:equalWidth="0" w:num="2">
            <w:col w:w="6945" w:space="720"/>
            <w:col w:w="3680"/>
          </w:cols>
          <w:pgMar w:left="275" w:top="998" w:right="279" w:bottom="1440" w:gutter="0" w:footer="0" w:header="0"/>
          <w:type w:val="continuous"/>
        </w:sectPr>
      </w:pPr>
    </w:p>
    <w:p>
      <w:pPr>
        <w:ind w:left="1665"/>
        <w:spacing w:after="0"/>
        <w:rPr>
          <w:sz w:val="20"/>
          <w:szCs w:val="20"/>
          <w:color w:val="auto"/>
        </w:rPr>
      </w:pPr>
      <w:r>
        <w:rPr>
          <w:rFonts w:ascii="Arial" w:cs="Arial" w:eastAsia="Arial" w:hAnsi="Arial"/>
          <w:sz w:val="16"/>
          <w:szCs w:val="16"/>
          <w:i w:val="1"/>
          <w:iCs w:val="1"/>
          <w:color w:val="auto"/>
        </w:rPr>
        <w:t>(State or other jurisdiction of</w:t>
      </w:r>
    </w:p>
    <w:p>
      <w:pPr>
        <w:spacing w:after="0" w:line="21" w:lineRule="exact"/>
        <w:rPr>
          <w:sz w:val="24"/>
          <w:szCs w:val="24"/>
          <w:color w:val="auto"/>
        </w:rPr>
      </w:pPr>
    </w:p>
    <w:p>
      <w:pPr>
        <w:ind w:left="1625"/>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6"/>
          <w:szCs w:val="16"/>
          <w:i w:val="1"/>
          <w:i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Identification No.)</w:t>
      </w:r>
    </w:p>
    <w:p>
      <w:pPr>
        <w:spacing w:after="0" w:line="39" w:lineRule="exact"/>
        <w:rPr>
          <w:sz w:val="24"/>
          <w:szCs w:val="24"/>
          <w:color w:val="auto"/>
        </w:rPr>
      </w:pPr>
    </w:p>
    <w:p>
      <w:pPr>
        <w:sectPr>
          <w:pgSz w:w="11900" w:h="16838" w:orient="portrait"/>
          <w:cols w:equalWidth="0" w:num="2">
            <w:col w:w="6745" w:space="720"/>
            <w:col w:w="3880"/>
          </w:cols>
          <w:pgMar w:left="275" w:top="998" w:right="279" w:bottom="1440" w:gutter="0" w:footer="0" w:header="0"/>
          <w:type w:val="continuous"/>
        </w:sectPr>
      </w:pPr>
    </w:p>
    <w:p>
      <w:pPr>
        <w:ind w:left="785"/>
        <w:spacing w:after="0"/>
        <w:rPr>
          <w:sz w:val="20"/>
          <w:szCs w:val="20"/>
          <w:color w:val="auto"/>
        </w:rPr>
      </w:pPr>
      <w:r>
        <w:rPr>
          <w:rFonts w:ascii="Arial" w:cs="Arial" w:eastAsia="Arial" w:hAnsi="Arial"/>
          <w:sz w:val="16"/>
          <w:szCs w:val="16"/>
          <w:b w:val="1"/>
          <w:bCs w:val="1"/>
          <w:color w:val="auto"/>
        </w:rPr>
        <w:t>4333 Amon Carter Blvd., Fort Worth, Texas 76155</w:t>
      </w:r>
    </w:p>
    <w:p>
      <w:pPr>
        <w:spacing w:after="0" w:line="20" w:lineRule="exact"/>
        <w:rPr>
          <w:sz w:val="24"/>
          <w:szCs w:val="24"/>
          <w:color w:val="auto"/>
        </w:rPr>
      </w:pPr>
      <w:r>
        <w:rPr>
          <w:sz w:val="24"/>
          <w:szCs w:val="24"/>
          <w:color w:val="auto"/>
        </w:rPr>
        <w:br w:type="column"/>
      </w:r>
    </w:p>
    <w:p>
      <w:pPr>
        <w:jc w:val="center"/>
        <w:ind w:right="2700"/>
        <w:spacing w:after="0"/>
        <w:rPr>
          <w:sz w:val="20"/>
          <w:szCs w:val="20"/>
          <w:color w:val="auto"/>
        </w:rPr>
      </w:pPr>
      <w:r>
        <w:rPr>
          <w:rFonts w:ascii="Arial" w:cs="Arial" w:eastAsia="Arial" w:hAnsi="Arial"/>
          <w:sz w:val="16"/>
          <w:szCs w:val="16"/>
          <w:b w:val="1"/>
          <w:bCs w:val="1"/>
          <w:color w:val="auto"/>
        </w:rPr>
        <w:t>(817) 963-1234</w:t>
      </w:r>
    </w:p>
    <w:p>
      <w:pPr>
        <w:spacing w:after="0" w:line="63" w:lineRule="exact"/>
        <w:rPr>
          <w:sz w:val="24"/>
          <w:szCs w:val="24"/>
          <w:color w:val="auto"/>
        </w:rPr>
      </w:pPr>
    </w:p>
    <w:p>
      <w:pPr>
        <w:sectPr>
          <w:pgSz w:w="11900" w:h="16838" w:orient="portrait"/>
          <w:cols w:equalWidth="0" w:num="2">
            <w:col w:w="6825" w:space="720"/>
            <w:col w:w="3800"/>
          </w:cols>
          <w:pgMar w:left="275" w:top="998" w:right="279" w:bottom="1440" w:gutter="0" w:footer="0" w:header="0"/>
          <w:type w:val="continuous"/>
        </w:sectPr>
      </w:pPr>
    </w:p>
    <w:p>
      <w:pPr>
        <w:ind w:left="605"/>
        <w:spacing w:after="0"/>
        <w:rPr>
          <w:sz w:val="20"/>
          <w:szCs w:val="20"/>
          <w:color w:val="auto"/>
        </w:rPr>
      </w:pPr>
      <w:r>
        <w:rPr>
          <w:rFonts w:ascii="Arial" w:cs="Arial" w:eastAsia="Arial" w:hAnsi="Arial"/>
          <w:sz w:val="16"/>
          <w:szCs w:val="16"/>
          <w:i w:val="1"/>
          <w:i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5525" w:space="720"/>
            <w:col w:w="5100"/>
          </w:cols>
          <w:pgMar w:left="275" w:top="998" w:right="279" w:bottom="1440" w:gutter="0" w:footer="0" w:header="0"/>
          <w:type w:val="continuous"/>
        </w:sectPr>
      </w:pPr>
    </w:p>
    <w:p>
      <w:pPr>
        <w:spacing w:after="0" w:line="44" w:lineRule="exact"/>
        <w:rPr>
          <w:sz w:val="24"/>
          <w:szCs w:val="24"/>
          <w:color w:val="auto"/>
        </w:rPr>
      </w:pPr>
    </w:p>
    <w:p>
      <w:pPr>
        <w:ind w:left="3225"/>
        <w:spacing w:after="0"/>
        <w:rPr>
          <w:sz w:val="20"/>
          <w:szCs w:val="20"/>
          <w:color w:val="auto"/>
        </w:rPr>
      </w:pPr>
      <w:r>
        <w:rPr>
          <w:rFonts w:ascii="Arial" w:cs="Arial" w:eastAsia="Arial" w:hAnsi="Arial"/>
          <w:sz w:val="16"/>
          <w:szCs w:val="16"/>
          <w:b w:val="1"/>
          <w:bCs w:val="1"/>
          <w:color w:val="auto"/>
        </w:rPr>
        <w:t>Securities registered pursuant to Section 12(b) of the Act: None</w:t>
      </w:r>
    </w:p>
    <w:p>
      <w:pPr>
        <w:spacing w:after="0" w:line="59" w:lineRule="exact"/>
        <w:rPr>
          <w:sz w:val="24"/>
          <w:szCs w:val="24"/>
          <w:color w:val="auto"/>
        </w:rPr>
      </w:pPr>
    </w:p>
    <w:p>
      <w:pPr>
        <w:ind w:left="3225"/>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5" w:lineRule="exact"/>
        <w:rPr>
          <w:sz w:val="24"/>
          <w:szCs w:val="24"/>
          <w:color w:val="auto"/>
        </w:rPr>
      </w:pPr>
    </w:p>
    <w:p>
      <w:pPr>
        <w:ind w:left="3345"/>
        <w:spacing w:after="0"/>
        <w:rPr>
          <w:sz w:val="20"/>
          <w:szCs w:val="20"/>
          <w:color w:val="auto"/>
        </w:rPr>
      </w:pPr>
      <w:r>
        <w:rPr>
          <w:rFonts w:ascii="Arial" w:cs="Arial" w:eastAsia="Arial" w:hAnsi="Arial"/>
          <w:sz w:val="17"/>
          <w:szCs w:val="17"/>
          <w:b w:val="1"/>
          <w:bCs w:val="1"/>
          <w:color w:val="auto"/>
        </w:rPr>
        <w:t>____________________________________________________</w:t>
      </w:r>
    </w:p>
    <w:p>
      <w:pPr>
        <w:spacing w:after="0" w:line="345" w:lineRule="exact"/>
        <w:rPr>
          <w:sz w:val="24"/>
          <w:szCs w:val="24"/>
          <w:color w:val="auto"/>
        </w:rPr>
      </w:pPr>
    </w:p>
    <w:p>
      <w:pPr>
        <w:ind w:left="85"/>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ectPr>
          <w:pgSz w:w="11900" w:h="16838" w:orient="portrait"/>
          <w:cols w:equalWidth="0" w:num="1">
            <w:col w:w="11345"/>
          </w:cols>
          <w:pgMar w:left="275" w:top="998" w:right="279" w:bottom="1440" w:gutter="0" w:footer="0" w:header="0"/>
          <w:type w:val="continuous"/>
        </w:sectPr>
      </w:pPr>
    </w:p>
    <w:p>
      <w:pPr>
        <w:spacing w:after="0" w:line="167" w:lineRule="exact"/>
        <w:rPr>
          <w:sz w:val="24"/>
          <w:szCs w:val="24"/>
          <w:color w:val="auto"/>
        </w:rPr>
      </w:pPr>
    </w:p>
    <w:p>
      <w:pPr>
        <w:ind w:left="5"/>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5">
            <w:col w:w="8865" w:space="720"/>
            <w:col w:w="260" w:space="200"/>
            <w:col w:w="140" w:space="620"/>
            <w:col w:w="220" w:space="180"/>
            <w:col w:w="140"/>
          </w:cols>
          <w:pgMar w:left="275" w:top="998" w:right="279" w:bottom="1440" w:gutter="0" w:footer="0" w:header="0"/>
          <w:type w:val="continuous"/>
        </w:sectPr>
      </w:pPr>
    </w:p>
    <w:p>
      <w:pPr>
        <w:spacing w:after="0" w:line="30" w:lineRule="exact"/>
        <w:rPr>
          <w:sz w:val="24"/>
          <w:szCs w:val="24"/>
          <w:color w:val="auto"/>
        </w:rPr>
      </w:pPr>
    </w:p>
    <w:p>
      <w:pPr>
        <w:ind w:left="5"/>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5">
            <w:col w:w="8865" w:space="720"/>
            <w:col w:w="260" w:space="200"/>
            <w:col w:w="140" w:space="620"/>
            <w:col w:w="220" w:space="180"/>
            <w:col w:w="140"/>
          </w:cols>
          <w:pgMar w:left="275" w:top="998" w:right="279" w:bottom="144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ectPr>
          <w:pgSz w:w="11900" w:h="16838" w:orient="portrait"/>
          <w:cols w:equalWidth="0" w:num="1">
            <w:col w:w="11420"/>
          </w:cols>
          <w:pgMar w:left="240" w:top="709" w:right="239" w:bottom="1440" w:gutter="0" w:footer="0" w:header="0"/>
        </w:sectPr>
      </w:pP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jc w:val="both"/>
        <w:ind w:firstLine="108"/>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709" w:right="239" w:bottom="1440" w:gutter="0" w:footer="0" w:header="0"/>
          <w:type w:val="continuous"/>
        </w:sectPr>
      </w:pP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ind w:firstLine="108"/>
        <w:spacing w:after="0" w:line="26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ectPr>
          <w:pgSz w:w="11900" w:h="16838" w:orient="portrait"/>
          <w:cols w:equalWidth="0" w:num="1">
            <w:col w:w="11420"/>
          </w:cols>
          <w:pgMar w:left="240" w:top="709" w:right="239" w:bottom="1440" w:gutter="0" w:footer="0" w:header="0"/>
          <w:type w:val="continuous"/>
        </w:sectPr>
      </w:pPr>
    </w:p>
    <w:p>
      <w:pPr>
        <w:spacing w:after="0" w:line="1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jc w:val="both"/>
        <w:ind w:firstLine="108"/>
        <w:spacing w:after="0" w:line="253" w:lineRule="auto"/>
        <w:rPr>
          <w:sz w:val="20"/>
          <w:szCs w:val="20"/>
          <w:color w:val="auto"/>
        </w:rPr>
      </w:pPr>
      <w:r>
        <w:rPr>
          <w:rFonts w:ascii="Arial" w:cs="Arial" w:eastAsia="Arial" w:hAnsi="Arial"/>
          <w:sz w:val="16"/>
          <w:szCs w:val="16"/>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w:t>
      </w:r>
    </w:p>
    <w:p>
      <w:pPr>
        <w:sectPr>
          <w:pgSz w:w="11900" w:h="16838" w:orient="portrait"/>
          <w:cols w:equalWidth="0" w:num="1">
            <w:col w:w="11420"/>
          </w:cols>
          <w:pgMar w:left="240" w:top="709" w:right="239" w:bottom="1440" w:gutter="0" w:footer="0" w:header="0"/>
          <w:type w:val="continuous"/>
        </w:sectPr>
      </w:pP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0"/>
          <w:szCs w:val="20"/>
          <w:color w:val="auto"/>
        </w:rPr>
      </w:pPr>
    </w:p>
    <w:p>
      <w:pPr>
        <w:sectPr>
          <w:pgSz w:w="11900" w:h="16838" w:orient="portrait"/>
          <w:cols w:equalWidth="0" w:num="2">
            <w:col w:w="10380" w:space="720"/>
            <w:col w:w="320"/>
          </w:cols>
          <w:pgMar w:left="240" w:top="709" w:right="239" w:bottom="144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4" w:lineRule="exact"/>
        <w:rPr>
          <w:sz w:val="20"/>
          <w:szCs w:val="20"/>
          <w:color w:val="auto"/>
        </w:rPr>
      </w:pPr>
    </w:p>
    <w:p>
      <w:pPr>
        <w:sectPr>
          <w:pgSz w:w="11900" w:h="16838" w:orient="portrait"/>
          <w:cols w:equalWidth="0" w:num="2">
            <w:col w:w="10380" w:space="720"/>
            <w:col w:w="320"/>
          </w:cols>
          <w:pgMar w:left="240" w:top="709" w:right="239" w:bottom="1440" w:gutter="0" w:footer="0" w:header="0"/>
          <w:type w:val="continuous"/>
        </w:sectPr>
      </w:pPr>
    </w:p>
    <w:p>
      <w:pPr>
        <w:jc w:val="both"/>
        <w:ind w:firstLine="108"/>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24"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820" w:type="dxa"/>
            <w:vAlign w:val="bottom"/>
          </w:tcPr>
          <w:p>
            <w:pPr>
              <w:spacing w:after="0"/>
              <w:rPr>
                <w:sz w:val="20"/>
                <w:szCs w:val="20"/>
                <w:color w:val="auto"/>
              </w:rPr>
            </w:pPr>
            <w:r>
              <w:rPr>
                <w:rFonts w:ascii="Arial" w:cs="Arial" w:eastAsia="Arial" w:hAnsi="Arial"/>
                <w:sz w:val="12"/>
                <w:szCs w:val="12"/>
                <w:color w:val="auto"/>
              </w:rPr>
              <w:t>American Airlines Group Inc.</w:t>
            </w:r>
          </w:p>
        </w:tc>
        <w:tc>
          <w:tcPr>
            <w:tcW w:w="1840" w:type="dxa"/>
            <w:vAlign w:val="bottom"/>
          </w:tcPr>
          <w:p>
            <w:pPr>
              <w:ind w:left="22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Large Accelerated Filer</w:t>
            </w:r>
          </w:p>
        </w:tc>
        <w:tc>
          <w:tcPr>
            <w:tcW w:w="146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Accelerated Filer</w:t>
            </w:r>
          </w:p>
        </w:tc>
        <w:tc>
          <w:tcPr>
            <w:tcW w:w="172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w:t>
            </w:r>
          </w:p>
        </w:tc>
        <w:tc>
          <w:tcPr>
            <w:tcW w:w="2080" w:type="dxa"/>
            <w:vAlign w:val="bottom"/>
          </w:tcPr>
          <w:p>
            <w:pPr>
              <w:ind w:left="18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w:t>
            </w:r>
          </w:p>
        </w:tc>
        <w:tc>
          <w:tcPr>
            <w:tcW w:w="1900" w:type="dxa"/>
            <w:vAlign w:val="bottom"/>
          </w:tcPr>
          <w:p>
            <w:pPr>
              <w:ind w:left="22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w:t>
            </w:r>
          </w:p>
        </w:tc>
      </w:tr>
      <w:tr>
        <w:trPr>
          <w:trHeight w:val="203"/>
        </w:trPr>
        <w:tc>
          <w:tcPr>
            <w:tcW w:w="1820" w:type="dxa"/>
            <w:vAlign w:val="bottom"/>
          </w:tcPr>
          <w:p>
            <w:pPr>
              <w:spacing w:after="0"/>
              <w:rPr>
                <w:sz w:val="20"/>
                <w:szCs w:val="20"/>
                <w:color w:val="auto"/>
              </w:rPr>
            </w:pPr>
            <w:r>
              <w:rPr>
                <w:rFonts w:ascii="Arial" w:cs="Arial" w:eastAsia="Arial" w:hAnsi="Arial"/>
                <w:sz w:val="12"/>
                <w:szCs w:val="12"/>
                <w:color w:val="auto"/>
              </w:rPr>
              <w:t>American Airlines, Inc.</w:t>
            </w:r>
          </w:p>
        </w:tc>
        <w:tc>
          <w:tcPr>
            <w:tcW w:w="1840" w:type="dxa"/>
            <w:vAlign w:val="bottom"/>
          </w:tcPr>
          <w:p>
            <w:pPr>
              <w:ind w:left="22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Large Accelerated Filer</w:t>
            </w:r>
          </w:p>
        </w:tc>
        <w:tc>
          <w:tcPr>
            <w:tcW w:w="146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Accelerated Filer</w:t>
            </w:r>
          </w:p>
        </w:tc>
        <w:tc>
          <w:tcPr>
            <w:tcW w:w="172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w:t>
            </w:r>
          </w:p>
        </w:tc>
        <w:tc>
          <w:tcPr>
            <w:tcW w:w="2080" w:type="dxa"/>
            <w:vAlign w:val="bottom"/>
          </w:tcPr>
          <w:p>
            <w:pPr>
              <w:ind w:left="18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w:t>
            </w:r>
          </w:p>
        </w:tc>
        <w:tc>
          <w:tcPr>
            <w:tcW w:w="1900" w:type="dxa"/>
            <w:vAlign w:val="bottom"/>
          </w:tcPr>
          <w:p>
            <w:pPr>
              <w:ind w:left="22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w:t>
            </w:r>
          </w:p>
        </w:tc>
      </w:tr>
    </w:tbl>
    <w:p>
      <w:pPr>
        <w:spacing w:after="0" w:line="114" w:lineRule="exact"/>
        <w:rPr>
          <w:sz w:val="20"/>
          <w:szCs w:val="20"/>
          <w:color w:val="auto"/>
        </w:rPr>
      </w:pPr>
    </w:p>
    <w:p>
      <w:pPr>
        <w:ind w:right="20" w:firstLine="108"/>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420"/>
          </w:cols>
          <w:pgMar w:left="240" w:top="709" w:right="239" w:bottom="1440" w:gutter="0" w:footer="0" w:header="0"/>
          <w:type w:val="continuous"/>
        </w:sectPr>
      </w:pPr>
    </w:p>
    <w:p>
      <w:pPr>
        <w:spacing w:after="0" w:line="1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9" w:lineRule="exact"/>
        <w:rPr>
          <w:sz w:val="20"/>
          <w:szCs w:val="20"/>
          <w:color w:val="auto"/>
        </w:rPr>
      </w:pPr>
    </w:p>
    <w:p>
      <w:pPr>
        <w:sectPr>
          <w:pgSz w:w="11900" w:h="16838" w:orient="portrait"/>
          <w:cols w:equalWidth="0" w:num="2">
            <w:col w:w="9260" w:space="720"/>
            <w:col w:w="1440"/>
          </w:cols>
          <w:pgMar w:left="240" w:top="709" w:right="2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ectPr>
          <w:pgSz w:w="11900" w:h="16838" w:orient="portrait"/>
          <w:cols w:equalWidth="0" w:num="1">
            <w:col w:w="11420"/>
          </w:cols>
          <w:pgMar w:left="240" w:top="709" w:right="239" w:bottom="1440" w:gutter="0" w:footer="0" w:header="0"/>
          <w:type w:val="continuous"/>
        </w:sectPr>
      </w:pP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ind w:right="20" w:firstLine="108"/>
        <w:spacing w:after="0" w:line="260" w:lineRule="auto"/>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ectPr>
          <w:pgSz w:w="11900" w:h="16838" w:orient="portrait"/>
          <w:cols w:equalWidth="0" w:num="1">
            <w:col w:w="11420"/>
          </w:cols>
          <w:pgMar w:left="240" w:top="709" w:right="239" w:bottom="1440" w:gutter="0" w:footer="0" w:header="0"/>
          <w:type w:val="continuous"/>
        </w:sectPr>
      </w:pPr>
    </w:p>
    <w:p>
      <w:pPr>
        <w:spacing w:after="0" w:line="1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jc w:val="both"/>
        <w:ind w:right="20" w:firstLine="108"/>
        <w:spacing w:after="0" w:line="260" w:lineRule="auto"/>
        <w:rPr>
          <w:sz w:val="20"/>
          <w:szCs w:val="20"/>
          <w:color w:val="auto"/>
        </w:rPr>
      </w:pPr>
      <w:r>
        <w:rPr>
          <w:rFonts w:ascii="Arial" w:cs="Arial" w:eastAsia="Arial" w:hAnsi="Arial"/>
          <w:sz w:val="16"/>
          <w:szCs w:val="16"/>
          <w:color w:val="auto"/>
        </w:rPr>
        <w:t>As of February 20, 2019, there were 449,055,548 shares of American Airlines Group Inc. common stock outstanding. The aggregate market value of the voting stock held by non-affiliates of the registrant as of June 30, 2018, was approximately $17 billion.</w:t>
      </w:r>
    </w:p>
    <w:p>
      <w:pPr>
        <w:spacing w:after="0" w:line="88" w:lineRule="exact"/>
        <w:rPr>
          <w:sz w:val="20"/>
          <w:szCs w:val="20"/>
          <w:color w:val="auto"/>
        </w:rPr>
      </w:pPr>
    </w:p>
    <w:p>
      <w:pPr>
        <w:jc w:val="both"/>
        <w:ind w:firstLine="108"/>
        <w:spacing w:after="0" w:line="250" w:lineRule="auto"/>
        <w:rPr>
          <w:sz w:val="20"/>
          <w:szCs w:val="20"/>
          <w:color w:val="auto"/>
        </w:rPr>
      </w:pPr>
      <w:r>
        <w:rPr>
          <w:rFonts w:ascii="Arial" w:cs="Arial" w:eastAsia="Arial" w:hAnsi="Arial"/>
          <w:sz w:val="16"/>
          <w:szCs w:val="16"/>
          <w:color w:val="auto"/>
        </w:rPr>
        <w:t>As of February 20, 2019, there were 1,000 shares of American Airlines, Inc. common stock outstanding, all of which were held by American Airlines Group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OMISSION OF CERTAIN INFORMATION</w:t>
      </w:r>
    </w:p>
    <w:p>
      <w:pPr>
        <w:spacing w:after="0" w:line="39" w:lineRule="exact"/>
        <w:rPr>
          <w:sz w:val="20"/>
          <w:szCs w:val="20"/>
          <w:color w:val="auto"/>
        </w:rPr>
      </w:pPr>
    </w:p>
    <w:p>
      <w:pPr>
        <w:jc w:val="both"/>
        <w:ind w:right="20" w:firstLine="108"/>
        <w:spacing w:after="0" w:line="260" w:lineRule="auto"/>
        <w:rPr>
          <w:sz w:val="20"/>
          <w:szCs w:val="20"/>
          <w:color w:val="auto"/>
        </w:rPr>
      </w:pPr>
      <w:r>
        <w:rPr>
          <w:rFonts w:ascii="Arial" w:cs="Arial" w:eastAsia="Arial" w:hAnsi="Arial"/>
          <w:sz w:val="16"/>
          <w:szCs w:val="16"/>
          <w:color w:val="auto"/>
        </w:rPr>
        <w:t>American Airlines Group Inc. and American Airlines, Inc. meet the conditions set forth in General Instruction I(1)(a) and (b) of Form 10-K and have therefore omitted the information otherwise called for by Items 10-13 of Form 10-K as allowed under General Instruction I(2)(c).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39" w:lineRule="exact"/>
        <w:rPr>
          <w:sz w:val="20"/>
          <w:szCs w:val="20"/>
          <w:color w:val="auto"/>
        </w:rPr>
      </w:pPr>
    </w:p>
    <w:p>
      <w:pPr>
        <w:jc w:val="both"/>
        <w:ind w:firstLine="108"/>
        <w:spacing w:after="0" w:line="253" w:lineRule="auto"/>
        <w:rPr>
          <w:sz w:val="20"/>
          <w:szCs w:val="20"/>
          <w:color w:val="auto"/>
        </w:rPr>
      </w:pPr>
      <w:r>
        <w:rPr>
          <w:rFonts w:ascii="Arial" w:cs="Arial" w:eastAsia="Arial" w:hAnsi="Arial"/>
          <w:sz w:val="16"/>
          <w:szCs w:val="16"/>
          <w:color w:val="auto"/>
        </w:rPr>
        <w:t>Portions of the proxy statement related to American Airlines Group Inc.’s 2019 Annual Meeting of Stockholders, which proxy statement will be filed under the Securities Exchange Act of 1934 within 120 days of the end of American Airlines Group Inc.’s fiscal year ended December 31, 2018,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161290</wp:posOffset>
            </wp:positionV>
            <wp:extent cx="68776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75565</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20"/>
          </w:cols>
          <w:pgMar w:left="240" w:top="709"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60" w:type="dxa"/>
            <w:vAlign w:val="bottom"/>
            <w:gridSpan w:val="18"/>
          </w:tcPr>
          <w:p>
            <w:pPr>
              <w:jc w:val="center"/>
              <w:ind w:right="3340"/>
              <w:spacing w:after="0"/>
              <w:rPr>
                <w:sz w:val="20"/>
                <w:szCs w:val="20"/>
                <w:color w:val="auto"/>
              </w:rPr>
            </w:pPr>
            <w:r>
              <w:rPr>
                <w:rFonts w:ascii="Arial" w:cs="Arial" w:eastAsia="Arial" w:hAnsi="Arial"/>
                <w:sz w:val="18"/>
                <w:szCs w:val="18"/>
                <w:b w:val="1"/>
                <w:bCs w:val="1"/>
                <w:color w:val="auto"/>
                <w:w w:val="99"/>
              </w:rPr>
              <w:t>American Airlines Group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17"/>
          </w:tcPr>
          <w:p>
            <w:pPr>
              <w:jc w:val="center"/>
              <w:ind w:right="3680"/>
              <w:spacing w:after="0"/>
              <w:rPr>
                <w:sz w:val="20"/>
                <w:szCs w:val="20"/>
                <w:color w:val="auto"/>
              </w:rPr>
            </w:pPr>
            <w:r>
              <w:rPr>
                <w:rFonts w:ascii="Arial" w:cs="Arial" w:eastAsia="Arial" w:hAnsi="Arial"/>
                <w:sz w:val="18"/>
                <w:szCs w:val="18"/>
                <w:b w:val="1"/>
                <w:bCs w:val="1"/>
                <w:color w:val="auto"/>
                <w:w w:val="99"/>
              </w:rPr>
              <w:t>American Airlines,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17"/>
          </w:tcPr>
          <w:p>
            <w:pPr>
              <w:jc w:val="center"/>
              <w:ind w:right="3680"/>
              <w:spacing w:after="0"/>
              <w:rPr>
                <w:sz w:val="20"/>
                <w:szCs w:val="20"/>
                <w:color w:val="auto"/>
              </w:rPr>
            </w:pPr>
            <w:r>
              <w:rPr>
                <w:rFonts w:ascii="Arial" w:cs="Arial" w:eastAsia="Arial" w:hAnsi="Arial"/>
                <w:sz w:val="18"/>
                <w:szCs w:val="18"/>
                <w:b w:val="1"/>
                <w:bCs w:val="1"/>
                <w:color w:val="auto"/>
              </w:rPr>
              <w:t>Form 10-K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60" w:type="dxa"/>
            <w:vAlign w:val="bottom"/>
            <w:gridSpan w:val="18"/>
          </w:tcPr>
          <w:p>
            <w:pPr>
              <w:jc w:val="center"/>
              <w:ind w:right="3360"/>
              <w:spacing w:after="0"/>
              <w:rPr>
                <w:sz w:val="20"/>
                <w:szCs w:val="20"/>
                <w:color w:val="auto"/>
              </w:rPr>
            </w:pPr>
            <w:r>
              <w:rPr>
                <w:rFonts w:ascii="Arial" w:cs="Arial" w:eastAsia="Arial" w:hAnsi="Arial"/>
                <w:sz w:val="18"/>
                <w:szCs w:val="18"/>
                <w:b w:val="1"/>
                <w:bCs w:val="1"/>
                <w:color w:val="auto"/>
                <w:w w:val="99"/>
              </w:rPr>
              <w:t>Year Ended December 31, 2018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40" w:type="dxa"/>
            <w:vAlign w:val="bottom"/>
            <w:gridSpan w:val="17"/>
          </w:tcPr>
          <w:p>
            <w:pPr>
              <w:jc w:val="center"/>
              <w:ind w:right="372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Borders>
              <w:bottom w:val="single" w:sz="8" w:color="435363"/>
            </w:tcBorders>
            <w:gridSpan w:val="5"/>
          </w:tcPr>
          <w:p>
            <w:pPr>
              <w:ind w:left="28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00" w:type="dxa"/>
            <w:vAlign w:val="bottom"/>
            <w:gridSpan w:val="13"/>
          </w:tcPr>
          <w:p>
            <w:pPr>
              <w:jc w:val="center"/>
              <w:ind w:right="4520"/>
              <w:spacing w:after="0" w:line="189"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43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20"/>
                <w:szCs w:val="20"/>
                <w:color w:val="auto"/>
              </w:rPr>
            </w:pPr>
          </w:p>
        </w:tc>
        <w:tc>
          <w:tcPr>
            <w:tcW w:w="4520" w:type="dxa"/>
            <w:vAlign w:val="bottom"/>
            <w:gridSpan w:val="10"/>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6">
              <w:r>
                <w:rPr>
                  <w:rFonts w:ascii="Arial" w:cs="Arial" w:eastAsia="Arial" w:hAnsi="Arial"/>
                  <w:sz w:val="18"/>
                  <w:szCs w:val="18"/>
                  <w:color w:val="auto"/>
                </w:rPr>
                <w:t>Item 1A.</w:t>
              </w:r>
            </w:hyperlink>
          </w:p>
        </w:tc>
        <w:tc>
          <w:tcPr>
            <w:tcW w:w="1000" w:type="dxa"/>
            <w:vAlign w:val="bottom"/>
            <w:gridSpan w:val="4"/>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Risk Factors</w:t>
              </w:r>
            </w:hyperlink>
          </w:p>
        </w:tc>
        <w:tc>
          <w:tcPr>
            <w:tcW w:w="8440" w:type="dxa"/>
            <w:vAlign w:val="bottom"/>
            <w:gridSpan w:val="25"/>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1B.</w:t>
              </w:r>
            </w:hyperlink>
          </w:p>
        </w:tc>
        <w:tc>
          <w:tcPr>
            <w:tcW w:w="9440" w:type="dxa"/>
            <w:vAlign w:val="bottom"/>
            <w:gridSpan w:val="2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2.</w:t>
              </w:r>
            </w:hyperlink>
          </w:p>
        </w:tc>
        <w:tc>
          <w:tcPr>
            <w:tcW w:w="780" w:type="dxa"/>
            <w:vAlign w:val="bottom"/>
            <w:gridSpan w:val="3"/>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Properties</w:t>
              </w:r>
            </w:hyperlink>
          </w:p>
        </w:tc>
        <w:tc>
          <w:tcPr>
            <w:tcW w:w="1460" w:type="dxa"/>
            <w:vAlign w:val="bottom"/>
            <w:gridSpan w:val="6"/>
          </w:tcPr>
          <w:p>
            <w:pPr>
              <w:spacing w:after="0"/>
              <w:rPr>
                <w:sz w:val="20"/>
                <w:szCs w:val="20"/>
                <w:color w:val="auto"/>
              </w:rPr>
            </w:pPr>
          </w:p>
        </w:tc>
        <w:tc>
          <w:tcPr>
            <w:tcW w:w="7200" w:type="dxa"/>
            <w:vAlign w:val="bottom"/>
            <w:gridSpan w:val="20"/>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3.</w:t>
              </w:r>
            </w:hyperlink>
          </w:p>
        </w:tc>
        <w:tc>
          <w:tcPr>
            <w:tcW w:w="9440" w:type="dxa"/>
            <w:vAlign w:val="bottom"/>
            <w:gridSpan w:val="2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4.</w:t>
              </w:r>
            </w:hyperlink>
          </w:p>
        </w:tc>
        <w:tc>
          <w:tcPr>
            <w:tcW w:w="9440" w:type="dxa"/>
            <w:vAlign w:val="bottom"/>
            <w:gridSpan w:val="2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561"/>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14"/>
          </w:tcPr>
          <w:p>
            <w:pPr>
              <w:jc w:val="center"/>
              <w:ind w:right="4500"/>
              <w:spacing w:after="0"/>
              <w:rPr>
                <w:rFonts w:ascii="Arial" w:cs="Arial" w:eastAsia="Arial" w:hAnsi="Arial"/>
                <w:sz w:val="18"/>
                <w:szCs w:val="18"/>
                <w:b w:val="1"/>
                <w:bCs w:val="1"/>
                <w:color w:val="0000EE"/>
                <w:w w:val="96"/>
              </w:rPr>
            </w:pPr>
            <w:hyperlink w:anchor="page40">
              <w:r>
                <w:rPr>
                  <w:rFonts w:ascii="Arial" w:cs="Arial" w:eastAsia="Arial" w:hAnsi="Arial"/>
                  <w:sz w:val="18"/>
                  <w:szCs w:val="18"/>
                  <w:b w:val="1"/>
                  <w:bCs w:val="1"/>
                  <w:color w:val="0000EE"/>
                  <w:w w:val="96"/>
                </w:rPr>
                <w:t>PART II</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5.</w:t>
              </w:r>
            </w:hyperlink>
          </w:p>
        </w:tc>
        <w:tc>
          <w:tcPr>
            <w:tcW w:w="9440" w:type="dxa"/>
            <w:vAlign w:val="bottom"/>
            <w:gridSpan w:val="2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Market for American Airlines Group’s Common Stock, Related Stockholder Matters and Issuer Purchases of Equity</w:t>
              </w:r>
            </w:hyperlink>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912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Securities</w:t>
              </w:r>
            </w:hyperlink>
          </w:p>
        </w:tc>
        <w:tc>
          <w:tcPr>
            <w:tcW w:w="320" w:type="dxa"/>
            <w:vAlign w:val="bottom"/>
          </w:tcPr>
          <w:p>
            <w:pPr>
              <w:spacing w:after="0"/>
              <w:rPr>
                <w:sz w:val="15"/>
                <w:szCs w:val="15"/>
                <w:color w:val="auto"/>
              </w:rPr>
            </w:pPr>
          </w:p>
        </w:tc>
        <w:tc>
          <w:tcPr>
            <w:tcW w:w="900" w:type="dxa"/>
            <w:vAlign w:val="bottom"/>
            <w:gridSpan w:val="5"/>
          </w:tcPr>
          <w:p>
            <w:pPr>
              <w:jc w:val="right"/>
              <w:ind w:right="2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43">
              <w:r>
                <w:rPr>
                  <w:rFonts w:ascii="Arial" w:cs="Arial" w:eastAsia="Arial" w:hAnsi="Arial"/>
                  <w:sz w:val="18"/>
                  <w:szCs w:val="18"/>
                  <w:color w:val="auto"/>
                </w:rPr>
                <w:t>Item 6.</w:t>
              </w:r>
            </w:hyperlink>
          </w:p>
        </w:tc>
        <w:tc>
          <w:tcPr>
            <w:tcW w:w="3000" w:type="dxa"/>
            <w:vAlign w:val="bottom"/>
            <w:gridSpan w:val="10"/>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Selected Consolidated Financial Data</w:t>
              </w:r>
            </w:hyperlink>
          </w:p>
        </w:tc>
        <w:tc>
          <w:tcPr>
            <w:tcW w:w="6440" w:type="dxa"/>
            <w:vAlign w:val="bottom"/>
            <w:gridSpan w:val="19"/>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gridSpan w:val="24"/>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Management’s Discussion and Analysis of Financial Condition and Results of Operations</w:t>
              </w:r>
            </w:hyperlink>
          </w:p>
        </w:tc>
        <w:tc>
          <w:tcPr>
            <w:tcW w:w="2360" w:type="dxa"/>
            <w:vAlign w:val="bottom"/>
            <w:gridSpan w:val="5"/>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78">
              <w:r>
                <w:rPr>
                  <w:rFonts w:ascii="Arial" w:cs="Arial" w:eastAsia="Arial" w:hAnsi="Arial"/>
                  <w:sz w:val="18"/>
                  <w:szCs w:val="18"/>
                  <w:color w:val="auto"/>
                </w:rPr>
                <w:t>Item 7A.</w:t>
              </w:r>
            </w:hyperlink>
          </w:p>
        </w:tc>
        <w:tc>
          <w:tcPr>
            <w:tcW w:w="7080" w:type="dxa"/>
            <w:vAlign w:val="bottom"/>
            <w:gridSpan w:val="2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Disclosures About Market Risk</w:t>
              </w:r>
            </w:hyperlink>
          </w:p>
        </w:tc>
        <w:tc>
          <w:tcPr>
            <w:tcW w:w="2360" w:type="dxa"/>
            <w:vAlign w:val="bottom"/>
            <w:gridSpan w:val="5"/>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80">
              <w:r>
                <w:rPr>
                  <w:rFonts w:ascii="Arial" w:cs="Arial" w:eastAsia="Arial" w:hAnsi="Arial"/>
                  <w:sz w:val="18"/>
                  <w:szCs w:val="18"/>
                  <w:color w:val="auto"/>
                </w:rPr>
                <w:t>Item 8A.</w:t>
              </w:r>
            </w:hyperlink>
          </w:p>
        </w:tc>
        <w:tc>
          <w:tcPr>
            <w:tcW w:w="7360" w:type="dxa"/>
            <w:vAlign w:val="bottom"/>
            <w:gridSpan w:val="26"/>
          </w:tcPr>
          <w:p>
            <w:pPr>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Consolidated Financial Statements and Supplementary Data of American Airlines Group Inc.</w:t>
              </w:r>
            </w:hyperlink>
          </w:p>
        </w:tc>
        <w:tc>
          <w:tcPr>
            <w:tcW w:w="2080" w:type="dxa"/>
            <w:vAlign w:val="bottom"/>
            <w:gridSpan w:val="3"/>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29">
              <w:r>
                <w:rPr>
                  <w:rFonts w:ascii="Arial" w:cs="Arial" w:eastAsia="Arial" w:hAnsi="Arial"/>
                  <w:sz w:val="18"/>
                  <w:szCs w:val="18"/>
                  <w:color w:val="auto"/>
                </w:rPr>
                <w:t>Item 8B.</w:t>
              </w:r>
            </w:hyperlink>
          </w:p>
        </w:tc>
        <w:tc>
          <w:tcPr>
            <w:tcW w:w="6860" w:type="dxa"/>
            <w:vAlign w:val="bottom"/>
            <w:gridSpan w:val="23"/>
          </w:tcPr>
          <w:p>
            <w:pPr>
              <w:spacing w:after="0"/>
              <w:rPr>
                <w:rFonts w:ascii="Arial" w:cs="Arial" w:eastAsia="Arial" w:hAnsi="Arial"/>
                <w:sz w:val="18"/>
                <w:szCs w:val="18"/>
                <w:color w:val="0000EE"/>
                <w:w w:val="99"/>
              </w:rPr>
            </w:pPr>
            <w:hyperlink w:anchor="page129">
              <w:r>
                <w:rPr>
                  <w:rFonts w:ascii="Arial" w:cs="Arial" w:eastAsia="Arial" w:hAnsi="Arial"/>
                  <w:sz w:val="18"/>
                  <w:szCs w:val="18"/>
                  <w:color w:val="0000EE"/>
                  <w:w w:val="99"/>
                </w:rPr>
                <w:t>Consolidated Financial Statements and Supplementary Data of American Airlines, Inc.</w:t>
              </w:r>
            </w:hyperlink>
          </w:p>
        </w:tc>
        <w:tc>
          <w:tcPr>
            <w:tcW w:w="500" w:type="dxa"/>
            <w:vAlign w:val="bottom"/>
            <w:gridSpan w:val="3"/>
          </w:tcPr>
          <w:p>
            <w:pPr>
              <w:spacing w:after="0"/>
              <w:rPr>
                <w:sz w:val="20"/>
                <w:szCs w:val="20"/>
                <w:color w:val="auto"/>
              </w:rPr>
            </w:pPr>
          </w:p>
        </w:tc>
        <w:tc>
          <w:tcPr>
            <w:tcW w:w="2080" w:type="dxa"/>
            <w:vAlign w:val="bottom"/>
            <w:gridSpan w:val="3"/>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29">
              <w:r>
                <w:rPr>
                  <w:rFonts w:ascii="Arial" w:cs="Arial" w:eastAsia="Arial" w:hAnsi="Arial"/>
                  <w:sz w:val="18"/>
                  <w:szCs w:val="18"/>
                  <w:color w:val="0000EE"/>
                </w:rPr>
                <w:t>129</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4">
              <w:r>
                <w:rPr>
                  <w:rFonts w:ascii="Arial" w:cs="Arial" w:eastAsia="Arial" w:hAnsi="Arial"/>
                  <w:sz w:val="18"/>
                  <w:szCs w:val="18"/>
                  <w:color w:val="auto"/>
                </w:rPr>
                <w:t>Item 9.</w:t>
              </w:r>
            </w:hyperlink>
          </w:p>
        </w:tc>
        <w:tc>
          <w:tcPr>
            <w:tcW w:w="7140" w:type="dxa"/>
            <w:vAlign w:val="bottom"/>
            <w:gridSpan w:val="25"/>
          </w:tcPr>
          <w:p>
            <w:pPr>
              <w:spacing w:after="0"/>
              <w:rPr>
                <w:rFonts w:ascii="Arial" w:cs="Arial" w:eastAsia="Arial" w:hAnsi="Arial"/>
                <w:sz w:val="18"/>
                <w:szCs w:val="18"/>
                <w:color w:val="0000EE"/>
                <w:w w:val="99"/>
              </w:rPr>
            </w:pPr>
            <w:hyperlink w:anchor="page174">
              <w:r>
                <w:rPr>
                  <w:rFonts w:ascii="Arial" w:cs="Arial" w:eastAsia="Arial" w:hAnsi="Arial"/>
                  <w:sz w:val="18"/>
                  <w:szCs w:val="18"/>
                  <w:color w:val="0000EE"/>
                  <w:w w:val="99"/>
                </w:rPr>
                <w:t>Changes In and Disagreements with Accountants on Accounting and Financial Disclosure</w:t>
              </w:r>
            </w:hyperlink>
          </w:p>
        </w:tc>
        <w:tc>
          <w:tcPr>
            <w:tcW w:w="2300" w:type="dxa"/>
            <w:vAlign w:val="bottom"/>
            <w:gridSpan w:val="4"/>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4">
              <w:r>
                <w:rPr>
                  <w:rFonts w:ascii="Arial" w:cs="Arial" w:eastAsia="Arial" w:hAnsi="Arial"/>
                  <w:sz w:val="18"/>
                  <w:szCs w:val="18"/>
                  <w:color w:val="0000EE"/>
                </w:rPr>
                <w:t>174</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4">
              <w:r>
                <w:rPr>
                  <w:rFonts w:ascii="Arial" w:cs="Arial" w:eastAsia="Arial" w:hAnsi="Arial"/>
                  <w:sz w:val="18"/>
                  <w:szCs w:val="18"/>
                  <w:color w:val="auto"/>
                </w:rPr>
                <w:t>Item 9A.</w:t>
              </w:r>
            </w:hyperlink>
          </w:p>
        </w:tc>
        <w:tc>
          <w:tcPr>
            <w:tcW w:w="7140" w:type="dxa"/>
            <w:vAlign w:val="bottom"/>
            <w:gridSpan w:val="25"/>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Controls and Procedures</w:t>
              </w:r>
            </w:hyperlink>
          </w:p>
        </w:tc>
        <w:tc>
          <w:tcPr>
            <w:tcW w:w="2300" w:type="dxa"/>
            <w:vAlign w:val="bottom"/>
            <w:gridSpan w:val="4"/>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4">
              <w:r>
                <w:rPr>
                  <w:rFonts w:ascii="Arial" w:cs="Arial" w:eastAsia="Arial" w:hAnsi="Arial"/>
                  <w:sz w:val="18"/>
                  <w:szCs w:val="18"/>
                  <w:color w:val="0000EE"/>
                </w:rPr>
                <w:t>174</w:t>
              </w:r>
            </w:hyperlink>
          </w:p>
        </w:tc>
      </w:tr>
      <w:tr>
        <w:trPr>
          <w:trHeight w:val="561"/>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8"/>
              </w:rPr>
            </w:pPr>
            <w:hyperlink w:anchor="page178">
              <w:r>
                <w:rPr>
                  <w:rFonts w:ascii="Arial" w:cs="Arial" w:eastAsia="Arial" w:hAnsi="Arial"/>
                  <w:sz w:val="18"/>
                  <w:szCs w:val="18"/>
                  <w:b w:val="1"/>
                  <w:bCs w:val="1"/>
                  <w:color w:val="0000EE"/>
                  <w:w w:val="98"/>
                </w:rPr>
                <w:t>PART III</w:t>
              </w:r>
            </w:hyperlink>
          </w:p>
        </w:tc>
        <w:tc>
          <w:tcPr>
            <w:tcW w:w="446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8">
              <w:r>
                <w:rPr>
                  <w:rFonts w:ascii="Arial" w:cs="Arial" w:eastAsia="Arial" w:hAnsi="Arial"/>
                  <w:sz w:val="18"/>
                  <w:szCs w:val="18"/>
                  <w:color w:val="auto"/>
                </w:rPr>
                <w:t>Item 10.</w:t>
              </w:r>
            </w:hyperlink>
          </w:p>
        </w:tc>
        <w:tc>
          <w:tcPr>
            <w:tcW w:w="4500" w:type="dxa"/>
            <w:vAlign w:val="bottom"/>
            <w:gridSpan w:val="17"/>
          </w:tcPr>
          <w:p>
            <w:pPr>
              <w:spacing w:after="0"/>
              <w:rPr>
                <w:rFonts w:ascii="Arial" w:cs="Arial" w:eastAsia="Arial" w:hAnsi="Arial"/>
                <w:sz w:val="18"/>
                <w:szCs w:val="18"/>
                <w:color w:val="0000EE"/>
                <w:w w:val="99"/>
              </w:rPr>
            </w:pPr>
            <w:hyperlink w:anchor="page178">
              <w:r>
                <w:rPr>
                  <w:rFonts w:ascii="Arial" w:cs="Arial" w:eastAsia="Arial" w:hAnsi="Arial"/>
                  <w:sz w:val="18"/>
                  <w:szCs w:val="18"/>
                  <w:color w:val="0000EE"/>
                  <w:w w:val="99"/>
                </w:rPr>
                <w:t>Directors, Executive Officers and Corporate Governance</w:t>
              </w:r>
            </w:hyperlink>
          </w:p>
        </w:tc>
        <w:tc>
          <w:tcPr>
            <w:tcW w:w="4940" w:type="dxa"/>
            <w:vAlign w:val="bottom"/>
            <w:gridSpan w:val="12"/>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8">
              <w:r>
                <w:rPr>
                  <w:rFonts w:ascii="Arial" w:cs="Arial" w:eastAsia="Arial" w:hAnsi="Arial"/>
                  <w:sz w:val="18"/>
                  <w:szCs w:val="18"/>
                  <w:color w:val="0000EE"/>
                </w:rPr>
                <w:t>178</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8">
              <w:r>
                <w:rPr>
                  <w:rFonts w:ascii="Arial" w:cs="Arial" w:eastAsia="Arial" w:hAnsi="Arial"/>
                  <w:sz w:val="18"/>
                  <w:szCs w:val="18"/>
                  <w:color w:val="auto"/>
                </w:rPr>
                <w:t>Item 11.</w:t>
              </w:r>
            </w:hyperlink>
          </w:p>
        </w:tc>
        <w:tc>
          <w:tcPr>
            <w:tcW w:w="4500" w:type="dxa"/>
            <w:vAlign w:val="bottom"/>
            <w:gridSpan w:val="17"/>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Executive Compensation</w:t>
              </w:r>
            </w:hyperlink>
          </w:p>
        </w:tc>
        <w:tc>
          <w:tcPr>
            <w:tcW w:w="4940" w:type="dxa"/>
            <w:vAlign w:val="bottom"/>
            <w:gridSpan w:val="12"/>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8">
              <w:r>
                <w:rPr>
                  <w:rFonts w:ascii="Arial" w:cs="Arial" w:eastAsia="Arial" w:hAnsi="Arial"/>
                  <w:sz w:val="18"/>
                  <w:szCs w:val="18"/>
                  <w:color w:val="0000EE"/>
                </w:rPr>
                <w:t>178</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8">
              <w:r>
                <w:rPr>
                  <w:rFonts w:ascii="Arial" w:cs="Arial" w:eastAsia="Arial" w:hAnsi="Arial"/>
                  <w:sz w:val="18"/>
                  <w:szCs w:val="18"/>
                  <w:color w:val="auto"/>
                </w:rPr>
                <w:t>Item 12.</w:t>
              </w:r>
            </w:hyperlink>
          </w:p>
        </w:tc>
        <w:tc>
          <w:tcPr>
            <w:tcW w:w="9440" w:type="dxa"/>
            <w:vAlign w:val="bottom"/>
            <w:gridSpan w:val="29"/>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178">
              <w:r>
                <w:rPr>
                  <w:rFonts w:ascii="Arial" w:cs="Arial" w:eastAsia="Arial" w:hAnsi="Arial"/>
                  <w:sz w:val="18"/>
                  <w:szCs w:val="18"/>
                  <w:color w:val="0000EE"/>
                </w:rPr>
                <w:t>178</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8">
              <w:r>
                <w:rPr>
                  <w:rFonts w:ascii="Arial" w:cs="Arial" w:eastAsia="Arial" w:hAnsi="Arial"/>
                  <w:sz w:val="18"/>
                  <w:szCs w:val="18"/>
                  <w:color w:val="auto"/>
                </w:rPr>
                <w:t>Item 13.</w:t>
              </w:r>
            </w:hyperlink>
          </w:p>
        </w:tc>
        <w:tc>
          <w:tcPr>
            <w:tcW w:w="6080" w:type="dxa"/>
            <w:vAlign w:val="bottom"/>
            <w:gridSpan w:val="22"/>
          </w:tcPr>
          <w:p>
            <w:pPr>
              <w:spacing w:after="0"/>
              <w:rPr>
                <w:rFonts w:ascii="Arial" w:cs="Arial" w:eastAsia="Arial" w:hAnsi="Arial"/>
                <w:sz w:val="18"/>
                <w:szCs w:val="18"/>
                <w:color w:val="0000EE"/>
                <w:w w:val="99"/>
              </w:rPr>
            </w:pPr>
            <w:hyperlink w:anchor="page178">
              <w:r>
                <w:rPr>
                  <w:rFonts w:ascii="Arial" w:cs="Arial" w:eastAsia="Arial" w:hAnsi="Arial"/>
                  <w:sz w:val="18"/>
                  <w:szCs w:val="18"/>
                  <w:color w:val="0000EE"/>
                  <w:w w:val="99"/>
                </w:rPr>
                <w:t>Certain Relationships and Related Transactions, and Director Independence</w:t>
              </w:r>
            </w:hyperlink>
          </w:p>
        </w:tc>
        <w:tc>
          <w:tcPr>
            <w:tcW w:w="1920" w:type="dxa"/>
            <w:vAlign w:val="bottom"/>
            <w:gridSpan w:val="5"/>
          </w:tcPr>
          <w:p>
            <w:pPr>
              <w:spacing w:after="0"/>
              <w:rPr>
                <w:sz w:val="20"/>
                <w:szCs w:val="20"/>
                <w:color w:val="auto"/>
              </w:rPr>
            </w:pPr>
          </w:p>
        </w:tc>
        <w:tc>
          <w:tcPr>
            <w:tcW w:w="1440" w:type="dxa"/>
            <w:vAlign w:val="bottom"/>
            <w:gridSpan w:val="2"/>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8">
              <w:r>
                <w:rPr>
                  <w:rFonts w:ascii="Arial" w:cs="Arial" w:eastAsia="Arial" w:hAnsi="Arial"/>
                  <w:sz w:val="18"/>
                  <w:szCs w:val="18"/>
                  <w:color w:val="0000EE"/>
                </w:rPr>
                <w:t>178</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8">
              <w:r>
                <w:rPr>
                  <w:rFonts w:ascii="Arial" w:cs="Arial" w:eastAsia="Arial" w:hAnsi="Arial"/>
                  <w:sz w:val="18"/>
                  <w:szCs w:val="18"/>
                  <w:color w:val="auto"/>
                </w:rPr>
                <w:t>Item 14.</w:t>
              </w:r>
            </w:hyperlink>
          </w:p>
        </w:tc>
        <w:tc>
          <w:tcPr>
            <w:tcW w:w="6080" w:type="dxa"/>
            <w:vAlign w:val="bottom"/>
            <w:gridSpan w:val="22"/>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Principal Accountant Fees and Services</w:t>
              </w:r>
            </w:hyperlink>
          </w:p>
        </w:tc>
        <w:tc>
          <w:tcPr>
            <w:tcW w:w="3360" w:type="dxa"/>
            <w:vAlign w:val="bottom"/>
            <w:gridSpan w:val="7"/>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8">
              <w:r>
                <w:rPr>
                  <w:rFonts w:ascii="Arial" w:cs="Arial" w:eastAsia="Arial" w:hAnsi="Arial"/>
                  <w:sz w:val="18"/>
                  <w:szCs w:val="18"/>
                  <w:color w:val="0000EE"/>
                </w:rPr>
                <w:t>178</w:t>
              </w:r>
            </w:hyperlink>
          </w:p>
        </w:tc>
      </w:tr>
      <w:tr>
        <w:trPr>
          <w:trHeight w:val="561"/>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60" w:type="dxa"/>
            <w:vAlign w:val="bottom"/>
            <w:gridSpan w:val="16"/>
          </w:tcPr>
          <w:p>
            <w:pPr>
              <w:jc w:val="center"/>
              <w:ind w:right="4460"/>
              <w:spacing w:after="0"/>
              <w:rPr>
                <w:rFonts w:ascii="Arial" w:cs="Arial" w:eastAsia="Arial" w:hAnsi="Arial"/>
                <w:sz w:val="18"/>
                <w:szCs w:val="18"/>
                <w:b w:val="1"/>
                <w:bCs w:val="1"/>
                <w:color w:val="0000EE"/>
                <w:w w:val="98"/>
              </w:rPr>
            </w:pPr>
            <w:hyperlink w:anchor="page179">
              <w:r>
                <w:rPr>
                  <w:rFonts w:ascii="Arial" w:cs="Arial" w:eastAsia="Arial" w:hAnsi="Arial"/>
                  <w:sz w:val="18"/>
                  <w:szCs w:val="18"/>
                  <w:b w:val="1"/>
                  <w:bCs w:val="1"/>
                  <w:color w:val="0000EE"/>
                  <w:w w:val="98"/>
                </w:rPr>
                <w:t>PART IV</w:t>
              </w:r>
            </w:hyperlink>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9">
              <w:r>
                <w:rPr>
                  <w:rFonts w:ascii="Arial" w:cs="Arial" w:eastAsia="Arial" w:hAnsi="Arial"/>
                  <w:sz w:val="18"/>
                  <w:szCs w:val="18"/>
                  <w:color w:val="auto"/>
                </w:rPr>
                <w:t>Item 15.</w:t>
              </w:r>
            </w:hyperlink>
          </w:p>
        </w:tc>
        <w:tc>
          <w:tcPr>
            <w:tcW w:w="4280" w:type="dxa"/>
            <w:vAlign w:val="bottom"/>
            <w:gridSpan w:val="13"/>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8"/>
          </w:tcPr>
          <w:p>
            <w:pPr>
              <w:spacing w:after="0"/>
              <w:rPr>
                <w:sz w:val="20"/>
                <w:szCs w:val="20"/>
                <w:color w:val="auto"/>
              </w:rPr>
            </w:pPr>
          </w:p>
        </w:tc>
        <w:tc>
          <w:tcPr>
            <w:tcW w:w="4460" w:type="dxa"/>
            <w:vAlign w:val="bottom"/>
            <w:gridSpan w:val="8"/>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9">
              <w:r>
                <w:rPr>
                  <w:rFonts w:ascii="Arial" w:cs="Arial" w:eastAsia="Arial" w:hAnsi="Arial"/>
                  <w:sz w:val="18"/>
                  <w:szCs w:val="18"/>
                  <w:color w:val="0000EE"/>
                </w:rPr>
                <w:t>179</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594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99">
              <w:r>
                <w:rPr>
                  <w:rFonts w:ascii="Arial" w:cs="Arial" w:eastAsia="Arial" w:hAnsi="Arial"/>
                  <w:sz w:val="18"/>
                  <w:szCs w:val="18"/>
                  <w:color w:val="auto"/>
                </w:rPr>
                <w:t>Item 16.</w:t>
              </w:r>
            </w:hyperlink>
          </w:p>
        </w:tc>
        <w:tc>
          <w:tcPr>
            <w:tcW w:w="3500" w:type="dxa"/>
            <w:vAlign w:val="bottom"/>
            <w:gridSpan w:val="12"/>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Form 10-K Summary</w:t>
              </w:r>
            </w:hyperlink>
          </w:p>
        </w:tc>
        <w:tc>
          <w:tcPr>
            <w:tcW w:w="5940" w:type="dxa"/>
            <w:vAlign w:val="bottom"/>
            <w:gridSpan w:val="17"/>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99">
              <w:r>
                <w:rPr>
                  <w:rFonts w:ascii="Arial" w:cs="Arial" w:eastAsia="Arial" w:hAnsi="Arial"/>
                  <w:sz w:val="18"/>
                  <w:szCs w:val="18"/>
                  <w:color w:val="0000EE"/>
                </w:rPr>
                <w:t>199</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7780" w:type="dxa"/>
            <w:vAlign w:val="bottom"/>
            <w:gridSpan w:val="2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gridSpan w:val="2"/>
          </w:tcPr>
          <w:p>
            <w:pPr>
              <w:spacing w:after="0"/>
              <w:rPr>
                <w:rFonts w:ascii="Arial" w:cs="Arial" w:eastAsia="Arial" w:hAnsi="Arial"/>
                <w:sz w:val="18"/>
                <w:szCs w:val="18"/>
                <w:color w:val="0000EE"/>
                <w:w w:val="97"/>
              </w:rPr>
            </w:pPr>
            <w:hyperlink w:anchor="page200">
              <w:r>
                <w:rPr>
                  <w:rFonts w:ascii="Arial" w:cs="Arial" w:eastAsia="Arial" w:hAnsi="Arial"/>
                  <w:sz w:val="18"/>
                  <w:szCs w:val="18"/>
                  <w:color w:val="0000EE"/>
                  <w:w w:val="97"/>
                </w:rPr>
                <w:t>SIGNATURES</w:t>
              </w:r>
            </w:hyperlink>
          </w:p>
        </w:tc>
        <w:tc>
          <w:tcPr>
            <w:tcW w:w="9320" w:type="dxa"/>
            <w:vAlign w:val="bottom"/>
            <w:gridSpan w:val="28"/>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200">
              <w:r>
                <w:rPr>
                  <w:rFonts w:ascii="Arial" w:cs="Arial" w:eastAsia="Arial" w:hAnsi="Arial"/>
                  <w:sz w:val="18"/>
                  <w:szCs w:val="18"/>
                  <w:color w:val="0000EE"/>
                </w:rPr>
                <w:t>200</w:t>
              </w:r>
            </w:hyperlink>
          </w:p>
        </w:tc>
      </w:tr>
      <w:tr>
        <w:trPr>
          <w:trHeight w:val="925"/>
        </w:trPr>
        <w:tc>
          <w:tcPr>
            <w:tcW w:w="10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580" w:type="dxa"/>
            <w:vAlign w:val="bottom"/>
            <w:gridSpan w:val="17"/>
          </w:tcPr>
          <w:p>
            <w:pPr>
              <w:jc w:val="center"/>
              <w:ind w:left="435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7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Annual Report on Form 10-K to “we,” “us,” “our,” the “Company” and similar terms refer to AAG and its consolidated subsidiaries. “AMR” or “AMR Corporation” refers to the Company during the period of time prior to its emergence from Chapter 11 and its acquisition of US Airways Group, Inc. (US Airways Group) on December 9, 2013 (the Merger). References to US Airways Group and US Airways, Inc., a subsidiary of US Airways Group (US Airways), represent the entities during the period of time prior to the dissolution of those entities in connection with AAG’s internal corporate restructuring on December 30, 2015. References in this report to “mainline” refer to the operations of American only and exclude regional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12"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1A. Risk Factors, Part II, Item</w:t>
      </w:r>
    </w:p>
    <w:p>
      <w:pPr>
        <w:spacing w:after="0" w:line="4" w:lineRule="exact"/>
        <w:rPr>
          <w:sz w:val="20"/>
          <w:szCs w:val="20"/>
          <w:color w:val="auto"/>
        </w:rPr>
      </w:pPr>
    </w:p>
    <w:p>
      <w:pPr>
        <w:ind w:firstLine="8"/>
        <w:spacing w:after="0" w:line="262"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and other risks and uncertainties listed from time to time in our filings with the Securities and Exchange Commission (the SEC).</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report or as of the dates indicated in the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 Airlines Group Inc. (AAG), a Delaware corporation, is a holding company and its principal, wholly-owned subsidiaries are American Airlines, Inc. (American), Envoy Aviation Group Inc. (Envoy), PSA Airlines, Inc. (PSA) and Piedmont Airlines, Inc. (Piedmont). AAG was formed in 1982 under the name AMR Corporation (AMR) as the parent company of American, which was founded in 1934.</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AAG’s and American’s principal executive offices are located at 4333 Amon Carter Boulevard, Fort Worth, Texas 76155 and their telephone number is 817-963-1234.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Airline Operations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primary business activity is the operation of a major network carrier, providing scheduled air transportation for passengers and cargo.</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our airline operates an average of nearly 6,700 flights per day to nearly 350 destinations in more than 50 countries through hubs and gateways in Charlotte, Chicago, Dallas/Fort Worth, London Heathrow, Los Angeles, Miami, New York, Philadelphia, Phoenix and Washington, D.C. In 2018, approximately 204 million passengers boarded our flights. During 2018, we launched new seasonal nonstop service to Budapest, Hungary and Prague, Czech Republic from Philadelphia International Airport (PHL), to Venice, Italy from Chicago O’Hare International Airport (ORD) and to Reykjavik-Keflavik, Iceland from Dallas/Fort Worth International Airport (DFW), further expanding our global footprint. We also announced new seasonal nonstop service beginning in summer 2019 between PHL and Dubrovnik, Croatia, Berlin, Germany and Bologna, Italy.</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2018, we operated 956 mainline aircraft supported by our regional airline subsidiaries and third-party regional carriers, which operated an additional 595 regional aircraft. See Part I, Item 2. Properties for further discussion on our mainline and regional aircraft and “</w:t>
      </w:r>
      <w:r>
        <w:rPr>
          <w:rFonts w:ascii="Arial" w:cs="Arial" w:eastAsia="Arial" w:hAnsi="Arial"/>
          <w:sz w:val="18"/>
          <w:szCs w:val="18"/>
          <w:i w:val="1"/>
          <w:iCs w:val="1"/>
          <w:color w:val="auto"/>
        </w:rPr>
        <w:t>Regional</w:t>
      </w:r>
      <w:r>
        <w:rPr>
          <w:rFonts w:ascii="Arial" w:cs="Arial" w:eastAsia="Arial" w:hAnsi="Arial"/>
          <w:sz w:val="18"/>
          <w:szCs w:val="18"/>
          <w:color w:val="auto"/>
        </w:rPr>
        <w:t>” below for further discussion on our regional operations.</w:t>
      </w:r>
    </w:p>
    <w:p>
      <w:pPr>
        <w:spacing w:after="0" w:line="126" w:lineRule="exact"/>
        <w:rPr>
          <w:sz w:val="20"/>
          <w:szCs w:val="20"/>
          <w:color w:val="auto"/>
        </w:rPr>
      </w:pPr>
    </w:p>
    <w:p>
      <w:pPr>
        <w:jc w:val="both"/>
        <w:ind w:firstLine="216"/>
        <w:spacing w:after="0" w:line="248" w:lineRule="auto"/>
        <w:rPr>
          <w:sz w:val="20"/>
          <w:szCs w:val="20"/>
          <w:color w:val="auto"/>
        </w:rPr>
      </w:pPr>
      <w:r>
        <w:rPr>
          <w:rFonts w:ascii="Arial" w:cs="Arial" w:eastAsia="Arial" w:hAnsi="Arial"/>
          <w:sz w:val="18"/>
          <w:szCs w:val="18"/>
          <w:color w:val="auto"/>
        </w:rPr>
        <w:t xml:space="preserve">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world</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alliance, whose members serve more than 1,000 destinations with approximately 14,250 daily flights to over 150 countries. See below for further discussion on the </w:t>
      </w:r>
      <w:r>
        <w:rPr>
          <w:rFonts w:ascii="Arial" w:cs="Arial" w:eastAsia="Arial" w:hAnsi="Arial"/>
          <w:sz w:val="18"/>
          <w:szCs w:val="18"/>
          <w:b w:val="1"/>
          <w:bCs w:val="1"/>
          <w:color w:val="auto"/>
        </w:rPr>
        <w:t>one</w:t>
      </w:r>
      <w:r>
        <w:rPr>
          <w:rFonts w:ascii="Arial" w:cs="Arial" w:eastAsia="Arial" w:hAnsi="Arial"/>
          <w:sz w:val="18"/>
          <w:szCs w:val="18"/>
          <w:color w:val="auto"/>
        </w:rPr>
        <w:t>world alliance and other agreements with domestic and international airlines.</w:t>
      </w:r>
    </w:p>
    <w:p>
      <w:pPr>
        <w:spacing w:after="0" w:line="137"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w:t>
      </w:r>
      <w:r>
        <w:rPr>
          <w:rFonts w:ascii="Arial" w:cs="Arial" w:eastAsia="Arial" w:hAnsi="Arial"/>
          <w:sz w:val="18"/>
          <w:szCs w:val="18"/>
          <w:i w:val="1"/>
          <w:iCs w:val="1"/>
          <w:color w:val="auto"/>
        </w:rPr>
        <w:t>“2018 Financial Overview,”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“AAG’s Results of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“American’s Results of Operations” </w:t>
      </w:r>
      <w:r>
        <w:rPr>
          <w:rFonts w:ascii="Arial" w:cs="Arial" w:eastAsia="Arial" w:hAnsi="Arial"/>
          <w:sz w:val="18"/>
          <w:szCs w:val="18"/>
          <w:color w:val="auto"/>
        </w:rPr>
        <w:t>for further discussion of AAG’s and American’s operating results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Also, see Note 14 to AAG’s Consolidated Financial Statements in Part II, Item 8A and Note 12 to American’s Consolidated Financial Statements in Part II, Item 8B for information regarding operating segments and see Note 1(k) to AAG’s and American’s Consolidated Financial Statements in Part II, Items 8A and 8B, respectively, for passenger revenue by geographic region.</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Regional</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Envoy, PSA and Piedmont, as well as third-party regional carriers including Republic Airline Inc. (Republic), Mesa Airlines, Inc. (Mesa), Compass Airlines, LLC (Compass) and SkyWest Airlines, Inc. (SkyWest). In addition, Air Wisconsin Corporation (Air Wisconsin), Trans States Airlines, Inc. (Trans States) and ExpressJet Airlines, Inc. (ExpressJet) operated regional jet aircraft for us during 2018; however these arrangements ended in February 2018, December 2018 and January 2019, respectively. Our regional carriers are an integral component of our operating network. We rely heavily on feeder traffic to our hubs from low-density markets that are not economical for us to serve with larger, mainline aircraft. In addition, regional carriers offer complementary service in our existing mainline markets. During 2018, approximately 56 million passengers boarded our regional carriers’ planes, approximately 44% of whom connected to or from our mainline flights. Of these passengers, approximately 31 million were enplaned by our wholly-owned regional carriers and approximately 25 million were enplaned by third-party regional carriers. All American Eagle carriers use logos, service marks, aircraft paint schemes and uniforms similar to our mainline operations.</w:t>
      </w:r>
    </w:p>
    <w:p>
      <w:pPr>
        <w:spacing w:after="0" w:line="15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Substantially all of our regional carrier arrangements are in the form of capacity purchase agreements. The capacity purchase agreements provide that all revenues, including passenger, in-flight, ancillary, mail and freight revenues, go to us. We control marketing, scheduling, ticketing, pricing and seat inventories. In return, we agree to pay predetermined fees 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18"/>
          <w:szCs w:val="18"/>
          <w:color w:val="auto"/>
        </w:rPr>
        <w:t>these airlines for operating an agreed-upon number of aircraft, without regard to the number of passengers on board. In addition, these agreements provide that we either reimburse or pay 100% of certain variable costs, such as airport landing fees, fuel and passenger liability insurance.</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Cargo</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cargo division provides a wide range of freight and mail services, with facilities and interline connections available across the globe.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 Agreements</w:t>
      </w:r>
    </w:p>
    <w:p>
      <w:pPr>
        <w:spacing w:after="0" w:line="9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Passengers can purchase tickets for travel on American through several distribution channels, including our website (</w:t>
      </w:r>
      <w:r>
        <w:rPr>
          <w:rFonts w:ascii="Arial" w:cs="Arial" w:eastAsia="Arial" w:hAnsi="Arial"/>
          <w:sz w:val="18"/>
          <w:szCs w:val="18"/>
          <w:i w:val="1"/>
          <w:iCs w:val="1"/>
          <w:color w:val="auto"/>
        </w:rPr>
        <w:t>www.aa.com</w:t>
      </w:r>
      <w:r>
        <w:rPr>
          <w:rFonts w:ascii="Arial" w:cs="Arial" w:eastAsia="Arial" w:hAnsi="Arial"/>
          <w:sz w:val="18"/>
          <w:szCs w:val="18"/>
          <w:color w:val="auto"/>
        </w:rPr>
        <w:t>), our reservations centers and third-party distribution channels, including those provided by or through global distribution systems (e.g., Amadeus, Sabre and Travelport), conventional travel agents, travel management companies and online travel agents (e.g., Expedia, including its booking sites Orbitz and Travelocity, and The Priceline Group). To remain competitive, we need to successfully manage our distribution costs and rights, increase our distribution flexibility and improve the functionality of third-party distribution channels, while maintaining an industry-competitive cost structure. For more discussion, see Part I, Item 1A. Risk Factors – “</w:t>
      </w:r>
      <w:r>
        <w:rPr>
          <w:rFonts w:ascii="Arial" w:cs="Arial" w:eastAsia="Arial" w:hAnsi="Arial"/>
          <w:sz w:val="18"/>
          <w:szCs w:val="18"/>
          <w:i w:val="1"/>
          <w:iCs w:val="1"/>
          <w:color w:val="auto"/>
        </w:rPr>
        <w:t>We rely on third-party distribution channels and must manage</w:t>
      </w:r>
      <w:r>
        <w:rPr>
          <w:rFonts w:ascii="Arial" w:cs="Arial" w:eastAsia="Arial" w:hAnsi="Arial"/>
          <w:sz w:val="18"/>
          <w:szCs w:val="18"/>
          <w:color w:val="auto"/>
        </w:rPr>
        <w:t xml:space="preserve"> </w:t>
      </w:r>
      <w:r>
        <w:rPr>
          <w:rFonts w:ascii="Arial" w:cs="Arial" w:eastAsia="Arial" w:hAnsi="Arial"/>
          <w:sz w:val="18"/>
          <w:szCs w:val="18"/>
          <w:i w:val="1"/>
          <w:iCs w:val="1"/>
          <w:color w:val="auto"/>
        </w:rPr>
        <w:t>effectively the costs, rights and functionality of these channels</w:t>
      </w:r>
      <w:r>
        <w:rPr>
          <w:rFonts w:ascii="Arial" w:cs="Arial" w:eastAsia="Arial" w:hAnsi="Arial"/>
          <w:sz w:val="18"/>
          <w:szCs w:val="18"/>
          <w:color w:val="auto"/>
        </w:rPr>
        <w:t>.”</w:t>
      </w:r>
    </w:p>
    <w:p>
      <w:pPr>
        <w:spacing w:after="0" w:line="15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In general, beyond nonstop city pairs, carriers that have the greatest ability to seamlessly connect passengers to and from markets have a competitive advantage. In some cases, however, foreign governments limit U.S. air carriers’ rights to transport passengers beyond designated gateway cities in foreign countries. In order to improve access to domestic and foreign markets, we have arrangements with other airlines including through the </w:t>
      </w:r>
      <w:r>
        <w:rPr>
          <w:rFonts w:ascii="Arial" w:cs="Arial" w:eastAsia="Arial" w:hAnsi="Arial"/>
          <w:sz w:val="18"/>
          <w:szCs w:val="18"/>
          <w:b w:val="1"/>
          <w:bCs w:val="1"/>
          <w:color w:val="auto"/>
        </w:rPr>
        <w:t>one</w:t>
      </w:r>
      <w:r>
        <w:rPr>
          <w:rFonts w:ascii="Arial" w:cs="Arial" w:eastAsia="Arial" w:hAnsi="Arial"/>
          <w:sz w:val="18"/>
          <w:szCs w:val="18"/>
          <w:color w:val="auto"/>
        </w:rPr>
        <w:t>world alliance, other cooperation agreements, joint business agreements (JBAs), and marketing relationships, as further discussed below.</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Member of oneworld Alliance</w:t>
      </w:r>
    </w:p>
    <w:p>
      <w:pPr>
        <w:spacing w:after="0" w:line="9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 xml:space="preserve">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which includes British Airways, Cathay Pacific Airways, Finnair, Iberia, Japan Airlines, LATAM Airlines Group, Malaysia Airlines, Qantas Airways, Qatar Airways, Royal Jordanian, S7 Airlines and SriLankan Airlines. The </w:t>
      </w:r>
      <w:r>
        <w:rPr>
          <w:rFonts w:ascii="Arial" w:cs="Arial" w:eastAsia="Arial" w:hAnsi="Arial"/>
          <w:sz w:val="18"/>
          <w:szCs w:val="18"/>
          <w:b w:val="1"/>
          <w:bCs w:val="1"/>
          <w:color w:val="auto"/>
        </w:rPr>
        <w:t>one</w:t>
      </w:r>
      <w:r>
        <w:rPr>
          <w:rFonts w:ascii="Arial" w:cs="Arial" w:eastAsia="Arial" w:hAnsi="Arial"/>
          <w:sz w:val="18"/>
          <w:szCs w:val="18"/>
          <w:color w:val="auto"/>
        </w:rPr>
        <w:t>world alliance links the networks of the member carriers and their respective affiliates to enhance customer service and smooth</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connections to the destinations served by the alliance, including linking the carriers’ loyalty programs and access to the carriers’ airport lounge facilities.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Cooperation and Joint Business Agreements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has established a transatlantic JBA with British Airways, Iberia and Finnair, and separately, a transpacific JBA with Japan Airlines, each of which has been granted antitrust immunity. Joint business agreements enable the carriers party to the relevant agreement to cooperate on flights between particular destinations and allow pooling and sharing of certain revenues and costs, enhanced loyalty program reciprocity and cooperation in other areas. Accordingly, American and its joint business partners received regulatory approval to enter into these JBAs and cooperation agreements. Joint business agreements have become common approaches to address key regulatory restrictions typically applicable to international airline service, including limitations on the foreign ownership of airlines and national laws prohibiting foreign airlines from carrying passengers beyond specific gateway cities. Our competitors, including Delta Air Lines and United Airlines, are party to similar arrangements.</w:t>
      </w:r>
    </w:p>
    <w:p>
      <w:pPr>
        <w:spacing w:after="0" w:line="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October 2017, American and its transatlantic partners executed an amended and restated JBA which, among other things, extends the term of the agreement. An application is pending with the U.S. Department of Transportation (DOT) to add Aer Lingus, which is now owned by the parent company of British Airways and Iberia, to the transatlantic JBA.</w:t>
      </w:r>
    </w:p>
    <w:p>
      <w:pPr>
        <w:spacing w:after="0" w:line="6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transatlantic joint business relationship benefits from a grant of antitrust immunity from the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are binding for 10 years with the possibility of renewal by the EC. However, in light of the impending exit of the United Kingdom from the European Union (EU) (Brexit) and the related possibility that the EC would no longer have regulatory responsibility for the United Kingdom when the commitments expire in July 2020, the United Kingdom Competition and Markets Authority (CMA) in October 2018 opened an investigation into the transatlantic JBA. We are cooperating fully with the CMA.</w:t>
      </w:r>
    </w:p>
    <w:p>
      <w:pPr>
        <w:spacing w:after="0" w:line="7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have also signed a JBA with Qantas Airways and in 2015 applied for antitrust immunity with the DOT for the revised relationship, but we withdrew that application in November 2016 after it was tentatively denied by the DOT. In February 2018, we filed a new application for antitrust immunity with the DOT, which, if granted, would allow us to further expand our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relationship with Qantas Airways. This JBA has been approved by the competition law regulators in Australia and New Zealand.</w:t>
      </w:r>
    </w:p>
    <w:p>
      <w:pPr>
        <w:spacing w:after="0" w:line="9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addition, we have signed JBAs with certain air carriers of the LATAM Airlines Group, which JBAs have been approved in all jurisdictions other than the United States, where approval is pending. Most recently, in November 2018, the Court of Free Competition in Chile approved the JBA between American and LATAM Airlines Group with respect to both our passenger and cargo businesses. That decision has been appealed to the Chilean Supreme Court.</w:t>
      </w:r>
    </w:p>
    <w:p>
      <w:pPr>
        <w:spacing w:after="0" w:line="6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November 2018, we announced that we are taking steps to strengthen our partnership with China Southern Airlines Company Limited (China Southern Airlines), in which we presently hold a 2.2% equity interest, with a significant expansion of codeshare cooperation and the launch of reciprocal loyalty program benefits and lounge access.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 Relationships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To improve access to each other’s markets, various U.S. and foreign air carriers, including American, have established marketing agreements with other airlines. These marketing agreements generally provide enhanced customer choice by means of an expanded network with reciprocal loyalty program participation and joint sales cooperation. American currently has codeshare and/or loyalty program relationships with Air Tahiti Nui, Alaska Airlines, British Airways, Cape Air, Cathay Dragon, Cathay Pacific, China Southern Airlines, EL AL, Etihad Airways, Fiji Airways, Finnair, Gulf Air, Hawaiian Airlines, Iberia, Interjet, Japan Airlines, Jetstar Group (includes Jetstar Airways and Jetstar Japan), Korean Air, LATAM (includes LATAM Airlines, LATAM Argentina, LATAM Brasil, LATAM Peru, LATAM Colombia and LATAM Ecuador), Malaysia Airlines, Qantas Airways, Qatar Airways, Royal Jordanian, S7 Airlines, Seaborne Airlines and SriLankan Airlines.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110" w:lineRule="exact"/>
        <w:rPr>
          <w:sz w:val="20"/>
          <w:szCs w:val="20"/>
          <w:color w:val="auto"/>
        </w:rPr>
      </w:pPr>
    </w:p>
    <w:p>
      <w:pPr>
        <w:jc w:val="both"/>
        <w:ind w:firstLine="216"/>
        <w:spacing w:after="0" w:line="246" w:lineRule="auto"/>
        <w:rPr>
          <w:sz w:val="20"/>
          <w:szCs w:val="20"/>
          <w:color w:val="auto"/>
        </w:rPr>
      </w:pPr>
      <w:r>
        <w:rPr>
          <w:rFonts w:ascii="Arial" w:cs="Arial" w:eastAsia="Arial" w:hAnsi="Arial"/>
          <w:sz w:val="18"/>
          <w:szCs w:val="18"/>
          <w:color w:val="auto"/>
        </w:rPr>
        <w:t>Our loyalty program, AAdvantage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was established to develop passenger loyalty by offering awards to travelers for their continued patronage. AAdvantage was named Best Elite Program in the Americas for the seventh consecutive year in that category at the 2018 Freddie Awards, which are annual awards that recognize the world’s most outstanding frequent travel programs. AAdvantage members earn mileage credits by flying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over 1,000 program participants, such as the Citi and Barclaycard US co-branded credit cards, hotels and car rental companies. For every dollar spent, non-status members earn five mileage credits, but Gold, Platinum, Platinum Pro and Executive Platinum status holders earn bonus mileage credits of seven, eight, nine and eleven mileage credits, respectively.</w:t>
      </w:r>
    </w:p>
    <w:p>
      <w:pPr>
        <w:spacing w:after="0" w:line="157" w:lineRule="exact"/>
        <w:rPr>
          <w:sz w:val="20"/>
          <w:szCs w:val="20"/>
          <w:color w:val="auto"/>
        </w:rPr>
      </w:pPr>
    </w:p>
    <w:p>
      <w:pPr>
        <w:jc w:val="both"/>
        <w:ind w:firstLine="216"/>
        <w:spacing w:after="0" w:line="244" w:lineRule="auto"/>
        <w:rPr>
          <w:sz w:val="20"/>
          <w:szCs w:val="20"/>
          <w:color w:val="auto"/>
        </w:rPr>
      </w:pPr>
      <w:r>
        <w:rPr>
          <w:rFonts w:ascii="Arial" w:cs="Arial" w:eastAsia="Arial" w:hAnsi="Arial"/>
          <w:sz w:val="18"/>
          <w:szCs w:val="18"/>
          <w:color w:val="auto"/>
        </w:rPr>
        <w:t>All travel on eligible tickets counts toward qualification for elite status in the AAdvantage program. Mileage credits can be redeemed for free or upgraded travel on American and participating airlines, membership to our Admirals Club</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for other non-travel awards from our program participants. Most travel awards are subject to capacity-controlled seating. A member’s mileage credit does not expire as long as that member has any type of qualifying activity at least once every 18 months. Elite members can enjoy additional benefits of the AAdvantage program, including complimentary upgrades, checked bags, and Preferred and Main Cabin Extra seats, as well as priority check-in, security, boarding and baggage delivery. Additionally, our members earn bonus mileage credits when elite status is obtained.</w:t>
      </w:r>
    </w:p>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our agreements with AAdvantage members and program partners, we reserve the right to change the AAdvantage program at any time without notice, and may end the program with six months’ notice. Program rules, partners, special offers, awards and requisite mileage levels for awards are subject to change.</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2018, our members redeemed approximately 13 million awards including travel redemptions for flights and upgrades on American and other air carriers, as well as redemption of car and hotel awards, club memberships and merchandise. Approximately 7.6% of our 2018 total revenue passenger miles flown were from award travel.</w:t>
      </w:r>
    </w:p>
    <w:p>
      <w:pPr>
        <w:spacing w:after="0" w:line="130" w:lineRule="exact"/>
        <w:rPr>
          <w:sz w:val="20"/>
          <w:szCs w:val="20"/>
          <w:color w:val="auto"/>
        </w:rPr>
      </w:pPr>
    </w:p>
    <w:p>
      <w:pPr>
        <w:jc w:val="both"/>
        <w:ind w:firstLine="216"/>
        <w:spacing w:after="0" w:line="282"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xml:space="preserve"> </w:t>
      </w:r>
      <w:r>
        <w:rPr>
          <w:rFonts w:ascii="Arial" w:cs="Arial" w:eastAsia="Arial" w:hAnsi="Arial"/>
          <w:sz w:val="18"/>
          <w:szCs w:val="18"/>
          <w:i w:val="1"/>
          <w:iCs w:val="1"/>
          <w:color w:val="auto"/>
        </w:rPr>
        <w:t>and Estimate</w:t>
      </w:r>
      <w:r>
        <w:rPr>
          <w:rFonts w:ascii="Arial" w:cs="Arial" w:eastAsia="Arial" w:hAnsi="Arial"/>
          <w:sz w:val="18"/>
          <w:szCs w:val="18"/>
          <w:color w:val="auto"/>
        </w:rPr>
        <w:t>s” for more information on our loyalty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Competition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Domestic</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markets in which we operate are highly competitive. On most of our domestic nonstop routes, we currently face competing service from other domestic airlines, including major network airlines, low-cost carriers and ultra-low-cost carriers such as Alaska Airlines, Allegiant Air, Delta Air Lines, Frontier Airlines, Hawaiian Airlines, JetBlue Airways, Southwest Airlines, Spirit Airlines and United Airlines. Competition is even greater between cities that require a connection, where the major airlines compete via their respective hubs. In addition, we face competition on some of our connecting routes from airlines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79" w:right="239" w:bottom="1440" w:gutter="0" w:footer="0" w:header="0"/>
        </w:sectPr>
      </w:pPr>
    </w:p>
    <w:bookmarkStart w:id="7" w:name="page8"/>
    <w:bookmarkEnd w:id="7"/>
    <w:p>
      <w:pPr>
        <w:jc w:val="both"/>
        <w:ind w:right="20"/>
        <w:spacing w:after="0" w:line="262" w:lineRule="auto"/>
        <w:rPr>
          <w:sz w:val="20"/>
          <w:szCs w:val="20"/>
          <w:color w:val="auto"/>
        </w:rPr>
      </w:pPr>
      <w:r>
        <w:rPr>
          <w:rFonts w:ascii="Arial" w:cs="Arial" w:eastAsia="Arial" w:hAnsi="Arial"/>
          <w:sz w:val="18"/>
          <w:szCs w:val="18"/>
          <w:color w:val="auto"/>
        </w:rPr>
        <w:t>operating point-to-point service on such routes. We also compete with all-cargo and charter airlines and, particularly on shorter segments, ground and rail transportation.</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On all of our routes, pricing decisions are affected, in large part, by the need to meet competition from other airlines. Price competition occurs on a market-by-market basis through price discounts, changes in pricing structures, fare matching, targeted promotions and loyalty program initiatives. Airlines typically use discount fares and other promotions to stimulate traffic during normally slack travel periods, when they begin service to new cities or when they have excess capacity, to generate cash flow, to maximize revenue per available seat mile and to establish, increase or preserve market share. We have often elected to match discount or promotional fares initiated by other air carriers in certain markets in order to compete in those markets. Most airlines will quickly match price reductions in a particular market. In addition, low-fare, low-cost carriers, such as Southwest Airlines and JetBlue Airways, and so-called ultra-low-cost carriers, such as Allegiant Air, Frontier Airlines and Spirit Airlines, compete in many of the markets in which we operate and competition from these carriers is increasing.</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addition to price competition, airlines compete for market share by increasing the size of their route system and the number of markets they serve. The American Eagle regional carriers increase the number of markets we serve by flying to lower demand markets and providing connections at our hubs. Many of our competitors also own or have agreements with regional airlines that provide similar services at their hubs and other locations. We also compete on the basis of scheduling (frequency and flight times), availability of nonstop flights, on-time performance, type of equipment, cabin configuration, amenities provided to passengers, loyalty programs, the automation of travel agent reservation systems, onboard products, markets served and other services.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International</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addition to our extensive domestic service, we provide international service to Canada, Central and South America, Asia, Europe, Australia and New Zealand. In providing international air transportation, we compete with U.S. airlines, foreign investor-owned airlines and foreign state-owned or state-affiliated airlines. Competition is increasing from foreign state-owned and state-affiliated airlines in the Gulf region, including Emirates, Etihad Airways and Qatar Airways. These carriers have large numbers of international widebody aircraft in service and on order and are increasing service to the U.S. from locations both in and outside the Middle East. Service to and from locations outside of the Middle East is provided by some of these carriers under so-called “fifth freedom” rights permitted under international treaties which allow service to and from stopover points between an airline’s home country and the ultimate destination. Such flights, such as a stopover in Europe on flights to the United States, allow the carrier to sell tickets for travel between the stopover point and the United States in competition with service provided by us. Additionally, these carriers have made significant investments in a number of airlines located outside of the Middle East, such as Air Italy, providing these affiliated airlines with capital and aircraft to permit increases in service that compete with us. We believe these state-owned and state-affiliated carriers in the Gulf region, including their affiliated carriers, benefit from significant government subsidies, which have allowed them to grow quickly, reinvest in their product and expand their global presence. Competition is also increasing from low-cost airlines executing international long-haul expansion strategies, including, for example, Icelandair, Norwegian Air Shuttle and Wow Air.</w:t>
      </w:r>
    </w:p>
    <w:p>
      <w:pPr>
        <w:spacing w:after="0" w:line="7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order to increase our ability to compete for international air transportation service, which is subject to extensive government regulation, U.S. and foreign carriers have entered into bilateral and multilateral marketing relationships, alliances, cooperation agreements and JBAs to exchange traffic among each other’s flights and route networks. See “</w:t>
      </w:r>
      <w:r>
        <w:rPr>
          <w:rFonts w:ascii="Arial" w:cs="Arial" w:eastAsia="Arial" w:hAnsi="Arial"/>
          <w:sz w:val="18"/>
          <w:szCs w:val="18"/>
          <w:i w:val="1"/>
          <w:iCs w:val="1"/>
          <w:color w:val="auto"/>
        </w:rPr>
        <w:t>Distribution and Marketing Agreements</w:t>
      </w:r>
      <w:r>
        <w:rPr>
          <w:rFonts w:ascii="Arial" w:cs="Arial" w:eastAsia="Arial" w:hAnsi="Arial"/>
          <w:sz w:val="18"/>
          <w:szCs w:val="18"/>
          <w:color w:val="auto"/>
        </w:rPr>
        <w:t>” above for further discussion.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airline business is labor intensive. In 2018, salaries, wages and benefits were our largest expense and represented approximately 33% of our total operating expenses. As of December 31, 2018, we had approximately 128,900 active full-time equivalent employees, approximately 84% of whom were represented by various labor unions responsible for negotiating the collective bargaining agreements (CBAs) covering them.</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Labor relations in the air transportation industry are regulated under the Railway Labor Act (RLA), which vests in the National Mediation Board (NMB) certain functions with respect to disputes between airlines and labor unions relating to union representation and CBAs. When an RLA CBA becomes amendable, if either party to the agreement wishes to modify its terms, it must notify the other party in the manner prescribed under the RLA and as agreed by the parties. Under the RLA, the parties must meet for direct negotiations, and,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79" w:right="239" w:bottom="1440" w:gutter="0" w:footer="0" w:header="0"/>
        </w:sectPr>
      </w:pPr>
    </w:p>
    <w:bookmarkStart w:id="8" w:name="page9"/>
    <w:bookmarkEnd w:id="8"/>
    <w:p>
      <w:pPr>
        <w:jc w:val="both"/>
        <w:spacing w:after="0" w:line="253" w:lineRule="auto"/>
        <w:rPr>
          <w:sz w:val="20"/>
          <w:szCs w:val="20"/>
          <w:color w:val="auto"/>
        </w:rPr>
      </w:pPr>
      <w:r>
        <w:rPr>
          <w:rFonts w:ascii="Arial" w:cs="Arial" w:eastAsia="Arial" w:hAnsi="Arial"/>
          <w:sz w:val="18"/>
          <w:szCs w:val="18"/>
          <w:color w:val="auto"/>
        </w:rPr>
        <w:t>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and the airline may resort to its own “self-help,” including the imposition of any or all of its proposed amendments to the CBA and the hiring of new employees to replace any striking workers.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None of the unions representing our employees presently may lawfully engage in concerted slowdowns or refusals to work, such as strikes,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shows our domestic airline employee groups that are represented by unions: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Contract</w:t>
            </w:r>
          </w:p>
        </w:tc>
      </w:tr>
      <w:tr>
        <w:trPr>
          <w:trHeight w:val="202"/>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Union</w:t>
            </w:r>
          </w:p>
        </w:tc>
        <w:tc>
          <w:tcPr>
            <w:tcW w:w="120" w:type="dxa"/>
            <w:vAlign w:val="bottom"/>
            <w:tcBorders>
              <w:bottom w:val="single" w:sz="8" w:color="CCEEFF"/>
            </w:tcBorders>
          </w:tcPr>
          <w:p>
            <w:pPr>
              <w:spacing w:after="0"/>
              <w:rPr>
                <w:sz w:val="17"/>
                <w:szCs w:val="17"/>
                <w:color w:val="auto"/>
              </w:rPr>
            </w:pPr>
          </w:p>
        </w:tc>
        <w:tc>
          <w:tcPr>
            <w:tcW w:w="28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Class or Craft</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Amendable Date</w:t>
            </w: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Mainline:</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Allied Pilots Association (APA)</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13,600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2020</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Association of Professional Flight Attendants (APFA)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r>
      <w:tr>
        <w:trPr>
          <w:trHeight w:val="229"/>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Airline Customer Service Employee Association –</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Passenger Service</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15,050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2020</w:t>
            </w:r>
          </w:p>
        </w:tc>
      </w:tr>
      <w:tr>
        <w:trPr>
          <w:trHeight w:val="203"/>
        </w:trPr>
        <w:tc>
          <w:tcPr>
            <w:tcW w:w="52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Communications Workers of America and International</w:t>
            </w: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4"/>
        </w:trPr>
        <w:tc>
          <w:tcPr>
            <w:tcW w:w="5280" w:type="dxa"/>
            <w:vAlign w:val="bottom"/>
            <w:gridSpan w:val="2"/>
          </w:tcPr>
          <w:p>
            <w:pPr>
              <w:ind w:left="200"/>
              <w:spacing w:after="0"/>
              <w:rPr>
                <w:sz w:val="20"/>
                <w:szCs w:val="20"/>
                <w:color w:val="auto"/>
              </w:rPr>
            </w:pPr>
            <w:r>
              <w:rPr>
                <w:rFonts w:ascii="Arial" w:cs="Arial" w:eastAsia="Arial" w:hAnsi="Arial"/>
                <w:sz w:val="18"/>
                <w:szCs w:val="18"/>
                <w:color w:val="auto"/>
              </w:rPr>
              <w:t>Brotherhood of Teamsters (CWA-IBT)</w:t>
            </w: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5"/>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Transport Workers Union and International Association of</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Mechanics and Related</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12,450</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r>
      <w:tr>
        <w:trPr>
          <w:trHeight w:val="230"/>
        </w:trPr>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Machinists &amp; Aerospace Workers (TWU-IAM Association)</w:t>
            </w:r>
          </w:p>
        </w:tc>
        <w:tc>
          <w:tcPr>
            <w:tcW w:w="2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Fleet Service</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2018</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Clerks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Flight Simulator Engineers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2021</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Control Technicians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Maintenance Training Instructors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2018</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 Airline Flight Control Association (PAFCA)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2021</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Transport Workers Union (TWU)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Flight Crew Training Instructors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2021</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Envoy:</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Air Line Pilots Associations (ALPA)</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2024</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Association of Flight Attendants-CWA (AFA)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Ground School Instructors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TWU</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Mechanics and Related</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Stock Clerks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2020</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TWU</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Fleet Service Clerks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Dispatchers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Communications Workers of America (CWA)</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Service</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Tentative Initial</w:t>
            </w:r>
          </w:p>
        </w:tc>
      </w:tr>
      <w:tr>
        <w:trPr>
          <w:trHeight w:val="203"/>
        </w:trPr>
        <w:tc>
          <w:tcPr>
            <w:tcW w:w="5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Agreement</w:t>
            </w:r>
          </w:p>
        </w:tc>
      </w:tr>
      <w:tr>
        <w:trPr>
          <w:trHeight w:val="230"/>
        </w:trPr>
        <w:tc>
          <w:tcPr>
            <w:tcW w:w="5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Reached</w:t>
            </w:r>
          </w:p>
        </w:tc>
      </w:tr>
      <w:tr>
        <w:trPr>
          <w:trHeight w:val="459"/>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ind w:left="3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760"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Contract</w:t>
            </w:r>
          </w:p>
        </w:tc>
      </w:tr>
      <w:tr>
        <w:trPr>
          <w:trHeight w:val="202"/>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Union</w:t>
            </w:r>
          </w:p>
        </w:tc>
        <w:tc>
          <w:tcPr>
            <w:tcW w:w="120" w:type="dxa"/>
            <w:vAlign w:val="bottom"/>
          </w:tcPr>
          <w:p>
            <w:pPr>
              <w:spacing w:after="0"/>
              <w:rPr>
                <w:sz w:val="17"/>
                <w:szCs w:val="17"/>
                <w:color w:val="auto"/>
              </w:rPr>
            </w:pPr>
          </w:p>
        </w:tc>
        <w:tc>
          <w:tcPr>
            <w:tcW w:w="28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Class or Craft</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17"/>
                <w:szCs w:val="17"/>
                <w:b w:val="1"/>
                <w:bCs w:val="1"/>
                <w:color w:val="auto"/>
                <w:vertAlign w:val="superscript"/>
              </w:rPr>
              <w:t>(1)</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Amendable Date</w:t>
            </w: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Piedmont:</w:t>
            </w: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ALPA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Pilots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AFA</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Flight Attendants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International Brotherhood of Teamsters (IBT)</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Mechanics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2021</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IBT</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Stock Clerks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2021</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CWA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Fleet and Passenger Service</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2023</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IBT</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Dispatchers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ALPA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Flight Crew Training Instructors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PSA:</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ALPA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Pilots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2023</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AFA</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Flight Attendants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2017</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International Association of Machinists &amp; Aerospace Workers</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Mechanics</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2022</w:t>
            </w:r>
          </w:p>
        </w:tc>
      </w:tr>
      <w:tr>
        <w:trPr>
          <w:trHeight w:val="230"/>
        </w:trPr>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(IAM)</w:t>
            </w:r>
          </w:p>
        </w:tc>
        <w:tc>
          <w:tcPr>
            <w:tcW w:w="2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Dispatchers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37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21" w:lineRule="exact"/>
        <w:rPr>
          <w:sz w:val="20"/>
          <w:szCs w:val="20"/>
          <w:color w:val="auto"/>
        </w:rPr>
      </w:pPr>
    </w:p>
    <w:p>
      <w:pPr>
        <w:ind w:left="420" w:hanging="412"/>
        <w:spacing w:after="0"/>
        <w:tabs>
          <w:tab w:leader="none" w:pos="42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Approximate number of active full-time equivalent employees as of December 31, 2018.</w:t>
      </w:r>
    </w:p>
    <w:p>
      <w:pPr>
        <w:spacing w:after="0" w:line="161" w:lineRule="exact"/>
        <w:rPr>
          <w:sz w:val="20"/>
          <w:szCs w:val="20"/>
          <w:color w:val="auto"/>
        </w:rPr>
      </w:pPr>
    </w:p>
    <w:p>
      <w:pPr>
        <w:jc w:val="both"/>
        <w:ind w:left="60" w:firstLine="243"/>
        <w:spacing w:after="0" w:line="252" w:lineRule="auto"/>
        <w:rPr>
          <w:sz w:val="20"/>
          <w:szCs w:val="20"/>
          <w:color w:val="auto"/>
        </w:rPr>
      </w:pPr>
      <w:r>
        <w:rPr>
          <w:rFonts w:ascii="Arial" w:cs="Arial" w:eastAsia="Arial" w:hAnsi="Arial"/>
          <w:sz w:val="18"/>
          <w:szCs w:val="18"/>
          <w:color w:val="auto"/>
        </w:rPr>
        <w:t>Joint collective bargaining agreements (JCBAs) have been reached with post-Merger employee groups, except for contracts with the TWU-IAM Association which represents the maintenance, fleet service, stock clerks, maintenance control technicians and maintenance training instructors whose contracts became amendable in the third quarter of 2018. Negotiations designed to reach JCBAs involving all of these workgroups continue. Additionally, the post-Merger JCBAs covering our pilots and flight attendants, while not yet amendable, provide the unions with the right to elect to commence negotiations for new collective bargaining agreements in advance of each JCBA’s amendable date. Both of the unions have exercised these rights and negotiations are underway for new agreements.</w:t>
      </w:r>
    </w:p>
    <w:p>
      <w:pPr>
        <w:spacing w:after="0" w:line="155" w:lineRule="exact"/>
        <w:rPr>
          <w:sz w:val="20"/>
          <w:szCs w:val="20"/>
          <w:color w:val="auto"/>
        </w:rPr>
      </w:pPr>
    </w:p>
    <w:p>
      <w:pPr>
        <w:jc w:val="both"/>
        <w:ind w:left="60" w:right="20" w:firstLine="243"/>
        <w:spacing w:after="0" w:line="256" w:lineRule="auto"/>
        <w:rPr>
          <w:sz w:val="20"/>
          <w:szCs w:val="20"/>
          <w:color w:val="auto"/>
        </w:rPr>
      </w:pPr>
      <w:r>
        <w:rPr>
          <w:rFonts w:ascii="Arial" w:cs="Arial" w:eastAsia="Arial" w:hAnsi="Arial"/>
          <w:sz w:val="18"/>
          <w:szCs w:val="18"/>
          <w:color w:val="auto"/>
        </w:rPr>
        <w:t>Among our wholly-owned regional subsidiaries, the PSA flight attendants have an agreement that is now amendable and are engaged in traditional RLA negotiations. In January 2019, the Envoy passenger service employees reached a tentative seven-year labor agreement subject to membership ratification.</w:t>
      </w:r>
    </w:p>
    <w:p>
      <w:pPr>
        <w:spacing w:after="0" w:line="130" w:lineRule="exact"/>
        <w:rPr>
          <w:sz w:val="20"/>
          <w:szCs w:val="20"/>
          <w:color w:val="auto"/>
        </w:rPr>
      </w:pPr>
    </w:p>
    <w:p>
      <w:pPr>
        <w:jc w:val="both"/>
        <w:ind w:firstLine="216"/>
        <w:spacing w:after="0" w:line="282" w:lineRule="auto"/>
        <w:rPr>
          <w:sz w:val="20"/>
          <w:szCs w:val="20"/>
          <w:color w:val="auto"/>
        </w:rPr>
      </w:pPr>
      <w:r>
        <w:rPr>
          <w:rFonts w:ascii="Arial" w:cs="Arial" w:eastAsia="Arial" w:hAnsi="Arial"/>
          <w:sz w:val="18"/>
          <w:szCs w:val="18"/>
          <w:color w:val="auto"/>
        </w:rPr>
        <w:t>For more discussion, see Part I, Item 1A. Risk Factors – “</w:t>
      </w:r>
      <w:r>
        <w:rPr>
          <w:rFonts w:ascii="Arial" w:cs="Arial" w:eastAsia="Arial" w:hAnsi="Arial"/>
          <w:sz w:val="18"/>
          <w:szCs w:val="18"/>
          <w:i w:val="1"/>
          <w:iCs w:val="1"/>
          <w:color w:val="auto"/>
        </w:rPr>
        <w:t>Union disputes, employee strikes and other labor-related disruptions, or our</w:t>
      </w:r>
      <w:r>
        <w:rPr>
          <w:rFonts w:ascii="Arial" w:cs="Arial" w:eastAsia="Arial" w:hAnsi="Arial"/>
          <w:sz w:val="18"/>
          <w:szCs w:val="18"/>
          <w:color w:val="auto"/>
        </w:rPr>
        <w:t xml:space="preserve"> </w:t>
      </w:r>
      <w:r>
        <w:rPr>
          <w:rFonts w:ascii="Arial" w:cs="Arial" w:eastAsia="Arial" w:hAnsi="Arial"/>
          <w:sz w:val="18"/>
          <w:szCs w:val="18"/>
          <w:i w:val="1"/>
          <w:iCs w:val="1"/>
          <w:color w:val="auto"/>
        </w:rPr>
        <w:t>inability to otherwise maintain labor costs at competitive levels may adversely affect our operations and financial performance</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Fuel</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operations and financial results are significantly affected by the availability and price of jet fuel, which is our second largest expense. Based on our 2019 forecasted mainline and regional fuel consumption, we estimate that a one cent per gallon increase in aviation fuel price would increase our 2019 annual fuel expense by $45 million.</w:t>
      </w:r>
    </w:p>
    <w:p>
      <w:pPr>
        <w:spacing w:after="0" w:line="14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following table shows annual aircraft fuel consumption and costs, including taxes, for our mainline and regional operations for 2018, 2017 and 2016 (gallons and aircraft fuel expense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Aircraft Fuel</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Percent of Total</w:t>
            </w:r>
          </w:p>
        </w:tc>
      </w:tr>
      <w:tr>
        <w:trPr>
          <w:trHeight w:val="162"/>
        </w:trPr>
        <w:tc>
          <w:tcPr>
            <w:tcW w:w="45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Gallons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 Gallon</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Expense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Operating Expenses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5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4,447</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$9,896</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23.6%</w:t>
            </w:r>
          </w:p>
        </w:tc>
      </w:tr>
      <w:tr>
        <w:trPr>
          <w:trHeight w:val="26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2017</w:t>
            </w:r>
          </w:p>
        </w:tc>
        <w:tc>
          <w:tcPr>
            <w:tcW w:w="1380" w:type="dxa"/>
            <w:vAlign w:val="bottom"/>
          </w:tcPr>
          <w:p>
            <w:pPr>
              <w:jc w:val="center"/>
              <w:spacing w:after="0"/>
              <w:rPr>
                <w:sz w:val="20"/>
                <w:szCs w:val="20"/>
                <w:color w:val="auto"/>
              </w:rPr>
            </w:pPr>
            <w:r>
              <w:rPr>
                <w:rFonts w:ascii="Arial" w:cs="Arial" w:eastAsia="Arial" w:hAnsi="Arial"/>
                <w:sz w:val="18"/>
                <w:szCs w:val="18"/>
                <w:color w:val="auto"/>
                <w:w w:val="97"/>
              </w:rPr>
              <w:t>4,352</w:t>
            </w:r>
          </w:p>
        </w:tc>
        <w:tc>
          <w:tcPr>
            <w:tcW w:w="120" w:type="dxa"/>
            <w:vAlign w:val="bottom"/>
          </w:tcPr>
          <w:p>
            <w:pPr>
              <w:spacing w:after="0"/>
              <w:rPr>
                <w:sz w:val="22"/>
                <w:szCs w:val="22"/>
                <w:color w:val="auto"/>
              </w:rPr>
            </w:pPr>
          </w:p>
        </w:tc>
        <w:tc>
          <w:tcPr>
            <w:tcW w:w="1600" w:type="dxa"/>
            <w:vAlign w:val="bottom"/>
          </w:tcPr>
          <w:p>
            <w:pPr>
              <w:jc w:val="right"/>
              <w:ind w:right="497"/>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1600" w:type="dxa"/>
            <w:vAlign w:val="bottom"/>
          </w:tcPr>
          <w:p>
            <w:pPr>
              <w:jc w:val="right"/>
              <w:ind w:right="437"/>
              <w:spacing w:after="0"/>
              <w:rPr>
                <w:sz w:val="20"/>
                <w:szCs w:val="20"/>
                <w:color w:val="auto"/>
              </w:rPr>
            </w:pPr>
            <w:r>
              <w:rPr>
                <w:rFonts w:ascii="Arial" w:cs="Arial" w:eastAsia="Arial" w:hAnsi="Arial"/>
                <w:sz w:val="18"/>
                <w:szCs w:val="18"/>
                <w:color w:val="auto"/>
              </w:rPr>
              <w:t>7,510</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19.6%</w:t>
            </w:r>
          </w:p>
        </w:tc>
      </w:tr>
      <w:tr>
        <w:trPr>
          <w:trHeight w:val="277"/>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4,347</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17.6%</w:t>
            </w:r>
          </w:p>
        </w:tc>
      </w:tr>
    </w:tbl>
    <w:p>
      <w:pPr>
        <w:spacing w:after="0" w:line="161"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As of December 31, 2018, we did not have any fuel hedging contracts outstanding to hedge our fuel consumption. As such, and assuming we do not enter into any future transactions to hedge our fuel consumption, we will continue to be fully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10" w:right="239" w:bottom="1440" w:gutter="0" w:footer="0" w:header="0"/>
        </w:sectPr>
      </w:pPr>
    </w:p>
    <w:bookmarkStart w:id="10" w:name="page11"/>
    <w:bookmarkEnd w:id="10"/>
    <w:p>
      <w:pPr>
        <w:jc w:val="both"/>
        <w:ind w:right="20"/>
        <w:spacing w:after="0" w:line="262" w:lineRule="auto"/>
        <w:rPr>
          <w:sz w:val="20"/>
          <w:szCs w:val="20"/>
          <w:color w:val="auto"/>
        </w:rPr>
      </w:pPr>
      <w:r>
        <w:rPr>
          <w:rFonts w:ascii="Arial" w:cs="Arial" w:eastAsia="Arial" w:hAnsi="Arial"/>
          <w:sz w:val="18"/>
          <w:szCs w:val="18"/>
          <w:color w:val="auto"/>
        </w:rPr>
        <w:t>exposed to fluctuations in fuel prices. Our current policy is not to enter into transactions to hedge our fuel consumption, although we review that policy from time to time based on market conditions and other factors.</w:t>
      </w:r>
    </w:p>
    <w:p>
      <w:pPr>
        <w:spacing w:after="0" w:line="14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Fuel prices have fluctuated substantially over the past several years.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See Part I, Item 1A. Risk Factors – “</w:t>
      </w:r>
      <w:r>
        <w:rPr>
          <w:rFonts w:ascii="Arial" w:cs="Arial" w:eastAsia="Arial" w:hAnsi="Arial"/>
          <w:sz w:val="18"/>
          <w:szCs w:val="18"/>
          <w:i w:val="1"/>
          <w:iCs w:val="1"/>
          <w:color w:val="auto"/>
        </w:rPr>
        <w:t>Our business is very dependent on the price and availability of aircraft fuel. Continued periods of high volatility in fuel costs,</w:t>
      </w:r>
      <w:r>
        <w:rPr>
          <w:rFonts w:ascii="Arial" w:cs="Arial" w:eastAsia="Arial" w:hAnsi="Arial"/>
          <w:sz w:val="18"/>
          <w:szCs w:val="18"/>
          <w:color w:val="auto"/>
        </w:rPr>
        <w:t xml:space="preserve"> </w:t>
      </w:r>
      <w:r>
        <w:rPr>
          <w:rFonts w:ascii="Arial" w:cs="Arial" w:eastAsia="Arial" w:hAnsi="Arial"/>
          <w:sz w:val="18"/>
          <w:szCs w:val="18"/>
          <w:i w:val="1"/>
          <w:iCs w:val="1"/>
          <w:color w:val="auto"/>
        </w:rPr>
        <w:t>increased fuel prices or significant disruptions in the supply of aircraft fuel could have a significant negative impact on our operating results and liquidity</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Due to the greater demand for air travel during the summer months, revenues in the airline industry in the second and third quarters of the year tend to be greater than revenues in the first and fourth quarters of the year. General economic conditions, fears of terrorism or war, fare initiatives, fluctuations in fuel prices, labor actions, weather, natural disasters, outbreaks of disease and other factors could impact this seasonal pattern. Therefore, our quarterly results of operations are not necessarily indicative of operating results for the entire year, and historical operating results in a quarterly or annual period are not necessarily indicative of future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and Global Regulatory Landscape</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Airlines are subject to extensive domestic and international regulatory requirements. Domestically, the DOT and the Federal Aviation Administration (FAA) exercise significant regulatory authority over air carriers.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DOT, among other things, oversees domestic and international codeshare agreements, international route authorities, competition and consumer protection matters such as advertising, denied boarding compensation and baggage liability. The Antitrust Division of the Department of Justice (DOJ), along with the DOT in certain instances, have jurisdiction over airline antitrust matters.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FAA similarly exercises safety oversight and regulates most operational matters of our business, including how we operate and maintain our aircraft. FAA requirements cover, among other things, required technology and necessary onboard equipment; systems, procedures and training necessary to ensure the continuous airworthiness of our fleet of aircraft; safety measures and equipment; crew scheduling limitations and experience requirements; and many other technical aspects of airline operations. Additionally, our pilots and other employees are subject to rigorous certification standards, and our pilots and other crew members must adhere to flight time and rest requirements.</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FAA also controls the national airspace system, including operational rules and fees for air traffic control (ATC) services. The efficiency, reliability and capacity of the ATC network has a significant impact on our costs and on the timeliness of our operations.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U.S. Postal Service has jurisdiction over certain aspects of the transportation of mail and related services.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Airport Access and Operations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Domestically, any U.S. airline authorized by the DOT is generally free to operate scheduled passenger service between any two points within the U.S. and its territories, with the exception of certain airports that require landing and take-off rights and authorizations (slots) and other facilities, and certain airports that impose geographic limitations on operations or curtail operations based on the time of day. Operations at three major domestic airports we serve (John F. Kennedy International Airport (JFK) and La Guardia Airport (LGA) in New York City, and Ronald Reagan Washington National Airport (DCA) in Washington, D.C.) and many foreign airports we serve (including LHR)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In addition to slot restrictions, operations at LGA and DCA are also limited based on a so-called “perimeter rule” which generally limits the stage length of the flights that can be operated from those airports to 1,500 and 1,250 miles, respectively.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60" w:right="239" w:bottom="1440" w:gutter="0" w:footer="0" w:header="0"/>
        </w:sectPr>
      </w:pPr>
    </w:p>
    <w:bookmarkStart w:id="11" w:name="page12"/>
    <w:bookmarkEnd w:id="11"/>
    <w:p>
      <w:pPr>
        <w:jc w:val="both"/>
        <w:ind w:firstLine="216"/>
        <w:spacing w:after="0" w:line="262" w:lineRule="auto"/>
        <w:rPr>
          <w:sz w:val="20"/>
          <w:szCs w:val="20"/>
          <w:color w:val="auto"/>
        </w:rPr>
      </w:pPr>
      <w:r>
        <w:rPr>
          <w:rFonts w:ascii="Arial" w:cs="Arial" w:eastAsia="Arial" w:hAnsi="Arial"/>
          <w:sz w:val="18"/>
          <w:szCs w:val="18"/>
          <w:color w:val="auto"/>
        </w:rPr>
        <w:t>Our ability to provide service can also be impaired at airports, such as ORD in Chicago and Los Angeles International Airport (LAX), where the airport gate and other facilities are currently inadequate to accommodate all of the service that we would like to provide.</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Existing law also permits domestic local airport authorities to implement procedures and impose restrictions designed to abate noise, provided such procedures and restrictions do not unreasonably interfere with interstate or foreign commerce or the national transportation system. In some instances, these restrictions have caused curtailments in service or increases in operating costs.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Airline Fares, Taxes and User Fees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Airlines are permitted to establish their own domestic fares without governmental regulation. The DOT maintains authority over certain international fares, rates and charges, but applies this authority on a limited basis. In addition, international fares and rates are sometimes subject to the jurisdiction of the governments of the foreign countries which we serve.</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Airlines are obligated to collect a federal excise tax, commonly referred to as the “ticket tax,” on domestic and international air transportation, and to collect other taxes and charge other fees, such as foreign taxes, security fees and passenger facility charges. Although these taxes and fees are not our operating expenses, they represent an additional cost to our customers. These taxes and fees are subject to increase from time to time.</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DOT Passenger Protection Rules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DOT regulates airline interactions with passengers through the ticketing process, at the airport and on board the aircraft. Among other things, these regulations govern how our fares are displayed online, required customer disclosures, access by disabled passengers, handling of long onboard flight delays and reporting of mishandled bags. In addition, the DOT is likely to issue a regulation in 2019 that would require air carriers to refund checked bag fees in the event of certain delays in delivery.</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International</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International air transportation is subject to extensive government regulation, including aviation agreements between the U.S. and other countries or governmental authorities, such as the EU. Moreover, alliances with international carriers may be subject to the jurisdiction and regulations of various foreign agencies. The U.S. government has negotiated “open skies” agreements with over 120 countries, which allow unrestricted route authority access between the U.S. and the foreign markets. While the U.S. has worked to increase the number of countries with which open skies agreements are in effect, a number of markets important to us, including China, do not have open skies agreements.</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addition, foreign countries impose passenger protection rules, which are analogous to, and often meet or exceed the requirements of, the DOT passenger protection rules discussed above. In cases where these foreign requirements exceed the DOT rules, we may bear additional burdens and liabilities. Further, various foreign airport authorities impose noise restrictions at their local airports.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Security</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Since shortly after the events of September 11, 2001, substantially all aspects of civil aviation security in the U.S. or affecting U.S. carriers have been controlled or regulated by the federal government through the Transportation Security Administration (TSA). Requirements include flight deck security; carriage of federal air marshals at no charge; enhanced security screening of passengers, baggage, cargo, mail, employees and vendors; fingerprint-based background checks of all employees and vendor employees with access to secure areas of airports; and the provision of certain passenger data to the federal government and other international border security authorities, for security and immigration controls. Funding for the TSA is provided by a combination of air carrier fees, passenger fees and taxpayer funds. Customs and Border Protection, which, like the TSA, is part of the Department of Homeland Security (DHS), also promulgates requirements, performs services and collects fees that impact our provision of services. Additionally, we have at times found it necessary or desirable to make significant expenditures to comply with security-related requirements while seeking to reduce their impact on our customers, such as expenditures for automated security screening lines at airports. Our international service further requires us to comply with the civil aviation security regimes imposed at the foreign airports we serve.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60" w:right="239" w:bottom="1440" w:gutter="0" w:footer="0" w:header="0"/>
        </w:sectPr>
      </w:pPr>
    </w:p>
    <w:bookmarkStart w:id="12" w:name="page13"/>
    <w:bookmarkEnd w:id="12"/>
    <w:p>
      <w:pPr>
        <w:ind w:left="22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Environmental Regulation</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airline industry is subject to various laws and government regulations concerning environmental matters in the U.S. and other countries. U.S. federal laws that have a particular impact on our operations include the Airport Noise and Capacity Act of 1990, the Clean Air Act, the Resource Conservation and Recovery Act, the Clean Water Act, the Safe Drinking Water Act and the Comprehensive Environmental Response, Compensation and Liability Act (Superfund Act). The U.S. Environmental Protection Agency (EPA) and other federal agencies have been authorized to promulgate regulations that have an impact on our operations. In addition to these federal activities, various states have been delegated certain authorities under the aforementioned federal statutes. Many state and local governments have adopted environmental laws and regulations which are similar to or stricter than federal requirements.</w:t>
      </w:r>
    </w:p>
    <w:p>
      <w:pPr>
        <w:spacing w:after="0" w:line="153" w:lineRule="exact"/>
        <w:rPr>
          <w:sz w:val="20"/>
          <w:szCs w:val="20"/>
          <w:color w:val="auto"/>
        </w:rPr>
      </w:pPr>
    </w:p>
    <w:p>
      <w:pPr>
        <w:jc w:val="both"/>
        <w:ind w:right="20" w:firstLine="216"/>
        <w:spacing w:after="0" w:line="254" w:lineRule="auto"/>
        <w:rPr>
          <w:sz w:val="20"/>
          <w:szCs w:val="20"/>
          <w:color w:val="auto"/>
        </w:rPr>
      </w:pPr>
      <w:r>
        <w:rPr>
          <w:rFonts w:ascii="Arial" w:cs="Arial" w:eastAsia="Arial" w:hAnsi="Arial"/>
          <w:sz w:val="18"/>
          <w:szCs w:val="18"/>
          <w:color w:val="auto"/>
        </w:rPr>
        <w:t>Revised underground storage tank regulations issued by the EPA in 2015 have affected certain airport fuel hydrant systems, with modifications of such systems needed in order to comply with applicable portions of the revised regulations. In addition, related to the EPA and state regulations pertaining to stormwater management, several U.S. airport authorities are actively engaged in efforts to limit discharges of deicing fluid into the environment, often by requiring airlines to participate in the building or reconfiguring of airport deicing facilities.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environmental laws to which we are subject include those related to responsibility for potential soil and groundwater contamination. We are conducting investigation and remediation activities to address soil and groundwater conditions at several sites, including airports and maintenance bases. We presently anticipate that the ongoing costs of such activities will not have a material impact on our operations. In addition, we have been named as a potentially responsible party (PRP) at certain Superfund sites. Our alleged volumetric contributions at such sites are relatively small in comparison to total contributions of all PRPs. Accordingly, we presently anticipate that any future payments of costs at such sites will not have a material impact on our operations.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Aircraft Emissions and Climate Change Requirements</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Many aspects of our operations are subject to increasingly stringent environmental regulations and concerns about climate change and greenhouse gas (GHG) emissions. For example, the EU has established the Emissions Trading System (ETS) to regulate GHG emissions in the EU. The EU adopted a directive in 2008 under which each EU member state is required to extend the ETS to aviation operations. However, the EU ETS has never fully been imposed, in large part due to the global effort to moderate international aviation emissions solely through the International Civil Aviation Organization (ICAO). The EU has extended its stay on the extra-territorial application of the EU ETS as applied to international flights to/from the European Economic Area (EEA) through year-end 2023, contingent on successful implementation of CORSIA. Thereafter, the EU will assess CORSIA implementation and decide the future status of the EU ETS as applied to international aviation to/from the EEA. The U.S. enacted legislation in November 2012 intended to encourage an international solution through ICAO, but which also authorizes the U.S. Secretary of Transportation to prohibit U.S. airlines from participating in the ETS.</w:t>
      </w:r>
    </w:p>
    <w:p>
      <w:pPr>
        <w:spacing w:after="0" w:line="159"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2016, ICAO passed a resolution adopting the Carbon Offsetting and Reduction Scheme for International Aviation (CORSIA), which is a global, market-based emissions offset program intended to encourage carbon-neutral growth beyond 2020. CORSIA applies to international aviation, and does not directly impact domestic U.S. flights. CORSIA was supported by the board of Airlines for America (the principal U.S. airline trade association, of which we are a member), the International Air Transport Association (IATA) (the principal international airline trade association), and by American and many other U.S. and foreign airlines. In March 2017, ICAO also adopted new aircraft certification standards to reduce carbon dioxide emissions from aircraft, which will apply to new aircraft type designs commencing in 2020, and to aircraft type designs already in production as of 2023. On June 27, 2018, ICAO adopted standards pertaining to the collection and sharing of information on international aviation emissions beginning in 2019. Airline operators must prepare GHG monitoring plans by February 2019. CORSIA will increase operating costs for American and most other airlines, including other U.S. airlines that operate internationally, but the implementation of a global program, as compared to regional emission reduction schemes, should ensure that resulting increases in operating costs will be more evenly applied to American and its competitors since there will be a common global regulatory regime. CORSIA is expected to be implemented in phases, with information collection and sharing beginning in 2019, a pilot phase beginning in 2021, and the first phase beginning in 2024. Certain details still need to be developed and the impact of CORSIA cannot be fully predicted.</w:t>
      </w:r>
    </w:p>
    <w:p>
      <w:pPr>
        <w:spacing w:after="0" w:line="15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2019, the EPA could finalize a rule implementing aircraft engine GHG emission standards developed initially through ICAO. It is anticipated that the EPA rule will closely align with recent ICAO carbon dioxide emission standards. The new standards, which were supported by the airline industry and manufacturers, would apply to new type aircraft certified beginning in 2020, and would be phased in for newly manufactured existing aircraft type designs starting in 2023.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19" w:right="239" w:bottom="1440" w:gutter="0" w:footer="0" w:header="0"/>
        </w:sectPr>
      </w:pPr>
    </w:p>
    <w:bookmarkStart w:id="13" w:name="page14"/>
    <w:bookmarkEnd w:id="13"/>
    <w:p>
      <w:pPr>
        <w:ind w:firstLine="216"/>
        <w:spacing w:after="0" w:line="262" w:lineRule="auto"/>
        <w:rPr>
          <w:sz w:val="20"/>
          <w:szCs w:val="20"/>
          <w:color w:val="auto"/>
        </w:rPr>
      </w:pPr>
      <w:r>
        <w:rPr>
          <w:rFonts w:ascii="Arial" w:cs="Arial" w:eastAsia="Arial" w:hAnsi="Arial"/>
          <w:sz w:val="18"/>
          <w:szCs w:val="18"/>
          <w:color w:val="auto"/>
        </w:rPr>
        <w:t>In addition, several states have adopted or are considering initiatives to regulate GHG emissions, primarily through the planned development of GHG emissions inventories, regional GHG cap and trade programs or low carbon fuel programs.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taken a number of actions that mitigate our GHG emissions and conserve fuel such as:</w:t>
      </w:r>
    </w:p>
    <w:p>
      <w:pPr>
        <w:spacing w:after="0" w:line="11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Retiring older aircraft and replacing them with new, more fuel-efficient aircraft;</w:t>
      </w:r>
    </w:p>
    <w:p>
      <w:pPr>
        <w:spacing w:after="0" w:line="117"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Reducing fuel consumption through our Fuel Smart Program, which is an employee-led effort to safely reduce fuel consumption at American; a similar program is underway to reduce fuel consumption at our regional carriers;</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Working with the FAA and vendors to facilitate efficient airspace procedures, which also reduces aircraft emissions;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Replacing existing cargo containers with lightweight versions;</w:t>
      </w:r>
    </w:p>
    <w:p>
      <w:pPr>
        <w:spacing w:after="0" w:line="11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Replacing older, inefficient ground support equipment with new, more fuel-efficient ground support equipment, including alternative-fuel and electric powered equipment;</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Purchasing renewable energy to reduce indirect emissions;</w:t>
      </w:r>
    </w:p>
    <w:p>
      <w:pPr>
        <w:spacing w:after="0" w:line="11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Seeking certification of certain of our buildings to the U.S. Green Building Council’s Leadership in Energy and Environmental Design (LEED) standard;</w:t>
      </w:r>
    </w:p>
    <w:p>
      <w:pPr>
        <w:spacing w:after="0" w:line="88"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Entering into discussions with potential vendors to further explore potential production pathways for sustainable alternative jet fuel; and</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Cooperating with airports and other stakeholders to accelerate the introduction of sustainable alternative fuels</w:t>
      </w:r>
    </w:p>
    <w:p>
      <w:pPr>
        <w:spacing w:after="0" w:line="153" w:lineRule="exact"/>
        <w:rPr>
          <w:sz w:val="20"/>
          <w:szCs w:val="20"/>
          <w:color w:val="auto"/>
        </w:rPr>
      </w:pPr>
    </w:p>
    <w:p>
      <w:pPr>
        <w:jc w:val="both"/>
        <w:ind w:right="20" w:firstLine="216"/>
        <w:spacing w:after="0" w:line="282" w:lineRule="auto"/>
        <w:rPr>
          <w:sz w:val="20"/>
          <w:szCs w:val="20"/>
          <w:color w:val="auto"/>
        </w:rPr>
      </w:pPr>
      <w:r>
        <w:rPr>
          <w:rFonts w:ascii="Arial" w:cs="Arial" w:eastAsia="Arial" w:hAnsi="Arial"/>
          <w:sz w:val="18"/>
          <w:szCs w:val="18"/>
          <w:color w:val="auto"/>
        </w:rPr>
        <w:t xml:space="preserve">For further information, see our annual Corporate Responsibility Report, available on our website at </w:t>
      </w:r>
      <w:r>
        <w:rPr>
          <w:rFonts w:ascii="Arial" w:cs="Arial" w:eastAsia="Arial" w:hAnsi="Arial"/>
          <w:sz w:val="18"/>
          <w:szCs w:val="18"/>
          <w:i w:val="1"/>
          <w:iCs w:val="1"/>
          <w:color w:val="auto"/>
        </w:rPr>
        <w:t>www.aa.com</w:t>
      </w:r>
      <w:r>
        <w:rPr>
          <w:rFonts w:ascii="Arial" w:cs="Arial" w:eastAsia="Arial" w:hAnsi="Arial"/>
          <w:sz w:val="18"/>
          <w:szCs w:val="18"/>
          <w:color w:val="auto"/>
        </w:rPr>
        <w:t>. None of the information or contents of our website is incorporated into this Annual Report on Form 10-K.</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 of Regulatory Requirements on Our Business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Regulatory requirements, including but not limited to those discussed above, affect operations and increase operating costs for the airline industry, including our airline subsidiaries, and future regulatory developments may continue to do the same in the future. See Part I, Item 1A. Risk Factors – “</w:t>
      </w:r>
      <w:r>
        <w:rPr>
          <w:rFonts w:ascii="Arial" w:cs="Arial" w:eastAsia="Arial" w:hAnsi="Arial"/>
          <w:sz w:val="18"/>
          <w:szCs w:val="18"/>
          <w:i w:val="1"/>
          <w:iCs w:val="1"/>
          <w:color w:val="auto"/>
        </w:rPr>
        <w:t>Evolving data security and privacy requirements could increase our costs, and any significant data security incident could</w:t>
      </w:r>
      <w:r>
        <w:rPr>
          <w:rFonts w:ascii="Arial" w:cs="Arial" w:eastAsia="Arial" w:hAnsi="Arial"/>
          <w:sz w:val="18"/>
          <w:szCs w:val="18"/>
          <w:color w:val="auto"/>
        </w:rPr>
        <w:t xml:space="preserve"> </w:t>
      </w:r>
      <w:r>
        <w:rPr>
          <w:rFonts w:ascii="Arial" w:cs="Arial" w:eastAsia="Arial" w:hAnsi="Arial"/>
          <w:sz w:val="18"/>
          <w:szCs w:val="18"/>
          <w:i w:val="1"/>
          <w:iCs w:val="1"/>
          <w:color w:val="auto"/>
        </w:rPr>
        <w:t>disrupt our operations, harm our reputation, expose us to legal risks and otherwise materially adversely affect our business, results of operations and financial condition,” “If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 “Our business is subject to extensive government regulation, which may result in increases in our costs, disruptions to our operations, limits on our operating flexibility, reductions in the demand for air travel, and competitive disadvantages,” “The airline industry is heavily taxed,</w:t>
      </w:r>
      <w:r>
        <w:rPr>
          <w:rFonts w:ascii="Arial" w:cs="Arial" w:eastAsia="Arial" w:hAnsi="Arial"/>
          <w:sz w:val="18"/>
          <w:szCs w:val="18"/>
          <w:color w:val="auto"/>
        </w:rPr>
        <w:t>”</w:t>
      </w:r>
      <w:r>
        <w:rPr>
          <w:rFonts w:ascii="Arial" w:cs="Arial" w:eastAsia="Arial" w:hAnsi="Arial"/>
          <w:sz w:val="18"/>
          <w:szCs w:val="18"/>
          <w:i w:val="1"/>
          <w:iCs w:val="1"/>
          <w:color w:val="auto"/>
        </w:rPr>
        <w:t xml:space="preserve"> “We are subject to many forms of environmental and noise regulation and may incur substantial costs as a result” </w:t>
      </w:r>
      <w:r>
        <w:rPr>
          <w:rFonts w:ascii="Arial" w:cs="Arial" w:eastAsia="Arial" w:hAnsi="Arial"/>
          <w:sz w:val="18"/>
          <w:szCs w:val="18"/>
          <w:color w:val="auto"/>
        </w:rPr>
        <w:t>and</w:t>
      </w:r>
      <w:r>
        <w:rPr>
          <w:rFonts w:ascii="Arial" w:cs="Arial" w:eastAsia="Arial" w:hAnsi="Arial"/>
          <w:sz w:val="18"/>
          <w:szCs w:val="18"/>
          <w:i w:val="1"/>
          <w:iCs w:val="1"/>
          <w:color w:val="auto"/>
        </w:rPr>
        <w:t xml:space="preserve"> “We are subject to risks associated with climate change, including increased regulation to reduce emissions of greenhouse gases” </w:t>
      </w:r>
      <w:r>
        <w:rPr>
          <w:rFonts w:ascii="Arial" w:cs="Arial" w:eastAsia="Arial" w:hAnsi="Arial"/>
          <w:sz w:val="18"/>
          <w:szCs w:val="18"/>
          <w:color w:val="auto"/>
        </w:rPr>
        <w:t>for additional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Websites to Disclose Information</w:t>
      </w:r>
    </w:p>
    <w:p>
      <w:pPr>
        <w:spacing w:after="0" w:line="9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www.aa.com</w:t>
      </w:r>
      <w:r>
        <w:rPr>
          <w:rFonts w:ascii="Arial" w:cs="Arial" w:eastAsia="Arial" w:hAnsi="Arial"/>
          <w:sz w:val="18"/>
          <w:szCs w:val="18"/>
          <w:color w:val="auto"/>
        </w:rPr>
        <w:t xml:space="preserve">. We have made and expect in the future to make public disclosures to investors and the general public of information regarding AAG and its subsidiaries by means of the investor relations section of our website as well as through the use of our social media sites, including Facebook and Twitter. In order to receive notifications regarding new postings to our website, investors are encouraged to enroll on our website to receive automatic email alerts (see </w:t>
      </w:r>
      <w:r>
        <w:rPr>
          <w:rFonts w:ascii="Arial" w:cs="Arial" w:eastAsia="Arial" w:hAnsi="Arial"/>
          <w:sz w:val="18"/>
          <w:szCs w:val="18"/>
          <w:i w:val="1"/>
          <w:iCs w:val="1"/>
          <w:color w:val="auto"/>
        </w:rPr>
        <w:t>https://americanairlines.gcs-web.com/email-alerts</w:t>
      </w:r>
      <w:r>
        <w:rPr>
          <w:rFonts w:ascii="Arial" w:cs="Arial" w:eastAsia="Arial" w:hAnsi="Arial"/>
          <w:sz w:val="18"/>
          <w:szCs w:val="18"/>
          <w:color w:val="auto"/>
        </w:rPr>
        <w:t>), “follow” American (@AmericanAir) on Twitter and “like” American on our Facebook page (</w:t>
      </w:r>
      <w:r>
        <w:rPr>
          <w:rFonts w:ascii="Arial" w:cs="Arial" w:eastAsia="Arial" w:hAnsi="Arial"/>
          <w:sz w:val="18"/>
          <w:szCs w:val="18"/>
          <w:i w:val="1"/>
          <w:iCs w:val="1"/>
          <w:color w:val="auto"/>
        </w:rPr>
        <w:t>www.facebook.com/AmericanAirlines</w:t>
      </w:r>
      <w:r>
        <w:rPr>
          <w:rFonts w:ascii="Arial" w:cs="Arial" w:eastAsia="Arial" w:hAnsi="Arial"/>
          <w:sz w:val="18"/>
          <w:szCs w:val="18"/>
          <w:color w:val="auto"/>
        </w:rPr>
        <w:t>). None of the information or contents of our website or social media postings is incorporated into this Annual Report on Form 10-K.</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60" w:right="239" w:bottom="1440" w:gutter="0" w:footer="0" w:header="0"/>
        </w:sectPr>
      </w:pPr>
    </w:p>
    <w:bookmarkStart w:id="14" w:name="page15"/>
    <w:bookmarkEnd w:id="14"/>
    <w:p>
      <w:pPr>
        <w:ind w:left="220"/>
        <w:spacing w:after="0"/>
        <w:rPr>
          <w:sz w:val="20"/>
          <w:szCs w:val="20"/>
          <w:color w:val="auto"/>
        </w:rPr>
      </w:pPr>
      <w:r>
        <w:rPr>
          <w:rFonts w:ascii="Arial" w:cs="Arial" w:eastAsia="Arial" w:hAnsi="Arial"/>
          <w:sz w:val="18"/>
          <w:szCs w:val="18"/>
          <w:b w:val="1"/>
          <w:bCs w:val="1"/>
          <w:i w:val="1"/>
          <w:iCs w:val="1"/>
          <w:color w:val="auto"/>
        </w:rPr>
        <w:t>Availability of SEC Reports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A copy of this Annual Report on Form 10-K, Quarterly Reports on Form 10-Q, Current Reports on Form 8-K and amendments to those reports are available free of charge on our website as soon as reasonably practicable after we electronically file such material with, or furnish it to, the SEC. The SEC also maintains a website that contains reports, proxy and information statements, and other information regarding issuers that file electronically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1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1A. RISK FACTORS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See also </w:t>
      </w:r>
      <w:r>
        <w:rPr>
          <w:rFonts w:ascii="Arial" w:cs="Arial" w:eastAsia="Arial" w:hAnsi="Arial"/>
          <w:sz w:val="18"/>
          <w:szCs w:val="18"/>
          <w:i w:val="1"/>
          <w:iCs w:val="1"/>
          <w:color w:val="auto"/>
        </w:rPr>
        <w:t>“The airline industry is intensely competitive and dynamic”</w:t>
      </w:r>
      <w:r>
        <w:rPr>
          <w:rFonts w:ascii="Arial" w:cs="Arial" w:eastAsia="Arial" w:hAnsi="Arial"/>
          <w:sz w:val="18"/>
          <w:szCs w:val="18"/>
          <w:color w:val="auto"/>
        </w:rPr>
        <w:t xml:space="preserve"> below.</w:t>
      </w:r>
    </w:p>
    <w:p>
      <w:pPr>
        <w:spacing w:after="0" w:line="211"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our operating results and liquidity.</w:t>
      </w:r>
    </w:p>
    <w:p>
      <w:pPr>
        <w:spacing w:after="0" w:line="5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Market prices for jet fuel have fluctuated substantially over the past several years and prices continue to be highly volatile.</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Any of these factors or events could cause a disruption in oil production, refinery operations, pipeline capacity or terminal access and possibly result in significant increases in the price of aircraft fuel and diminished availability of aircraft fuel supply.</w:t>
      </w:r>
    </w:p>
    <w:p>
      <w:pPr>
        <w:spacing w:after="0" w:line="159"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December 31, 2018, we did not have any fuel hedging contracts outstanding. As such, and assuming we do not enter into any future transactions to hedge our fuel consumption, we will continue to be fully exposed to fluctuations in fuel prices. See also the discussion in Part II, Item 7A. Quantitative and Qualitative Disclosures About Market Risk – </w:t>
      </w:r>
      <w:r>
        <w:rPr>
          <w:rFonts w:ascii="Arial" w:cs="Arial" w:eastAsia="Arial" w:hAnsi="Arial"/>
          <w:sz w:val="18"/>
          <w:szCs w:val="18"/>
          <w:i w:val="1"/>
          <w:iCs w:val="1"/>
          <w:color w:val="auto"/>
        </w:rPr>
        <w:t>“Aircraft Fuel.”</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carrier (including so-called ultra-low cost carriers). Our revenues are sensitive to the actions of other carriers in many areas including pricing, scheduling, capacity, amenities, loyalty benefits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76" w:right="239" w:bottom="1440" w:gutter="0" w:footer="0" w:header="0"/>
        </w:sectPr>
      </w:pPr>
    </w:p>
    <w:bookmarkStart w:id="16" w:name="page17"/>
    <w:bookmarkEnd w:id="16"/>
    <w:p>
      <w:pPr>
        <w:jc w:val="both"/>
        <w:ind w:firstLine="216"/>
        <w:spacing w:after="0" w:line="251"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While historically these carriers have provided competition in domestic markets, we have recently experienced new competition from low-cost carriers on international routes. A number of these low-cost carriers have announced growth strategies including commitments to acquire significant numbers of new aircraft for delivery in the next few years. These low-cost carriers are attempting to continue to increase their market share through growth and, potentially,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or the competitive reaction of the low-cost carriers. Competition is also increasing from low-cost airlines executing international long-haul expansion strategies, including, for example, Icelandair, Norwegian Air Shuttle and Wow Air. The actions of existing or future low-cost carriers, including those described above, could have a material adverse effect on our operations and financial performance.</w:t>
      </w:r>
    </w:p>
    <w:p>
      <w:pPr>
        <w:spacing w:after="0" w:line="15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provide air travel internationally, directly as well as through joint business, alliance, codeshare and similar arrangements to which we are a party. While our network is comprehensive, compared to some of our key global competitors, we generally have somewhat greater relative exposure to certain regions (for example, Latin America) and somewhat lower relative exposures to others (for example, China and parts of Asia). Our financial performance relative to our key competitors will therefore be influenced significantly by macro-economic conditions in particular regions around the world and the relative exposure of our network to the markets in those regions.</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providing international air transportation, we compete to provide scheduled passenger and cargo service between the U.S. and various overseas locations with U.S. airlines, foreign investor-owned airlines and foreign state-owned or state-affiliated airlines. Competition is increasing from foreign state-owned and state-affiliated airlines in the Gulf region, including Emirates, Etihad Airways and Qatar Airways. These carriers have large numbers of international widebody aircraft in service and on order and are increasing service to the U.S. from locations both in and outside the Middle East. Service to and from locations outside of the Middle East is provided by some of these carriers under so-called “fifth freedom” rights permitted under international treaties which allow service to and from stopover points between an airline’s home country and the ultimate destination. Such flights, such as a stopover in Europe on flights to the United States, allow the carrier to sell tickets for travel between the stopover point and the United States in competition with service provided by us. Additionally, these carriers have made significant investments in a number of airlines located outside of the Middle East, such as Air Italy, providing these affiliated airlines with capital and aircraft to permit increases in service that compete with us. We believe these state-owned and state-affiliated carriers in the Gulf region, including their affiliated carriers, benefit from significant government subsidies, which have allowed them to grow quickly, reinvest in their product and expand their global presence. Competition is also increasing from low-cost airlines executing international long-haul expansion strategies, including, for example, Icelandair, Norwegian Air Shuttle and Wow Air.</w:t>
      </w:r>
    </w:p>
    <w:p>
      <w:pPr>
        <w:spacing w:after="0" w:line="15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such as we have recently experienced in Venezuela, when any foreign country we serve suffers adverse local economic conditions. In addition, open skies agreements with an increasing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 regulation, which may result in</w:t>
      </w:r>
      <w:r>
        <w:rPr>
          <w:rFonts w:ascii="Arial" w:cs="Arial" w:eastAsia="Arial" w:hAnsi="Arial"/>
          <w:sz w:val="18"/>
          <w:szCs w:val="18"/>
          <w:color w:val="auto"/>
        </w:rPr>
        <w:t xml:space="preserve"> </w:t>
      </w:r>
      <w:r>
        <w:rPr>
          <w:rFonts w:ascii="Arial" w:cs="Arial" w:eastAsia="Arial" w:hAnsi="Arial"/>
          <w:sz w:val="18"/>
          <w:szCs w:val="18"/>
          <w:i w:val="1"/>
          <w:iCs w:val="1"/>
          <w:color w:val="auto"/>
        </w:rPr>
        <w:t>increases in our costs, disruptions to our operations, limits on our operating flexibility, reductions in the demand for air travel, and competitive disadvantages.”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has established a transatlantic JBA with British Airways, Iberia and Finnair, and separately, a transpacific JBA with Japan Airlines, each of which has been granted antitrust immunity. In October 2017, American and its transatlantic partners executed an amended and restated JBA which, among other things, extends the term of the agreement. An application is pending with the DOT to add Aer Lingus, which is now owned by the parent company of British Airways and Iberia, to the transatlantic JBA. This relationship benefits from a grant of antitrust immunity from the DOT and was reviewed by the EC in July 2010. In connection with this review, we provided certain commitments to the EC regarding, among other things, the availability of take-off and landing slots at LHR or LGW airports. The commitments accepted by the EC are binding for 10 years with the possibility of renewal by the EC. However, in light of Brexit and the related possibility that the EC would no</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79" w:right="239" w:bottom="1440" w:gutter="0" w:footer="0" w:header="0"/>
        </w:sectPr>
      </w:pPr>
    </w:p>
    <w:bookmarkStart w:id="17" w:name="page18"/>
    <w:bookmarkEnd w:id="17"/>
    <w:p>
      <w:pPr>
        <w:jc w:val="both"/>
        <w:spacing w:after="0" w:line="251" w:lineRule="auto"/>
        <w:rPr>
          <w:sz w:val="20"/>
          <w:szCs w:val="20"/>
          <w:color w:val="auto"/>
        </w:rPr>
      </w:pPr>
      <w:r>
        <w:rPr>
          <w:rFonts w:ascii="Arial" w:cs="Arial" w:eastAsia="Arial" w:hAnsi="Arial"/>
          <w:sz w:val="18"/>
          <w:szCs w:val="18"/>
          <w:color w:val="auto"/>
        </w:rPr>
        <w:t>longer have regulatory responsibility for the United Kingdom when the commitments expire in July 2020, the United Kingdom CMA in October 2018 opened an investigation into the transatlantic JBA. We are cooperating fully with the CMA. Also, we had previously signed a JBA with Qantas Airways and in 2015, applied for antitrust immunity with the DOT for the revised relationship, but we withdrew that application in November 2016 after it was tentatively denied by the DOT. In February 2018, we filed a new application for antitrust immunity with the DOT, which, if granted, would allow us to further expand our relationship with Qantas Airways. This JBA has been approved by the competition law regulators in Australia and New Zealand. In addition, we have signed JBAs with certain air carriers of the LATAM Airlines Group, which JBAs have been approved in all jurisdictions other than the United States, where approval is pending. Most recently, in November 2018, the Court of Free Competition in Chile approved the JBA between American and LATAM Airlines Group with respect to both our passenger and cargo businesses. That decision has been appealed to the Chilean Supreme Court. The foregoing arrangements are important aspects of our international network and we are dependent on the performance and continued cooperation of the other airlines party to those agreements. No assurances can be given as to any benefits that we may derive from such arrangements or any other arrangements that may ultimately be implemented, or whether or not regulators will continue to approve or impose material conditions on our business activities.</w:t>
      </w:r>
    </w:p>
    <w:p>
      <w:pPr>
        <w:spacing w:after="0" w:line="15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These competitive factors affect our ability to attract and retain customers, increase usage of our loyalty program and maximize the revenue generated by our loyalty program.</w:t>
      </w:r>
    </w:p>
    <w:p>
      <w:pPr>
        <w:spacing w:after="0" w:line="211"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5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have been the target of cybersecurity attacks in the past and expect that we will continue to be in the future.</w:t>
      </w:r>
    </w:p>
    <w:p>
      <w:pPr>
        <w:spacing w:after="0" w:line="15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cybersecurity in the U.S., the EU and elsewhere, particularly with respect to critical infrastructure providers, including those in the transportation sector. As a result, we must comply with a growing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1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5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60" w:right="239" w:bottom="1440" w:gutter="0" w:footer="0" w:header="0"/>
        </w:sectPr>
      </w:pPr>
    </w:p>
    <w:bookmarkStart w:id="18" w:name="page19"/>
    <w:bookmarkEnd w:id="18"/>
    <w:p>
      <w:pPr>
        <w:jc w:val="both"/>
        <w:spacing w:after="0" w:line="252" w:lineRule="auto"/>
        <w:rPr>
          <w:sz w:val="20"/>
          <w:szCs w:val="20"/>
          <w:color w:val="auto"/>
        </w:rPr>
      </w:pPr>
      <w:r>
        <w:rPr>
          <w:rFonts w:ascii="Arial" w:cs="Arial" w:eastAsia="Arial" w:hAnsi="Arial"/>
          <w:sz w:val="18"/>
          <w:szCs w:val="18"/>
          <w:color w:val="auto"/>
        </w:rPr>
        <w:t>of critical systems through ransomware, denial of service or other attacks;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 Similarly, we depend on the ability of our key commercial partners, including our regional carriers, distribution partners and technology vendors, to conduct their businesses in a manner that complies with applicable security standards and assures their ability to perform on a timely basis.</w:t>
      </w:r>
    </w:p>
    <w:p>
      <w:pPr>
        <w:spacing w:after="0" w:line="15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the costs and operational consequences of defending against, preparing for, responding to and remediating an incident of cybersecurity breach may be substantial. As cybersecurity threats become more frequent, intense and sophisticated, costs of proactive defense measures may increase. Further, we could be exposed to litigation, regulatory enforcement or other legal action as a result of an incident, carrying the potential for damages, fines, sanctions or other penalties, as well as injunctive relief requiring costly compliance measures. A cybersecurity incident could also impact our brand, harm our reputation and adversely impact our relationship with our customers, employees and stockholders. Failure to appropriately address these issues could also give rise to potentially material legal risks and liabilities.</w:t>
      </w:r>
    </w:p>
    <w:p>
      <w:pPr>
        <w:spacing w:after="0" w:line="214" w:lineRule="exact"/>
        <w:rPr>
          <w:sz w:val="20"/>
          <w:szCs w:val="20"/>
          <w:color w:val="auto"/>
        </w:rPr>
      </w:pPr>
    </w:p>
    <w:p>
      <w:pPr>
        <w:jc w:val="both"/>
        <w:ind w:left="260" w:right="20"/>
        <w:spacing w:after="0" w:line="269"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substantial portion of our assets are pledged to secure our indebtedness. Our substantial indebtedness and other obligations, which are generally greater than the indebtedness and other obligations of our competitors, could have important consequences. For example, they:</w:t>
      </w:r>
    </w:p>
    <w:p>
      <w:pPr>
        <w:spacing w:after="0" w:line="152"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142"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620" w:right="20" w:hanging="315"/>
        <w:spacing w:after="0" w:line="262"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spacing w:after="0" w:line="142" w:lineRule="exact"/>
        <w:rPr>
          <w:rFonts w:ascii="Arial" w:cs="Arial" w:eastAsia="Arial" w:hAnsi="Arial"/>
          <w:sz w:val="18"/>
          <w:szCs w:val="18"/>
          <w:color w:val="auto"/>
        </w:rPr>
      </w:pPr>
    </w:p>
    <w:p>
      <w:pPr>
        <w:jc w:val="both"/>
        <w:ind w:left="1620" w:hanging="315"/>
        <w:spacing w:after="0" w:line="256"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47" w:lineRule="exact"/>
        <w:rPr>
          <w:rFonts w:ascii="Arial" w:cs="Arial" w:eastAsia="Arial" w:hAnsi="Arial"/>
          <w:sz w:val="18"/>
          <w:szCs w:val="18"/>
          <w:color w:val="auto"/>
        </w:rPr>
      </w:pPr>
    </w:p>
    <w:p>
      <w:pPr>
        <w:ind w:left="1620" w:hanging="315"/>
        <w:spacing w:after="0" w:line="262"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spacing w:after="0" w:line="142" w:lineRule="exact"/>
        <w:rPr>
          <w:rFonts w:ascii="Arial" w:cs="Arial" w:eastAsia="Arial" w:hAnsi="Arial"/>
          <w:sz w:val="18"/>
          <w:szCs w:val="18"/>
          <w:color w:val="auto"/>
        </w:rPr>
      </w:pPr>
    </w:p>
    <w:p>
      <w:pPr>
        <w:ind w:left="1620" w:hanging="315"/>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17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Further, a substantial portion of our long -term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60" w:right="239" w:bottom="1440" w:gutter="0" w:footer="0" w:header="0"/>
        </w:sectPr>
      </w:pPr>
    </w:p>
    <w:bookmarkStart w:id="19" w:name="page20"/>
    <w:bookmarkEnd w:id="19"/>
    <w:p>
      <w:pPr>
        <w:jc w:val="both"/>
        <w:spacing w:after="0" w:line="256" w:lineRule="auto"/>
        <w:rPr>
          <w:sz w:val="20"/>
          <w:szCs w:val="20"/>
          <w:color w:val="auto"/>
        </w:rPr>
      </w:pPr>
      <w:r>
        <w:rPr>
          <w:rFonts w:ascii="Arial" w:cs="Arial" w:eastAsia="Arial" w:hAnsi="Arial"/>
          <w:sz w:val="18"/>
          <w:szCs w:val="18"/>
          <w:color w:val="auto"/>
        </w:rPr>
        <w:t>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On July 27, 2017, the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The U.S. Federal Reserve, in conjunction with the Alternative Reference Rates Committee, is considering replacing U.S. dollar LIBOR with a newly created index, calculated based on repurchase agreements backed by treasury securities. It is not possible to predict the effect of these changes, other reforms or the establishment of alternative reference rates in the United Kingdom, the United States or elsewhere. See also the discussion of interest rate risk in Part II, Item 7A. Quantitative and Qualitative Disclosures About Market Risk –</w:t>
      </w:r>
      <w:r>
        <w:rPr>
          <w:rFonts w:ascii="Arial" w:cs="Arial" w:eastAsia="Arial" w:hAnsi="Arial"/>
          <w:sz w:val="18"/>
          <w:szCs w:val="18"/>
          <w:i w:val="1"/>
          <w:iCs w:val="1"/>
          <w:color w:val="auto"/>
        </w:rPr>
        <w:t>“Interest.”</w:t>
      </w:r>
    </w:p>
    <w:p>
      <w:pPr>
        <w:spacing w:after="0" w:line="15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December 31, 2018, our planned aggregate expenditures for aircraft purchase commitments and certain engines on a consolidated basis for calendar years 2019-2023 would be approximately $8.4 billion. Accordingly, we will need substantial financing or other capital resources to finance such aircraft and engines. If we are unable to arrange financing for such aircraft and engines at customary advance rates and on terms and conditions acceptable to us, we may need to use cash from operations or cash on hand to purchase such aircraft and engines or may seek to negotiate deferrals for such aircraft and engines with the applicable aircraft and engine manufacturers.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16"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and, as a result, our minimum pension funding obligations will increase materially beginning in 2019. In addition, we may have significant obligations for other postretirement benefits, retiree medical and other postretirement benefits.</w:t>
      </w:r>
    </w:p>
    <w:p>
      <w:pPr>
        <w:spacing w:after="0" w:line="211"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credit card processor, but for which we have not yet provided the air transportation.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An increase in the current holdbacks,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60" w:right="239" w:bottom="1440" w:gutter="0" w:footer="0" w:header="0"/>
        </w:sectPr>
      </w:pPr>
    </w:p>
    <w:bookmarkStart w:id="20" w:name="page21"/>
    <w:bookmarkEnd w:id="20"/>
    <w:p>
      <w:pPr>
        <w:ind w:left="260"/>
        <w:spacing w:after="0" w:line="287"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Relations between air carriers and labor unions in the U.S.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59"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judicial or arbitral avenues could result in material additional costs that we did not anticipate. See also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of December 31, 2018, approximately 84% of our employees were represented for collective bargaining purposes by labor unions. Currently, we believe our labor costs are competitive relative to the other large network carriers. However, we cannot provide assurance that labor costs going forward will remain competitive because we are in negotiations for some new agreements now and other agreements may become amendable, competitors may significantly reduce their labor costs or we may agree to higher-cost provisions unilaterally or in connection with our current or future labor negotiations.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operate principally through hubs in Charlotte, Chicago, Dallas/Fort Worth, Los Angeles, Miami, New York, Philadelphia, Phoenix and Washington, D.C. Substantially all of our flights either originate at or fly into one of these locations. A significant interruption or disruption in service at one of our hubs or other airports where we have a significant presence, such as LHR, resulting from ATC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short-term, over the operation, quality or maintenance of many of the services on which our operations depend and over whether vendors of such services will improve or continue to provide services that are essential to our business.</w:t>
      </w:r>
    </w:p>
    <w:p>
      <w:pPr>
        <w:spacing w:after="0" w:line="217"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19" w:right="239" w:bottom="1440" w:gutter="0" w:footer="0" w:header="0"/>
        </w:sectPr>
      </w:pPr>
    </w:p>
    <w:bookmarkStart w:id="21" w:name="page22"/>
    <w:bookmarkEnd w:id="21"/>
    <w:p>
      <w:pPr>
        <w:jc w:val="both"/>
        <w:ind w:firstLine="216"/>
        <w:spacing w:after="0" w:line="252"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ORD, LAX, LGA and DCA.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p>
    <w:p>
      <w:pPr>
        <w:spacing w:after="0" w:line="1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served by us are regulated by governmental entities through the use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JFK and LGA. Our operations at these airports generally require the allocation of slots or similar regulatory authority. In addition to slot restrictions, operations at LGA and DCA are also limited based on a so-called “perimeter rule” which generally limits the stage length of the flights that can be operated from those airports to 1,500 and 1,250 miles, respectively. Similarly, our operations at LHR, international airports in Beijing, Frankfurt, Paris, Tokyo and other airports outside the U.S. are regulated by local slot authorities pursuant to the IATA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We cannot provide any assurance that regulatory changes regarding the allocation of slots, the continued enforcement of a perimeter rule or similar regulatory authority will not have a material adverse impact on our operations.</w:t>
      </w:r>
    </w:p>
    <w:p>
      <w:pPr>
        <w:spacing w:after="0" w:line="15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ability to provide service can also be impaired at airports, such as ORD and LAX where the airport gate and other facilities are currently inadequate to accommodate all of the service that we would like to provide, or airports such as Dallas Love Field Airport where we have no access to gates at all.</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01"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may result from many of the same risk factors disclosed in this report, such as the impact of adverse economic conditions, the inability of third parties to hire or retain skilled personnel, including pilots and mechanics, and other risk factors, such as an out-of-court or bankruptcy restructuring of any of our regional operators. Many of these third-party regional operators provide significant regional capacity that we would be unable to replace in a short period of time should that operator fail to perform its obligations to us. Disruptions to capital markets, shortages of skilled personnel and adverse economic conditions in general have subjected certain of these third-party regional operators to significant financial pressures, which have in the past and may in the future lead to bankruptcies among these operators. We may also experience disruption to our regional operations if we terminate the capacity purchase agreement with one or more of our current operators and transition the services to another provider. Any significant disruption to our regional operations would have a material adverse effect on our business, results of operations and financial condition.</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60" w:right="239" w:bottom="1440" w:gutter="0" w:footer="0" w:header="0"/>
        </w:sectPr>
      </w:pPr>
    </w:p>
    <w:bookmarkStart w:id="22" w:name="page23"/>
    <w:bookmarkEnd w:id="22"/>
    <w:p>
      <w:pPr>
        <w:jc w:val="both"/>
        <w:spacing w:after="0" w:line="256" w:lineRule="auto"/>
        <w:rPr>
          <w:sz w:val="20"/>
          <w:szCs w:val="20"/>
          <w:color w:val="auto"/>
        </w:rPr>
      </w:pPr>
      <w:r>
        <w:rPr>
          <w:rFonts w:ascii="Arial" w:cs="Arial" w:eastAsia="Arial" w:hAnsi="Arial"/>
          <w:sz w:val="18"/>
          <w:szCs w:val="18"/>
          <w:color w:val="auto"/>
        </w:rPr>
        <w:t>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07"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The commercial relationships that we have with airlines, including any related equity investment, may not produce the returns or results we expect.</w:t>
      </w:r>
    </w:p>
    <w:p>
      <w:pPr>
        <w:spacing w:after="0" w:line="4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by entering into global alliance, joint business and codeshare relationships, and, in one recent instance involving China Southern Airlines, by making a significant equity investment in another airline in connection with initiating such a commercial relationship. We may explore similar non-controlling investments in, and joint ventures and strategic alliances with, other carriers as part of our global business strategy. We face competition in forming these commercial relationships since there are a limited number of potential arrangements and other airlines are looking to enter into similar relationships. Any such existing or future investment could involve significant challenges and risks, including that we may not realize a satisfactory return on our investment or that they may not generate the expected revenue synergies. These events could have a material adverse effect on our business, results of operations and financial condition.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We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The Priceline Group),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such as the proposed acquisition of Farelogix by Sabre.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5"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FAA, the TSA and the DHS have issued a number of directives and other regulations, that affect the airline industry. These requirements impose substantial costs on us and restrict the ways we may conduct our business.</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grounding of aircraft types altogether, or otherwise caused substantial disruption and resulted in material costs to us and lost revenues.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60" w:right="239" w:bottom="1440" w:gutter="0" w:footer="0" w:header="0"/>
        </w:sectPr>
      </w:pPr>
    </w:p>
    <w:bookmarkStart w:id="23" w:name="page24"/>
    <w:bookmarkEnd w:id="23"/>
    <w:p>
      <w:pPr>
        <w:jc w:val="both"/>
        <w:ind w:firstLine="216"/>
        <w:spacing w:after="0" w:line="254" w:lineRule="auto"/>
        <w:rPr>
          <w:sz w:val="20"/>
          <w:szCs w:val="20"/>
          <w:color w:val="auto"/>
        </w:rPr>
      </w:pPr>
      <w:r>
        <w:rPr>
          <w:rFonts w:ascii="Arial" w:cs="Arial" w:eastAsia="Arial" w:hAnsi="Arial"/>
          <w:sz w:val="18"/>
          <w:szCs w:val="18"/>
          <w:color w:val="auto"/>
        </w:rPr>
        <w:t>DOT consumer rules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42" w:lineRule="exact"/>
        <w:rPr>
          <w:sz w:val="20"/>
          <w:szCs w:val="20"/>
          <w:color w:val="auto"/>
        </w:rPr>
      </w:pPr>
    </w:p>
    <w:p>
      <w:pPr>
        <w:ind w:left="130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United States National Airspace System (the ATC system) is not successfully modernizing to meet the growing demand for U.S. air travel. Air traffic controllers rely on outdated procedures and technologies that routinely compel airlines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59"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Failure to update the ATC system in a timely manner and the substantial costs that may be imposed on airlines in order to fund a modernized ATC system may have a material adverse effect on our business.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These events have resulted in, among other things, reduced demand for air travel, an actual or perceived reduction in ATC and security screening resources and related travel delays, as well as disruption in the ability of the FAA to grant required regulatory approvals, such as are involved when a new aircraft is first placed into service.</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many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60" w:right="239" w:bottom="1440" w:gutter="0" w:footer="0" w:header="0"/>
        </w:sectPr>
      </w:pPr>
    </w:p>
    <w:bookmarkStart w:id="24" w:name="page25"/>
    <w:bookmarkEnd w:id="24"/>
    <w:p>
      <w:pPr>
        <w:jc w:val="both"/>
        <w:spacing w:after="0" w:line="251" w:lineRule="auto"/>
        <w:rPr>
          <w:sz w:val="20"/>
          <w:szCs w:val="20"/>
          <w:color w:val="auto"/>
        </w:rPr>
      </w:pPr>
      <w:r>
        <w:rPr>
          <w:rFonts w:ascii="Arial" w:cs="Arial" w:eastAsia="Arial" w:hAnsi="Arial"/>
          <w:sz w:val="18"/>
          <w:szCs w:val="18"/>
          <w:color w:val="auto"/>
        </w:rPr>
        <w:t>countries, which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LHR.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JBAs, and other alliance arrangements by and among other airlines could impair the value of our business and assets on the open skies routes.</w:t>
      </w:r>
    </w:p>
    <w:p>
      <w:pPr>
        <w:spacing w:after="0" w:line="157"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pending withdrawal of the United Kingdom from the EU, commonly referred to as Brexit, is currently scheduled to occur on March 29, 2019 and will mandate further modification in the current regulatory regime. We face risks associated with the United Kingdom’s exit from the EU, notably given the extent of our passenger and cargo traffic and that of our joint business partners that flows through LHR in the United Kingdom. Absent an approved withdrawal agreement between the United Kingdom and the EU (resulting in the so-called “No Deal Brexit” scenario), our expectation is that air services (including those involving our joint business and code share partners) will continue substantially as we currently conduct them, at least for a transition period, in reliance on reciprocal “basic connectivity” traffic rights proposed by the EU and the United Kingdom and a new air services agreement between the U.S. and United Kingdom concluded on November 29, 2018. However, the precise scope of traffic rights between the EU and the United Kingdom remains uncertain and therefore the continuation of our current services is not assured and could be subject to disruption. If Brexit is accomplished pursuant to a withdrawal agreement consistent with the agreement presently being discussed between the United Kingdom and the EU, but which has yet to be approved by the United Kingdom, our current air services would continue as we currently conduct them during a transition period running through the end of 2020, with a potential extension of up to two years. During that transition period, the United Kingdom and the EU would seek to implement a new air services agreement. We cannot predict the terms of any such successor air services agreement or whether changes in the relationship between the United Kingdom and the EU, including whether or not the United Kingdom withdraws from the EU with or without an agreement,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5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60" w:right="239" w:bottom="1440" w:gutter="0" w:footer="0" w:header="0"/>
        </w:sectPr>
      </w:pPr>
    </w:p>
    <w:bookmarkStart w:id="25" w:name="page26"/>
    <w:bookmarkEnd w:id="25"/>
    <w:p>
      <w:pPr>
        <w:ind w:left="220"/>
        <w:spacing w:after="0"/>
        <w:rPr>
          <w:sz w:val="20"/>
          <w:szCs w:val="20"/>
          <w:color w:val="auto"/>
        </w:rPr>
      </w:pPr>
      <w:r>
        <w:rPr>
          <w:rFonts w:ascii="Arial" w:cs="Arial" w:eastAsia="Arial" w:hAnsi="Arial"/>
          <w:sz w:val="18"/>
          <w:szCs w:val="18"/>
          <w:b w:val="1"/>
          <w:bCs w:val="1"/>
          <w:i w:val="1"/>
          <w:iCs w:val="1"/>
          <w:color w:val="auto"/>
        </w:rPr>
        <w:t>Recent U.S. tax legislation may adversely affect our financial condition, results of operations and cash flows.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Recently enacted U.S. tax legislation has significantly changed the U.S. federal income taxation of U.S. corporations, including by reducing the U.S. corporate income tax rate, limiting interest deductions, permitting immediate expensing of certain capital expenditures, adopting elements of a territorial tax system, revising the rules governing net operating losses (NOLs) and the rules governing foreign tax credits and introducing new anti-base erosion provisions. Many of these changes became effective immediately, without any transition periods or grandfathering for existing transactions. The legislation is unclear in many respects and could be subject to potential amendments and technical corrections, as well as interpretations and implementation regulations by the Treasury and Internal Revenue Service, any of which could materially affect the impacts of the legislation. In addition, it is unclear how these U.S. federal income tax changes will affect state and local taxation, which often uses federal taxable income as a starting point for computing state and local tax liabilities. While some of the changes made by the tax legislation may adversely affect us in one or more reporting periods and prospectively, other changes may be beneficial on a going forward basis.</w:t>
      </w:r>
    </w:p>
    <w:p>
      <w:pPr>
        <w:spacing w:after="0" w:line="15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7 to AAG’s Consolidated Financial Statements in Part II, Item 8A and Note 5 to American’s Consolidated Financial Statements in Part II, Item 8B for additional information on income taxes.</w:t>
      </w:r>
    </w:p>
    <w:p>
      <w:pPr>
        <w:spacing w:after="0" w:line="201"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recently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 separately for services that had previously been included within the price of a ticket, increasing other pre-existing fees, reconfiguration of our aircraft cabins, and efforts to optimize our network including by focusing growth on a limited number of large hubs.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or result in decreased demand. Also, our implementation of any new or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7"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20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19" w:right="239" w:bottom="1440" w:gutter="0" w:footer="0" w:header="0"/>
        </w:sectPr>
      </w:pPr>
    </w:p>
    <w:bookmarkStart w:id="26" w:name="page27"/>
    <w:bookmarkEnd w:id="26"/>
    <w:p>
      <w:pPr>
        <w:spacing w:after="0" w:line="262" w:lineRule="auto"/>
        <w:rPr>
          <w:sz w:val="20"/>
          <w:szCs w:val="20"/>
          <w:color w:val="auto"/>
        </w:rPr>
      </w:pPr>
      <w:r>
        <w:rPr>
          <w:rFonts w:ascii="Arial" w:cs="Arial" w:eastAsia="Arial" w:hAnsi="Arial"/>
          <w:sz w:val="18"/>
          <w:szCs w:val="18"/>
          <w:color w:val="auto"/>
        </w:rPr>
        <w:t>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201"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5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More generally, much of the demand for international air travel is the result of business travel in support of global trade. Should protectionist governmental policies, such as increased tariff barriers, travel limitation and other actions, have the effect of reducing global commercial activity, the result could be a material decrease in the demand for international air travel.</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United Kingdom held a referendum in June 2016 regarding its membership in the EU in which a majority of the United Kingdom electorate voted in favor of the British government taking the necessary action for the United Kingdom to leave the EU, an event commonly referred to as Brexit. In March 2017, the United Kingdom served notice of its decision to withdraw from the EU, formally initiating the withdrawal process. Serving this notice began the two-year period for the United Kingdom to negotiate the terms for its withdrawal from the EU, currently scheduled to occur on March 29, 2019. We face risks associated with the uncertainty following the referendum and the consequences that may flow from the decision to exit the EU, notably given the extent of our passenger and cargo traffic and that of our joint business partners that flows through LHR in the United Kingdom. Absent an approved withdrawal agreement between the United Kingdom and the EU (resulting in the so-called “No Deal Brexit” scenario), our expectation is that air services (including those involving our joint business and code share partners) will continue substantially as we currently conduct them, at least for a transition period, in reliance on reciprocal “basic connectivity” traffic rights proposed by the EU and the United Kingdom and the new air services agreements between the U.S. and United Kingdom concluded on November 29, 2018. However, the precise scope of traffic rights between the EU and the United Kingdom remains uncertain and therefore the continuation is not assured and could be subject to disruption. If Brexit is accomplished pursuant to a withdrawal agreement consistent with the agreement presently being discussed between the United Kingdom and the EU, but which has yet to be approved by the United Kingdom, our current air services would continue as we currently conduct them during a transition period running through the end of 2020, with a potential extension of up to two years. During that transition period, the United Kingdom and the EU would seek to implement a new air services agreement. We cannot predict the terms of any such successor air services agreement or whether changes in the relationship between the United Kingdom and the EU, including whether or not the United Kingdom withdraws from the EU with or without an agreement, could materially adversely affect our business, results of operations and financial condition.</w:t>
      </w:r>
    </w:p>
    <w:p>
      <w:pPr>
        <w:spacing w:after="0" w:line="1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Moreover, the exit of the United Kingdom from the EU could adversely affect European or worldwide economic or market conditions and could contribute to further instability in global financial markets. In addition, the exit of the United Kingdom from the EU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The exit of the United Kingdom from the EU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light of Brexit and the related possibility that the EC would no longer have regulatory responsibility for the United Kingdom when existing regulatory commitments are scheduled to expire in 2020, the United Kingdom CMA in October 2018 opened an investigation into our transatlantic JBA. We are cooperating fully with the CMA. The impact on our business of any treaties, laws and regulations that replace the existing EU counterparts, or other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79" w:right="239" w:bottom="1440" w:gutter="0" w:footer="0" w:header="0"/>
        </w:sectPr>
      </w:pPr>
    </w:p>
    <w:bookmarkStart w:id="27" w:name="page28"/>
    <w:bookmarkEnd w:id="27"/>
    <w:p>
      <w:pPr>
        <w:jc w:val="both"/>
        <w:spacing w:after="0" w:line="256" w:lineRule="auto"/>
        <w:rPr>
          <w:sz w:val="20"/>
          <w:szCs w:val="20"/>
          <w:color w:val="auto"/>
        </w:rPr>
      </w:pPr>
      <w:r>
        <w:rPr>
          <w:rFonts w:ascii="Arial" w:cs="Arial" w:eastAsia="Arial" w:hAnsi="Arial"/>
          <w:sz w:val="18"/>
          <w:szCs w:val="18"/>
          <w:color w:val="auto"/>
        </w:rPr>
        <w:t>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20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to reduce emissions of greenhouse gases.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There is increasing global regulatory focus on climate change and GHG emissions. Efforts by the EU in 2009 to regulate flights arriving from or departing for airports outside of the EU have been postponed as members of ICAO are negotiating a global agreement on GHG emissions from the aviation sector. In 2016, ICAO passed a resolution adopting CORSIA, which is a global, market-based emissions offset program intended to encourage carbon-neutral growth beyond 2020. CORSIA was supported by the board of Airlines for America (the principal U.S. airline trade association) and IATA (the principal international airline trade association), and by American and many other U.S. and foreign airlines. In March 2017, ICAO also adopted new aircraft certification standards to reduce carbon dioxide emissions from aircraft, which will apply to new aircraft type designs in 2020, and to aircraft type designs already in production as of 2023. On June 27, 2018, ICAO adopted standards pertaining to the collection and sharing of information on international aviation emissions beginning in 2019. Airline operators must prepare GHG monitoring plans by February 2019. CORSIA will increase operating costs for American and most other airlines, including other U.S. airlines that operate internationally, but the implementation of a global program, as compared to regional emission reduction schemes, should ensure that these costs will be more evenly applied to American and its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60" w:right="239" w:bottom="1440" w:gutter="0" w:footer="0" w:header="0"/>
        </w:sectPr>
      </w:pPr>
    </w:p>
    <w:bookmarkStart w:id="28" w:name="page29"/>
    <w:bookmarkEnd w:id="28"/>
    <w:p>
      <w:pPr>
        <w:jc w:val="both"/>
        <w:spacing w:after="0" w:line="251" w:lineRule="auto"/>
        <w:rPr>
          <w:sz w:val="20"/>
          <w:szCs w:val="20"/>
          <w:color w:val="auto"/>
        </w:rPr>
      </w:pPr>
      <w:r>
        <w:rPr>
          <w:rFonts w:ascii="Arial" w:cs="Arial" w:eastAsia="Arial" w:hAnsi="Arial"/>
          <w:sz w:val="18"/>
          <w:szCs w:val="18"/>
          <w:color w:val="auto"/>
        </w:rPr>
        <w:t>competitors since there will be a common global regulatory regime. CORSIA is expected to be implemented in phases, with information collection and sharing beginning in 2019, a pilot phase beginning in 2021, and the first phase beginning in 2024. Certain details still need to be developed and the impact of CORSIA cannot be fully predicted. While we do not anticipate any significant emissions allowance expenditures in 2019, compliance with CORSIA or similar emissions-related requirements could significantly increase our operating costs beginning in 2021 and beyond. Separately, the EU has established the ETS to regulate GHG emissions in the EU. The EU adopted a directive in 2008 under which each EU member state is required to extend the ETS to aviation operations. However, the EU ETS has never fully been imposed, in large part due to the effort to adopt CORSIA. The EU has extended its stay on the extra-territorial application of the EU ETS as applied to international flights to/from the EEA through year-end 2023, contingent on successful implementation of CORSIA. Thereafter, the EU will assess CORSIA implementation and decide the future status of the EU ETS as applied to international aviation to/from the EEA. The potential impact of CORSIA or other emissions-related requirements on our costs will ultimately depend on a number of factors, including baseline emissions, the price of emission allowances or offsets that American would need to acquire, the GHG efficiency of the American fleet, and the number of future American flights subject to such emissions-related requirements. These costs have not been completely defined and could fluctuate.</w:t>
      </w:r>
    </w:p>
    <w:p>
      <w:pPr>
        <w:spacing w:after="0" w:line="15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2019, the EPA could finalize a rule implementing aircraft engine GHG emission standards developed initially through ICAO. It is anticipated that the EPA rule will closely align with recent ICAO carbon dioxide emission standards. The new standards, which were supported by the airline industry and manufacturers, would apply to new type aircraft certified beginning in 2020, and would be phased in for newly manufactured existing aircraft type designs starting in 2023.</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several states have adopted or are considering initiatives to regulate GHG emissions, primarily through the planned development of GHG emissions inventories, regional GHG cap and trade programs or low carbon fuels programs. Depending on the scope of such regulation, certain of our facilities and operations, or the operations of our suppliers, may be subject to additional operating and other permit requirements, likely resulting in increased operating costs.</w:t>
      </w:r>
    </w:p>
    <w:p>
      <w:pPr>
        <w:spacing w:after="0" w:line="15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in December 2015, at the 21st Conference of the Parties to the United Nations Framework Convention on Climate Change, over 190 countries, including the United States, reached an agreement (the Paris Agreement) to reduce GHG emissions. While the United States has since announced that it will withdraw from the Paris Agreement and there is no express reference to aviation in the Paris Agreement, to the extent countries implement the Paris Agreement or impose other climate change regulations, either with respect to the aviation industry or with respect to related industries such as the aviation fuel industry, it could have an adverse direct or indirect effect on our business.</w:t>
      </w:r>
    </w:p>
    <w:p>
      <w:pPr>
        <w:spacing w:after="0" w:line="15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Damage to our reputation or brand image or loss of customer confidence in our services could adversely affect our business and financial results, as well as require additional resources to rebuild our reputation.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79" w:right="23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Among the principal risks of integrating our businesses and operations are the risks relating to integrating various computer, communications and other technology systems that are necessary to operate US Airways and American as a single integrated business and to achieve cost synergies by eliminating redundancies. While we have to date successfully integrated many of our systems, including our customer reservations system and our pilot, flight attendant and fleet scheduling system, we still have to complete several additional important system integration or replacement projects. In a number of prior airline mergers, the integration of these systems or deployment of replacement systems has taken longer, been more disruptive and cost more than originally forecasted. The implementation process to integrate or replace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5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cannot assure you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0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5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14"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actual or alleged behavior of any of our more than 125,000 employees. Further, if our personnel or one of our aircraft, or personnel of, or an aircraft that is operated under our brand by, one of our regional operators or an airline with which we have a marketing alliance, joint business or codeshare relationship, were to be involved in a public incident, accident or catastrophe, we could be exposed to significant reputational harm and potential legal liability. The insurance we carry may be inapplicable or inadequate to cover any such incident, accident or catastrophe. In the event that our insurance is inapplicable or not adequate, we may be forced to bear substantial losses from an incident or accident. In addition, any such incident, accident or catastrophe involving our personnel or one of our aircraft (or personnel and aircraft of our regional operators and our codeshare partners) could create an adverse public perception, which could harm our reputation, result in air travelers being reluctant to fly on our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19" w:right="239" w:bottom="1440" w:gutter="0" w:footer="0" w:header="0"/>
        </w:sectPr>
      </w:pPr>
    </w:p>
    <w:bookmarkStart w:id="30" w:name="page31"/>
    <w:bookmarkEnd w:id="30"/>
    <w:p>
      <w:pPr>
        <w:jc w:val="both"/>
        <w:ind w:right="20"/>
        <w:spacing w:after="0" w:line="262" w:lineRule="auto"/>
        <w:rPr>
          <w:sz w:val="20"/>
          <w:szCs w:val="20"/>
          <w:color w:val="auto"/>
        </w:rPr>
      </w:pPr>
      <w:r>
        <w:rPr>
          <w:rFonts w:ascii="Arial" w:cs="Arial" w:eastAsia="Arial" w:hAnsi="Arial"/>
          <w:sz w:val="18"/>
          <w:szCs w:val="18"/>
          <w:color w:val="auto"/>
        </w:rPr>
        <w:t>aircraft or those of our regional operators or codeshare partners, and adversely impact our business, results of operations and financial condition.</w:t>
      </w:r>
    </w:p>
    <w:p>
      <w:pPr>
        <w:spacing w:after="0" w:line="201"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under our current fleet plan, by 2020 all of our mainline aircraft will have been manufactured by either Airbus or Boeing and all of our regional aircraft will have been manufactured by either Bombardier or Embraer. Further, our supplier base continues to consolidate as evidenced by the recent acquisition of Rockwell Collins by United Technologies, the recently completed transaction involving Airbus and Bombardier and the pending transaction involving Boeing and Embraer.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w:t>
      </w:r>
    </w:p>
    <w:p>
      <w:pPr>
        <w:spacing w:after="0" w:line="211"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40"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42" w:lineRule="exact"/>
        <w:rPr>
          <w:sz w:val="20"/>
          <w:szCs w:val="20"/>
          <w:color w:val="auto"/>
        </w:rPr>
      </w:pPr>
    </w:p>
    <w:p>
      <w:pPr>
        <w:ind w:left="130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such disasters and related costs caused by more severe weather due to climate change.</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particular, an outbreak of a contagious disease such as the Ebola virus, Middle East Respiratory Syndrome, Severe Acute Respiratory Syndrome, H1N1 influenza virus, avian flu, Zika virus or any other similar illness, 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79" w:right="239" w:bottom="1440" w:gutter="0" w:footer="0" w:header="0"/>
        </w:sectPr>
      </w:pPr>
    </w:p>
    <w:bookmarkStart w:id="31" w:name="page32"/>
    <w:bookmarkEnd w:id="31"/>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and other factors have caused a shortage of pilots that could materially adversely affect our business.</w:t>
      </w:r>
    </w:p>
    <w:p>
      <w:pPr>
        <w:spacing w:after="0" w:line="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(an Air Transport Pilot’s certificate)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These and other factors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1"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 Item 3. Legal Proceedings.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19" w:right="239" w:bottom="1440" w:gutter="0" w:footer="0" w:header="0"/>
        </w:sectPr>
      </w:pPr>
    </w:p>
    <w:bookmarkStart w:id="32" w:name="page33"/>
    <w:bookmarkEnd w:id="32"/>
    <w:p>
      <w:pPr>
        <w:ind w:left="22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NOLs carried over from prior taxable years (NOL Carryforwards). As of December 31, 2018, we had available NOL Carryforwards of approximately $10.2 billion for regular federal income tax purposes that will expire, if unused, beginning in 2022, and approximately $3.2 billion for state income tax purposes that will expire, if unused, between 2019 and 2038. Our NOL Carryforwards are subject to adjustment on audit by the Internal Revenue Service and the respective state taxing authorities.</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$8.4 billion of unlimited NOL still remaining at December 31, 2018)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5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w:t>
      </w:r>
    </w:p>
    <w:p>
      <w:pPr>
        <w:spacing w:after="0" w:line="15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201"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price of AAG common stock has recently been and may in the future be volatile.</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market price of AAG common stock has fluctuated in the past, and may fluctuate substantially in the future, due to a variety of factors, many of which are beyond our control, including:</w:t>
      </w:r>
    </w:p>
    <w:p>
      <w:pPr>
        <w:spacing w:after="0" w:line="14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19" w:right="239" w:bottom="1440" w:gutter="0" w:footer="0" w:header="0"/>
        </w:sectPr>
      </w:pPr>
    </w:p>
    <w:bookmarkStart w:id="33" w:name="page34"/>
    <w:bookmarkEnd w:id="33"/>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credit rating;</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w:t>
      </w:r>
    </w:p>
    <w:p>
      <w:pPr>
        <w:spacing w:after="0" w:line="14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 including distributions from the Disputed Claims Reserve established under the Plan;</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restricted stock unit awards, stock appreciation rights, or other securities that may be issued from time to time;</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trading volume.</w:t>
      </w:r>
    </w:p>
    <w:p>
      <w:pPr>
        <w:spacing w:after="0" w:line="230"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We cannot guarantee that we will continue to repurchase our common stock or pay dividends on our common stock or that our capital deployment program will enhance long-term stockholder value. Our capital deployment program could increase the volatility of the price of our common stock and diminish our cash reserves.</w:t>
      </w:r>
    </w:p>
    <w:p>
      <w:pPr>
        <w:spacing w:after="0" w:line="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Since July 2014, as part of our capital deployment program, our Board of Directors has approved seven share repurchase programs aggregating $13.0 billion of authority. As of December 31, 2018, there was $1.7 billion remaining authority to repurchase shares under our share repurchase programs. Share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and without prior notice. The timing and amount of repurchases, if any, will be subject to market and economic conditions, applicable legal requirements and other relevant factors. Our repurchase of AAG common stock may be limited, suspended or discontinued at any time at our discretion and without prior notice.</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Board of Directors commenced declaring quarterly cash dividends in July 2014 as part of our capital deployment program. However,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60" w:right="239" w:bottom="1440" w:gutter="0" w:footer="0" w:header="0"/>
        </w:sectPr>
      </w:pPr>
    </w:p>
    <w:bookmarkStart w:id="34" w:name="page35"/>
    <w:bookmarkEnd w:id="34"/>
    <w:p>
      <w:pPr>
        <w:ind w:left="260"/>
        <w:spacing w:after="0" w:line="287"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48"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4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Certificate of Incorporation and Bylaws include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had no unresolved Securities and Exchange Commission staff comments that were issued 180 days or more preceding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1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Flight Equipment and Fleet Renewal</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of December 31, 2018, American operated a mainline fleet of 956 aircraft. In 2018, we continued our extensive fleet renewal program, which has provided us with the youngest fleet of the major U.S. network carriers. During 2018, American took delivery of 23 mainline aircraft and retired 15 mainline aircraft. We are supported by our wholly-owned and third-party regional carriers that fly under capacity purchase agreements operating as American Eagle. As of December 31, 2018, American Eagle operated 595 regional aircraft. During 2018, we reduced our regional fleet by a net of two aircraft, including the addition of 60 regional aircraft and retirement of 62 regional aircraft.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Mainline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December 31, 2018, American’s mainline fleet consisted of the following aircraft: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Seating</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Capacity</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Leased</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Airbus A319</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Airbus A320</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Airbus A321</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Airbus A330-200</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Airbus A330-300</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Boeing 737-800</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Boeing 737-8 MAX</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Boeing 757-200</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Boeing 767-300ER</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Boeing 777-200ER</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Boeing 777-300ER</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Boeing 787-8</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Boeing 787-9</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Embraer 190</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McDonnell Douglas MD-80</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4"/>
        </w:trPr>
        <w:tc>
          <w:tcPr>
            <w:tcW w:w="3900" w:type="dxa"/>
            <w:vAlign w:val="bottom"/>
          </w:tcPr>
          <w:p>
            <w:pPr>
              <w:ind w:left="4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vMerge w:val="restart"/>
          </w:tcPr>
          <w:p>
            <w:pPr>
              <w:jc w:val="right"/>
              <w:ind w:right="490"/>
              <w:spacing w:after="0"/>
              <w:rPr>
                <w:sz w:val="20"/>
                <w:szCs w:val="20"/>
                <w:color w:val="auto"/>
              </w:rPr>
            </w:pPr>
            <w:r>
              <w:rPr>
                <w:rFonts w:ascii="Arial" w:cs="Arial" w:eastAsia="Arial" w:hAnsi="Arial"/>
                <w:sz w:val="18"/>
                <w:szCs w:val="18"/>
                <w:color w:val="auto"/>
              </w:rPr>
              <w:t>36</w:t>
            </w: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9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36" w:name="page37"/>
    <w:bookmarkEnd w:id="36"/>
    <w:p>
      <w:pPr>
        <w:ind w:left="220"/>
        <w:spacing w:after="0"/>
        <w:rPr>
          <w:sz w:val="20"/>
          <w:szCs w:val="20"/>
          <w:color w:val="auto"/>
        </w:rPr>
      </w:pPr>
      <w:r>
        <w:rPr>
          <w:rFonts w:ascii="Arial" w:cs="Arial" w:eastAsia="Arial" w:hAnsi="Arial"/>
          <w:sz w:val="18"/>
          <w:szCs w:val="18"/>
          <w:b w:val="1"/>
          <w:bCs w:val="1"/>
          <w:i w:val="1"/>
          <w:iCs w:val="1"/>
          <w:color w:val="auto"/>
        </w:rPr>
        <w:t>Regional</w:t>
      </w:r>
    </w:p>
    <w:p>
      <w:pPr>
        <w:spacing w:after="0" w:line="85" w:lineRule="exact"/>
        <w:rPr>
          <w:sz w:val="20"/>
          <w:szCs w:val="20"/>
          <w:color w:val="auto"/>
        </w:rPr>
      </w:pPr>
    </w:p>
    <w:p>
      <w:pPr>
        <w:ind w:right="520" w:firstLine="243"/>
        <w:spacing w:after="0" w:line="262" w:lineRule="auto"/>
        <w:rPr>
          <w:sz w:val="20"/>
          <w:szCs w:val="20"/>
          <w:color w:val="auto"/>
        </w:rPr>
      </w:pPr>
      <w:r>
        <w:rPr>
          <w:rFonts w:ascii="Arial" w:cs="Arial" w:eastAsia="Arial" w:hAnsi="Arial"/>
          <w:sz w:val="18"/>
          <w:szCs w:val="18"/>
          <w:color w:val="auto"/>
        </w:rPr>
        <w:t>As of December 31, 2018, the fleet of our wholly-owned and third-party regional carriers operating as American Eagle consisted of the following aircraft: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Owned or Leased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Average Seating</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by Third Party</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Operating Regional</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Aircraft</w:t>
            </w:r>
          </w:p>
        </w:tc>
        <w:tc>
          <w:tcPr>
            <w:tcW w:w="0" w:type="dxa"/>
            <w:vAlign w:val="bottom"/>
          </w:tcPr>
          <w:p>
            <w:pPr>
              <w:spacing w:after="0"/>
              <w:rPr>
                <w:sz w:val="1"/>
                <w:szCs w:val="1"/>
                <w:color w:val="auto"/>
              </w:rPr>
            </w:pPr>
          </w:p>
        </w:tc>
      </w:tr>
      <w:tr>
        <w:trPr>
          <w:trHeight w:val="202"/>
        </w:trPr>
        <w:tc>
          <w:tcPr>
            <w:tcW w:w="1920" w:type="dxa"/>
            <w:vAlign w:val="bottom"/>
            <w:tcBorders>
              <w:bottom w:val="single" w:sz="8" w:color="CCEEFF"/>
            </w:tcBorders>
          </w:tcPr>
          <w:p>
            <w:pPr>
              <w:spacing w:after="0"/>
              <w:rPr>
                <w:sz w:val="17"/>
                <w:szCs w:val="17"/>
                <w:color w:val="auto"/>
              </w:rPr>
            </w:pPr>
          </w:p>
        </w:tc>
        <w:tc>
          <w:tcPr>
            <w:tcW w:w="1240" w:type="dxa"/>
            <w:vAlign w:val="bottom"/>
            <w:tcBorders>
              <w:bottom w:val="single" w:sz="8" w:color="435363"/>
            </w:tcBorders>
          </w:tcPr>
          <w:p>
            <w:pPr>
              <w:jc w:val="right"/>
              <w:ind w:right="234"/>
              <w:spacing w:after="0"/>
              <w:rPr>
                <w:sz w:val="20"/>
                <w:szCs w:val="20"/>
                <w:color w:val="auto"/>
              </w:rPr>
            </w:pPr>
            <w:r>
              <w:rPr>
                <w:rFonts w:ascii="Arial" w:cs="Arial" w:eastAsia="Arial" w:hAnsi="Arial"/>
                <w:sz w:val="14"/>
                <w:szCs w:val="14"/>
                <w:b w:val="1"/>
                <w:bCs w:val="1"/>
                <w:color w:val="auto"/>
              </w:rPr>
              <w:t>Capacity</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435363"/>
            </w:tcBorders>
          </w:tcPr>
          <w:p>
            <w:pPr>
              <w:jc w:val="right"/>
              <w:ind w:right="148"/>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435363"/>
            </w:tcBorders>
          </w:tcPr>
          <w:p>
            <w:pPr>
              <w:jc w:val="right"/>
              <w:ind w:right="92"/>
              <w:spacing w:after="0"/>
              <w:rPr>
                <w:sz w:val="20"/>
                <w:szCs w:val="20"/>
                <w:color w:val="auto"/>
              </w:rPr>
            </w:pPr>
            <w:r>
              <w:rPr>
                <w:rFonts w:ascii="Arial" w:cs="Arial" w:eastAsia="Arial" w:hAnsi="Arial"/>
                <w:sz w:val="14"/>
                <w:szCs w:val="14"/>
                <w:b w:val="1"/>
                <w:bCs w:val="1"/>
                <w:color w:val="auto"/>
              </w:rPr>
              <w:t>Leased</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435363"/>
            </w:tcBorders>
          </w:tcPr>
          <w:p>
            <w:pPr>
              <w:jc w:val="center"/>
              <w:spacing w:after="0"/>
              <w:rPr>
                <w:sz w:val="20"/>
                <w:szCs w:val="20"/>
                <w:color w:val="auto"/>
              </w:rPr>
            </w:pPr>
            <w:r>
              <w:rPr>
                <w:rFonts w:ascii="Arial" w:cs="Arial" w:eastAsia="Arial" w:hAnsi="Arial"/>
                <w:sz w:val="14"/>
                <w:szCs w:val="14"/>
                <w:b w:val="1"/>
                <w:bCs w:val="1"/>
                <w:color w:val="auto"/>
              </w:rPr>
              <w:t>Regional Carrier</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435363"/>
            </w:tcBorders>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435363"/>
            </w:tcBorders>
          </w:tcPr>
          <w:p>
            <w:pPr>
              <w:jc w:val="right"/>
              <w:ind w:right="632"/>
              <w:spacing w:after="0"/>
              <w:rPr>
                <w:sz w:val="20"/>
                <w:szCs w:val="20"/>
                <w:color w:val="auto"/>
              </w:rPr>
            </w:pPr>
            <w:r>
              <w:rPr>
                <w:rFonts w:ascii="Arial" w:cs="Arial" w:eastAsia="Arial" w:hAnsi="Arial"/>
                <w:sz w:val="14"/>
                <w:szCs w:val="14"/>
                <w:b w:val="1"/>
                <w:bCs w:val="1"/>
                <w:color w:val="auto"/>
              </w:rPr>
              <w:t>Carrier</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435363"/>
            </w:tcBorders>
          </w:tcPr>
          <w:p>
            <w:pPr>
              <w:jc w:val="center"/>
              <w:spacing w:after="0"/>
              <w:rPr>
                <w:sz w:val="20"/>
                <w:szCs w:val="20"/>
                <w:color w:val="auto"/>
              </w:rPr>
            </w:pPr>
            <w:r>
              <w:rPr>
                <w:rFonts w:ascii="Arial" w:cs="Arial" w:eastAsia="Arial" w:hAnsi="Arial"/>
                <w:sz w:val="14"/>
                <w:szCs w:val="14"/>
                <w:b w:val="1"/>
                <w:bCs w:val="1"/>
                <w:color w:val="auto"/>
              </w:rPr>
              <w:t xml:space="preserve">Operated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50"/>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Bombardier CRJ 200</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PSA</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65"/>
        </w:trPr>
        <w:tc>
          <w:tcPr>
            <w:tcW w:w="1920" w:type="dxa"/>
            <w:vAlign w:val="bottom"/>
          </w:tcPr>
          <w:p>
            <w:pPr>
              <w:ind w:left="40"/>
              <w:spacing w:after="0"/>
              <w:rPr>
                <w:sz w:val="20"/>
                <w:szCs w:val="20"/>
                <w:color w:val="auto"/>
              </w:rPr>
            </w:pPr>
            <w:r>
              <w:rPr>
                <w:rFonts w:ascii="Arial" w:cs="Arial" w:eastAsia="Arial" w:hAnsi="Arial"/>
                <w:sz w:val="18"/>
                <w:szCs w:val="18"/>
                <w:color w:val="auto"/>
              </w:rPr>
              <w:t>Bombardier CRJ 700</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4"/>
                <w:szCs w:val="24"/>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SkyWest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PSA</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Envoy</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97"/>
        </w:trPr>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ExpressJet </w:t>
            </w:r>
            <w:r>
              <w:rPr>
                <w:rFonts w:ascii="Arial" w:cs="Arial" w:eastAsia="Arial" w:hAnsi="Arial"/>
                <w:sz w:val="21"/>
                <w:szCs w:val="21"/>
                <w:color w:val="auto"/>
                <w:vertAlign w:val="superscript"/>
              </w:rPr>
              <w:t>(2)</w:t>
            </w: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Total</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Bombardier CRJ 900</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Mesa</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2"/>
        </w:trPr>
        <w:tc>
          <w:tcPr>
            <w:tcW w:w="19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PSA</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0"/>
        </w:trPr>
        <w:tc>
          <w:tcPr>
            <w:tcW w:w="19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65"/>
        </w:trPr>
        <w:tc>
          <w:tcPr>
            <w:tcW w:w="1920" w:type="dxa"/>
            <w:vAlign w:val="bottom"/>
          </w:tcPr>
          <w:p>
            <w:pPr>
              <w:ind w:left="40"/>
              <w:spacing w:after="0"/>
              <w:rPr>
                <w:sz w:val="20"/>
                <w:szCs w:val="20"/>
                <w:color w:val="auto"/>
              </w:rPr>
            </w:pPr>
            <w:r>
              <w:rPr>
                <w:rFonts w:ascii="Arial" w:cs="Arial" w:eastAsia="Arial" w:hAnsi="Arial"/>
                <w:sz w:val="18"/>
                <w:szCs w:val="18"/>
                <w:color w:val="auto"/>
              </w:rPr>
              <w:t>Embraer E175</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Republic</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Envoy</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Compass</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435363"/>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vMerge w:val="continue"/>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Embraer ERJ 140</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Envoy</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5"/>
        </w:trPr>
        <w:tc>
          <w:tcPr>
            <w:tcW w:w="1920" w:type="dxa"/>
            <w:vAlign w:val="bottom"/>
          </w:tcPr>
          <w:p>
            <w:pPr>
              <w:ind w:left="40"/>
              <w:spacing w:after="0"/>
              <w:rPr>
                <w:sz w:val="20"/>
                <w:szCs w:val="20"/>
                <w:color w:val="auto"/>
              </w:rPr>
            </w:pPr>
            <w:r>
              <w:rPr>
                <w:rFonts w:ascii="Arial" w:cs="Arial" w:eastAsia="Arial" w:hAnsi="Arial"/>
                <w:sz w:val="18"/>
                <w:szCs w:val="18"/>
                <w:color w:val="auto"/>
              </w:rPr>
              <w:t>Embraer ERJ 145</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Envoy</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Piedmont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0" w:type="dxa"/>
            <w:vAlign w:val="bottom"/>
            <w:tcBorders>
              <w:bottom w:val="single" w:sz="8" w:color="CCEEFF"/>
            </w:tcBorders>
            <w:gridSpan w:val="2"/>
            <w:vMerge w:val="continue"/>
          </w:tcPr>
          <w:p>
            <w:pPr>
              <w:spacing w:after="0"/>
              <w:rPr>
                <w:sz w:val="21"/>
                <w:szCs w:val="21"/>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50"/>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0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Excluded from the total operating aircraft count above are eight owned Embraer ERJ 140s that are being held in temporary storage.</w:t>
      </w:r>
    </w:p>
    <w:p>
      <w:pPr>
        <w:spacing w:after="0" w:line="44"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ExpressJet operated regional jet aircraft for us in 2018; however, this capacity purchase arrangement ended in January 2019.</w:t>
      </w:r>
    </w:p>
    <w:p>
      <w:pPr>
        <w:spacing w:after="0" w:line="161"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See Note 12 to AAG’s Consolidated Financial Statements in Part II, Item 8A and Note 10 to American’s Consolidated Financial Statements in Part II, Item 8B for additional information on our capacity purchase agreements with third-party regional carriers.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19" w:right="239" w:bottom="1440" w:gutter="0" w:footer="0" w:header="0"/>
        </w:sectPr>
      </w:pPr>
    </w:p>
    <w:bookmarkStart w:id="37" w:name="page38"/>
    <w:bookmarkEnd w:id="37"/>
    <w:p>
      <w:pPr>
        <w:ind w:left="220"/>
        <w:spacing w:after="0"/>
        <w:rPr>
          <w:sz w:val="20"/>
          <w:szCs w:val="20"/>
          <w:color w:val="auto"/>
        </w:rPr>
      </w:pPr>
      <w:r>
        <w:rPr>
          <w:rFonts w:ascii="Arial" w:cs="Arial" w:eastAsia="Arial" w:hAnsi="Arial"/>
          <w:sz w:val="18"/>
          <w:szCs w:val="18"/>
          <w:b w:val="1"/>
          <w:bCs w:val="1"/>
          <w:i w:val="1"/>
          <w:iCs w:val="1"/>
          <w:color w:val="auto"/>
        </w:rPr>
        <w:t>Aircraft and Engine Purchase Commitments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2018, we had definitive purchase agreements with Airbus, Boeing, Embraer and Bombardier for the acquisition of the following mainline and regional aircraft: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2024 and</w:t>
            </w:r>
          </w:p>
        </w:tc>
        <w:tc>
          <w:tcPr>
            <w:tcW w:w="1020" w:type="dxa"/>
            <w:vAlign w:val="bottom"/>
          </w:tcPr>
          <w:p>
            <w:pPr>
              <w:spacing w:after="0"/>
              <w:rPr>
                <w:sz w:val="14"/>
                <w:szCs w:val="14"/>
                <w:color w:val="auto"/>
              </w:rPr>
            </w:pPr>
          </w:p>
        </w:tc>
      </w:tr>
      <w:tr>
        <w:trPr>
          <w:trHeight w:val="196"/>
        </w:trPr>
        <w:tc>
          <w:tcPr>
            <w:tcW w:w="3540" w:type="dxa"/>
            <w:vAlign w:val="bottom"/>
            <w:tcBorders>
              <w:bottom w:val="single" w:sz="8" w:color="CCEEFF"/>
            </w:tcBorders>
            <w:gridSpan w:val="6"/>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02"/>
        </w:trPr>
        <w:tc>
          <w:tcPr>
            <w:tcW w:w="4240" w:type="dxa"/>
            <w:vAlign w:val="bottom"/>
            <w:gridSpan w:val="7"/>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Airbus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7"/>
          </w:tcPr>
          <w:p>
            <w:pPr>
              <w:ind w:left="40"/>
              <w:spacing w:after="0"/>
              <w:rPr>
                <w:sz w:val="20"/>
                <w:szCs w:val="20"/>
                <w:color w:val="auto"/>
              </w:rPr>
            </w:pPr>
            <w:r>
              <w:rPr>
                <w:rFonts w:ascii="Arial" w:cs="Arial" w:eastAsia="Arial" w:hAnsi="Arial"/>
                <w:sz w:val="18"/>
                <w:szCs w:val="18"/>
                <w:color w:val="auto"/>
              </w:rPr>
              <w:t>A320neo Family</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4240" w:type="dxa"/>
            <w:vAlign w:val="bottom"/>
            <w:gridSpan w:val="7"/>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Boeing</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7"/>
          </w:tcPr>
          <w:p>
            <w:pPr>
              <w:ind w:left="40"/>
              <w:spacing w:after="0"/>
              <w:rPr>
                <w:sz w:val="20"/>
                <w:szCs w:val="20"/>
                <w:color w:val="auto"/>
              </w:rPr>
            </w:pPr>
            <w:r>
              <w:rPr>
                <w:rFonts w:ascii="Arial" w:cs="Arial" w:eastAsia="Arial" w:hAnsi="Arial"/>
                <w:sz w:val="18"/>
                <w:szCs w:val="18"/>
                <w:color w:val="auto"/>
              </w:rPr>
              <w:t>737 MAX Family</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20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80</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787 Family</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r>
      <w:tr>
        <w:trPr>
          <w:trHeight w:val="203"/>
        </w:trPr>
        <w:tc>
          <w:tcPr>
            <w:tcW w:w="4240" w:type="dxa"/>
            <w:vAlign w:val="bottom"/>
            <w:gridSpan w:val="7"/>
          </w:tcPr>
          <w:p>
            <w:pPr>
              <w:ind w:left="40"/>
              <w:spacing w:after="0" w:line="202" w:lineRule="exact"/>
              <w:rPr>
                <w:sz w:val="20"/>
                <w:szCs w:val="20"/>
                <w:color w:val="auto"/>
              </w:rPr>
            </w:pPr>
            <w:r>
              <w:rPr>
                <w:rFonts w:ascii="Arial" w:cs="Arial" w:eastAsia="Arial" w:hAnsi="Arial"/>
                <w:sz w:val="18"/>
                <w:szCs w:val="18"/>
                <w:b w:val="1"/>
                <w:bCs w:val="1"/>
                <w:color w:val="auto"/>
              </w:rPr>
              <w:t>Embraer</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E175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r>
      <w:tr>
        <w:trPr>
          <w:trHeight w:val="203"/>
        </w:trPr>
        <w:tc>
          <w:tcPr>
            <w:tcW w:w="4240" w:type="dxa"/>
            <w:vAlign w:val="bottom"/>
            <w:gridSpan w:val="7"/>
          </w:tcPr>
          <w:p>
            <w:pPr>
              <w:ind w:left="40"/>
              <w:spacing w:after="0" w:line="202" w:lineRule="exact"/>
              <w:rPr>
                <w:sz w:val="20"/>
                <w:szCs w:val="20"/>
                <w:color w:val="auto"/>
              </w:rPr>
            </w:pPr>
            <w:r>
              <w:rPr>
                <w:rFonts w:ascii="Arial" w:cs="Arial" w:eastAsia="Arial" w:hAnsi="Arial"/>
                <w:sz w:val="18"/>
                <w:szCs w:val="18"/>
                <w:b w:val="1"/>
                <w:bCs w:val="1"/>
                <w:color w:val="auto"/>
              </w:rPr>
              <w:t>Bombardier</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35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CRJ900</w:t>
            </w:r>
          </w:p>
        </w:tc>
        <w:tc>
          <w:tcPr>
            <w:tcW w:w="7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37"/>
        </w:trPr>
        <w:tc>
          <w:tcPr>
            <w:tcW w:w="40" w:type="dxa"/>
            <w:vAlign w:val="bottom"/>
          </w:tcPr>
          <w:p>
            <w:pPr>
              <w:spacing w:after="0"/>
              <w:rPr>
                <w:sz w:val="20"/>
                <w:szCs w:val="20"/>
                <w:color w:val="auto"/>
              </w:rPr>
            </w:pPr>
          </w:p>
        </w:tc>
        <w:tc>
          <w:tcPr>
            <w:tcW w:w="3500" w:type="dxa"/>
            <w:vAlign w:val="bottom"/>
            <w:gridSpan w:val="5"/>
          </w:tcPr>
          <w:p>
            <w:pPr>
              <w:ind w:left="14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70</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56</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279</w:t>
            </w:r>
          </w:p>
        </w:tc>
      </w:tr>
    </w:tbl>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also have agreements for 35 spare engines to be delivered in 2019 and beyond.</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have financing commitments for all aircraft currently on order and scheduled to be delivered through June 2019. We do not have financing commitments for the following aircraft currently on order and scheduled to be delivered in the second half of 2019: seven Embraer E175 aircraft, five Airbus A320neo Family aircraft and three Boeing 737 MAX Family aircraft. We do not have financing commitments in place for remaining aircraft currently on order and scheduled to be delivered in 2020 and beyond, with the exception of four Bombardier CRJ900 aircraft. See Part I, Item 1A. Risk Factors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 xml:space="preserve"> for additional discussion.</w:t>
      </w:r>
    </w:p>
    <w:p>
      <w:pPr>
        <w:spacing w:after="0" w:line="15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12 to AAG’s Consolidated Financial Statements in Part II, Item 8A and Note 10 to American’s Consolidated Financial Statements in Part II, Item 8B for additional information on aircraft and engine acquisition commitments.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Properties</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At each airport where we conduct flight operations, we have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our level of operations and the operations of the airport. Additionally, at our hub locations and in certain other cities we serve, we lease administrative offices, catering, cargo, training, maintenance and other facilities.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own our corporate headquarters buildings in Fort Worth, Texas. We lease or have built on leased property our training facilities in Fort Worth, Texas, our principal overhaul and maintenance base in Tulsa, Oklahoma, our regional reservation offices, and administrative offices throughout the U.S. and abroad. Construction continues on a new, five-building headquarters on the corporate campus in Fort Worth, Texas, which is scheduled for completion and move-in in phases over the second half of 2019.</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1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purposes of calculating earnings per share. As disputed claims are resolved, the claimants will receive distributions of shares from the Disputed Claims Reserve. However, we are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and former convertible noteholders treated as stockholders under the Plan. On February 12, 2019, in accordance with the approval granted by the Bankruptcy Court on December 6, 2018, an aggregate of approximately 17.3 million shares of AAG common stock were distributed from the Disputed Claims Reserve to former AMR shareholders and convertible noteholders. After giving effect to this distribution, the Disputed Claims Reserve holds approximately 7.2 million shares of AAG common stock.</w:t>
      </w:r>
    </w:p>
    <w:p>
      <w:pPr>
        <w:spacing w:after="0" w:line="139"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(the DC Court). On June 15, 2018, we reached a preliminary settlement agreement with the plaintiffs in the amount of $45 million that, once approved, will resolve all claims in the U.S. lawsuits. That settlement received preliminary approval from the DC Court on June 18, 2018.</w:t>
      </w:r>
    </w:p>
    <w:p>
      <w:pPr>
        <w:spacing w:after="0" w:line="12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United States Bankruptcy Court for the Southern District of New York. The complaint named as defendants US Airways Group,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Court denied in part defendants' motion for summary judgment, and fully denied plaintiffs' cross-motion for summary judgment. A bench trial is presently scheduled for March 2019. We believe this lawsuit is without merit and intend to vigorously defend against the allegations.</w:t>
      </w:r>
    </w:p>
    <w:p>
      <w:pPr>
        <w:spacing w:after="0" w:line="135"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Department of Justice (DOJ) informed us of an inquiry</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American’s 2009 and 2011 contracts with the United States Postal Service for the international transportation of mail by air. In October 2015, we received a Civil Investigative Demand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3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 Item 1A. Risk Factors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otherwise, which could affect our financial position and liquidity” </w:t>
      </w:r>
      <w:r>
        <w:rPr>
          <w:rFonts w:ascii="Arial" w:cs="Arial" w:eastAsia="Arial" w:hAnsi="Arial"/>
          <w:sz w:val="18"/>
          <w:szCs w:val="18"/>
          <w:color w:val="auto"/>
        </w:rPr>
        <w:t>for additional discussion.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19"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900" w:right="520" w:hanging="890"/>
        <w:spacing w:after="0" w:line="287" w:lineRule="auto"/>
        <w:tabs>
          <w:tab w:leader="none" w:pos="880" w:val="left"/>
        </w:tabs>
        <w:rPr>
          <w:sz w:val="20"/>
          <w:szCs w:val="20"/>
          <w:color w:val="auto"/>
        </w:rPr>
      </w:pPr>
      <w:r>
        <w:rPr>
          <w:rFonts w:ascii="Arial" w:cs="Arial" w:eastAsia="Arial" w:hAnsi="Arial"/>
          <w:sz w:val="18"/>
          <w:szCs w:val="18"/>
          <w:b w:val="1"/>
          <w:bCs w:val="1"/>
          <w:color w:val="auto"/>
        </w:rPr>
        <w:t>ITEM 5.</w:t>
        <w:tab/>
        <w:t>MARKET FOR AMERICAN AIRLINES GROUP’S COMMON STOCK, RELATED STOCKHOLDER MATTERS AND ISSUER PURCHASES OF EQUITY SECURITIES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common stock is listed on the NASDAQ Global Select Market (NASDAQ) under the symbol “AAL.” There is no trading market for the common stock of American, which is a wholly-owned subsidiary of AAG.</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February 20, 2019, the closing price of our common stock was $35.06 and there were 13,685 holders of record. However, because many of the shares of our common stock are held by brokers and other institutions on behalf of stockholders, we believe there are substantially more beneficial holders of our common stock than record holders.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Information on securities authorized for issuance under our equity compensation plans will be set forth in our Proxy Statement for the 2019 Annual Meeting of Stockholders of American Airlines Group Inc. (the Proxy Statement) under the caption “Equity Compensation Plan Information” and is incorporated by reference into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of Common Stock</w:t>
      </w:r>
    </w:p>
    <w:p>
      <w:pPr>
        <w:spacing w:after="0" w:line="19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January 2019, we announced that our Board of Directors declared a $0.10 per share cash dividend for stockholders of record on February 6, 2019, and payable on February 20, 2019.</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total cash payment for dividends during the years ended December 31, 2018 and 2017 was $186 million and $198 million, respectively.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8"/>
          <w:szCs w:val="18"/>
          <w:i w:val="1"/>
          <w:iCs w:val="1"/>
          <w:color w:val="auto"/>
        </w:rPr>
        <w:t>The following stock performance graph and related information shall not be deemed “soliciting material” or “filed” with the Securities and Exchange Commission, nor shall such information be incorporated by reference into any future filings under the Securities Act of 1933 or the Exchange Act, each as amended, except to the extent that we specifically incorporate it by reference into such filing.</w:t>
      </w:r>
    </w:p>
    <w:p>
      <w:pPr>
        <w:spacing w:after="0" w:line="14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following stock performance graph compares the cumulative total stockholder returns during the period from December 31, 2013 to December 31, 2018 of our common stock to the Standard and Poor’s (S&amp;P) 500 Stock Index and the New York Stock Exchange (NYSE) ARCA Airline Index. The comparison assumes $100 was invested on December 31, 2013 in our common stock and in each of the foregoing indices and assumes that all dividends were reinvested. The stock performance shown on the following graph represents historical stock performance and is not necessarily indicative of future stock price performance.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76" w:right="2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2898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12/31/2013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12/31/2016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12/31/2017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12/31/2018</w:t>
            </w: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American Airlines Group Inc. (AAL)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NYSE ARCA Airline Index (XAL)</w:t>
            </w:r>
          </w:p>
        </w:tc>
        <w:tc>
          <w:tcPr>
            <w:tcW w:w="16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130</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S&amp;P 500 Index (GSPC)</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2018, we repurchased 16.6 million shares of AAG common stock for $800 million at a weighted average cost per share of $48.15. In 2017, we repurchased 33.9 million shares of AAG common stock for $1.6 billion at a weighted average cost per share of $45.68. Since the inception of our share repurchase programs in July 2014 through December 31, 2018, we have repurchased 278.9 million shares of AAG common stock for $11.3 billion at a weighted average cost per share of $40.69.</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did not make any purchases of shares of AAG common stock during the three months ended December 31, 2018.</w:t>
      </w:r>
    </w:p>
    <w:p>
      <w:pPr>
        <w:spacing w:after="0" w:line="33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Share repurchases under our repurchase programs may be made through a variety of methods, which may include open market purchases, privately negotiated transactions, block trades or accelerated share repurchase transactions. Any such repurchases that may be made from time to time will be subject to market and economic conditions, applicable legal requirements and other relevant factors. We are not obligated to repurchase any specific number of shares and our repurchase of AAG common stock may be limited, suspended or discontinued at any time at our discretion and without prior notice.</w:t>
      </w:r>
    </w:p>
    <w:p>
      <w:pPr>
        <w:spacing w:after="0" w:line="134" w:lineRule="exact"/>
        <w:rPr>
          <w:sz w:val="20"/>
          <w:szCs w:val="20"/>
          <w:color w:val="auto"/>
        </w:rPr>
      </w:pPr>
    </w:p>
    <w:p>
      <w:pPr>
        <w:jc w:val="both"/>
        <w:ind w:firstLine="216"/>
        <w:spacing w:after="0" w:line="266" w:lineRule="auto"/>
        <w:rPr>
          <w:sz w:val="20"/>
          <w:szCs w:val="20"/>
          <w:color w:val="auto"/>
        </w:rPr>
      </w:pPr>
      <w:r>
        <w:rPr>
          <w:rFonts w:ascii="Arial" w:cs="Arial" w:eastAsia="Arial" w:hAnsi="Arial"/>
          <w:sz w:val="18"/>
          <w:szCs w:val="18"/>
          <w:color w:val="auto"/>
        </w:rPr>
        <w:t>See Part I, Item 1A. Risk Factors – “</w:t>
      </w:r>
      <w:r>
        <w:rPr>
          <w:rFonts w:ascii="Arial" w:cs="Arial" w:eastAsia="Arial" w:hAnsi="Arial"/>
          <w:sz w:val="18"/>
          <w:szCs w:val="18"/>
          <w:i w:val="1"/>
          <w:iCs w:val="1"/>
          <w:color w:val="auto"/>
        </w:rPr>
        <w:t>We cannot guarantee that we will continue to repurchase our common stock or pay dividends on our</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 or that our capital deployment program will enhance long-term stockholder value. Our capital deployment program could increase the volatility of the price of our common stock and diminish our cash reserves</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Restrictions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AAG’s Certificate of Incorporation and Bylaws provide that, consistent with the requirements of Subtitle VII of Title 49 of the United States Code, as amended (the Aviation Act), any persons or entities who are not a “citizen of the United States” (as defined under the Aviation Act and administrative interpretations issued by the DOT, its predecessors and successors, from time to time), including any agent, trustee or representative of such persons or entities (a non-citizen), shall not, in the aggregate, own (beneficially or of record) and/or control more than (a) 24.9% of the aggregate votes of all of our outstanding equity securities or (b) 49.0% of our outstanding equity securities. Our Certificate of Incorporation and Bylaws further specify that it is the duty of each stockholder who is a non-citizen to register his, her or its equity securities on our foreign stock record and provide for remedies applicable to stockholders that exceed the voting and ownership caps described above.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40" w:right="239" w:bottom="1440" w:gutter="0" w:footer="0" w:header="0"/>
        </w:sectPr>
      </w:pPr>
    </w:p>
    <w:bookmarkStart w:id="41" w:name="page42"/>
    <w:bookmarkEnd w:id="41"/>
    <w:p>
      <w:pPr>
        <w:jc w:val="both"/>
        <w:ind w:firstLine="216"/>
        <w:spacing w:after="0" w:line="256" w:lineRule="auto"/>
        <w:rPr>
          <w:sz w:val="20"/>
          <w:szCs w:val="20"/>
          <w:color w:val="auto"/>
        </w:rPr>
      </w:pPr>
      <w:r>
        <w:rPr>
          <w:rFonts w:ascii="Arial" w:cs="Arial" w:eastAsia="Arial" w:hAnsi="Arial"/>
          <w:sz w:val="18"/>
          <w:szCs w:val="18"/>
          <w:color w:val="auto"/>
        </w:rPr>
        <w:t>In addition, to reduce the risk of a potential adverse effect on our ability to use our NOL Carryforwards and certain other tax attributes for federal income tax purposes, our Certificate of Incorporation contains certain restrictions on the acquisition and disposition of our common stock by substantial stockholders (generally holders of more than 4.75%).</w:t>
      </w:r>
    </w:p>
    <w:p>
      <w:pPr>
        <w:spacing w:after="0" w:line="130" w:lineRule="exact"/>
        <w:rPr>
          <w:sz w:val="20"/>
          <w:szCs w:val="20"/>
          <w:color w:val="auto"/>
        </w:rPr>
      </w:pPr>
    </w:p>
    <w:p>
      <w:pPr>
        <w:jc w:val="both"/>
        <w:ind w:firstLine="216"/>
        <w:spacing w:after="0" w:line="266" w:lineRule="auto"/>
        <w:rPr>
          <w:sz w:val="20"/>
          <w:szCs w:val="20"/>
          <w:color w:val="auto"/>
        </w:rPr>
      </w:pPr>
      <w:r>
        <w:rPr>
          <w:rFonts w:ascii="Arial" w:cs="Arial" w:eastAsia="Arial" w:hAnsi="Arial"/>
          <w:sz w:val="18"/>
          <w:szCs w:val="18"/>
          <w:color w:val="auto"/>
        </w:rPr>
        <w:t xml:space="preserve">See Part I, Item 1A. Risk Factors – </w:t>
      </w:r>
      <w:r>
        <w:rPr>
          <w:rFonts w:ascii="Arial" w:cs="Arial" w:eastAsia="Arial" w:hAnsi="Arial"/>
          <w:sz w:val="18"/>
          <w:szCs w:val="18"/>
          <w:i w:val="1"/>
          <w:iCs w:val="1"/>
          <w:color w:val="auto"/>
        </w:rPr>
        <w:t>“AAG’s Certificate of Incorporation and Bylaws include provisions that limit voting and acquisition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disposition of our equity interests.” </w:t>
      </w:r>
      <w:r>
        <w:rPr>
          <w:rFonts w:ascii="Arial" w:cs="Arial" w:eastAsia="Arial" w:hAnsi="Arial"/>
          <w:sz w:val="18"/>
          <w:szCs w:val="18"/>
          <w:color w:val="auto"/>
        </w:rPr>
        <w:t>Also see AAG’s Certification of Incorporation and Bylaws, which are filed as Exhibits 3.1, 3.2 and 3.3 hereto,</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full text of the foregoing restrictions.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6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adopted three new accounting standards as of January 1, 2018: Accounting Standards Update (ASU) 2016-02: Leases (Topic 842)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Lease Standard), ASU 2014-09: Revenue from Contracts with Customers (the New Revenue Standard) and ASU 2017-07: Compensation</w:t>
      </w:r>
    </w:p>
    <w:p>
      <w:pPr>
        <w:spacing w:after="0" w:line="9" w:lineRule="exact"/>
        <w:rPr>
          <w:sz w:val="20"/>
          <w:szCs w:val="20"/>
          <w:color w:val="auto"/>
        </w:rPr>
      </w:pPr>
    </w:p>
    <w:p>
      <w:pPr>
        <w:jc w:val="both"/>
        <w:ind w:firstLine="8"/>
        <w:spacing w:after="0" w:line="254" w:lineRule="auto"/>
        <w:tabs>
          <w:tab w:leader="none" w:pos="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Retirement Benefits (the New Retirement Standard). The 2017 and 2016 financial information presented within Item 6. Selected Consolidated Financial Data has been recast to reflect the impact of the adoption of the New Revenue Standard and the New Retirement Standard. The New Lease Standard did not require the recast of prior periods. See Note 1(b) to AAG’s and American’s Consolidated Financial Statements in Part II, Items 8A and 8B, respectively, for further information on the impacts of these new accounting standards.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 of AAG</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selected consolidated financial data presented below under the captions “Consolidated Statements of Operations data” and “Consolidated Balance Sheet data” for the years ended December 31, 2018, 2017, 2016, 2015 and 2014 are derived from AAG’s audited consolidated financial statements.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center"/>
              <w:ind w:left="593"/>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10"/>
        </w:trPr>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4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rPr>
              <w:t>(In millions, except share and per share data)</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Consolidated Statements of Operations data:</w:t>
            </w:r>
          </w:p>
        </w:tc>
        <w:tc>
          <w:tcPr>
            <w:tcW w:w="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44,541</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42,622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40,142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40,990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42,650</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41,885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38,391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35,082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34,786</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38,401</w:t>
            </w:r>
          </w:p>
        </w:tc>
      </w:tr>
      <w:tr>
        <w:trPr>
          <w:trHeight w:val="243"/>
        </w:trPr>
        <w:tc>
          <w:tcPr>
            <w:tcW w:w="40" w:type="dxa"/>
            <w:vAlign w:val="bottom"/>
          </w:tcPr>
          <w:p>
            <w:pPr>
              <w:spacing w:after="0"/>
              <w:rPr>
                <w:sz w:val="21"/>
                <w:szCs w:val="21"/>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4,249</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2,882</w:t>
            </w:r>
          </w:p>
        </w:tc>
      </w:tr>
      <w:tr>
        <w:trPr>
          <w:trHeight w:val="263"/>
        </w:trPr>
        <w:tc>
          <w:tcPr>
            <w:tcW w:w="40" w:type="dxa"/>
            <w:vAlign w:val="bottom"/>
          </w:tcPr>
          <w:p>
            <w:pPr>
              <w:spacing w:after="0"/>
              <w:rPr>
                <w:sz w:val="22"/>
                <w:szCs w:val="22"/>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Earnings per common share:</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r>
      <w:tr>
        <w:trPr>
          <w:trHeight w:val="263"/>
        </w:trPr>
        <w:tc>
          <w:tcPr>
            <w:tcW w:w="40" w:type="dxa"/>
            <w:vAlign w:val="bottom"/>
          </w:tcPr>
          <w:p>
            <w:pPr>
              <w:spacing w:after="0"/>
              <w:rPr>
                <w:sz w:val="22"/>
                <w:szCs w:val="22"/>
                <w:color w:val="auto"/>
              </w:rPr>
            </w:pPr>
          </w:p>
        </w:tc>
        <w:tc>
          <w:tcPr>
            <w:tcW w:w="4600" w:type="dxa"/>
            <w:vAlign w:val="bottom"/>
            <w:gridSpan w:val="4"/>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3.93</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used for computation (in thousands):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4600" w:type="dxa"/>
            <w:vAlign w:val="bottom"/>
            <w:gridSpan w:val="4"/>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464,236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489,164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552,308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668,393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717,456</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465,660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491,692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556,099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687,355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734,016</w:t>
            </w:r>
          </w:p>
        </w:tc>
      </w:tr>
      <w:tr>
        <w:trPr>
          <w:trHeight w:val="257"/>
        </w:trPr>
        <w:tc>
          <w:tcPr>
            <w:tcW w:w="40" w:type="dxa"/>
            <w:vAlign w:val="bottom"/>
          </w:tcPr>
          <w:p>
            <w:pPr>
              <w:spacing w:after="0"/>
              <w:rPr>
                <w:sz w:val="22"/>
                <w:szCs w:val="22"/>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0.20</w:t>
            </w:r>
          </w:p>
        </w:tc>
      </w:tr>
      <w:tr>
        <w:trPr>
          <w:trHeight w:val="135"/>
        </w:trPr>
        <w:tc>
          <w:tcPr>
            <w:tcW w:w="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03"/>
        </w:trPr>
        <w:tc>
          <w:tcPr>
            <w:tcW w:w="40" w:type="dxa"/>
            <w:vAlign w:val="bottom"/>
            <w:shd w:val="clear" w:color="auto" w:fill="CCEEFF"/>
          </w:tcPr>
          <w:p>
            <w:pPr>
              <w:spacing w:after="0"/>
              <w:rPr>
                <w:sz w:val="17"/>
                <w:szCs w:val="17"/>
                <w:color w:val="auto"/>
              </w:rPr>
            </w:pPr>
          </w:p>
        </w:tc>
        <w:tc>
          <w:tcPr>
            <w:tcW w:w="46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7"/>
        </w:trPr>
        <w:tc>
          <w:tcPr>
            <w:tcW w:w="4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(at end of period):</w:t>
            </w:r>
          </w:p>
        </w:tc>
        <w:tc>
          <w:tcPr>
            <w:tcW w:w="17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r>
      <w:tr>
        <w:trPr>
          <w:trHeight w:val="263"/>
        </w:trPr>
        <w:tc>
          <w:tcPr>
            <w:tcW w:w="40" w:type="dxa"/>
            <w:vAlign w:val="bottom"/>
            <w:tcBorders>
              <w:top w:val="single" w:sz="8" w:color="CCEEFF"/>
            </w:tcBorders>
          </w:tcPr>
          <w:p>
            <w:pPr>
              <w:spacing w:after="0"/>
              <w:rPr>
                <w:sz w:val="22"/>
                <w:szCs w:val="22"/>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assets</w:t>
            </w:r>
          </w:p>
        </w:tc>
        <w:tc>
          <w:tcPr>
            <w:tcW w:w="3080" w:type="dxa"/>
            <w:vAlign w:val="bottom"/>
            <w:tcBorders>
              <w:top w:val="single" w:sz="8" w:color="CCEEFF"/>
            </w:tcBorders>
            <w:gridSpan w:val="3"/>
          </w:tcPr>
          <w:p>
            <w:pPr>
              <w:spacing w:after="0"/>
              <w:rPr>
                <w:sz w:val="22"/>
                <w:szCs w:val="22"/>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60,580</w:t>
            </w: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52,785</w:t>
            </w: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53,610</w:t>
            </w: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48,415</w:t>
            </w: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43,225</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Debt and finance leases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24,473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24,344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17,720</w:t>
            </w:r>
          </w:p>
        </w:tc>
      </w:tr>
      <w:tr>
        <w:trPr>
          <w:trHeight w:val="270"/>
        </w:trPr>
        <w:tc>
          <w:tcPr>
            <w:tcW w:w="40" w:type="dxa"/>
            <w:vAlign w:val="bottom"/>
          </w:tcPr>
          <w:p>
            <w:pPr>
              <w:spacing w:after="0"/>
              <w:rPr>
                <w:sz w:val="23"/>
                <w:szCs w:val="23"/>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 xml:space="preserve">Pension and postretirement obligations </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7,596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7,566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7,689</w:t>
            </w: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Pr>
          <w:p>
            <w:pPr>
              <w:spacing w:after="0"/>
              <w:rPr>
                <w:sz w:val="22"/>
                <w:szCs w:val="22"/>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Stockholders’ equity (deficit)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3379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60" w:hanging="652"/>
        <w:spacing w:after="0" w:line="225" w:lineRule="auto"/>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Substantially all defined benefit pension plans were frozen effective November 1, 2012. See Note 10 to AAG's Consolidated Financial Statements in Part II, Item 8A for further information on pension and postretirement benefits.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19" w:right="239" w:bottom="1440" w:gutter="0" w:footer="0" w:header="0"/>
        </w:sectPr>
      </w:pPr>
    </w:p>
    <w:bookmarkStart w:id="43" w:name="page44"/>
    <w:bookmarkEnd w:id="43"/>
    <w:p>
      <w:pPr>
        <w:jc w:val="both"/>
        <w:ind w:firstLine="216"/>
        <w:spacing w:after="0" w:line="253" w:lineRule="auto"/>
        <w:rPr>
          <w:sz w:val="20"/>
          <w:szCs w:val="20"/>
          <w:color w:val="auto"/>
        </w:rPr>
      </w:pPr>
      <w:r>
        <w:rPr>
          <w:rFonts w:ascii="Arial" w:cs="Arial" w:eastAsia="Arial" w:hAnsi="Arial"/>
          <w:sz w:val="18"/>
          <w:szCs w:val="18"/>
          <w:color w:val="auto"/>
        </w:rPr>
        <w:t>The following table presents the components of our total special items and the reconciliation of pre-tax income and net income (GAAP measures) to pre-tax income excluding special items and net income excluding special items (non-GAAP measures). Management uses pre-tax income excluding special items and net income excluding special items to evaluate our current operating performance and to allow for period-to-period comparisons. As special items may vary from period-to-period in nature and amount, the adjustment to exclude special items allows management an additional tool to understand our core operating performance.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10"/>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6500" w:type="dxa"/>
            <w:vAlign w:val="bottom"/>
            <w:gridSpan w:val="7"/>
            <w:shd w:val="clear" w:color="auto" w:fill="CCEEFF"/>
          </w:tcPr>
          <w:p>
            <w:pPr>
              <w:ind w:left="40"/>
              <w:spacing w:after="0" w:line="222" w:lineRule="exact"/>
              <w:rPr>
                <w:sz w:val="20"/>
                <w:szCs w:val="20"/>
                <w:color w:val="auto"/>
              </w:rPr>
            </w:pPr>
            <w:r>
              <w:rPr>
                <w:rFonts w:ascii="Arial" w:cs="Arial" w:eastAsia="Arial" w:hAnsi="Arial"/>
                <w:sz w:val="18"/>
                <w:szCs w:val="18"/>
                <w:b w:val="1"/>
                <w:bCs w:val="1"/>
                <w:color w:val="auto"/>
              </w:rPr>
              <w:t xml:space="preserve">Components of Total Special Items, Net: </w:t>
            </w:r>
            <w:r>
              <w:rPr>
                <w:rFonts w:ascii="Arial" w:cs="Arial" w:eastAsia="Arial" w:hAnsi="Arial"/>
                <w:sz w:val="21"/>
                <w:szCs w:val="21"/>
                <w:b w:val="1"/>
                <w:bCs w:val="1"/>
                <w:color w:val="auto"/>
                <w:vertAlign w:val="superscript"/>
              </w:rPr>
              <w:t>(1)</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2660" w:type="dxa"/>
            <w:vAlign w:val="bottom"/>
            <w:tcBorders>
              <w:top w:val="single" w:sz="8" w:color="auto"/>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r>
      <w:tr>
        <w:trPr>
          <w:trHeight w:val="270"/>
        </w:trPr>
        <w:tc>
          <w:tcPr>
            <w:tcW w:w="6500" w:type="dxa"/>
            <w:vAlign w:val="bottom"/>
            <w:gridSpan w:val="7"/>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920" w:type="dxa"/>
            <w:vAlign w:val="bottom"/>
          </w:tcPr>
          <w:p>
            <w:pPr>
              <w:jc w:val="right"/>
              <w:ind w:right="693"/>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177</w:t>
            </w:r>
          </w:p>
        </w:tc>
      </w:tr>
      <w:tr>
        <w:trPr>
          <w:trHeight w:val="270"/>
        </w:trPr>
        <w:tc>
          <w:tcPr>
            <w:tcW w:w="65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(3)</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r>
      <w:tr>
        <w:trPr>
          <w:trHeight w:val="270"/>
        </w:trPr>
        <w:tc>
          <w:tcPr>
            <w:tcW w:w="6500" w:type="dxa"/>
            <w:vAlign w:val="bottom"/>
            <w:gridSpan w:val="7"/>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(4)</w:t>
            </w:r>
          </w:p>
        </w:tc>
        <w:tc>
          <w:tcPr>
            <w:tcW w:w="9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1"/>
                <w:szCs w:val="21"/>
                <w:color w:val="auto"/>
                <w:vertAlign w:val="superscript"/>
              </w:rPr>
              <w:t>(5)</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gridSpan w:val="7"/>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(6)</w:t>
            </w:r>
          </w:p>
        </w:tc>
        <w:tc>
          <w:tcPr>
            <w:tcW w:w="9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Labor contract expenses</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gridSpan w:val="7"/>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(7)</w:t>
            </w:r>
          </w:p>
        </w:tc>
        <w:tc>
          <w:tcPr>
            <w:tcW w:w="9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65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(8)</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650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Other operating charges (credits), net</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Mainline operating special items, net</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r>
      <w:tr>
        <w:trPr>
          <w:trHeight w:val="264"/>
        </w:trPr>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32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Regional operating special items, net</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r>
      <w:tr>
        <w:trPr>
          <w:trHeight w:val="257"/>
        </w:trPr>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Operating special items, net</w:t>
            </w: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723</w:t>
            </w:r>
          </w:p>
        </w:tc>
      </w:tr>
      <w:tr>
        <w:trPr>
          <w:trHeight w:val="250"/>
        </w:trPr>
        <w:tc>
          <w:tcPr>
            <w:tcW w:w="6500" w:type="dxa"/>
            <w:vAlign w:val="bottom"/>
            <w:gridSpan w:val="7"/>
          </w:tcPr>
          <w:p>
            <w:pPr>
              <w:ind w:left="40"/>
              <w:spacing w:after="0"/>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1"/>
                <w:szCs w:val="21"/>
                <w:color w:val="auto"/>
                <w:vertAlign w:val="superscript"/>
              </w:rPr>
              <w:t>(9)</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64"/>
        </w:trPr>
        <w:tc>
          <w:tcPr>
            <w:tcW w:w="6500" w:type="dxa"/>
            <w:vAlign w:val="bottom"/>
            <w:gridSpan w:val="7"/>
          </w:tcPr>
          <w:p>
            <w:pPr>
              <w:ind w:left="40"/>
              <w:spacing w:after="0"/>
              <w:rPr>
                <w:sz w:val="20"/>
                <w:szCs w:val="20"/>
                <w:color w:val="auto"/>
              </w:rPr>
            </w:pPr>
            <w:r>
              <w:rPr>
                <w:rFonts w:ascii="Arial" w:cs="Arial" w:eastAsia="Arial" w:hAnsi="Arial"/>
                <w:sz w:val="18"/>
                <w:szCs w:val="18"/>
                <w:color w:val="auto"/>
              </w:rPr>
              <w:t>Other nonoperating credits, net</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632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Nonoperating special items, net</w:t>
            </w: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50"/>
        </w:trPr>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320" w:type="dxa"/>
            <w:vAlign w:val="bottom"/>
            <w:tcBorders>
              <w:bottom w:val="single" w:sz="8" w:color="CCEEFF"/>
            </w:tcBorders>
            <w:gridSpan w:val="5"/>
          </w:tcPr>
          <w:p>
            <w:pPr>
              <w:ind w:left="200"/>
              <w:spacing w:after="0"/>
              <w:rPr>
                <w:sz w:val="20"/>
                <w:szCs w:val="20"/>
                <w:color w:val="auto"/>
              </w:rPr>
            </w:pPr>
            <w:r>
              <w:rPr>
                <w:rFonts w:ascii="Arial" w:cs="Arial" w:eastAsia="Arial" w:hAnsi="Arial"/>
                <w:sz w:val="18"/>
                <w:szCs w:val="18"/>
                <w:color w:val="auto"/>
              </w:rPr>
              <w:t>Pre-tax special items, net</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772</w:t>
            </w:r>
          </w:p>
        </w:tc>
      </w:tr>
      <w:tr>
        <w:trPr>
          <w:trHeight w:val="257"/>
        </w:trPr>
        <w:tc>
          <w:tcPr>
            <w:tcW w:w="65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xml:space="preserve">Income tax special items </w:t>
            </w:r>
            <w:r>
              <w:rPr>
                <w:rFonts w:ascii="Arial" w:cs="Arial" w:eastAsia="Arial" w:hAnsi="Arial"/>
                <w:sz w:val="21"/>
                <w:szCs w:val="21"/>
                <w:color w:val="auto"/>
                <w:vertAlign w:val="superscript"/>
              </w:rPr>
              <w:t>(10)</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 xml:space="preserve">Impact of the 2017 Tax Act </w:t>
            </w:r>
            <w:r>
              <w:rPr>
                <w:rFonts w:ascii="Arial" w:cs="Arial" w:eastAsia="Arial" w:hAnsi="Arial"/>
                <w:sz w:val="21"/>
                <w:szCs w:val="21"/>
                <w:color w:val="auto"/>
                <w:vertAlign w:val="superscript"/>
              </w:rPr>
              <w:t>(11)</w:t>
            </w:r>
          </w:p>
        </w:tc>
        <w:tc>
          <w:tcPr>
            <w:tcW w:w="9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tax special items, net</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84"/>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20" w:type="dxa"/>
            <w:vAlign w:val="bottom"/>
            <w:gridSpan w:val="5"/>
          </w:tcPr>
          <w:p>
            <w:pPr>
              <w:ind w:left="200"/>
              <w:spacing w:after="0"/>
              <w:rPr>
                <w:sz w:val="20"/>
                <w:szCs w:val="20"/>
                <w:color w:val="auto"/>
              </w:rPr>
            </w:pPr>
            <w:r>
              <w:rPr>
                <w:rFonts w:ascii="Arial" w:cs="Arial" w:eastAsia="Arial" w:hAnsi="Arial"/>
                <w:sz w:val="18"/>
                <w:szCs w:val="18"/>
                <w:color w:val="auto"/>
              </w:rPr>
              <w:t>Total special items, net</w:t>
            </w:r>
          </w:p>
        </w:tc>
        <w:tc>
          <w:tcPr>
            <w:tcW w:w="920" w:type="dxa"/>
            <w:vAlign w:val="bottom"/>
          </w:tcPr>
          <w:p>
            <w:pPr>
              <w:jc w:val="right"/>
              <w:ind w:right="693"/>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772</w:t>
            </w:r>
          </w:p>
        </w:tc>
      </w:tr>
      <w:tr>
        <w:trPr>
          <w:trHeight w:val="364"/>
        </w:trPr>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5000" w:type="dxa"/>
            <w:vAlign w:val="bottom"/>
            <w:tcBorders>
              <w:top w:val="single" w:sz="8" w:color="CCEEFF"/>
              <w:bottom w:val="single" w:sz="8" w:color="auto"/>
            </w:tcBorders>
            <w:gridSpan w:val="5"/>
            <w:shd w:val="clear" w:color="auto" w:fill="CCEEFF"/>
          </w:tcPr>
          <w:p>
            <w:pPr>
              <w:spacing w:after="0"/>
              <w:rPr>
                <w:sz w:val="20"/>
                <w:szCs w:val="20"/>
                <w:color w:val="auto"/>
              </w:rPr>
            </w:pPr>
            <w:r>
              <w:rPr>
                <w:rFonts w:ascii="Arial" w:cs="Arial" w:eastAsia="Arial" w:hAnsi="Arial"/>
                <w:sz w:val="18"/>
                <w:szCs w:val="18"/>
                <w:b w:val="1"/>
                <w:bCs w:val="1"/>
                <w:color w:val="auto"/>
                <w:w w:val="99"/>
                <w:shd w:val="clear" w:color="auto" w:fill="CCEEFF"/>
              </w:rPr>
              <w:t>Reconciliation of Pre-Tax Income Excluding Special Items:</w:t>
            </w:r>
          </w:p>
        </w:tc>
        <w:tc>
          <w:tcPr>
            <w:tcW w:w="1460" w:type="dxa"/>
            <w:vAlign w:val="bottom"/>
            <w:tcBorders>
              <w:top w:val="single" w:sz="8" w:color="CCEEFF"/>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spacing w:after="0"/>
              <w:rPr>
                <w:sz w:val="24"/>
                <w:szCs w:val="24"/>
                <w:color w:val="auto"/>
              </w:rPr>
            </w:pPr>
          </w:p>
        </w:tc>
        <w:tc>
          <w:tcPr>
            <w:tcW w:w="130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263"/>
        </w:trPr>
        <w:tc>
          <w:tcPr>
            <w:tcW w:w="6500" w:type="dxa"/>
            <w:vAlign w:val="bottom"/>
            <w:tcBorders>
              <w:top w:val="single" w:sz="8" w:color="CCEEFF"/>
            </w:tcBorders>
            <w:gridSpan w:val="7"/>
          </w:tcPr>
          <w:p>
            <w:pPr>
              <w:ind w:left="40"/>
              <w:spacing w:after="0"/>
              <w:rPr>
                <w:sz w:val="20"/>
                <w:szCs w:val="20"/>
                <w:color w:val="auto"/>
              </w:rPr>
            </w:pPr>
            <w:r>
              <w:rPr>
                <w:rFonts w:ascii="Arial" w:cs="Arial" w:eastAsia="Arial" w:hAnsi="Arial"/>
                <w:sz w:val="18"/>
                <w:szCs w:val="18"/>
                <w:color w:val="auto"/>
              </w:rPr>
              <w:t>Pre-tax income – GAAP</w:t>
            </w:r>
          </w:p>
        </w:tc>
        <w:tc>
          <w:tcPr>
            <w:tcW w:w="920" w:type="dxa"/>
            <w:vAlign w:val="bottom"/>
            <w:tcBorders>
              <w:top w:val="single" w:sz="8" w:color="CCEEFF"/>
            </w:tcBorders>
          </w:tcPr>
          <w:p>
            <w:pPr>
              <w:jc w:val="right"/>
              <w:ind w:right="693"/>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7"/>
              </w:rPr>
              <w:t>1,884</w:t>
            </w:r>
          </w:p>
        </w:tc>
        <w:tc>
          <w:tcPr>
            <w:tcW w:w="420" w:type="dxa"/>
            <w:vAlign w:val="bottom"/>
            <w:tcBorders>
              <w:top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3,395</w:t>
            </w:r>
          </w:p>
        </w:tc>
        <w:tc>
          <w:tcPr>
            <w:tcW w:w="12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4,152</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Adjusted for: Pre-tax special items, net</w:t>
            </w:r>
          </w:p>
        </w:tc>
        <w:tc>
          <w:tcPr>
            <w:tcW w:w="12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w:t>
            </w:r>
          </w:p>
        </w:tc>
      </w:tr>
      <w:tr>
        <w:trPr>
          <w:trHeight w:val="290"/>
        </w:trPr>
        <w:tc>
          <w:tcPr>
            <w:tcW w:w="650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Pre-tax income excluding special items</w:t>
            </w:r>
          </w:p>
        </w:tc>
        <w:tc>
          <w:tcPr>
            <w:tcW w:w="92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2,790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4,151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4,924</w:t>
            </w:r>
          </w:p>
        </w:tc>
      </w:tr>
      <w:tr>
        <w:trPr>
          <w:trHeight w:val="357"/>
        </w:trPr>
        <w:tc>
          <w:tcPr>
            <w:tcW w:w="40" w:type="dxa"/>
            <w:vAlign w:val="bottom"/>
            <w:tcBorders>
              <w:bottom w:val="single" w:sz="8" w:color="CCEEFF"/>
            </w:tcBorders>
            <w:shd w:val="clear" w:color="auto" w:fill="CCEEFF"/>
          </w:tcPr>
          <w:p>
            <w:pPr>
              <w:spacing w:after="0"/>
              <w:rPr>
                <w:sz w:val="24"/>
                <w:szCs w:val="24"/>
                <w:color w:val="auto"/>
              </w:rPr>
            </w:pPr>
          </w:p>
        </w:tc>
        <w:tc>
          <w:tcPr>
            <w:tcW w:w="46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w w:val="99"/>
                <w:shd w:val="clear" w:color="auto" w:fill="CCEEFF"/>
              </w:rPr>
              <w:t>Reconciliation of Net Income Excluding Special Items:</w:t>
            </w:r>
          </w:p>
        </w:tc>
        <w:tc>
          <w:tcPr>
            <w:tcW w:w="1820" w:type="dxa"/>
            <w:vAlign w:val="bottom"/>
            <w:tcBorders>
              <w:bottom w:val="single" w:sz="8" w:color="CCEEFF"/>
            </w:tcBorders>
            <w:gridSpan w:val="2"/>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r>
      <w:tr>
        <w:trPr>
          <w:trHeight w:val="263"/>
        </w:trPr>
        <w:tc>
          <w:tcPr>
            <w:tcW w:w="6500" w:type="dxa"/>
            <w:vAlign w:val="bottom"/>
            <w:tcBorders>
              <w:top w:val="single" w:sz="8" w:color="CCEEFF"/>
            </w:tcBorders>
            <w:gridSpan w:val="7"/>
          </w:tcPr>
          <w:p>
            <w:pPr>
              <w:ind w:left="40"/>
              <w:spacing w:after="0"/>
              <w:rPr>
                <w:sz w:val="20"/>
                <w:szCs w:val="20"/>
                <w:color w:val="auto"/>
              </w:rPr>
            </w:pPr>
            <w:r>
              <w:rPr>
                <w:rFonts w:ascii="Arial" w:cs="Arial" w:eastAsia="Arial" w:hAnsi="Arial"/>
                <w:sz w:val="18"/>
                <w:szCs w:val="18"/>
                <w:color w:val="auto"/>
              </w:rPr>
              <w:t>Net income – GAAP</w:t>
            </w:r>
          </w:p>
        </w:tc>
        <w:tc>
          <w:tcPr>
            <w:tcW w:w="920" w:type="dxa"/>
            <w:vAlign w:val="bottom"/>
            <w:tcBorders>
              <w:top w:val="single" w:sz="8" w:color="CCEEFF"/>
            </w:tcBorders>
          </w:tcPr>
          <w:p>
            <w:pPr>
              <w:jc w:val="right"/>
              <w:ind w:right="693"/>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7"/>
              </w:rPr>
              <w:t>1,412</w:t>
            </w:r>
          </w:p>
        </w:tc>
        <w:tc>
          <w:tcPr>
            <w:tcW w:w="420" w:type="dxa"/>
            <w:vAlign w:val="bottom"/>
            <w:tcBorders>
              <w:top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1,282</w:t>
            </w:r>
          </w:p>
        </w:tc>
        <w:tc>
          <w:tcPr>
            <w:tcW w:w="12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2,584</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Adjusted for: Total special items, net</w:t>
            </w:r>
          </w:p>
        </w:tc>
        <w:tc>
          <w:tcPr>
            <w:tcW w:w="3020" w:type="dxa"/>
            <w:vAlign w:val="bottom"/>
            <w:tcBorders>
              <w:bottom w:val="single" w:sz="8" w:color="CCEEFF"/>
            </w:tcBorders>
            <w:gridSpan w:val="3"/>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w:t>
            </w:r>
          </w:p>
        </w:tc>
      </w:tr>
      <w:tr>
        <w:trPr>
          <w:trHeight w:val="264"/>
        </w:trPr>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32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Adjusted for: Net tax effect of special items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62"/>
        </w:trPr>
        <w:tc>
          <w:tcPr>
            <w:tcW w:w="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shd w:val="clear" w:color="auto" w:fill="CCEEFF"/>
              </w:rPr>
              <w:t>Net income excluding special items</w:t>
            </w:r>
          </w:p>
        </w:tc>
        <w:tc>
          <w:tcPr>
            <w:tcW w:w="3660" w:type="dxa"/>
            <w:vAlign w:val="bottom"/>
            <w:tcBorders>
              <w:bottom w:val="single" w:sz="8" w:color="CCEEFF"/>
            </w:tcBorders>
            <w:gridSpan w:val="4"/>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2,117</w:t>
            </w: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See Note 2 to AAG’s Consolidated Financial Statements in Part II, Item 8A for further information on special items.</w:t>
      </w:r>
    </w:p>
    <w:p>
      <w:pPr>
        <w:spacing w:after="0" w:line="117" w:lineRule="exact"/>
        <w:rPr>
          <w:sz w:val="20"/>
          <w:szCs w:val="20"/>
          <w:color w:val="auto"/>
        </w:rPr>
      </w:pPr>
    </w:p>
    <w:p>
      <w:pPr>
        <w:ind w:left="640" w:right="20" w:hanging="647"/>
        <w:spacing w:after="0" w:line="262" w:lineRule="auto"/>
        <w:rPr>
          <w:sz w:val="20"/>
          <w:szCs w:val="20"/>
          <w:color w:val="auto"/>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88" w:lineRule="exact"/>
        <w:rPr>
          <w:sz w:val="20"/>
          <w:szCs w:val="20"/>
          <w:color w:val="auto"/>
        </w:rPr>
      </w:pPr>
    </w:p>
    <w:p>
      <w:pPr>
        <w:ind w:left="640" w:hanging="647"/>
        <w:spacing w:after="0" w:line="262" w:lineRule="auto"/>
        <w:rPr>
          <w:sz w:val="20"/>
          <w:szCs w:val="20"/>
          <w:color w:val="auto"/>
        </w:rPr>
      </w:pPr>
      <w:r>
        <w:rPr>
          <w:rFonts w:ascii="Arial" w:cs="Arial" w:eastAsia="Arial" w:hAnsi="Arial"/>
          <w:sz w:val="18"/>
          <w:szCs w:val="18"/>
          <w:color w:val="auto"/>
        </w:rPr>
        <w:t>Merger integration expenses included costs associated with integration projects, principally our flight attendant, human resources and payroll, and technical operations systems.</w:t>
      </w:r>
    </w:p>
    <w:p>
      <w:pPr>
        <w:spacing w:after="0" w:line="200" w:lineRule="exact"/>
        <w:rPr>
          <w:sz w:val="20"/>
          <w:szCs w:val="20"/>
          <w:color w:val="auto"/>
        </w:rPr>
      </w:pPr>
    </w:p>
    <w:p>
      <w:pPr>
        <w:sectPr>
          <w:pgSz w:w="11900" w:h="16838" w:orient="portrait"/>
          <w:cols w:equalWidth="0" w:num="2">
            <w:col w:w="140" w:space="520"/>
            <w:col w:w="10760"/>
          </w:cols>
          <w:pgMar w:left="240" w:top="760" w:right="239" w:bottom="1440" w:gutter="0" w:footer="0" w:header="0"/>
          <w:type w:val="continuous"/>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760"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Severance expenses primarily included costs associated with reductions of management and support staff team members.</w:t>
      </w:r>
    </w:p>
    <w:p>
      <w:pPr>
        <w:spacing w:after="0" w:line="99" w:lineRule="exact"/>
        <w:rPr>
          <w:sz w:val="20"/>
          <w:szCs w:val="20"/>
          <w:color w:val="auto"/>
        </w:rPr>
      </w:pPr>
    </w:p>
    <w:p>
      <w:pPr>
        <w:ind w:left="640" w:hanging="647"/>
        <w:spacing w:after="0" w:line="282" w:lineRule="auto"/>
        <w:rPr>
          <w:sz w:val="20"/>
          <w:szCs w:val="20"/>
          <w:color w:val="auto"/>
        </w:rPr>
      </w:pPr>
      <w:r>
        <w:rPr>
          <w:rFonts w:ascii="Arial" w:cs="Arial" w:eastAsia="Arial" w:hAnsi="Arial"/>
          <w:sz w:val="18"/>
          <w:szCs w:val="18"/>
          <w:color w:val="auto"/>
        </w:rPr>
        <w:t>Settlement of a private party antitrust lawsuit. See Part I, Item 3. Legal Proceedings - “</w:t>
      </w:r>
      <w:r>
        <w:rPr>
          <w:rFonts w:ascii="Arial" w:cs="Arial" w:eastAsia="Arial" w:hAnsi="Arial"/>
          <w:sz w:val="18"/>
          <w:szCs w:val="18"/>
          <w:i w:val="1"/>
          <w:iCs w:val="1"/>
          <w:color w:val="auto"/>
        </w:rPr>
        <w:t>Private Party Antitrust Action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Passenger Capacity” </w:t>
      </w:r>
      <w:r>
        <w:rPr>
          <w:rFonts w:ascii="Arial" w:cs="Arial" w:eastAsia="Arial" w:hAnsi="Arial"/>
          <w:sz w:val="18"/>
          <w:szCs w:val="18"/>
          <w:color w:val="auto"/>
        </w:rPr>
        <w:t>for further discussion.</w:t>
      </w:r>
    </w:p>
    <w:p>
      <w:pPr>
        <w:spacing w:after="0" w:line="72" w:lineRule="exact"/>
        <w:rPr>
          <w:sz w:val="20"/>
          <w:szCs w:val="20"/>
          <w:color w:val="auto"/>
        </w:rPr>
      </w:pPr>
    </w:p>
    <w:p>
      <w:pPr>
        <w:sectPr>
          <w:pgSz w:w="11900" w:h="16838" w:orient="portrait"/>
          <w:cols w:equalWidth="0" w:num="2">
            <w:col w:w="140" w:space="520"/>
            <w:col w:w="10760"/>
          </w:cols>
          <w:pgMar w:left="240" w:top="703" w:right="239" w:bottom="1440" w:gutter="0" w:footer="0" w:header="0"/>
        </w:sectPr>
      </w:pPr>
    </w:p>
    <w:p>
      <w:pPr>
        <w:ind w:left="1300" w:hanging="1292"/>
        <w:spacing w:after="0" w:line="225" w:lineRule="auto"/>
        <w:tabs>
          <w:tab w:leader="none" w:pos="652"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our Brazil route authority as a result of the U.S.-Brazil open skies agreement.</w:t>
      </w:r>
    </w:p>
    <w:p>
      <w:pPr>
        <w:sectPr>
          <w:pgSz w:w="11900" w:h="16838" w:orient="portrait"/>
          <w:cols w:equalWidth="0" w:num="1">
            <w:col w:w="11420"/>
          </w:cols>
          <w:pgMar w:left="240" w:top="703" w:right="2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Bankruptcy obligations that will be settled in shares of our common stock are marked-to-market based on our stock price.</w:t>
      </w:r>
    </w:p>
    <w:p>
      <w:pPr>
        <w:spacing w:after="0" w:line="117" w:lineRule="exact"/>
        <w:rPr>
          <w:sz w:val="20"/>
          <w:szCs w:val="20"/>
          <w:color w:val="auto"/>
        </w:rPr>
      </w:pPr>
    </w:p>
    <w:p>
      <w:pPr>
        <w:ind w:left="640" w:hanging="647"/>
        <w:spacing w:after="0" w:line="262" w:lineRule="auto"/>
        <w:rPr>
          <w:sz w:val="20"/>
          <w:szCs w:val="20"/>
          <w:color w:val="auto"/>
        </w:rPr>
      </w:pPr>
      <w:r>
        <w:rPr>
          <w:rFonts w:ascii="Arial" w:cs="Arial" w:eastAsia="Arial" w:hAnsi="Arial"/>
          <w:sz w:val="18"/>
          <w:szCs w:val="18"/>
          <w:color w:val="auto"/>
        </w:rPr>
        <w:t>Employee bonus expense included costs related to the $1,000 cash bonus and associated payroll taxes granted to mainline employees as of December 31, 2017 in recognition of H.R. 1, the 2017 Tax Cuts and Jobs Act (the 2017 Tax Act).</w:t>
      </w:r>
    </w:p>
    <w:p>
      <w:pPr>
        <w:spacing w:after="0" w:line="88" w:lineRule="exact"/>
        <w:rPr>
          <w:sz w:val="20"/>
          <w:szCs w:val="20"/>
          <w:color w:val="auto"/>
        </w:rPr>
      </w:pPr>
    </w:p>
    <w:p>
      <w:pPr>
        <w:sectPr>
          <w:pgSz w:w="11900" w:h="16838" w:orient="portrait"/>
          <w:cols w:equalWidth="0" w:num="2">
            <w:col w:w="140" w:space="520"/>
            <w:col w:w="10760"/>
          </w:cols>
          <w:pgMar w:left="240" w:top="703" w:right="239" w:bottom="1440" w:gutter="0" w:footer="0" w:header="0"/>
          <w:type w:val="continuous"/>
        </w:sectPr>
      </w:pPr>
    </w:p>
    <w:p>
      <w:pPr>
        <w:ind w:left="1300" w:hanging="1292"/>
        <w:spacing w:after="0" w:line="225" w:lineRule="auto"/>
        <w:tabs>
          <w:tab w:leader="none" w:pos="652"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investments relate to net unrealized losses primarily associated with our equity investments in China Southern Airlines and Mesa Air Group, Inc.</w:t>
      </w:r>
    </w:p>
    <w:p>
      <w:pPr>
        <w:spacing w:after="0" w:line="72"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Income tax special items for 2018 included an $18 million charge related to an international income tax matter.</w:t>
      </w:r>
    </w:p>
    <w:p>
      <w:pPr>
        <w:spacing w:after="0" w:line="107" w:lineRule="exact"/>
        <w:rPr>
          <w:rFonts w:ascii="Arial" w:cs="Arial" w:eastAsia="Arial" w:hAnsi="Arial"/>
          <w:sz w:val="22"/>
          <w:szCs w:val="22"/>
          <w:color w:val="auto"/>
          <w:vertAlign w:val="superscript"/>
        </w:rPr>
      </w:pPr>
    </w:p>
    <w:p>
      <w:pPr>
        <w:ind w:left="1300" w:right="20" w:hanging="1292"/>
        <w:spacing w:after="0" w:line="233" w:lineRule="auto"/>
        <w:tabs>
          <w:tab w:leader="none" w:pos="652"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Impact of the 2017 Tax Act includes an $823 million non-cash charge to income tax expense to reflect the impact of lower corporate income tax rates on our deferred tax asset and liabilities resulting from the 2017 Tax Act, which reduced the federal corporate income tax rate from 35% to 21%.</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03" w:right="239" w:bottom="1440" w:gutter="0" w:footer="0" w:header="0"/>
          <w:type w:val="continuous"/>
        </w:sectPr>
      </w:pPr>
    </w:p>
    <w:bookmarkStart w:id="45" w:name="page46"/>
    <w:bookmarkEnd w:id="45"/>
    <w:p>
      <w:pPr>
        <w:jc w:val="both"/>
        <w:ind w:firstLine="216"/>
        <w:spacing w:after="0" w:line="253"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understand and analyze our non-fuel costs and core operating performance. Amounts may not recalculate due to rounding.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000" w:type="dxa"/>
            <w:vAlign w:val="bottom"/>
            <w:tcBorders>
              <w:bottom w:val="single" w:sz="8" w:color="CCEEFF"/>
            </w:tcBorders>
          </w:tcPr>
          <w:p>
            <w:pPr>
              <w:spacing w:after="0"/>
              <w:rPr>
                <w:sz w:val="22"/>
                <w:szCs w:val="22"/>
                <w:color w:val="auto"/>
              </w:rPr>
            </w:pPr>
          </w:p>
        </w:tc>
        <w:tc>
          <w:tcPr>
            <w:tcW w:w="23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193"/>
        </w:trPr>
        <w:tc>
          <w:tcPr>
            <w:tcW w:w="6380" w:type="dxa"/>
            <w:vAlign w:val="bottom"/>
            <w:gridSpan w:val="3"/>
            <w:shd w:val="clear" w:color="auto" w:fill="CCEEFF"/>
          </w:tcPr>
          <w:p>
            <w:pPr>
              <w:ind w:left="40"/>
              <w:spacing w:after="0" w:line="193" w:lineRule="exact"/>
              <w:rPr>
                <w:sz w:val="20"/>
                <w:szCs w:val="20"/>
                <w:color w:val="auto"/>
              </w:rPr>
            </w:pPr>
            <w:r>
              <w:rPr>
                <w:rFonts w:ascii="Arial" w:cs="Arial" w:eastAsia="Arial" w:hAnsi="Arial"/>
                <w:sz w:val="18"/>
                <w:szCs w:val="18"/>
                <w:b w:val="1"/>
                <w:bCs w:val="1"/>
                <w:color w:val="auto"/>
              </w:rPr>
              <w:t>Reconciliation of Total Operating Costs per Available Seat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8"/>
        </w:trPr>
        <w:tc>
          <w:tcPr>
            <w:tcW w:w="6380" w:type="dxa"/>
            <w:vAlign w:val="bottom"/>
            <w:gridSpan w:val="3"/>
            <w:shd w:val="clear" w:color="auto" w:fill="CCEEFF"/>
          </w:tcPr>
          <w:p>
            <w:pPr>
              <w:ind w:left="40"/>
              <w:spacing w:after="0" w:line="199" w:lineRule="exact"/>
              <w:rPr>
                <w:sz w:val="20"/>
                <w:szCs w:val="20"/>
                <w:color w:val="auto"/>
              </w:rPr>
            </w:pPr>
            <w:r>
              <w:rPr>
                <w:rFonts w:ascii="Arial" w:cs="Arial" w:eastAsia="Arial" w:hAnsi="Arial"/>
                <w:sz w:val="18"/>
                <w:szCs w:val="18"/>
                <w:b w:val="1"/>
                <w:bCs w:val="1"/>
                <w:color w:val="auto"/>
              </w:rPr>
              <w:t>Mile (CASM) Excluding Special Items and Fuel:</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000" w:type="dxa"/>
            <w:vAlign w:val="bottom"/>
            <w:tcBorders>
              <w:top w:val="single" w:sz="8" w:color="auto"/>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r>
      <w:tr>
        <w:trPr>
          <w:trHeight w:val="204"/>
        </w:trPr>
        <w:tc>
          <w:tcPr>
            <w:tcW w:w="6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6"/>
        </w:trPr>
        <w:tc>
          <w:tcPr>
            <w:tcW w:w="40" w:type="dxa"/>
            <w:vAlign w:val="bottom"/>
          </w:tcPr>
          <w:p>
            <w:pPr>
              <w:spacing w:after="0"/>
              <w:rPr>
                <w:sz w:val="5"/>
                <w:szCs w:val="5"/>
                <w:color w:val="auto"/>
              </w:rPr>
            </w:pPr>
          </w:p>
        </w:tc>
        <w:tc>
          <w:tcPr>
            <w:tcW w:w="40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 - GAAP</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41,885</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38,391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35,082</w:t>
            </w:r>
          </w:p>
        </w:tc>
      </w:tr>
      <w:tr>
        <w:trPr>
          <w:trHeight w:val="27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 xml:space="preserve">Special items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63"/>
        </w:trPr>
        <w:tc>
          <w:tcPr>
            <w:tcW w:w="40" w:type="dxa"/>
            <w:vAlign w:val="bottom"/>
          </w:tcPr>
          <w:p>
            <w:pPr>
              <w:spacing w:after="0"/>
              <w:rPr>
                <w:sz w:val="22"/>
                <w:szCs w:val="22"/>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Regional operating special items, net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6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Aircraft fuel and related taxes - mainline</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(8,053)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(6,128)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(5,071)</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 - regional</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84"/>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Total operating expenses, excluding special items and fuel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31,196</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30,147</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28,179</w:t>
            </w:r>
          </w:p>
        </w:tc>
      </w:tr>
      <w:tr>
        <w:trPr>
          <w:trHeight w:val="257"/>
        </w:trPr>
        <w:tc>
          <w:tcPr>
            <w:tcW w:w="638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Total Available Seat Miles (ASM)</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282,054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276,493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273,410</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cents)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Total operating CASM</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12.83</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Special items per ASM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Special items, net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Regional operating special items, net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Fuel per ASM:</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 - mainline</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64"/>
        </w:trPr>
        <w:tc>
          <w:tcPr>
            <w:tcW w:w="4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Aircraft fuel and related taxes - regional</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r>
      <w:tr>
        <w:trPr>
          <w:trHeight w:val="250"/>
        </w:trPr>
        <w:tc>
          <w:tcPr>
            <w:tcW w:w="6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CASM, excluding special items and fuel</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10.31</w:t>
            </w:r>
          </w:p>
        </w:tc>
      </w:tr>
      <w:tr>
        <w:trPr>
          <w:trHeight w:val="20"/>
        </w:trPr>
        <w:tc>
          <w:tcPr>
            <w:tcW w:w="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5620" w:right="1680" w:hanging="5612"/>
        <w:spacing w:after="0" w:line="490" w:lineRule="auto"/>
        <w:tabs>
          <w:tab w:leader="none" w:pos="662"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See Note 2 to AAG’s Consolidated Financial Statements in Part II, Item 8A for further information on special items. 46</w:t>
      </w:r>
    </w:p>
    <w:p>
      <w:pPr>
        <w:sectPr>
          <w:pgSz w:w="11900" w:h="16838" w:orient="portrait"/>
          <w:cols w:equalWidth="0" w:num="1">
            <w:col w:w="11420"/>
          </w:cols>
          <w:pgMar w:left="240" w:top="760" w:right="239"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b w:val="1"/>
          <w:bCs w:val="1"/>
          <w:color w:val="auto"/>
        </w:rPr>
        <w:t>Selected Consolidated Financial Data of American</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selected consolidated financial data presented below under the captions “Consolidated Statements of Operations data” and “Consolidated Balance Sheet data” for the years ended December 31, 2018, 2017, 2016, 2015 and 2014 are derived from American’s audited consolidated financial statements. On December 30, 2015, US Airways merged with and into American, with American as the surviving corporation. For financial reporting purposes, this transaction constituted a transfer of assets between entities under common control and is reflected in American’s consolidated financial statements as though the transaction had occurred on December 9, 2013, when a subsidiary of AMR merged with and into US Airways Group, which represents the earliest date that American and US Airways were under common control.</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r>
      <w:tr>
        <w:trPr>
          <w:trHeight w:val="210"/>
        </w:trPr>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Consolidated Statements of Operations data:</w:t>
            </w:r>
          </w:p>
        </w:tc>
        <w:tc>
          <w:tcPr>
            <w:tcW w:w="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44,530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42,610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40,125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40,938</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42,676</w:t>
            </w:r>
          </w:p>
        </w:tc>
      </w:tr>
      <w:tr>
        <w:trPr>
          <w:trHeight w:val="277"/>
        </w:trPr>
        <w:tc>
          <w:tcPr>
            <w:tcW w:w="40" w:type="dxa"/>
            <w:vAlign w:val="bottom"/>
            <w:shd w:val="clear" w:color="auto" w:fill="CCEEFF"/>
          </w:tcPr>
          <w:p>
            <w:pPr>
              <w:spacing w:after="0"/>
              <w:rPr>
                <w:sz w:val="24"/>
                <w:szCs w:val="24"/>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41,807</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38,405</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35,045</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34,749</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38,410</w:t>
            </w:r>
          </w:p>
        </w:tc>
      </w:tr>
      <w:tr>
        <w:trPr>
          <w:trHeight w:val="243"/>
        </w:trPr>
        <w:tc>
          <w:tcPr>
            <w:tcW w:w="40" w:type="dxa"/>
            <w:vAlign w:val="bottom"/>
          </w:tcPr>
          <w:p>
            <w:pPr>
              <w:spacing w:after="0"/>
              <w:rPr>
                <w:sz w:val="21"/>
                <w:szCs w:val="21"/>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4,266</w:t>
            </w:r>
          </w:p>
        </w:tc>
      </w:tr>
      <w:tr>
        <w:trPr>
          <w:trHeight w:val="277"/>
        </w:trPr>
        <w:tc>
          <w:tcPr>
            <w:tcW w:w="40" w:type="dxa"/>
            <w:vAlign w:val="bottom"/>
            <w:shd w:val="clear" w:color="auto" w:fill="CCEEFF"/>
          </w:tcPr>
          <w:p>
            <w:pPr>
              <w:spacing w:after="0"/>
              <w:rPr>
                <w:sz w:val="24"/>
                <w:szCs w:val="24"/>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2,689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2,948</w:t>
            </w:r>
          </w:p>
        </w:tc>
      </w:tr>
      <w:tr>
        <w:trPr>
          <w:trHeight w:val="324"/>
        </w:trPr>
        <w:tc>
          <w:tcPr>
            <w:tcW w:w="40" w:type="dxa"/>
            <w:vAlign w:val="bottom"/>
          </w:tcPr>
          <w:p>
            <w:pPr>
              <w:spacing w:after="0"/>
              <w:rPr>
                <w:sz w:val="24"/>
                <w:szCs w:val="24"/>
                <w:color w:val="auto"/>
              </w:rPr>
            </w:pPr>
          </w:p>
        </w:tc>
        <w:tc>
          <w:tcPr>
            <w:tcW w:w="4280" w:type="dxa"/>
            <w:vAlign w:val="bottom"/>
            <w:gridSpan w:val="4"/>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284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rPr>
              <w:t>(at end of period):</w:t>
            </w:r>
          </w:p>
        </w:tc>
        <w:tc>
          <w:tcPr>
            <w:tcW w:w="144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
        </w:trPr>
        <w:tc>
          <w:tcPr>
            <w:tcW w:w="4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70,878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61,401</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60,428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50,439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42,787</w:t>
            </w:r>
          </w:p>
        </w:tc>
      </w:tr>
      <w:tr>
        <w:trPr>
          <w:trHeight w:val="263"/>
        </w:trPr>
        <w:tc>
          <w:tcPr>
            <w:tcW w:w="40" w:type="dxa"/>
            <w:vAlign w:val="bottom"/>
          </w:tcPr>
          <w:p>
            <w:pPr>
              <w:spacing w:after="0"/>
              <w:rPr>
                <w:sz w:val="22"/>
                <w:szCs w:val="22"/>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Debt and finance leases</w:t>
            </w: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23,197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23,294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22,577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18,826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16,482</w:t>
            </w:r>
          </w:p>
        </w:tc>
      </w:tr>
      <w:tr>
        <w:trPr>
          <w:trHeight w:val="277"/>
        </w:trPr>
        <w:tc>
          <w:tcPr>
            <w:tcW w:w="40" w:type="dxa"/>
            <w:vAlign w:val="bottom"/>
            <w:shd w:val="clear" w:color="auto" w:fill="CCEEFF"/>
          </w:tcPr>
          <w:p>
            <w:pPr>
              <w:spacing w:after="0"/>
              <w:rPr>
                <w:sz w:val="24"/>
                <w:szCs w:val="24"/>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Pension and postretirement obligations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6,893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7,904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7,649</w:t>
            </w:r>
          </w:p>
        </w:tc>
      </w:tr>
      <w:tr>
        <w:trPr>
          <w:trHeight w:val="263"/>
        </w:trPr>
        <w:tc>
          <w:tcPr>
            <w:tcW w:w="40" w:type="dxa"/>
            <w:vAlign w:val="bottom"/>
          </w:tcPr>
          <w:p>
            <w:pPr>
              <w:spacing w:after="0"/>
              <w:rPr>
                <w:sz w:val="22"/>
                <w:szCs w:val="22"/>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9,496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40" w:type="dxa"/>
            <w:vAlign w:val="bottom"/>
            <w:shd w:val="clear" w:color="auto" w:fill="CCEEFF"/>
          </w:tcPr>
          <w:p>
            <w:pPr>
              <w:spacing w:after="0"/>
              <w:rPr>
                <w:sz w:val="24"/>
                <w:szCs w:val="24"/>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8,578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340" w:right="20" w:hanging="332"/>
        <w:spacing w:after="0" w:line="225"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Substantially all defined benefit pension plans were frozen effective November 1, 2012. See Note 8 to American's Consolidated Financial Statements in Part II, Item 8B for further information on pension and postretirement benefits.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1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we operate an average of nearly 6,700 flights per day to nearly 350 destinations in more than 50 countries through hubs and gateways in Charlotte, Chicago, Dallas/Fort Worth, London Heathrow, Los Angeles, Miami, New York, Philadelphia, Phoenix and Washington, D.C. In 2018, approximately 204 million passengers boarded our flights.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Financial 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 Costs and the U.S. Airline Industry</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While 2018 marked another profitable year for the U.S. airline industry, higher fuel costs significantly impacted industry results. With respect to fuel costs, the price of Brent crude oil per barrel, which jet fuel prices tend to follow, was on average approximately 33% higher in 2018 as compared to 2017. The average daily spot price for Brent crude oil during 2018 was $72 per barrel as compared to an average daily spot price of $ 54 per barrel during 2017. On a daily basis, Brent crude oil prices fluctuated during 2018 between a high of $86 per barrel to a low of $50 per barrel, and closed the year on December 31, 2018 at $54 per barrel. Brent crude oil prices were higher in the 2018 period due principally to reductions of global inventories driven by strong demand and continued production restraint led primarily by the Organization of Petroleum Exporting Countries (OPEC). U.S. sanctions against Iran, coupled with declining output from Venezuela further limited supply. Concerns about slowing global growth and lower demand for oil surfaced in the fourth quarter of 2018 causing Brent crude oil prices to drop. With respect to revenue, the network U.S. airlines reported positive unit revenue growth in 2018 driven by strong demand and higher yields as airlines attempted to pass along the cost of rising fuel prices. The positive unit revenue growth in 2018 was led by international markets, primarily in the Atlantic market, with the domestic market also contributing to the growth.</w:t>
      </w:r>
    </w:p>
    <w:p>
      <w:pPr>
        <w:spacing w:after="0" w:line="14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 xml:space="preserve">See Part I, Item 1A. Risk Factors – </w:t>
      </w:r>
      <w:r>
        <w:rPr>
          <w:rFonts w:ascii="Arial" w:cs="Arial" w:eastAsia="Arial" w:hAnsi="Arial"/>
          <w:sz w:val="18"/>
          <w:szCs w:val="18"/>
          <w:i w:val="1"/>
          <w:iCs w:val="1"/>
          <w:color w:val="auto"/>
        </w:rPr>
        <w:t>“Downturns in economic conditions could adversely affect our business,” “Our business is very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dependent on the price and availability of aircraft fuel. Continued periods of high volatility in fuel costs, increased fuel prices or significant disruptions in the supply of aircraft fuel could have a significant negative impact on our operating results and liquidity” </w:t>
      </w:r>
      <w:r>
        <w:rPr>
          <w:rFonts w:ascii="Arial" w:cs="Arial" w:eastAsia="Arial" w:hAnsi="Arial"/>
          <w:sz w:val="18"/>
          <w:szCs w:val="18"/>
          <w:color w:val="auto"/>
        </w:rPr>
        <w:t>and</w:t>
      </w:r>
      <w:r>
        <w:rPr>
          <w:rFonts w:ascii="Arial" w:cs="Arial" w:eastAsia="Arial" w:hAnsi="Arial"/>
          <w:sz w:val="18"/>
          <w:szCs w:val="18"/>
          <w:i w:val="1"/>
          <w:iCs w:val="1"/>
          <w:color w:val="auto"/>
        </w:rPr>
        <w:t xml:space="preserve"> “Our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7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auto"/>
        </w:rPr>
        <w:t>AAG’s 2018 Results</w:t>
      </w:r>
    </w:p>
    <w:p>
      <w:pPr>
        <w:spacing w:after="0" w:line="10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selected financial data presented below is derived from AAG’s audited consolidated financial statements included in Part II, Item 8A of this report and should be read in conjunction with those financial statements and the related notes thereto.</w:t>
      </w:r>
    </w:p>
    <w:p>
      <w:pPr>
        <w:spacing w:after="0" w:line="223"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adopted three new accounting standards as of January 1, 2018: the New Lease Standard, the New Revenue Standard and the New Retirement Standard. The 2017 and 2016 financial information presented within Item 7. Management’s Discussion and Analysis of Financial Condition and Results of Operations has been recast to reflect the impact of the adoption of the New Revenue Standard and the New Retirement Standard. The New Lease Standard did not require the recast of prior periods. See Note 1(b) to AAG’s and American’s Consolidated Financial Statements in Part II, Items 8A and 8B, respectively, for further information on the impacts of these new accounting standards.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jc w:val="center"/>
              <w:ind w:left="493"/>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2"/>
              <w:spacing w:after="0" w:line="135"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3"/>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40,676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39,131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1,545</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Cargo revenue</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251</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revenues</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44,541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42,622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1,919</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and regional aircraft fuel and related taxes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9,896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2,386</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12,251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11,954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297</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41,885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38,391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3,494</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(1,575)</w:t>
            </w:r>
          </w:p>
        </w:tc>
        <w:tc>
          <w:tcPr>
            <w:tcW w:w="146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3,395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(1,641)</w:t>
            </w:r>
          </w:p>
        </w:tc>
        <w:tc>
          <w:tcPr>
            <w:tcW w:w="146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 – GAAP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3,395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Adjusted for: Pre-tax special items, net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150</w:t>
            </w:r>
          </w:p>
        </w:tc>
        <w:tc>
          <w:tcPr>
            <w:tcW w:w="146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income excluding special items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12" w:lineRule="exact"/>
        <w:rPr>
          <w:sz w:val="20"/>
          <w:szCs w:val="20"/>
          <w:color w:val="auto"/>
        </w:rPr>
      </w:pPr>
    </w:p>
    <w:p>
      <w:pPr>
        <w:ind w:left="500" w:hanging="492"/>
        <w:spacing w:after="0" w:line="235" w:lineRule="auto"/>
        <w:tabs>
          <w:tab w:leader="none" w:pos="50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 xml:space="preserve">See Part II, Item 6. Selected Consolidated Financial Data –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Consolidated Financial Statements in Part II, Item 8A for details on the components of special items.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Pre-Tax Income and Net Income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Pre-tax income and net income were $1.9 billion and $1.4 billion in 2018, respectively. This compares to 2017 pre-tax income and net income of $3.4 billion and $1.3 billion, respectively. Excluding the effects of pre-tax net special items, pre-tax income was $2.8 billion and $4.2 billion in 2018 and 2017, respectively. The year-over-year declines in our pre-tax income on both a GAAP basis and excluding pre-tax net special items were principally driven by a 29.0% increase in the average price per gallon of fuel. This increase was offset in part by higher revenues driven by strong demand.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2018, we reported total operating revenues of $44.5 billion, an increase of $1.9 billion, or 4.5%, as compared to 2017. Passenger revenues were $40.7 billion, an increase of $1.5 billion, or 3.9%, as compared to 2017. The increase in passenger revenues was due to a 2.1% increase in revenue passenger miles (RPMs) and a 1.8% increase in yields driven by strong demand. Domestic yields increased 0.9% and international yields rose 4.2%, led by a 5.3% increase in yield in the Atlantic market.</w:t>
      </w:r>
    </w:p>
    <w:p>
      <w:pPr>
        <w:spacing w:after="0" w:line="6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2018, cargo revenue was $1.0 billion, an increase of $123 million, or 13.8%, as compared to 2017, primarily driven by increases in domestic and international freight yields and international freight volume. Other revenue, driven by higher loyalty revenue, increased $251 million, or 9.7%, in 2018 as compared to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23" w:right="239" w:bottom="1440" w:gutter="0" w:footer="0" w:header="0"/>
        </w:sectPr>
      </w:pPr>
    </w:p>
    <w:bookmarkStart w:id="49" w:name="page50"/>
    <w:bookmarkEnd w:id="49"/>
    <w:p>
      <w:pPr>
        <w:ind w:left="220"/>
        <w:spacing w:after="0"/>
        <w:rPr>
          <w:sz w:val="20"/>
          <w:szCs w:val="20"/>
          <w:color w:val="auto"/>
        </w:rPr>
      </w:pPr>
      <w:r>
        <w:rPr>
          <w:rFonts w:ascii="Arial" w:cs="Arial" w:eastAsia="Arial" w:hAnsi="Arial"/>
          <w:sz w:val="18"/>
          <w:szCs w:val="18"/>
          <w:color w:val="auto"/>
        </w:rPr>
        <w:t>Our total revenue per available seat mile (TRASM) was 15.79 cents in 2018, a 2.4% increase as compared to 15.42 cents in 2017.</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mainline and regional fuel expense totaled $ 9.9 billion in 2018, which was $2.4 billion, or 31.8%, higher as compared to 2017. This increase was driven primarily by a 29.0% increase in the average price per gallon of fuel to $2.23 in 2018 from $1.73 in 2017.</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December 31, 2018,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the health of the economy and the price of fuel.</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2018 total cost per available seat mile (CASM) was 14.85 cents, an increase of 6.9%, from 13.88 cents in 2017. The increase was primarily driven by an increase in fuel costs as described above.</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2018 CASM excluding special items and fuel was 11.06 cents, an increase of 1.4%, from 10.90 cents in 2017. The increase was primarily driven by higher salaries, wages and benefits.</w:t>
      </w:r>
    </w:p>
    <w:p>
      <w:pPr>
        <w:spacing w:after="0" w:line="124" w:lineRule="exact"/>
        <w:rPr>
          <w:sz w:val="20"/>
          <w:szCs w:val="20"/>
          <w:color w:val="auto"/>
        </w:rPr>
      </w:pPr>
    </w:p>
    <w:p>
      <w:pPr>
        <w:jc w:val="both"/>
        <w:ind w:firstLine="216"/>
        <w:spacing w:after="0" w:line="282" w:lineRule="auto"/>
        <w:rPr>
          <w:sz w:val="20"/>
          <w:szCs w:val="20"/>
          <w:color w:val="auto"/>
        </w:rPr>
      </w:pPr>
      <w:r>
        <w:rPr>
          <w:rFonts w:ascii="Arial" w:cs="Arial" w:eastAsia="Arial" w:hAnsi="Arial"/>
          <w:sz w:val="18"/>
          <w:szCs w:val="18"/>
          <w:color w:val="auto"/>
        </w:rPr>
        <w:t xml:space="preserve">For a reconciliation of CASM excluding special items and fuel, see Part II, Item 6. Selected Consolidated Financial Data – </w:t>
      </w:r>
      <w:r>
        <w:rPr>
          <w:rFonts w:ascii="Arial" w:cs="Arial" w:eastAsia="Arial" w:hAnsi="Arial"/>
          <w:sz w:val="18"/>
          <w:szCs w:val="18"/>
          <w:i w:val="1"/>
          <w:iCs w:val="1"/>
          <w:color w:val="auto"/>
        </w:rPr>
        <w:t>“Reconciliation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GAAP to Non-GAAP Financial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As of December 31, 2018, we had approximately $7.6 billion in total available liquidity, consisting of $4.8 billion in unrestricted cash and short-term investments and $2.8 billion in undrawn revolving credit facilities. We also had restricted cash and short-term investments of $154 million.</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2018, we completed the following financing transactions:</w:t>
      </w:r>
    </w:p>
    <w:p>
      <w:pPr>
        <w:spacing w:after="0" w:line="90"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Refinanced a $1.8 billion term loan facility at a lower interest rate and extended the maturity from 2020 to 2025;</w:t>
      </w:r>
    </w:p>
    <w:p>
      <w:pPr>
        <w:spacing w:after="0" w:line="90"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Raised $1.9 billion in proceeds from aircraft and pre-delivery purchase deposit debt financing, of which approximately $513 million was used to repay existing indebtedness;</w:t>
      </w:r>
    </w:p>
    <w:p>
      <w:pPr>
        <w:spacing w:after="0" w:line="61"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Raised approximately $1.1 billion in proceeds from aircraft sale-leaseback transactions;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Raised an incremental $500 million on a term loan facility; and</w:t>
      </w:r>
    </w:p>
    <w:p>
      <w:pPr>
        <w:spacing w:after="0" w:line="90"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our revolving credit facility commitments by $343 million, extended their maturities from 2022 to 2023 and improved their undrawn economics.</w:t>
      </w:r>
    </w:p>
    <w:p>
      <w:pPr>
        <w:spacing w:after="0" w:line="14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See Note 5 to AAG’s Consolidated Financial Statements in Part II, Item 8A and Note 3 to American’s Consolidated Financial Statements in Part II, Item 8B for additional information on our debt obligations.</w:t>
      </w:r>
    </w:p>
    <w:p>
      <w:pPr>
        <w:spacing w:after="0" w:line="14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Additionally, we returned $ 986 million to our stockholders in 2018, consisting of $ 186 million in dividend payments and the repurchase of $800 million of AAG common stock, or 16.6 million shares at a weighted average cost per share of $48.15.</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6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sets forth selected operating data for the years ended December 31, 2018, 2017 and 2016.</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560" w:type="dxa"/>
            <w:vAlign w:val="bottom"/>
            <w:gridSpan w:val="5"/>
          </w:tcPr>
          <w:p>
            <w:pPr>
              <w:ind w:left="80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Increase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rPr>
              <w:t>(Decrease)</w:t>
            </w:r>
          </w:p>
        </w:tc>
        <w:tc>
          <w:tcPr>
            <w:tcW w:w="10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61"/>
        </w:trPr>
        <w:tc>
          <w:tcPr>
            <w:tcW w:w="5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2018-2017</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2017-2016</w:t>
            </w:r>
          </w:p>
        </w:tc>
        <w:tc>
          <w:tcPr>
            <w:tcW w:w="0" w:type="dxa"/>
            <w:vAlign w:val="bottom"/>
          </w:tcPr>
          <w:p>
            <w:pPr>
              <w:spacing w:after="0"/>
              <w:rPr>
                <w:sz w:val="1"/>
                <w:szCs w:val="1"/>
                <w:color w:val="auto"/>
              </w:rPr>
            </w:pPr>
          </w:p>
        </w:tc>
      </w:tr>
      <w:tr>
        <w:trPr>
          <w:trHeight w:val="25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1"/>
                <w:szCs w:val="21"/>
                <w:color w:val="auto"/>
                <w:vertAlign w:val="superscript"/>
              </w:rPr>
              <w:t>(a)</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231,160</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226,346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8"/>
              </w:rPr>
              <w:t>223,477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1"/>
                <w:szCs w:val="21"/>
                <w:color w:val="auto"/>
                <w:vertAlign w:val="superscript"/>
              </w:rPr>
              <w:t>(b)</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282,054</w:t>
            </w:r>
          </w:p>
        </w:tc>
        <w:tc>
          <w:tcPr>
            <w:tcW w:w="1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276,493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273,410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1"/>
                <w:szCs w:val="21"/>
                <w:color w:val="auto"/>
                <w:vertAlign w:val="superscript"/>
              </w:rPr>
              <w:t>(c)</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0.1pts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0.2pts</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21"/>
                <w:szCs w:val="21"/>
                <w:color w:val="auto"/>
                <w:vertAlign w:val="superscript"/>
              </w:rPr>
              <w:t>(d)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17.60</w:t>
            </w:r>
          </w:p>
        </w:tc>
        <w:tc>
          <w:tcPr>
            <w:tcW w:w="1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16.58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1"/>
                <w:szCs w:val="21"/>
                <w:color w:val="auto"/>
                <w:vertAlign w:val="superscript"/>
              </w:rPr>
              <w:t>(e)</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14.42</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13.55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1"/>
                <w:szCs w:val="21"/>
                <w:color w:val="auto"/>
                <w:vertAlign w:val="superscript"/>
              </w:rPr>
              <w:t>(f)</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15.79</w:t>
            </w:r>
          </w:p>
        </w:tc>
        <w:tc>
          <w:tcPr>
            <w:tcW w:w="1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14.68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at end of period</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1,551</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63"/>
        </w:trPr>
        <w:tc>
          <w:tcPr>
            <w:tcW w:w="5820" w:type="dxa"/>
            <w:vAlign w:val="bottom"/>
          </w:tcPr>
          <w:p>
            <w:pPr>
              <w:ind w:left="180"/>
              <w:spacing w:after="0"/>
              <w:rPr>
                <w:sz w:val="20"/>
                <w:szCs w:val="20"/>
                <w:color w:val="auto"/>
              </w:rPr>
            </w:pPr>
            <w:r>
              <w:rPr>
                <w:rFonts w:ascii="Arial" w:cs="Arial" w:eastAsia="Arial" w:hAnsi="Arial"/>
                <w:sz w:val="18"/>
                <w:szCs w:val="18"/>
                <w:color w:val="auto"/>
              </w:rPr>
              <w:t>Fuel consumption (gallons in millions)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4,447</w:t>
            </w:r>
          </w:p>
        </w:tc>
        <w:tc>
          <w:tcPr>
            <w:tcW w:w="14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4,352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4,347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7"/>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63"/>
        </w:trPr>
        <w:tc>
          <w:tcPr>
            <w:tcW w:w="5820" w:type="dxa"/>
            <w:vAlign w:val="bottom"/>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128,900</w:t>
            </w:r>
          </w:p>
        </w:tc>
        <w:tc>
          <w:tcPr>
            <w:tcW w:w="14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126,600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122,300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7"/>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21"/>
                <w:szCs w:val="21"/>
                <w:color w:val="auto"/>
                <w:vertAlign w:val="superscript"/>
              </w:rPr>
              <w:t>(g)</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14.85</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(g)</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Revenue passenger mile (RPM) – A basic measure of sales volume. One RPM represents one passenger flown one mile.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Available seat mile (ASM) – A basic measure of production. One ASM represents one seat flown one mile.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 The percentage of available seats that are filled with revenue passengers.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 A measure of airline revenue derived by dividing passenger revenue by RPMs.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Passenger revenue per available seat mile (PRASM) – Passenger revenues divided by ASMs.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revenue per available seat mile (TRASM) – Total revenues divided by ASMs.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cost per available seat mile (CASM) – Operating expenses divided by ASMs.</w:t>
      </w:r>
    </w:p>
    <w:p>
      <w:pPr>
        <w:spacing w:after="0" w:line="200" w:lineRule="exact"/>
        <w:rPr>
          <w:sz w:val="20"/>
          <w:szCs w:val="20"/>
          <w:color w:val="auto"/>
        </w:rPr>
      </w:pPr>
    </w:p>
    <w:p>
      <w:pPr>
        <w:sectPr>
          <w:pgSz w:w="11900" w:h="16838" w:orient="portrait"/>
          <w:cols w:equalWidth="0" w:num="2">
            <w:col w:w="140" w:space="520"/>
            <w:col w:w="10760"/>
          </w:cols>
          <w:pgMar w:left="240" w:top="819"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2018 Compared to 2017</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Pre-tax income and net income were $1.9 billion and $1.4 billion in 2018, respectively. This compares to 2017 pre-tax income and net income of $3.4 billion and $1.3 billion, respectively. Excluding the effects of pre-tax net special items, pre-tax income was $2.8 billion and $4.2 billion in 2018 and 2017, respectively. For reconciliation of pre-tax income excluding special items to their comparable measures on a GAAP basis, see Part II, Item 6. Selected Consolidated Financial Data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50"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year-over-year declines in our pre-tax income on both a GAAP basis and excluding pre-tax net special items were principally driven by an increase in fuel costs, which was offset in part by higher revenues driven by strong demand.</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40,676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39,131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1,545</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Cargo</w:t>
            </w:r>
          </w:p>
        </w:tc>
        <w:tc>
          <w:tcPr>
            <w:tcW w:w="28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123</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251</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44,541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42,622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1,919</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55"/>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type w:val="continuous"/>
        </w:sectPr>
      </w:pPr>
    </w:p>
    <w:bookmarkStart w:id="51" w:name="page52"/>
    <w:bookmarkEnd w:id="51"/>
    <w:p>
      <w:pPr>
        <w:ind w:left="220"/>
        <w:spacing w:after="0"/>
        <w:rPr>
          <w:sz w:val="20"/>
          <w:szCs w:val="20"/>
          <w:color w:val="auto"/>
        </w:rPr>
      </w:pPr>
      <w:r>
        <w:rPr>
          <w:rFonts w:ascii="Arial" w:cs="Arial" w:eastAsia="Arial" w:hAnsi="Arial"/>
          <w:sz w:val="18"/>
          <w:szCs w:val="18"/>
          <w:color w:val="auto"/>
        </w:rPr>
        <w:t>This table presents our total passenger revenue and the year-over-year change in certain operating statistics: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Increase (Decrease)</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vs. Year Ended December 31, 2017</w:t>
            </w: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5"/>
        </w:trPr>
        <w:tc>
          <w:tcPr>
            <w:tcW w:w="2880" w:type="dxa"/>
            <w:vAlign w:val="bottom"/>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 December</w:t>
            </w: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Load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r>
      <w:tr>
        <w:trPr>
          <w:trHeight w:val="196"/>
        </w:trPr>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center"/>
              <w:ind w:right="222"/>
              <w:spacing w:after="0"/>
              <w:rPr>
                <w:sz w:val="20"/>
                <w:szCs w:val="20"/>
                <w:color w:val="auto"/>
              </w:rPr>
            </w:pPr>
            <w:r>
              <w:rPr>
                <w:rFonts w:ascii="Arial" w:cs="Arial" w:eastAsia="Arial" w:hAnsi="Arial"/>
                <w:sz w:val="14"/>
                <w:szCs w:val="14"/>
                <w:b w:val="1"/>
                <w:bCs w:val="1"/>
                <w:color w:val="auto"/>
              </w:rPr>
              <w:t>31, 2018</w:t>
            </w:r>
          </w:p>
        </w:tc>
        <w:tc>
          <w:tcPr>
            <w:tcW w:w="1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20" w:type="dxa"/>
            <w:vAlign w:val="bottom"/>
          </w:tcPr>
          <w:p>
            <w:pPr>
              <w:jc w:val="right"/>
              <w:ind w:right="239"/>
              <w:spacing w:after="0"/>
              <w:rPr>
                <w:sz w:val="20"/>
                <w:szCs w:val="20"/>
                <w:color w:val="auto"/>
              </w:rPr>
            </w:pPr>
            <w:r>
              <w:rPr>
                <w:rFonts w:ascii="Arial" w:cs="Arial" w:eastAsia="Arial" w:hAnsi="Arial"/>
                <w:sz w:val="14"/>
                <w:szCs w:val="14"/>
                <w:b w:val="1"/>
                <w:bCs w:val="1"/>
                <w:color w:val="auto"/>
              </w:rPr>
              <w:t>RPMs</w:t>
            </w:r>
          </w:p>
        </w:tc>
        <w:tc>
          <w:tcPr>
            <w:tcW w:w="12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ASMs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Factor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Yield</w:t>
            </w:r>
          </w:p>
        </w:tc>
        <w:tc>
          <w:tcPr>
            <w:tcW w:w="1020" w:type="dxa"/>
            <w:vAlign w:val="bottom"/>
          </w:tcPr>
          <w:p>
            <w:pPr>
              <w:jc w:val="right"/>
              <w:ind w:right="179"/>
              <w:spacing w:after="0"/>
              <w:rPr>
                <w:sz w:val="20"/>
                <w:szCs w:val="20"/>
                <w:color w:val="auto"/>
              </w:rPr>
            </w:pPr>
            <w:r>
              <w:rPr>
                <w:rFonts w:ascii="Arial" w:cs="Arial" w:eastAsia="Arial" w:hAnsi="Arial"/>
                <w:sz w:val="14"/>
                <w:szCs w:val="14"/>
                <w:b w:val="1"/>
                <w:bCs w:val="1"/>
                <w:color w:val="auto"/>
              </w:rPr>
              <w:t>PRASM</w:t>
            </w:r>
          </w:p>
        </w:tc>
      </w:tr>
      <w:tr>
        <w:trPr>
          <w:trHeight w:val="264"/>
        </w:trPr>
        <w:tc>
          <w:tcPr>
            <w:tcW w:w="28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CCEEFF"/>
            </w:tcBorders>
          </w:tcPr>
          <w:p>
            <w:pPr>
              <w:spacing w:after="0"/>
              <w:rPr>
                <w:sz w:val="22"/>
                <w:szCs w:val="22"/>
                <w:color w:val="auto"/>
              </w:rPr>
            </w:pPr>
          </w:p>
        </w:tc>
      </w:tr>
      <w:tr>
        <w:trPr>
          <w:trHeight w:val="25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40,676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0.1pts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2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Passenger revenue increased $1.5 billion, or 3.9%, in 2018 from 2017 due to a 2.1% year-over-year increase in RPMs and a 1.8% increase in yields driven by continued strong demand. Domestic yield increased 0.9% and international yields increased 4.2%, led by a 5.3% increase in yield in the Atlantic market.</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Cargo revenue increased $123 million, or 13.8%, from 2017 driven primarily by increases in domestic and international freight yields and international freight volume.</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Other revenue increased $251 million, or 9.7%, in 2018 from 2017 primarily driven by higher revenue associated with our loyalty program. In 2018 and 2017, loyalty revenue included in other revenue was $2.4 billion and $2.1 billion, respectively.</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revenues in 2018 increased $1.9 billion, or 4.5%, from 2017 driven principally by a 3.9% increase in passenger revenue as described above. Our TRASM was 15.79 cents in 2018, a 2.4% increase as compared to 15.42 cents in 2017.</w:t>
      </w:r>
    </w:p>
    <w:p>
      <w:pPr>
        <w:spacing w:after="0" w:line="36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3"/>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1,925</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12,251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11,954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297</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1,959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461</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5,290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5,164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w:t>
            </w:r>
          </w:p>
        </w:tc>
        <w:tc>
          <w:tcPr>
            <w:tcW w:w="15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41,885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38,391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3,494</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expenses increased $3.5 billion, or 9.1%, in 2018 from 2017. The increase in operating expenses was primarily driven by an increase in fuel costs. See detailed explanations below relating to changes in total CASM.</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Total CASM</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ectPr>
          <w:pgSz w:w="11900" w:h="16838" w:orient="portrait"/>
          <w:cols w:equalWidth="0" w:num="1">
            <w:col w:w="11420"/>
          </w:cols>
          <w:pgMar w:left="240" w:top="760" w:right="239"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760" w:right="239" w:bottom="1440" w:gutter="0" w:footer="0" w:header="0"/>
          <w:type w:val="continuous"/>
        </w:sectPr>
      </w:pPr>
    </w:p>
    <w:bookmarkStart w:id="52" w:name="page53"/>
    <w:bookmarkEnd w:id="52"/>
    <w:p>
      <w:pPr>
        <w:jc w:val="both"/>
        <w:ind w:firstLine="216"/>
        <w:spacing w:after="0" w:line="253" w:lineRule="auto"/>
        <w:rPr>
          <w:sz w:val="20"/>
          <w:szCs w:val="20"/>
          <w:color w:val="auto"/>
        </w:rPr>
      </w:pPr>
      <w:r>
        <w:rPr>
          <w:rFonts w:ascii="Arial" w:cs="Arial" w:eastAsia="Arial" w:hAnsi="Arial"/>
          <w:sz w:val="18"/>
          <w:szCs w:val="18"/>
          <w:color w:val="auto"/>
        </w:rPr>
        <w:t>The table below presents the reconciliation of total operating expenses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understand and analyze our non-fuel costs and core operating performance.</w:t>
      </w:r>
    </w:p>
    <w:p>
      <w:pPr>
        <w:spacing w:after="0" w:line="15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major components of our total CASM and our total CASM excluding special items and fuel for the years ended December 31, 2018 and 2017 are as follows (amounts may not recalculate due to rounding):</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Salaries, wages and benefits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Maintenance, materials and repairs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rent and landing fees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Selling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Regional expenses: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Regional operating special items,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Aircraft fuel and related taxes - mainline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Aircraft fuel and related taxes - regional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 excluding special items and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372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440" w:hanging="189"/>
        <w:spacing w:after="0"/>
        <w:tabs>
          <w:tab w:leader="none" w:pos="44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Not meaningful.</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Significant changes in the components of total CASM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840" w:type="dxa"/>
            <w:vAlign w:val="bottom"/>
            <w:gridSpan w:val="4"/>
          </w:tcPr>
          <w:p>
            <w:pPr>
              <w:ind w:left="80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Pr>
          <w:p>
            <w:pPr>
              <w:jc w:val="center"/>
              <w:ind w:right="3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180" w:type="dxa"/>
            <w:vAlign w:val="bottom"/>
            <w:vMerge w:val="restart"/>
          </w:tcPr>
          <w:p>
            <w:pPr>
              <w:jc w:val="center"/>
              <w:ind w:right="3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4"/>
        </w:trPr>
        <w:tc>
          <w:tcPr>
            <w:tcW w:w="3840" w:type="dxa"/>
            <w:vAlign w:val="bottom"/>
            <w:gridSpan w:val="4"/>
          </w:tcPr>
          <w:p>
            <w:pPr>
              <w:ind w:left="1220"/>
              <w:spacing w:after="0"/>
              <w:rPr>
                <w:sz w:val="20"/>
                <w:szCs w:val="20"/>
                <w:color w:val="auto"/>
              </w:rPr>
            </w:pPr>
            <w:r>
              <w:rPr>
                <w:rFonts w:ascii="Arial" w:cs="Arial" w:eastAsia="Arial" w:hAnsi="Arial"/>
                <w:sz w:val="14"/>
                <w:szCs w:val="14"/>
                <w:b w:val="1"/>
                <w:bCs w:val="1"/>
                <w:color w:val="auto"/>
              </w:rPr>
              <w:t>(In cents, except percentage changes)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9"/>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4"/>
                <w:szCs w:val="24"/>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2.22</w:t>
            </w: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0.71</w:t>
            </w: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0.65</w:t>
            </w: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0.53</w:t>
            </w: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0.62</w:t>
            </w: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54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4"/>
                <w:szCs w:val="24"/>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7"/>
        </w:trPr>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4"/>
                <w:szCs w:val="24"/>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1.87</w:t>
            </w: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13.88</w:t>
            </w: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540"/>
        </w:trPr>
        <w:tc>
          <w:tcPr>
            <w:tcW w:w="162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(0.26)</w:t>
            </w: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61"/>
        </w:trPr>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(0.01)</w:t>
            </w: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36"/>
                <w:szCs w:val="36"/>
                <w:color w:val="auto"/>
                <w:vertAlign w:val="subscript"/>
              </w:rPr>
              <w:t>nm</w:t>
            </w:r>
            <w:r>
              <w:rPr>
                <w:rFonts w:ascii="Arial" w:cs="Arial" w:eastAsia="Arial" w:hAnsi="Arial"/>
                <w:sz w:val="11"/>
                <w:szCs w:val="11"/>
                <w:color w:val="auto"/>
              </w:rPr>
              <w:t xml:space="preserve"> (1)</w:t>
            </w:r>
          </w:p>
        </w:tc>
        <w:tc>
          <w:tcPr>
            <w:tcW w:w="0" w:type="dxa"/>
            <w:vAlign w:val="bottom"/>
          </w:tcPr>
          <w:p>
            <w:pPr>
              <w:spacing w:after="0"/>
              <w:rPr>
                <w:sz w:val="1"/>
                <w:szCs w:val="1"/>
                <w:color w:val="auto"/>
              </w:rPr>
            </w:pPr>
          </w:p>
        </w:tc>
      </w:tr>
      <w:tr>
        <w:trPr>
          <w:trHeight w:val="349"/>
        </w:trPr>
        <w:tc>
          <w:tcPr>
            <w:tcW w:w="162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(2.22)</w:t>
            </w: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57"/>
        </w:trPr>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2"/>
                <w:szCs w:val="22"/>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10.90</w:t>
            </w:r>
          </w:p>
        </w:tc>
        <w:tc>
          <w:tcPr>
            <w:tcW w:w="5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8" w:lineRule="exact"/>
        <w:rPr>
          <w:sz w:val="20"/>
          <w:szCs w:val="20"/>
          <w:color w:val="auto"/>
        </w:rPr>
      </w:pPr>
    </w:p>
    <w:p>
      <w:pPr>
        <w:sectPr>
          <w:pgSz w:w="11900" w:h="16838" w:orient="portrait"/>
          <w:cols w:equalWidth="0" w:num="2">
            <w:col w:w="5700" w:space="700"/>
            <w:col w:w="5020"/>
          </w:cols>
          <w:pgMar w:left="240" w:top="760" w:right="239" w:bottom="1440" w:gutter="0" w:footer="0" w:header="0"/>
          <w:type w:val="continuous"/>
        </w:sectPr>
      </w:pPr>
    </w:p>
    <w:p>
      <w:pPr>
        <w:ind w:left="580" w:right="20" w:hanging="329"/>
        <w:spacing w:after="0" w:line="262"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Aircraft fuel and related taxes per ASM increased 28.8% primarily due to a 29.1% increase in the average price per gallon of fuel to $2.21 in 2018 from $1.71 in 2017, as well as a 1.8% increase in gallons of fuel consumed.</w:t>
      </w:r>
    </w:p>
    <w:p>
      <w:pPr>
        <w:spacing w:after="0" w:line="61" w:lineRule="exact"/>
        <w:rPr>
          <w:rFonts w:ascii="Arial" w:cs="Arial" w:eastAsia="Arial" w:hAnsi="Arial"/>
          <w:sz w:val="18"/>
          <w:szCs w:val="18"/>
          <w:color w:val="auto"/>
        </w:rPr>
      </w:pPr>
    </w:p>
    <w:p>
      <w:pPr>
        <w:jc w:val="both"/>
        <w:ind w:left="580" w:hanging="329"/>
        <w:spacing w:after="0" w:line="254"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Depreciation and amortization per ASM increased 5.9% due in part to our fleet renewal program, as we took delivery of eight owned mainline aircraft in 2018. The continued rollout of Premium Economy and harmonization of seating configurations across our fleet as well as information technology and software development projects associated with our merger integration also drove higher depreciation and amortization expense.</w:t>
      </w:r>
    </w:p>
    <w:p>
      <w:pPr>
        <w:spacing w:after="0" w:line="69"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Regional aircraft fuel and related taxes per ASM increased 30.7% primarily due to a 28.3% increase in the average price per gallon of fuel to $2.30 in 2018 from $1.79 in 2017 as well as a 4.0% increase in gallons of fuel consumed.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60" w:right="239" w:bottom="1440" w:gutter="0" w:footer="0" w:header="0"/>
          <w:type w:val="continuous"/>
        </w:sectPr>
      </w:pPr>
    </w:p>
    <w:bookmarkStart w:id="53" w:name="page54"/>
    <w:bookmarkEnd w:id="53"/>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r>
      <w:tr>
        <w:trPr>
          <w:trHeight w:val="264"/>
        </w:trPr>
        <w:tc>
          <w:tcPr>
            <w:tcW w:w="788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r>
      <w:tr>
        <w:trPr>
          <w:trHeight w:val="210"/>
        </w:trPr>
        <w:tc>
          <w:tcPr>
            <w:tcW w:w="7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8"/>
                <w:szCs w:val="18"/>
                <w:color w:val="auto"/>
              </w:rPr>
            </w:pPr>
          </w:p>
        </w:tc>
      </w:tr>
      <w:tr>
        <w:trPr>
          <w:trHeight w:val="276"/>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70"/>
        </w:trPr>
        <w:tc>
          <w:tcPr>
            <w:tcW w:w="788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880" w:type="dxa"/>
            <w:vAlign w:val="bottom"/>
          </w:tcPr>
          <w:p>
            <w:pPr>
              <w:ind w:left="4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1"/>
                <w:szCs w:val="21"/>
                <w:color w:val="auto"/>
                <w:vertAlign w:val="superscript"/>
              </w:rPr>
              <w:t>(4)</w:t>
            </w:r>
          </w:p>
        </w:tc>
        <w:tc>
          <w:tcPr>
            <w:tcW w:w="1160" w:type="dxa"/>
            <w:vAlign w:val="bottom"/>
          </w:tcPr>
          <w:p>
            <w:pPr>
              <w:spacing w:after="0"/>
              <w:rPr>
                <w:sz w:val="23"/>
                <w:szCs w:val="23"/>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(5)</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1160" w:type="dxa"/>
            <w:vAlign w:val="bottom"/>
          </w:tcPr>
          <w:p>
            <w:pPr>
              <w:spacing w:after="0"/>
              <w:rPr>
                <w:sz w:val="22"/>
                <w:szCs w:val="22"/>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(6)</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7880" w:type="dxa"/>
            <w:vAlign w:val="bottom"/>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(7)</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880" w:type="dxa"/>
            <w:vAlign w:val="bottom"/>
          </w:tcPr>
          <w:p>
            <w:pPr>
              <w:ind w:left="2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712</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4"/>
        </w:trPr>
        <w:tc>
          <w:tcPr>
            <w:tcW w:w="7880" w:type="dxa"/>
            <w:vAlign w:val="bottom"/>
          </w:tcPr>
          <w:p>
            <w:pPr>
              <w:ind w:left="2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w:t>
            </w:r>
          </w:p>
        </w:tc>
      </w:tr>
      <w:tr>
        <w:trPr>
          <w:trHeight w:val="20"/>
        </w:trPr>
        <w:tc>
          <w:tcPr>
            <w:tcW w:w="7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right="20" w:hanging="647"/>
        <w:spacing w:after="0" w:line="262" w:lineRule="auto"/>
        <w:rPr>
          <w:sz w:val="20"/>
          <w:szCs w:val="20"/>
          <w:color w:val="auto"/>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88" w:lineRule="exact"/>
        <w:rPr>
          <w:sz w:val="20"/>
          <w:szCs w:val="20"/>
          <w:color w:val="auto"/>
        </w:rPr>
      </w:pPr>
    </w:p>
    <w:p>
      <w:pPr>
        <w:ind w:hanging="647"/>
        <w:spacing w:after="0" w:line="262" w:lineRule="auto"/>
        <w:rPr>
          <w:sz w:val="20"/>
          <w:szCs w:val="20"/>
          <w:color w:val="auto"/>
        </w:rPr>
      </w:pPr>
      <w:r>
        <w:rPr>
          <w:rFonts w:ascii="Arial" w:cs="Arial" w:eastAsia="Arial" w:hAnsi="Arial"/>
          <w:sz w:val="18"/>
          <w:szCs w:val="18"/>
          <w:color w:val="auto"/>
        </w:rPr>
        <w:t>Merger integration expenses included costs associated with integration projects, principally our flight attendant, human resources and payroll, and technical operations systems.</w:t>
      </w:r>
    </w:p>
    <w:p>
      <w:pPr>
        <w:spacing w:after="0" w:line="86" w:lineRule="exact"/>
        <w:rPr>
          <w:sz w:val="20"/>
          <w:szCs w:val="20"/>
          <w:color w:val="auto"/>
        </w:rPr>
      </w:pPr>
    </w:p>
    <w:p>
      <w:pPr>
        <w:sectPr>
          <w:pgSz w:w="11900" w:h="16838" w:orient="portrait"/>
          <w:cols w:equalWidth="0" w:num="2">
            <w:col w:w="580" w:space="720"/>
            <w:col w:w="10120"/>
          </w:cols>
          <w:pgMar w:left="240" w:top="823" w:right="239" w:bottom="1440" w:gutter="0" w:footer="0" w:header="0"/>
          <w:type w:val="continuous"/>
        </w:sect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Severance expenses primarily included costs associated with reductions of management and support staff team members.</w:t>
      </w:r>
    </w:p>
    <w:p>
      <w:pPr>
        <w:spacing w:after="0" w:line="99" w:lineRule="exact"/>
        <w:rPr>
          <w:sz w:val="20"/>
          <w:szCs w:val="20"/>
          <w:color w:val="auto"/>
        </w:rPr>
      </w:pPr>
    </w:p>
    <w:p>
      <w:pPr>
        <w:ind w:left="640" w:hanging="647"/>
        <w:spacing w:after="0" w:line="282" w:lineRule="auto"/>
        <w:rPr>
          <w:sz w:val="20"/>
          <w:szCs w:val="20"/>
          <w:color w:val="auto"/>
        </w:rPr>
      </w:pPr>
      <w:r>
        <w:rPr>
          <w:rFonts w:ascii="Arial" w:cs="Arial" w:eastAsia="Arial" w:hAnsi="Arial"/>
          <w:sz w:val="18"/>
          <w:szCs w:val="18"/>
          <w:color w:val="auto"/>
        </w:rPr>
        <w:t>Settlement of a private party antitrust lawsuit. See Note 12(e) - “</w:t>
      </w:r>
      <w:r>
        <w:rPr>
          <w:rFonts w:ascii="Arial" w:cs="Arial" w:eastAsia="Arial" w:hAnsi="Arial"/>
          <w:sz w:val="18"/>
          <w:szCs w:val="18"/>
          <w:i w:val="1"/>
          <w:iCs w:val="1"/>
          <w:color w:val="auto"/>
        </w:rPr>
        <w:t>Private Party Antitrust Action Related to Passenger Capacity</w:t>
      </w:r>
      <w:r>
        <w:rPr>
          <w:rFonts w:ascii="Arial" w:cs="Arial" w:eastAsia="Arial" w:hAnsi="Arial"/>
          <w:sz w:val="18"/>
          <w:szCs w:val="18"/>
          <w:color w:val="auto"/>
        </w:rPr>
        <w:t>” to AAG’s Consolidated Financial Statements in Part II, Item 8A for further discussion.</w:t>
      </w:r>
    </w:p>
    <w:p>
      <w:pPr>
        <w:spacing w:after="0" w:line="72" w:lineRule="exact"/>
        <w:rPr>
          <w:sz w:val="20"/>
          <w:szCs w:val="20"/>
          <w:color w:val="auto"/>
        </w:rPr>
      </w:pPr>
    </w:p>
    <w:p>
      <w:pPr>
        <w:sectPr>
          <w:pgSz w:w="11900" w:h="16838" w:orient="portrait"/>
          <w:cols w:equalWidth="0" w:num="2">
            <w:col w:w="140" w:space="520"/>
            <w:col w:w="10760"/>
          </w:cols>
          <w:pgMar w:left="240" w:top="823" w:right="239" w:bottom="1440" w:gutter="0" w:footer="0" w:header="0"/>
          <w:type w:val="continuous"/>
        </w:sectPr>
      </w:pPr>
    </w:p>
    <w:p>
      <w:pPr>
        <w:ind w:left="1300" w:hanging="1292"/>
        <w:spacing w:after="0" w:line="225" w:lineRule="auto"/>
        <w:tabs>
          <w:tab w:leader="none" w:pos="652"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our Brazil route authority as a result of the U.S.-Brazil open skies agreement.</w:t>
      </w:r>
    </w:p>
    <w:p>
      <w:pPr>
        <w:sectPr>
          <w:pgSz w:w="11900" w:h="16838" w:orient="portrait"/>
          <w:cols w:equalWidth="0" w:num="1">
            <w:col w:w="11420"/>
          </w:cols>
          <w:pgMar w:left="240" w:top="823" w:right="2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Bankruptcy obligations that will be settled in shares of our common stock are marked-to-market based on our stock price.</w:t>
      </w:r>
    </w:p>
    <w:p>
      <w:pPr>
        <w:spacing w:after="0" w:line="117" w:lineRule="exact"/>
        <w:rPr>
          <w:sz w:val="20"/>
          <w:szCs w:val="20"/>
          <w:color w:val="auto"/>
        </w:rPr>
      </w:pPr>
    </w:p>
    <w:p>
      <w:pPr>
        <w:ind w:left="640" w:hanging="647"/>
        <w:spacing w:after="0" w:line="262" w:lineRule="auto"/>
        <w:rPr>
          <w:sz w:val="20"/>
          <w:szCs w:val="20"/>
          <w:color w:val="auto"/>
        </w:rPr>
      </w:pPr>
      <w:r>
        <w:rPr>
          <w:rFonts w:ascii="Arial" w:cs="Arial" w:eastAsia="Arial" w:hAnsi="Arial"/>
          <w:sz w:val="18"/>
          <w:szCs w:val="18"/>
          <w:color w:val="auto"/>
        </w:rPr>
        <w:t>Employee bonus expense included costs related to the $1,000 cash bonus and associated payroll taxes granted to mainline employees as of December 31, 2017 in recognition of H.R. 1, the 2017 Tax Cuts and Jobs Act (the 2017 Tax Act).</w:t>
      </w:r>
    </w:p>
    <w:p>
      <w:pPr>
        <w:spacing w:after="0" w:line="200" w:lineRule="exact"/>
        <w:rPr>
          <w:sz w:val="20"/>
          <w:szCs w:val="20"/>
          <w:color w:val="auto"/>
        </w:rPr>
      </w:pPr>
    </w:p>
    <w:p>
      <w:pPr>
        <w:sectPr>
          <w:pgSz w:w="11900" w:h="16838" w:orient="portrait"/>
          <w:cols w:equalWidth="0" w:num="2">
            <w:col w:w="140" w:space="520"/>
            <w:col w:w="10760"/>
          </w:cols>
          <w:pgMar w:left="240" w:top="823" w:right="239" w:bottom="1440" w:gutter="0" w:footer="0" w:header="0"/>
          <w:type w:val="continuous"/>
        </w:sectPr>
      </w:pPr>
    </w:p>
    <w:p>
      <w:pPr>
        <w:spacing w:after="0" w:line="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43</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64</w:t>
            </w: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short-term investments in each period consisted of highly liquid investments that provided nominal returns. Interest income increased $24 million, or 25.8%, in 2018 principally due to a 103 basis point increase in average yields in 2018 as compared to 2017.</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23" w:right="239" w:bottom="1440" w:gutter="0" w:footer="0" w:header="0"/>
          <w:type w:val="continuous"/>
        </w:sectPr>
      </w:pPr>
    </w:p>
    <w:bookmarkStart w:id="54" w:name="page55"/>
    <w:bookmarkEnd w:id="54"/>
    <w:p>
      <w:pPr>
        <w:jc w:val="both"/>
        <w:ind w:firstLine="216"/>
        <w:spacing w:after="0" w:line="253" w:lineRule="auto"/>
        <w:rPr>
          <w:sz w:val="20"/>
          <w:szCs w:val="20"/>
          <w:color w:val="auto"/>
        </w:rPr>
      </w:pPr>
      <w:r>
        <w:rPr>
          <w:rFonts w:ascii="Arial" w:cs="Arial" w:eastAsia="Arial" w:hAnsi="Arial"/>
          <w:sz w:val="18"/>
          <w:szCs w:val="18"/>
          <w:color w:val="auto"/>
        </w:rPr>
        <w:t>In 2018, other nonoperating income, net principally included $308 million of non-service related pension and other postretirement benefit plan income, which reflects an increase in the expected return on pension plan assets in 2018 as compared to 2017. This income was offset in part by a $ 104 million net special charge for mark-to-market unrealized losses associated with certain of our equity investments, $55 million of net foreign currency losses principally associated with certain Latin American currencies and $13 million of net special charges associated with debt refinancings and extinguishments.</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2017, other nonoperating income, net principally included $138 million of non-service related pension and other postretirement benefit plan income, offset in part by $22 million of net special charges associated with debt refinancings and extinguishments and $4 million of net foreign currency losses.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2018, we recorded an income tax provision of $472 million at an effective rate of approximately 25%, which was substantially non-cash. This provision included an $18 million special income tax charge related to an international income tax matter. Substantially all of our income before income taxes is attributable to the United States. At December 31, 2018, we had approximately $10.2 billion of federal NOLs and $3.2 billion of state NOLs, substantially all of which we expect to be available in 2019 to reduce future federal and state taxable income.</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2017, we recorded an income tax provision of $2.1 billion, which was substantially non-cash. This provision included a special, non-cash income tax charge of $823 million to reflect the impact of lower corporate income tax rates on our deferred tax asset and liabilities due to the 2017 Tax Act, which reduced the federal corporate income tax rate from 35% to 21%.</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Consolidated Financial Statements in Part II, Item 8A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2017 Compared to 2016</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Pre-tax income and net income were $3.4 billion and $1.3 billion in 2017, respectively. This compares to 2016 pre-tax income and net income of $4.2 billion and $2.6 billion, respectively. Excluding the effects of pre-tax net special items, pre-tax income was $4.2 billion and $4.9 billion in 2017 and 2016, respectively. For reconciliation of pre-tax income excluding special items to their comparable measures on a GAAP basis, see Part II, Item 6. Selected Consolidated Financial Data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50"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year-over-year declines in our pre-tax income on both a GAAP basis and excluding pre-tax net special items were principally driven by an increase in fuel costs and higher wage rates.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39,131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37,045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2,086</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Cargo</w:t>
            </w:r>
          </w:p>
        </w:tc>
        <w:tc>
          <w:tcPr>
            <w:tcW w:w="36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105</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2,601</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2,312</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289</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42,622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40,142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2,480</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total passenger revenue and the year-over-year change in certain operating statistics: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Increase (Decrease)</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vs. Year Ended December 31, 2016</w:t>
            </w: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5"/>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Year Ended</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Load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r>
      <w:tr>
        <w:trPr>
          <w:trHeight w:val="196"/>
        </w:trPr>
        <w:tc>
          <w:tcPr>
            <w:tcW w:w="2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RPMs</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PRASM</w:t>
            </w:r>
          </w:p>
        </w:tc>
      </w:tr>
      <w:tr>
        <w:trPr>
          <w:trHeight w:val="264"/>
        </w:trPr>
        <w:tc>
          <w:tcPr>
            <w:tcW w:w="2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39,131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0.2pts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459"/>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760" w:right="239" w:bottom="1440" w:gutter="0" w:footer="0" w:header="0"/>
        </w:sectPr>
      </w:pPr>
    </w:p>
    <w:bookmarkStart w:id="55" w:name="page56"/>
    <w:bookmarkEnd w:id="55"/>
    <w:p>
      <w:pPr>
        <w:jc w:val="both"/>
        <w:ind w:firstLine="216"/>
        <w:spacing w:after="0" w:line="262" w:lineRule="auto"/>
        <w:rPr>
          <w:sz w:val="20"/>
          <w:szCs w:val="20"/>
          <w:color w:val="auto"/>
        </w:rPr>
      </w:pPr>
      <w:r>
        <w:rPr>
          <w:rFonts w:ascii="Arial" w:cs="Arial" w:eastAsia="Arial" w:hAnsi="Arial"/>
          <w:sz w:val="18"/>
          <w:szCs w:val="18"/>
          <w:color w:val="auto"/>
        </w:rPr>
        <w:t>Passenger revenue increased $2.1 billion, or 5.6%, in 2017 from 2016 primarily due to a 4.3% year-over-year increase in yields driven by strong demand. Domestic yield increased 4.8% and international yields rose 4.0%, due principally to improved performance in Latin America.</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increased $105 million, or 13.3%, in 2017 from 2016 driven primarily by an increase in freight volume.</w:t>
      </w:r>
    </w:p>
    <w:p>
      <w:pPr>
        <w:spacing w:after="0" w:line="17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Other revenue increased $289 million, or 12.5%, in 2017 from 2016 driven by higher revenue associated with our loyalty program. In 2017 and 2016, loyalty revenue included in other revenue was $2.1 billion and $1.9 billion, respectively.</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revenues in 2017 increased $2.5 billion, or 6.2%, from 2016 driven principally by a 5.6% increase in passenger revenue as described above. Our TRASM was 15.42 cents in 2017, a 5.0% increase as compared to 14.68 cents in 2016.</w:t>
      </w:r>
    </w:p>
    <w:p>
      <w:pPr>
        <w:spacing w:after="0" w:line="36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3"/>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1,057</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11,954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10,967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987</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154</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276</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273</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5,164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4,935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229</w:t>
            </w:r>
          </w:p>
        </w:tc>
        <w:tc>
          <w:tcPr>
            <w:tcW w:w="15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38,391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35,082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3,309</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expenses increased $3.3 billion, or 9.4%, in 2017 from 2016. The increase in operating expenses was primarily driven by an increase in fuel costs and higher wage rates. See detailed explanations below relating to changes in total CASM.</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Total CASM</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table below presents the reconciliation of total operating expenses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understand and analyze our non-fuel costs and core operating performance.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60" w:right="239" w:bottom="1440" w:gutter="0" w:footer="0" w:header="0"/>
        </w:sectPr>
      </w:pPr>
    </w:p>
    <w:bookmarkStart w:id="56" w:name="page57"/>
    <w:bookmarkEnd w:id="56"/>
    <w:p>
      <w:pPr>
        <w:ind w:firstLine="216"/>
        <w:spacing w:after="0" w:line="262" w:lineRule="auto"/>
        <w:rPr>
          <w:sz w:val="20"/>
          <w:szCs w:val="20"/>
          <w:color w:val="auto"/>
        </w:rPr>
      </w:pPr>
      <w:r>
        <w:rPr>
          <w:rFonts w:ascii="Arial" w:cs="Arial" w:eastAsia="Arial" w:hAnsi="Arial"/>
          <w:sz w:val="18"/>
          <w:szCs w:val="18"/>
          <w:color w:val="auto"/>
        </w:rPr>
        <w:t>The major components of our total CASM and our total CASM excluding special items and fuel for the years ended December 31, 2017 and 2016 are as follows (amounts may not recalculate due to rounding):</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Salaries, wages and benefits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Maintenance, materials and repairs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rent and landing fees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expenses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Regional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Regional operating special items,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mainline</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regional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 excluding special items and fuel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Significant changes in the components of total CASM are as follows: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840" w:type="dxa"/>
            <w:vAlign w:val="bottom"/>
            <w:gridSpan w:val="4"/>
          </w:tcPr>
          <w:p>
            <w:pPr>
              <w:ind w:left="80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Pr>
          <w:p>
            <w:pPr>
              <w:jc w:val="center"/>
              <w:ind w:right="3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vMerge w:val="restart"/>
          </w:tcPr>
          <w:p>
            <w:pPr>
              <w:jc w:val="center"/>
              <w:ind w:right="313"/>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4"/>
        </w:trPr>
        <w:tc>
          <w:tcPr>
            <w:tcW w:w="3840" w:type="dxa"/>
            <w:vAlign w:val="bottom"/>
            <w:gridSpan w:val="4"/>
          </w:tcPr>
          <w:p>
            <w:pPr>
              <w:ind w:left="1220"/>
              <w:spacing w:after="0"/>
              <w:rPr>
                <w:sz w:val="20"/>
                <w:szCs w:val="20"/>
                <w:color w:val="auto"/>
              </w:rPr>
            </w:pPr>
            <w:r>
              <w:rPr>
                <w:rFonts w:ascii="Arial" w:cs="Arial" w:eastAsia="Arial" w:hAnsi="Arial"/>
                <w:sz w:val="14"/>
                <w:szCs w:val="14"/>
                <w:b w:val="1"/>
                <w:bCs w:val="1"/>
                <w:color w:val="auto"/>
              </w:rPr>
              <w:t>(In cents, except percentage changes)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9"/>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4"/>
                <w:szCs w:val="24"/>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4.01</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0.67</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0.65</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0.44</w:t>
            </w: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0.56</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54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4"/>
                <w:szCs w:val="24"/>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50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7"/>
        </w:trPr>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1.80</w:t>
            </w:r>
          </w:p>
        </w:tc>
        <w:tc>
          <w:tcPr>
            <w:tcW w:w="50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12.83</w:t>
            </w:r>
          </w:p>
        </w:tc>
        <w:tc>
          <w:tcPr>
            <w:tcW w:w="5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540"/>
        </w:trPr>
        <w:tc>
          <w:tcPr>
            <w:tcW w:w="16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(0.26)</w:t>
            </w:r>
          </w:p>
        </w:tc>
        <w:tc>
          <w:tcPr>
            <w:tcW w:w="5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16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(0.01)</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540"/>
        </w:trPr>
        <w:tc>
          <w:tcPr>
            <w:tcW w:w="16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50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57"/>
        </w:trPr>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10.31</w:t>
            </w:r>
          </w:p>
        </w:tc>
        <w:tc>
          <w:tcPr>
            <w:tcW w:w="5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8" w:lineRule="exact"/>
        <w:rPr>
          <w:sz w:val="20"/>
          <w:szCs w:val="20"/>
          <w:color w:val="auto"/>
        </w:rPr>
      </w:pPr>
    </w:p>
    <w:p>
      <w:pPr>
        <w:sectPr>
          <w:pgSz w:w="11900" w:h="16838" w:orient="portrait"/>
          <w:cols w:equalWidth="0" w:num="2">
            <w:col w:w="5700" w:space="700"/>
            <w:col w:w="5020"/>
          </w:cols>
          <w:pgMar w:left="240" w:top="760" w:right="239" w:bottom="1440" w:gutter="0" w:footer="0" w:header="0"/>
          <w:type w:val="continuous"/>
        </w:sectPr>
      </w:pPr>
    </w:p>
    <w:p>
      <w:pPr>
        <w:jc w:val="both"/>
        <w:ind w:left="580" w:hanging="329"/>
        <w:spacing w:after="0" w:line="256"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Aircraft fuel and related taxes per ASM increased 19.5% primarily due to a 21.4% increase in the average price per gallon of fuel to $1.71 in 2017 from $1.41 in 2016, offset in part by a 0.5% decrease in gallons of fuel consumed. The decrease in fuel consumption was primarily driven by the operation of more fuel efficient aircraft during 2017 in connection with our fleet renewal program.</w:t>
      </w:r>
    </w:p>
    <w:p>
      <w:pPr>
        <w:spacing w:after="0" w:line="66" w:lineRule="exact"/>
        <w:rPr>
          <w:rFonts w:ascii="Arial" w:cs="Arial" w:eastAsia="Arial" w:hAnsi="Arial"/>
          <w:sz w:val="18"/>
          <w:szCs w:val="18"/>
          <w:color w:val="auto"/>
        </w:rPr>
      </w:pPr>
    </w:p>
    <w:p>
      <w:pPr>
        <w:jc w:val="both"/>
        <w:ind w:left="580" w:hanging="329"/>
        <w:spacing w:after="0" w:line="256"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Salaries, wages and benefits per ASM increased 7.8% primarily due to mid-contract pay rate increases for pilots and flight attendants effective in the second quarter of 2017, as well as rate increases for maintenance and fleet service work groups, which became effective in the third quarter of 2016.</w:t>
      </w:r>
    </w:p>
    <w:p>
      <w:pPr>
        <w:spacing w:after="0" w:line="66" w:lineRule="exact"/>
        <w:rPr>
          <w:rFonts w:ascii="Arial" w:cs="Arial" w:eastAsia="Arial" w:hAnsi="Arial"/>
          <w:sz w:val="18"/>
          <w:szCs w:val="18"/>
          <w:color w:val="auto"/>
        </w:rPr>
      </w:pPr>
    </w:p>
    <w:p>
      <w:pPr>
        <w:jc w:val="both"/>
        <w:ind w:left="580" w:hanging="329"/>
        <w:spacing w:after="0" w:line="253"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increased 5.6% as compared to 2016 primarily due to a contract change that accelerated the timing of certain maintenance expenses incurred. Certain flight equipment was transitioned to a new flight hour based contract (referred to as power by the hour) where expense is incurred and recognized based on actual hours flown. Previously, this flight equipment was covered by a time and materials based contract where expense is incurred and recognized as maintenance is performed.</w:t>
      </w:r>
    </w:p>
    <w:p>
      <w:pPr>
        <w:spacing w:after="0" w:line="70"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Selling expenses per ASM increased 10.3% primarily due to higher commissions driven by the overall increase in revenues as well as an increase in flown premium tickets, which are subject to higher commissions.</w:t>
      </w:r>
    </w:p>
    <w:p>
      <w:pPr>
        <w:spacing w:after="0" w:line="61" w:lineRule="exact"/>
        <w:rPr>
          <w:rFonts w:ascii="Arial" w:cs="Arial" w:eastAsia="Arial" w:hAnsi="Arial"/>
          <w:sz w:val="18"/>
          <w:szCs w:val="18"/>
          <w:color w:val="auto"/>
        </w:rPr>
      </w:pPr>
    </w:p>
    <w:p>
      <w:pPr>
        <w:ind w:left="580" w:right="20" w:hanging="329"/>
        <w:spacing w:after="0" w:line="262"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and amortization per ASM increased 10.4% primarily due to our fleet renewal program, as we took delivery of 57 owned mainline aircraft in 2017.</w:t>
      </w:r>
    </w:p>
    <w:p>
      <w:pPr>
        <w:spacing w:after="0" w:line="61"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Regional aircraft fuel and related taxes per ASM increased 23.2% primarily due to a 21.2% increase in the average price per gallon of fuel to $1.79 in 2017 from $1.48 in 2016 as well as a 2.8% increase in gallons of fuel consumed.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60" w:right="239" w:bottom="1440" w:gutter="0" w:footer="0" w:header="0"/>
          <w:type w:val="continuous"/>
        </w:sectPr>
      </w:pPr>
    </w:p>
    <w:bookmarkStart w:id="57" w:name="page58"/>
    <w:bookmarkEnd w:id="57"/>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9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r>
      <w:tr>
        <w:trPr>
          <w:trHeight w:val="210"/>
        </w:trPr>
        <w:tc>
          <w:tcPr>
            <w:tcW w:w="21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8"/>
                <w:szCs w:val="18"/>
                <w:color w:val="auto"/>
              </w:rPr>
            </w:pPr>
          </w:p>
        </w:tc>
      </w:tr>
      <w:tr>
        <w:trPr>
          <w:trHeight w:val="276"/>
        </w:trPr>
        <w:tc>
          <w:tcPr>
            <w:tcW w:w="7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r>
      <w:tr>
        <w:trPr>
          <w:trHeight w:val="270"/>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140" w:type="dxa"/>
            <w:vAlign w:val="bottom"/>
          </w:tcPr>
          <w:p>
            <w:pPr>
              <w:spacing w:after="0"/>
              <w:rPr>
                <w:sz w:val="23"/>
                <w:szCs w:val="23"/>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0"/>
        </w:trPr>
        <w:tc>
          <w:tcPr>
            <w:tcW w:w="7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(3)</w:t>
            </w:r>
          </w:p>
        </w:tc>
        <w:tc>
          <w:tcPr>
            <w:tcW w:w="11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Labor contract expenses</w:t>
            </w:r>
          </w:p>
        </w:tc>
        <w:tc>
          <w:tcPr>
            <w:tcW w:w="1140" w:type="dxa"/>
            <w:vAlign w:val="bottom"/>
          </w:tcPr>
          <w:p>
            <w:pPr>
              <w:spacing w:after="0"/>
              <w:rPr>
                <w:sz w:val="22"/>
                <w:szCs w:val="22"/>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64"/>
        </w:trPr>
        <w:tc>
          <w:tcPr>
            <w:tcW w:w="76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operating charges (credits), net</w:t>
            </w:r>
          </w:p>
        </w:tc>
        <w:tc>
          <w:tcPr>
            <w:tcW w:w="1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7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mainline operating special items, net</w:t>
            </w:r>
          </w:p>
        </w:tc>
        <w:tc>
          <w:tcPr>
            <w:tcW w:w="114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r>
      <w:tr>
        <w:trPr>
          <w:trHeight w:val="264"/>
        </w:trPr>
        <w:tc>
          <w:tcPr>
            <w:tcW w:w="76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Regional operating special items, net</w:t>
            </w:r>
          </w:p>
        </w:tc>
        <w:tc>
          <w:tcPr>
            <w:tcW w:w="1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50"/>
        </w:trPr>
        <w:tc>
          <w:tcPr>
            <w:tcW w:w="7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special items, net</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0"/>
        </w:trPr>
        <w:tc>
          <w:tcPr>
            <w:tcW w:w="21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5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823" w:right="239" w:bottom="1440" w:gutter="0" w:footer="0" w:header="0"/>
        </w:sectPr>
      </w:pP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Merger integration expenses included costs related to information technology, professional fees, re-branding of aircraft and airport facilities and training, and in 2016, also included costs related to alignment of labor union contracts and the launch of re-branded uniforms, both of which drove the $241 million year-over-year decrease in these expenses.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Fleet restructuring expenses principally included accelerated depreciation and remaining lease payments for aircraft and related equipment grounded or expected to be grounded earlier than planned.</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Employee bonus expense included costs related to the $1,000 cash bonus and associated payroll taxes granted to mainline employees as of December 31, 2017 in recognition of the 2017 Tax Act.</w:t>
      </w:r>
    </w:p>
    <w:p>
      <w:pPr>
        <w:spacing w:after="0" w:line="52" w:lineRule="exact"/>
        <w:rPr>
          <w:sz w:val="20"/>
          <w:szCs w:val="20"/>
          <w:color w:val="auto"/>
        </w:rPr>
      </w:pPr>
    </w:p>
    <w:p>
      <w:pPr>
        <w:sectPr>
          <w:pgSz w:w="11900" w:h="16838" w:orient="portrait"/>
          <w:cols w:equalWidth="0" w:num="2">
            <w:col w:w="140" w:space="520"/>
            <w:col w:w="10760"/>
          </w:cols>
          <w:pgMar w:left="240" w:top="823" w:right="239" w:bottom="1440" w:gutter="0" w:footer="0" w:header="0"/>
          <w:type w:val="continuous"/>
        </w:sectPr>
      </w:pPr>
    </w:p>
    <w:p>
      <w:pPr>
        <w:ind w:left="660" w:hanging="652"/>
        <w:spacing w:after="0"/>
        <w:tabs>
          <w:tab w:leader="none" w:pos="6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103</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72</w:t>
            </w:r>
          </w:p>
        </w:tc>
        <w:tc>
          <w:tcPr>
            <w:tcW w:w="15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short-term investments in each period consisted of highly liquid investments that provided nominal returns. Interest income increased $31 million, or 47.8%, principally due to a 50 basis point increase in average yields in 2017 as compared to 2016.</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Interest expense, net increased $62 million in 2017 primarily due to higher outstanding debt as a result of aircraft financings associated with our fleet renewal program.</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Other nonoperating income, net in 2017 and 2016, principally included $138 million and $77 million, respectively, of non-service related pension and other postretirement benefit plan income, which reflects an increase in the expected return on pension plan assets in 2017 as compared to 2016. In 2017 and 2016, this income was offset in part by $22 million and $49 million, respectively, of net special charges associated with debt refinancings and extinguishments.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23" w:right="239" w:bottom="1440" w:gutter="0" w:footer="0" w:header="0"/>
          <w:type w:val="continuous"/>
        </w:sectPr>
      </w:pPr>
    </w:p>
    <w:bookmarkStart w:id="58" w:name="page59"/>
    <w:bookmarkEnd w:id="58"/>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2017 and 2016, we recorded an income tax provision of $2.1 billion and $1.6 billion, respectively, which was substantially non-cash.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income before income taxes was attributable to the United States.</w:t>
      </w:r>
    </w:p>
    <w:p>
      <w:pPr>
        <w:spacing w:after="0" w:line="90"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In 2017, we recorded a special, non-cash income tax charge of $823 million to reflect the impact of lower corporate income tax rates on our deferred tax asset and liabilities due to the 2017 Tax Act, which reduced the federal corporate income tax rate from 35% to 21%.</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Consolidated Financial Statements in Part II, Item 8A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2018 Compared to 2017</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American realized pre-tax income of $2.2 billion and net income of $1.7 billion in 2018. This compares to 2017 pre-tax income of $3.6 billion and net income of $1.3 billion.</w:t>
      </w:r>
    </w:p>
    <w:p>
      <w:pPr>
        <w:spacing w:after="0" w:line="14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year-over-year decline in American’s pre-tax income was principally driven by an increase in fuel costs, which was offset in part by higher revenues driven by strong demand.</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6"/>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40,676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39,131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1,545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22"/>
                <w:szCs w:val="22"/>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123</w:t>
            </w:r>
          </w:p>
        </w:tc>
        <w:tc>
          <w:tcPr>
            <w:tcW w:w="15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2,589</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0"/>
        </w:trPr>
        <w:tc>
          <w:tcPr>
            <w:tcW w:w="502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44,530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42,610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1,920</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Passenger revenue increased $1.5 billion, or 3.9%, in 2018 from 2017 due to a year-over-year increase in RPMs and yields driven by continued strong demand. Domestic and international yields increased, led by an increase in yield in the Atlantic market.</w:t>
      </w:r>
    </w:p>
    <w:p>
      <w:pPr>
        <w:spacing w:after="0" w:line="14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Cargo revenue increased $123 million, or 13.8%, from 2017 driven primarily by increases in domestic and international freight yields and international freight volume.</w:t>
      </w:r>
    </w:p>
    <w:p>
      <w:pPr>
        <w:spacing w:after="0" w:line="14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Other revenue increased $252 million, or 9.7%, in 2018 from 2017 primarily driven by higher revenue associated with American’s loyalty program. In 2018 and 2017, loyalty revenue included in other revenue was $2.4 billion and $2.1 billion, respectively.</w:t>
      </w:r>
    </w:p>
    <w:p>
      <w:pPr>
        <w:spacing w:after="0" w:line="14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Total operating revenues in 2018 increased $1.9 billion, or 4.5%, from 2017 driven principally by a 3.9% increase in passenger revenue as described above.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23" w:right="239" w:bottom="1440" w:gutter="0" w:footer="0" w:header="0"/>
        </w:sectPr>
      </w:pPr>
    </w:p>
    <w:bookmarkStart w:id="59" w:name="page60"/>
    <w:bookmarkEnd w:id="59"/>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3"/>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5"/>
          </w:tcPr>
          <w:p>
            <w:pPr>
              <w:jc w:val="right"/>
              <w:ind w:right="7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8,053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1,925</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12,240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11,942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298</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5,090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461</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5,221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5,190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w:t>
            </w:r>
          </w:p>
        </w:tc>
        <w:tc>
          <w:tcPr>
            <w:tcW w:w="15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41,807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38,405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3,402</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expenses increased $3.4 billion, or 8.9%, in 2018 from 2017. The increase in operating expenses was primarily driven by an increase in fuel costs.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90" w:lineRule="exact"/>
        <w:rPr>
          <w:sz w:val="20"/>
          <w:szCs w:val="20"/>
          <w:color w:val="auto"/>
        </w:rPr>
      </w:pPr>
    </w:p>
    <w:p>
      <w:pPr>
        <w:ind w:left="580" w:right="20" w:hanging="329"/>
        <w:spacing w:after="0" w:line="262"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Aircraft fuel and related taxes increased 31.4% primarily due to a 29.1% increase in the average price per gallon of fuel to $2.21 in 2018 from $1.71 in 2017, as well as a 1.8% increase in gallons of fuel consumed.</w:t>
      </w:r>
    </w:p>
    <w:p>
      <w:pPr>
        <w:spacing w:after="0" w:line="88" w:lineRule="exact"/>
        <w:rPr>
          <w:rFonts w:ascii="Arial" w:cs="Arial" w:eastAsia="Arial" w:hAnsi="Arial"/>
          <w:sz w:val="18"/>
          <w:szCs w:val="18"/>
          <w:color w:val="auto"/>
        </w:rPr>
      </w:pPr>
    </w:p>
    <w:p>
      <w:pPr>
        <w:jc w:val="both"/>
        <w:ind w:left="580" w:hanging="329"/>
        <w:spacing w:after="0" w:line="254"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Depreciation and amortization increased 8.1% due in part to American’s fleet renewal program, as American took delivery of eight owned mainline aircraft in 2018. The continued rollout of Premium Economy and harmonization of seating configurations across American’s fleet as well as information technology and software development projects associated with its merger integration also drove higher depreciation and amortization expense.</w:t>
      </w:r>
    </w:p>
    <w:p>
      <w:pPr>
        <w:spacing w:after="0" w:line="96"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Regional aircraft fuel and related taxes increased 33.4% primarily due to a 28.3% increase in the average price per gallon of fuel to $2.30 in 2018 from $1.79 in 2017 as well as a 4.0% increase in gallons of fuel consumed.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23" w:right="239" w:bottom="1440" w:gutter="0" w:footer="0" w:header="0"/>
        </w:sectPr>
      </w:pPr>
    </w:p>
    <w:bookmarkStart w:id="60" w:name="page61"/>
    <w:bookmarkEnd w:id="60"/>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94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264"/>
        </w:trPr>
        <w:tc>
          <w:tcPr>
            <w:tcW w:w="7680" w:type="dxa"/>
            <w:vAlign w:val="bottom"/>
          </w:tcPr>
          <w:p>
            <w:pPr>
              <w:spacing w:after="0"/>
              <w:rPr>
                <w:sz w:val="22"/>
                <w:szCs w:val="22"/>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r>
      <w:tr>
        <w:trPr>
          <w:trHeight w:val="210"/>
        </w:trPr>
        <w:tc>
          <w:tcPr>
            <w:tcW w:w="7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8"/>
                <w:szCs w:val="18"/>
                <w:color w:val="auto"/>
              </w:rPr>
            </w:pPr>
          </w:p>
        </w:tc>
      </w:tr>
      <w:tr>
        <w:trPr>
          <w:trHeight w:val="276"/>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70"/>
        </w:trPr>
        <w:tc>
          <w:tcPr>
            <w:tcW w:w="768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40" w:type="dxa"/>
            <w:vAlign w:val="bottom"/>
          </w:tcPr>
          <w:p>
            <w:pPr>
              <w:spacing w:after="0"/>
              <w:rPr>
                <w:sz w:val="23"/>
                <w:szCs w:val="23"/>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0"/>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1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tcPr>
          <w:p>
            <w:pPr>
              <w:ind w:left="4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1"/>
                <w:szCs w:val="21"/>
                <w:color w:val="auto"/>
                <w:vertAlign w:val="superscript"/>
              </w:rPr>
              <w:t>(4)</w:t>
            </w:r>
          </w:p>
        </w:tc>
        <w:tc>
          <w:tcPr>
            <w:tcW w:w="1140" w:type="dxa"/>
            <w:vAlign w:val="bottom"/>
          </w:tcPr>
          <w:p>
            <w:pPr>
              <w:spacing w:after="0"/>
              <w:rPr>
                <w:sz w:val="23"/>
                <w:szCs w:val="23"/>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(5)</w:t>
            </w:r>
          </w:p>
        </w:tc>
        <w:tc>
          <w:tcPr>
            <w:tcW w:w="11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68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1140" w:type="dxa"/>
            <w:vAlign w:val="bottom"/>
          </w:tcPr>
          <w:p>
            <w:pPr>
              <w:spacing w:after="0"/>
              <w:rPr>
                <w:sz w:val="22"/>
                <w:szCs w:val="22"/>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7"/>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(6)</w:t>
            </w:r>
          </w:p>
        </w:tc>
        <w:tc>
          <w:tcPr>
            <w:tcW w:w="1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7680" w:type="dxa"/>
            <w:vAlign w:val="bottom"/>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(7)</w:t>
            </w:r>
          </w:p>
        </w:tc>
        <w:tc>
          <w:tcPr>
            <w:tcW w:w="11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64"/>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50"/>
        </w:trPr>
        <w:tc>
          <w:tcPr>
            <w:tcW w:w="7680" w:type="dxa"/>
            <w:vAlign w:val="bottom"/>
          </w:tcPr>
          <w:p>
            <w:pPr>
              <w:ind w:left="280"/>
              <w:spacing w:after="0"/>
              <w:rPr>
                <w:sz w:val="20"/>
                <w:szCs w:val="20"/>
                <w:color w:val="auto"/>
              </w:rPr>
            </w:pPr>
            <w:r>
              <w:rPr>
                <w:rFonts w:ascii="Arial" w:cs="Arial" w:eastAsia="Arial" w:hAnsi="Arial"/>
                <w:sz w:val="18"/>
                <w:szCs w:val="18"/>
                <w:color w:val="auto"/>
              </w:rPr>
              <w:t>Total mainline operating special items, net</w:t>
            </w:r>
          </w:p>
        </w:tc>
        <w:tc>
          <w:tcPr>
            <w:tcW w:w="1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712</w:t>
            </w:r>
          </w:p>
        </w:tc>
      </w:tr>
      <w:tr>
        <w:trPr>
          <w:trHeight w:val="277"/>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1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4"/>
        </w:trPr>
        <w:tc>
          <w:tcPr>
            <w:tcW w:w="7680" w:type="dxa"/>
            <w:vAlign w:val="bottom"/>
          </w:tcPr>
          <w:p>
            <w:pPr>
              <w:ind w:left="280"/>
              <w:spacing w:after="0"/>
              <w:rPr>
                <w:sz w:val="20"/>
                <w:szCs w:val="20"/>
                <w:color w:val="auto"/>
              </w:rPr>
            </w:pPr>
            <w:r>
              <w:rPr>
                <w:rFonts w:ascii="Arial" w:cs="Arial" w:eastAsia="Arial" w:hAnsi="Arial"/>
                <w:sz w:val="18"/>
                <w:szCs w:val="18"/>
                <w:color w:val="auto"/>
              </w:rPr>
              <w:t>Total operating special items, net</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715</w:t>
            </w:r>
          </w:p>
        </w:tc>
      </w:tr>
      <w:tr>
        <w:trPr>
          <w:trHeight w:val="20"/>
        </w:trPr>
        <w:tc>
          <w:tcPr>
            <w:tcW w:w="7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3379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right="20" w:hanging="652"/>
        <w:spacing w:after="0" w:line="225" w:lineRule="auto"/>
        <w:tabs>
          <w:tab w:leader="none" w:pos="66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09" w:lineRule="exact"/>
        <w:rPr>
          <w:rFonts w:ascii="Arial" w:cs="Arial" w:eastAsia="Arial" w:hAnsi="Arial"/>
          <w:sz w:val="22"/>
          <w:szCs w:val="22"/>
          <w:color w:val="auto"/>
          <w:vertAlign w:val="superscript"/>
        </w:rPr>
      </w:pPr>
    </w:p>
    <w:p>
      <w:pPr>
        <w:ind w:left="660" w:hanging="652"/>
        <w:spacing w:after="0" w:line="225" w:lineRule="auto"/>
        <w:tabs>
          <w:tab w:leader="none" w:pos="66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American's flight attendant, human resources and payroll, and technical operations systems.</w:t>
      </w:r>
    </w:p>
    <w:p>
      <w:pPr>
        <w:sectPr>
          <w:pgSz w:w="11900" w:h="16838" w:orient="portrait"/>
          <w:cols w:equalWidth="0" w:num="1">
            <w:col w:w="11420"/>
          </w:cols>
          <w:pgMar w:left="240" w:top="823" w:right="23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Severance expenses primarily included costs associated with reductions of management and support staff team members.</w:t>
      </w:r>
    </w:p>
    <w:p>
      <w:pPr>
        <w:spacing w:after="0" w:line="9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Settlement of a private party antitrust lawsuit. See Note 10(e) - “</w:t>
      </w:r>
      <w:r>
        <w:rPr>
          <w:rFonts w:ascii="Arial" w:cs="Arial" w:eastAsia="Arial" w:hAnsi="Arial"/>
          <w:sz w:val="18"/>
          <w:szCs w:val="18"/>
          <w:i w:val="1"/>
          <w:iCs w:val="1"/>
          <w:color w:val="auto"/>
        </w:rPr>
        <w:t>Private Party Antitrust Action Related to Passenger Capacity</w:t>
      </w:r>
      <w:r>
        <w:rPr>
          <w:rFonts w:ascii="Arial" w:cs="Arial" w:eastAsia="Arial" w:hAnsi="Arial"/>
          <w:sz w:val="18"/>
          <w:szCs w:val="18"/>
          <w:color w:val="auto"/>
        </w:rPr>
        <w:t>” to American’s Consolidated Financial Statements in Part II, Item 8B for further discussion.</w:t>
      </w:r>
    </w:p>
    <w:p>
      <w:pPr>
        <w:spacing w:after="0" w:line="72" w:lineRule="exact"/>
        <w:rPr>
          <w:sz w:val="20"/>
          <w:szCs w:val="20"/>
          <w:color w:val="auto"/>
        </w:rPr>
      </w:pPr>
    </w:p>
    <w:p>
      <w:pPr>
        <w:sectPr>
          <w:pgSz w:w="11900" w:h="16838" w:orient="portrait"/>
          <w:cols w:equalWidth="0" w:num="2">
            <w:col w:w="140" w:space="520"/>
            <w:col w:w="10760"/>
          </w:cols>
          <w:pgMar w:left="240" w:top="823" w:right="239" w:bottom="1440" w:gutter="0" w:footer="0" w:header="0"/>
          <w:type w:val="continuous"/>
        </w:sectPr>
      </w:pPr>
    </w:p>
    <w:p>
      <w:pPr>
        <w:ind w:left="660" w:hanging="652"/>
        <w:spacing w:after="0" w:line="225"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American’s Brazil route authority as a result of the U.S.-Brazil open skies agreement.</w:t>
      </w:r>
    </w:p>
    <w:p>
      <w:pPr>
        <w:sectPr>
          <w:pgSz w:w="11900" w:h="16838" w:orient="portrait"/>
          <w:cols w:equalWidth="0" w:num="1">
            <w:col w:w="11420"/>
          </w:cols>
          <w:pgMar w:left="240" w:top="823" w:right="2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Employee bonus expense included costs related to the $1,000 cash bonus and associated payroll taxes granted to mainline employees as of December 31, 2017 in recognition of the 2017 Tax Act.</w:t>
      </w:r>
    </w:p>
    <w:p>
      <w:pPr>
        <w:spacing w:after="0" w:line="200" w:lineRule="exact"/>
        <w:rPr>
          <w:sz w:val="20"/>
          <w:szCs w:val="20"/>
          <w:color w:val="auto"/>
        </w:rPr>
      </w:pPr>
    </w:p>
    <w:p>
      <w:pPr>
        <w:sectPr>
          <w:pgSz w:w="11900" w:h="16838" w:orient="portrait"/>
          <w:cols w:equalWidth="0" w:num="2">
            <w:col w:w="140" w:space="520"/>
            <w:col w:w="10760"/>
          </w:cols>
          <w:pgMar w:left="240" w:top="823" w:right="239" w:bottom="1440" w:gutter="0" w:footer="0" w:header="0"/>
          <w:type w:val="continuous"/>
        </w:sectPr>
      </w:pPr>
    </w:p>
    <w:p>
      <w:pPr>
        <w:spacing w:after="0" w:line="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6"/>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115</w:t>
            </w:r>
          </w:p>
        </w:tc>
        <w:tc>
          <w:tcPr>
            <w:tcW w:w="1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540" w:type="dxa"/>
            <w:vAlign w:val="bottom"/>
          </w:tcPr>
          <w:p>
            <w:pPr>
              <w:jc w:val="right"/>
              <w:ind w:right="18"/>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44</w:t>
            </w:r>
          </w:p>
        </w:tc>
        <w:tc>
          <w:tcPr>
            <w:tcW w:w="1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50"/>
        </w:trPr>
        <w:tc>
          <w:tcPr>
            <w:tcW w:w="502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119</w:t>
            </w:r>
          </w:p>
        </w:tc>
        <w:tc>
          <w:tcPr>
            <w:tcW w:w="154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short-term investments in each period consisted of highly liquid investments that provided nominal returns. Interest income increased $115 million, or 53.4%, due to higher interest-bearing related party receivables from American’s parent company, AAG, as well as a 103 basis point increase in average yields in 2018 as compared to 2017.</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2018, other nonoperating income, net principally included $309 million of non-service related pension and other postretirement benefit plan income, which reflects an increase in the expected return on pension plan assets in 2018 as</w:t>
      </w:r>
    </w:p>
    <w:p>
      <w:pPr>
        <w:sectPr>
          <w:pgSz w:w="11900" w:h="16838" w:orient="portrait"/>
          <w:cols w:equalWidth="0" w:num="1">
            <w:col w:w="11420"/>
          </w:cols>
          <w:pgMar w:left="240" w:top="823" w:right="2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823" w:right="239" w:bottom="1440" w:gutter="0" w:footer="0" w:header="0"/>
          <w:type w:val="continuous"/>
        </w:sectPr>
      </w:pPr>
    </w:p>
    <w:bookmarkStart w:id="61" w:name="page62"/>
    <w:bookmarkEnd w:id="61"/>
    <w:p>
      <w:pPr>
        <w:jc w:val="both"/>
        <w:spacing w:after="0" w:line="256" w:lineRule="auto"/>
        <w:rPr>
          <w:sz w:val="20"/>
          <w:szCs w:val="20"/>
          <w:color w:val="auto"/>
        </w:rPr>
      </w:pPr>
      <w:r>
        <w:rPr>
          <w:rFonts w:ascii="Arial" w:cs="Arial" w:eastAsia="Arial" w:hAnsi="Arial"/>
          <w:sz w:val="18"/>
          <w:szCs w:val="18"/>
          <w:color w:val="auto"/>
        </w:rPr>
        <w:t>compared to 2017. This income was offset in part by a $104 million net special charge for mark-to-market unrealized losses associated with certain of American’s equity investments, $54 million of net foreign currency losses principally associated with certain Latin American currencies and $13 million of net special charges associated with debt refinancings and extinguishments.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2017, other nonoperating income, net principally included $138 million of non-service related pension and other postretirement benefit plan income, offset in part by $22 million of net special charges associated with debt refinancings and extinguishments and $4 million of net foreign currency losses.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9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2018, American recorded an income tax provision of $534 million at an effective rate of approximately 24%, which was substantially non-cash. This provision included an $18 million special income tax charge related to an international income tax matter. Substantially all of American’s income before income taxes is attributable to the United States. At December 31, 2018, American had approximately $10.6 billion of federal NOLs and $3.1 billion of state NOLs, substantially all of which American expects to be available in 2019 to reduce future federal and state taxable income.</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2017, American recorded an income tax provision of $2.3 billion, which was substantially non-cash. This provision included a special, non-cash income tax charge of $ 924 million to reflect the impact of lower corporate income tax rates on the Company’s deferred tax asset and liabilities due to the 2017 Tax Act, which reduced the federal corporate income tax rate from 35% to 21%.</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Consolidated Financial Statements in Part II, Item 8B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2017 Compared to 2016</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American realized pre-tax income of $3.6 billion and net income of $1.3 billion in 2017. This compares to $4.3 billion of pre-tax income and $2.7 billion of net income in 2016.</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year-over-year decline in American’s pre-tax income was principally driven by an increase in fuel costs and higher wage rates.</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5"/>
          </w:tcPr>
          <w:p>
            <w:pPr>
              <w:jc w:val="right"/>
              <w:ind w:right="7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39,131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37,045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2,086</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Cargo</w:t>
            </w:r>
          </w:p>
        </w:tc>
        <w:tc>
          <w:tcPr>
            <w:tcW w:w="360" w:type="dxa"/>
            <w:vAlign w:val="bottom"/>
          </w:tcPr>
          <w:p>
            <w:pPr>
              <w:spacing w:after="0"/>
              <w:rPr>
                <w:sz w:val="22"/>
                <w:szCs w:val="22"/>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105</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2,295</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294</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42,610</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40,125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2,485</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Passenger revenue increased $2.1 billion, or 5.6%, in 2017 from 2016 primarily due to a year-over-year increase in yields driven by strong demand.</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increased $105 million, or 13.3%, in 2017 from 2016 driven primarily by an increase in freight volume.</w:t>
      </w:r>
    </w:p>
    <w:p>
      <w:pPr>
        <w:spacing w:after="0" w:line="17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Other revenue increased $294 million, or 12.8%, in 2017 from 2016 driven by higher revenue associated with American’s loyalty program. In 2017 and 2016, loyalty revenue included in other revenue was $2.1 billion and $1.9 billion, respectively.</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revenues in 2017 increased $2.5 billion, or 6.2%, from 2016 driven principally by a 5.6% increase in passenger revenue as described above.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60" w:right="239" w:bottom="1440" w:gutter="0" w:footer="0" w:header="0"/>
        </w:sectPr>
      </w:pPr>
    </w:p>
    <w:bookmarkStart w:id="62" w:name="page63"/>
    <w:bookmarkEnd w:id="62"/>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3"/>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6,128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1,057</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11,942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10,958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984</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154</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4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4,910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269</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273</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5,190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4,900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290</w:t>
            </w:r>
          </w:p>
        </w:tc>
        <w:tc>
          <w:tcPr>
            <w:tcW w:w="15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38,405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35,045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3,360</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Total operating expenses increased $3.4 billion, or 9.6%, in 2017 from 2016. The increase in operating expenses was primarily driven by an increase in fuel costs and higher wage rates.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90" w:lineRule="exact"/>
        <w:rPr>
          <w:sz w:val="20"/>
          <w:szCs w:val="20"/>
          <w:color w:val="auto"/>
        </w:rPr>
      </w:pPr>
    </w:p>
    <w:p>
      <w:pPr>
        <w:jc w:val="both"/>
        <w:ind w:left="580" w:right="20" w:hanging="329"/>
        <w:spacing w:after="0" w:line="256"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Aircraft fuel and related taxes increased 20.8% primarily due to a 21.4% increase in the average price per gallon of fuel to $1.71 in 2017 from $1.41 in 2016, offset in part by a 0.5% decrease in gallons of fuel consumed. The decrease in fuel consumption was primarily driven by the operation of more fuel efficient aircraft during 2017 in connection with American’s fleet renewal program.</w:t>
      </w:r>
    </w:p>
    <w:p>
      <w:pPr>
        <w:spacing w:after="0" w:line="93" w:lineRule="exact"/>
        <w:rPr>
          <w:rFonts w:ascii="Arial" w:cs="Arial" w:eastAsia="Arial" w:hAnsi="Arial"/>
          <w:sz w:val="18"/>
          <w:szCs w:val="18"/>
          <w:color w:val="auto"/>
        </w:rPr>
      </w:pPr>
    </w:p>
    <w:p>
      <w:pPr>
        <w:jc w:val="both"/>
        <w:ind w:left="580" w:hanging="329"/>
        <w:spacing w:after="0" w:line="256"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Salaries, wages and benefits increased 9.0% primarily due to mid-contract pay rate increases for pilots and flight attendants effective in the second quarter of 2017, as well as rate increases for maintenance and fleet service work groups, which became effective in the third quarter of 2016.</w:t>
      </w:r>
    </w:p>
    <w:p>
      <w:pPr>
        <w:spacing w:after="0" w:line="93" w:lineRule="exact"/>
        <w:rPr>
          <w:rFonts w:ascii="Arial" w:cs="Arial" w:eastAsia="Arial" w:hAnsi="Arial"/>
          <w:sz w:val="18"/>
          <w:szCs w:val="18"/>
          <w:color w:val="auto"/>
        </w:rPr>
      </w:pPr>
    </w:p>
    <w:p>
      <w:pPr>
        <w:jc w:val="both"/>
        <w:ind w:left="580" w:hanging="329"/>
        <w:spacing w:after="0" w:line="254"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Maintenance, materials and repairs increased 6.8% as compared to 2016 primarily due to a contract change that accelerated the timing of certain maintenance expenses incurred. Certain flight equipment was transitioned to a new flight hour based contract (referred to as power by the hour) where expense is incurred and recognized based on actual hours flown. Previously, this flight equipment was covered by a time and materials based contract where expense is incurred and recognized as maintenance is performed.</w:t>
      </w:r>
    </w:p>
    <w:p>
      <w:pPr>
        <w:spacing w:after="0" w:line="96"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Selling expenses increased 11.6% primarily due to higher commissions driven by the overall increase in revenues as well as an increase in flown premium tickets, which are subject to higher commissions.</w:t>
      </w:r>
    </w:p>
    <w:p>
      <w:pPr>
        <w:spacing w:after="0" w:line="88" w:lineRule="exact"/>
        <w:rPr>
          <w:rFonts w:ascii="Arial" w:cs="Arial" w:eastAsia="Arial" w:hAnsi="Arial"/>
          <w:sz w:val="18"/>
          <w:szCs w:val="18"/>
          <w:color w:val="auto"/>
        </w:rPr>
      </w:pPr>
    </w:p>
    <w:p>
      <w:pPr>
        <w:ind w:left="580" w:right="20" w:hanging="329"/>
        <w:spacing w:after="0" w:line="262"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Depreciation and amortization increased 11.6% primarily due to American’s fleet renewal program, as American took delivery of 57 owned mainline aircraft in 2017.</w:t>
      </w:r>
    </w:p>
    <w:p>
      <w:pPr>
        <w:spacing w:after="0" w:line="88"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Regional aircraft fuel and related taxes increased 24.6% primarily due to a 21.2% increase in the average price per gallon of fuel to $1.79 in 2017 from $1.48 in 2016 as well as a 2.8% increase in gallons of fuel consumed.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23" w:right="239" w:bottom="1440" w:gutter="0" w:footer="0" w:header="0"/>
        </w:sectPr>
      </w:pPr>
    </w:p>
    <w:bookmarkStart w:id="63" w:name="page64"/>
    <w:bookmarkEnd w:id="63"/>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r>
      <w:tr>
        <w:trPr>
          <w:trHeight w:val="210"/>
        </w:trPr>
        <w:tc>
          <w:tcPr>
            <w:tcW w:w="21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8"/>
                <w:szCs w:val="18"/>
                <w:color w:val="auto"/>
              </w:rPr>
            </w:pP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0"/>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Labor contract expenses</w:t>
            </w:r>
          </w:p>
        </w:tc>
        <w:tc>
          <w:tcPr>
            <w:tcW w:w="1160" w:type="dxa"/>
            <w:vAlign w:val="bottom"/>
          </w:tcPr>
          <w:p>
            <w:pPr>
              <w:spacing w:after="0"/>
              <w:rPr>
                <w:sz w:val="22"/>
                <w:szCs w:val="22"/>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64"/>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operating charges (credits), net</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r>
      <w:tr>
        <w:trPr>
          <w:trHeight w:val="264"/>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50"/>
        </w:trPr>
        <w:tc>
          <w:tcPr>
            <w:tcW w:w="7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5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823"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Merger integration expenses included costs related to information technology, professional fees, re-branding of aircraft and airport facilities and training, and in 2016, also included costs related to alignment of labor union contracts and the launch of re-branded uniforms, both of which drove the $241 million year-over-year decrease in these expenses.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Fleet restructuring expenses principally included accelerated depreciation and remaining lease payments for aircraft and related equipment grounded or expected to be grounded earlier than planned.</w:t>
      </w:r>
    </w:p>
    <w:p>
      <w:pPr>
        <w:spacing w:after="0" w:line="88" w:lineRule="exact"/>
        <w:rPr>
          <w:sz w:val="20"/>
          <w:szCs w:val="20"/>
          <w:color w:val="auto"/>
        </w:rPr>
      </w:pPr>
    </w:p>
    <w:p>
      <w:pPr>
        <w:sectPr>
          <w:pgSz w:w="11900" w:h="16838" w:orient="portrait"/>
          <w:cols w:equalWidth="0" w:num="2">
            <w:col w:w="140" w:space="520"/>
            <w:col w:w="10760"/>
          </w:cols>
          <w:pgMar w:left="240" w:top="823" w:right="239" w:bottom="1440" w:gutter="0" w:footer="0" w:header="0"/>
          <w:type w:val="continuous"/>
        </w:sectPr>
      </w:pPr>
    </w:p>
    <w:p>
      <w:pPr>
        <w:ind w:left="660" w:hanging="652"/>
        <w:spacing w:after="0" w:line="225" w:lineRule="auto"/>
        <w:tabs>
          <w:tab w:leader="none" w:pos="6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Employee bonus expense included costs related to the $1,000 cash bonus and associated payroll taxes granted to mainline employees as of December 31, 2017 in recognition of the 2017 Tax Act.</w:t>
      </w:r>
    </w:p>
    <w:p>
      <w:pPr>
        <w:spacing w:after="0" w:line="72"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vMerge w:val="restart"/>
          </w:tcPr>
          <w:p>
            <w:pPr>
              <w:jc w:val="center"/>
              <w:ind w:left="3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0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5" w:lineRule="exact"/>
              <w:rPr>
                <w:sz w:val="20"/>
                <w:szCs w:val="20"/>
                <w:color w:val="auto"/>
              </w:rPr>
            </w:pPr>
            <w:r>
              <w:rPr>
                <w:rFonts w:ascii="Arial" w:cs="Arial" w:eastAsia="Arial" w:hAnsi="Arial"/>
                <w:sz w:val="14"/>
                <w:szCs w:val="14"/>
                <w:b w:val="1"/>
                <w:bCs w:val="1"/>
                <w:color w:val="auto"/>
              </w:rPr>
              <w:t>Increase</w:t>
            </w:r>
          </w:p>
        </w:tc>
        <w:tc>
          <w:tcPr>
            <w:tcW w:w="156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6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5"/>
          </w:tcPr>
          <w:p>
            <w:pPr>
              <w:jc w:val="right"/>
              <w:ind w:right="76"/>
              <w:spacing w:after="0"/>
              <w:rPr>
                <w:sz w:val="20"/>
                <w:szCs w:val="20"/>
                <w:color w:val="auto"/>
              </w:rPr>
            </w:pPr>
            <w:r>
              <w:rPr>
                <w:rFonts w:ascii="Arial" w:cs="Arial" w:eastAsia="Arial" w:hAnsi="Arial"/>
                <w:sz w:val="14"/>
                <w:szCs w:val="14"/>
                <w:b w:val="1"/>
                <w:bCs w:val="1"/>
                <w:color w:val="auto"/>
              </w:rPr>
              <w:t>(In millions, except percentage changes)</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111</w:t>
            </w: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1560" w:type="dxa"/>
            <w:vAlign w:val="bottom"/>
          </w:tcPr>
          <w:p>
            <w:pPr>
              <w:jc w:val="right"/>
              <w:ind w:right="18"/>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105</w:t>
            </w: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08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134</w:t>
            </w:r>
          </w:p>
        </w:tc>
        <w:tc>
          <w:tcPr>
            <w:tcW w:w="15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short-term investments in each period consisted of highly liquid investments that provided nominal returns. Interest income increased $111 million due to higher interest-bearing related party receivables from American’s parent company, AAG, as well as a 50 basis point increase in average yields in 2017 as compared to 2016.</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Interest expense, net increased $82 million in 2017 primarily due to higher outstanding debt as a result of aircraft financings associated with American’s fleet renewal program.</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Other nonoperating income, net in 2017 and 2016, principally included $138 million and $77 million, respectively, of non-service related pension and other postretirement benefit plan income, which reflects an increase in the expected return on pension plan assets in 2017 as compared to 2016. In 2017 and 2016, this income was offset in part by $22 million and $49 million, respectively, of net special charges associated with debt refinancings and extinguishments.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ectPr>
          <w:pgSz w:w="11900" w:h="16838" w:orient="portrait"/>
          <w:cols w:equalWidth="0" w:num="1">
            <w:col w:w="11420"/>
          </w:cols>
          <w:pgMar w:left="240" w:top="823" w:right="23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823" w:right="239" w:bottom="1440" w:gutter="0" w:footer="0" w:header="0"/>
          <w:type w:val="continuous"/>
        </w:sectPr>
      </w:pPr>
    </w:p>
    <w:bookmarkStart w:id="64" w:name="page65"/>
    <w:bookmarkEnd w:id="64"/>
    <w:p>
      <w:pPr>
        <w:ind w:left="220"/>
        <w:spacing w:after="0"/>
        <w:rPr>
          <w:sz w:val="20"/>
          <w:szCs w:val="20"/>
          <w:color w:val="auto"/>
        </w:rPr>
      </w:pPr>
      <w:r>
        <w:rPr>
          <w:rFonts w:ascii="Arial" w:cs="Arial" w:eastAsia="Arial" w:hAnsi="Arial"/>
          <w:sz w:val="18"/>
          <w:szCs w:val="18"/>
          <w:color w:val="auto"/>
        </w:rPr>
        <w:t>In 2017 and 2016, American recorded an income tax provision of $2.3 billion and $1.6 billion, respectively, which was substantially non-cash.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American’s income before income taxes was attributable to the United States.</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2017, American recorded a special, non-cash income tax charge of $924 million to reflect the impact of lower corporate income tax rates on the Company’s deferred tax asset and liabilities due to the 2017 Tax Act, which reduced the federal corporate income tax rate from 35% to 21%.</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Consolidated Financial Statements in Part II, Item 8B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2018, AAG had approximately $7.6 billion in total available liquidity and $154 million in restricted cash and short-term investments. Additional detail of our available liquidity is provided in the table below (in millions):</w:t>
      </w:r>
    </w:p>
    <w:p>
      <w:pPr>
        <w:spacing w:after="0" w:line="346" w:lineRule="exact"/>
        <w:rPr>
          <w:sz w:val="20"/>
          <w:szCs w:val="20"/>
          <w:color w:val="auto"/>
        </w:rPr>
      </w:pPr>
    </w:p>
    <w:p>
      <w:pPr>
        <w:ind w:left="6880"/>
        <w:spacing w:after="0"/>
        <w:tabs>
          <w:tab w:leader="none" w:pos="9660" w:val="left"/>
        </w:tabs>
        <w:rPr>
          <w:sz w:val="20"/>
          <w:szCs w:val="20"/>
          <w:color w:val="auto"/>
        </w:rPr>
      </w:pPr>
      <w:r>
        <w:rPr>
          <w:rFonts w:ascii="Arial" w:cs="Arial" w:eastAsia="Arial" w:hAnsi="Arial"/>
          <w:sz w:val="14"/>
          <w:szCs w:val="14"/>
          <w:b w:val="1"/>
          <w:bCs w:val="1"/>
          <w:color w:val="auto"/>
        </w:rPr>
        <w:t>AAG</w:t>
      </w:r>
      <w:r>
        <w:rPr>
          <w:sz w:val="20"/>
          <w:szCs w:val="20"/>
          <w:color w:val="auto"/>
        </w:rPr>
        <w:tab/>
      </w:r>
      <w:r>
        <w:rPr>
          <w:rFonts w:ascii="Arial" w:cs="Arial" w:eastAsia="Arial" w:hAnsi="Arial"/>
          <w:sz w:val="14"/>
          <w:szCs w:val="14"/>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26035</wp:posOffset>
            </wp:positionV>
            <wp:extent cx="37045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p>
      <w:pPr>
        <w:spacing w:after="0" w:line="109"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26035</wp:posOffset>
            </wp:positionV>
            <wp:extent cx="18180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6120"/>
        <w:spacing w:after="0"/>
        <w:tabs>
          <w:tab w:leader="none" w:pos="7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26035</wp:posOffset>
            </wp:positionV>
            <wp:extent cx="18180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9" w:lineRule="exact"/>
        <w:rPr>
          <w:sz w:val="20"/>
          <w:szCs w:val="20"/>
          <w:color w:val="auto"/>
        </w:rPr>
      </w:pPr>
    </w:p>
    <w:p>
      <w:pPr>
        <w:sectPr>
          <w:pgSz w:w="11900" w:h="16838" w:orient="portrait"/>
          <w:cols w:equalWidth="0" w:num="2">
            <w:col w:w="8360" w:space="720"/>
            <w:col w:w="2340"/>
          </w:cols>
          <w:pgMar w:left="240" w:top="760"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8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4,485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4,771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4,768</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Undrawn revolving credit facilities</w:t>
            </w: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44"/>
        </w:trPr>
        <w:tc>
          <w:tcPr>
            <w:tcW w:w="5580" w:type="dxa"/>
            <w:vAlign w:val="bottom"/>
          </w:tcPr>
          <w:p>
            <w:pPr>
              <w:ind w:left="380"/>
              <w:spacing w:after="0"/>
              <w:rPr>
                <w:sz w:val="20"/>
                <w:szCs w:val="20"/>
                <w:color w:val="auto"/>
              </w:rPr>
            </w:pPr>
            <w:r>
              <w:rPr>
                <w:rFonts w:ascii="Arial" w:cs="Arial" w:eastAsia="Arial" w:hAnsi="Arial"/>
                <w:sz w:val="18"/>
                <w:szCs w:val="18"/>
                <w:color w:val="auto"/>
              </w:rPr>
              <w:t>Total available liquidity</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7,603</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7,566</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7,590</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7,555</w:t>
            </w:r>
          </w:p>
        </w:tc>
      </w:tr>
      <w:tr>
        <w:trPr>
          <w:trHeight w:val="20"/>
        </w:trPr>
        <w:tc>
          <w:tcPr>
            <w:tcW w:w="5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April 2018, we announced that our Board of Directors authorized a new $2.0 billion share repurchase program that expires on December 31, 2020. Since July 2014, our Board of Directors has approved seven share repurchase programs aggregating $13.0 billion of authority. As of December 31, 2018, there was $1.7 billion remaining authority to repurchase shares under our new $2.0 billion share repurchase program. Share repurchases under our repurchase programs may be made through a variety of methods, which may include open market purchases, privately negotiated transactions, block trades or accelerated share repurchase transactions. Any such repurchases that may be made from time to time will be subject to market and economic conditions, applicable legal requirements and other relevant factors. We are not obligated to repurchase any specific number of shares and our repurchase of AAG common stock may be limited, suspended or discontinued at any time at our discretion and without prior notice.</w:t>
      </w:r>
    </w:p>
    <w:p>
      <w:pPr>
        <w:spacing w:after="0" w:line="23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2018, we repurchased 16.6 million shares of AAG common stock for $800 million at a weighted average cost per share of $48.15. Since the inception of our share repurchase programs in July 2014 through December 31, 2018, we have repurchased 278.9 million shares of AAG common stock for $11.3 billion at a weighted average cost per share of $40.69.</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Board of Directors declared the following cash dividends during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 stockholders of record as</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196"/>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w:t>
            </w: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Payable on</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(millions)</w:t>
            </w:r>
          </w:p>
        </w:tc>
      </w:tr>
      <w:tr>
        <w:trPr>
          <w:trHeight w:val="256"/>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February 6, 2018</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February 20, 2018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48</w:t>
            </w:r>
          </w:p>
        </w:tc>
      </w:tr>
      <w:tr>
        <w:trPr>
          <w:trHeight w:val="26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2"/>
                <w:szCs w:val="22"/>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rPr>
              <w:t>May 8, 2018</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May 22, 2018</w:t>
            </w:r>
          </w:p>
        </w:tc>
        <w:tc>
          <w:tcPr>
            <w:tcW w:w="240" w:type="dxa"/>
            <w:vAlign w:val="bottom"/>
          </w:tcPr>
          <w:p>
            <w:pPr>
              <w:spacing w:after="0"/>
              <w:rPr>
                <w:sz w:val="22"/>
                <w:szCs w:val="22"/>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46</w:t>
            </w:r>
          </w:p>
        </w:tc>
      </w:tr>
      <w:tr>
        <w:trPr>
          <w:trHeight w:val="277"/>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4"/>
                <w:szCs w:val="24"/>
                <w:color w:val="auto"/>
              </w:rPr>
            </w:pP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August 7, 2018</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August 21, 2018</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46</w:t>
            </w:r>
          </w:p>
        </w:tc>
      </w:tr>
      <w:tr>
        <w:trPr>
          <w:trHeight w:val="264"/>
        </w:trPr>
        <w:tc>
          <w:tcPr>
            <w:tcW w:w="40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Fourth Quarter</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2"/>
                <w:szCs w:val="22"/>
                <w:color w:val="auto"/>
              </w:rPr>
            </w:pPr>
          </w:p>
        </w:tc>
        <w:tc>
          <w:tcPr>
            <w:tcW w:w="22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November 6, 2018</w:t>
            </w:r>
          </w:p>
        </w:tc>
        <w:tc>
          <w:tcPr>
            <w:tcW w:w="21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November 20, 2018</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46</w:t>
            </w:r>
          </w:p>
        </w:tc>
      </w:tr>
      <w:tr>
        <w:trPr>
          <w:trHeight w:val="257"/>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186</w:t>
            </w: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January 2019, we announced that our Board of Directors declared a $0.10 per share cash dividend for stockholders of record on February 6, 2019, and payable on February 20, 2019.</w:t>
      </w:r>
    </w:p>
    <w:p>
      <w:pPr>
        <w:spacing w:after="0" w:line="14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w:t>
      </w:r>
    </w:p>
    <w:p>
      <w:pPr>
        <w:sectPr>
          <w:pgSz w:w="11900" w:h="16838" w:orient="portrait"/>
          <w:cols w:equalWidth="0" w:num="1">
            <w:col w:w="11420"/>
          </w:cols>
          <w:pgMar w:left="240" w:top="760" w:right="239" w:bottom="1440" w:gutter="0" w:footer="0" w:header="0"/>
          <w:type w:val="continuous"/>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760" w:right="239" w:bottom="1440" w:gutter="0" w:footer="0" w:header="0"/>
          <w:type w:val="continuous"/>
        </w:sectPr>
      </w:pPr>
    </w:p>
    <w:bookmarkStart w:id="65" w:name="page66"/>
    <w:bookmarkEnd w:id="65"/>
    <w:p>
      <w:pPr>
        <w:ind w:left="220"/>
        <w:spacing w:after="0"/>
        <w:rPr>
          <w:sz w:val="20"/>
          <w:szCs w:val="20"/>
          <w:color w:val="auto"/>
        </w:rPr>
      </w:pPr>
      <w:r>
        <w:rPr>
          <w:rFonts w:ascii="Arial" w:cs="Arial" w:eastAsia="Arial" w:hAnsi="Arial"/>
          <w:sz w:val="18"/>
          <w:szCs w:val="18"/>
          <w:b w:val="1"/>
          <w:bCs w:val="1"/>
          <w:i w:val="1"/>
          <w:iCs w:val="1"/>
          <w:color w:val="auto"/>
        </w:rPr>
        <w:t>Collateral-Related Covenants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Certain of our debt financing agreements contain loan to value ratio covenants and require us to appraise the related collateral annually. Pursuant to such agreements, if the loan to value ratio exceeds a specified threshold, we are required, as applicable, to pledge additional qualifying collateral (which in some cases may include cash collateral), or pay down such financing, in whole or in part. As of December 31, 2018, we were in compliance with the collateral coverage tests for our term loans and revolving credit facilities as of the most recent measurement dates. For further information regarding our collateral-related covenants, see Note 5 to AAG’s Consolidated Financial Statements in Part II, Item 8A and Note 3 to American’s Consolidated Financial Statements in Part II, Item 8B.</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2018 Compared to 2017</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Our net cash provided by operating activities was $ 3.5 billion and $ 4.7 billion in 2018 and 2017, respectively, a year-over-year decrease of $1.2 billion. This decrease in operating cash flows was primarily due to lower profitability in 2018 driven by an increase in fuel costs, which was offset in part by higher revenues.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investing activities was $2.0 billion and $3.6 billion in 2018 and 2017, respectively.</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principal investing activities in 2018 included expenditures of $ 3.7 billion for property and equipment, including 16 Boeing 737-8 MAX aircraft, six Boeing 787 family aircraft and five Embraer E175 aircraft. These cash outflows were offset in part by $1.4 billion of net proceeds primarily from aircraft sale-leaseback transactions and $293 million in net sales of short-term investments.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principal investing activities in 2017 included expenditures of $6.0 billion for property and equipment, including 20 Airbus A321 aircraft, 20 Boeing 737-800 aircraft, 16 Embraer E175 aircraft, 13 Boeing 787 family aircraft and four Boeing 737-8 MAX aircraft. We also made a $203 million equity investment in China Southern Airlines. These cash outflows were offset in part by $1.3 billion in net sales of short-term investments, $947 million of net proceeds primarily from aircraft sale-leaseback transactions, and a $309 million decrease in restricted short-term investments.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financing activities was $1.7 billion and $1.1 billion in 2018 and 2017, respectively.</w:t>
      </w:r>
    </w:p>
    <w:p>
      <w:pPr>
        <w:spacing w:after="0" w:line="17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principal financing activities in 2018 included $2.9 billion in debt repayments, consisting of $2.4 billion in scheduled debt repayments and $513 million in the prepayment of secured loans. We also had $837 million in share repurchases and $186 million in dividend payments. These cash outflows were offset in part by net proceeds of $2.4 billion from the issuance of debt, consisting of $1.9 billion in connection with the issuance of equipment notes related to enhanced equipment trust certificates (EETCs) and the financing of certain aircraft and pre-delivery purchase deposits, as well as an incremental $500 million on a term loan facility.</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principal financing activities in 2017 included $2.3 billion in scheduled debt repayments, $1.6 billion in share repurchases and $ 198 million in dividend payments. These cash outflows were offset in part by net proceeds of $3.1 billion from the issuance of debt, including the issuance of $2.0 billion of EETCs and $1.0 billion borrowed in connection with the financing of certain aircraft.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2017 Compared to 2016</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net cash provided by operating activities was $4.7 billion and $6.5 billion in 2017 and 2016, respectively, a year-over-year decrease of $1.8 billion. This decrease in operating cash flows was primarily due to lower profitability in 2017 driven by higher fuel costs and wage rates, which were offset in part by higher revenues.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investing activities was $3.6 billion and $5.7 billion in 2017 and 2016,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19" w:right="239" w:bottom="1440" w:gutter="0" w:footer="0" w:header="0"/>
        </w:sectPr>
      </w:pPr>
    </w:p>
    <w:bookmarkStart w:id="66" w:name="page67"/>
    <w:bookmarkEnd w:id="66"/>
    <w:p>
      <w:pPr>
        <w:jc w:val="both"/>
        <w:ind w:firstLine="216"/>
        <w:spacing w:after="0" w:line="253" w:lineRule="auto"/>
        <w:rPr>
          <w:sz w:val="20"/>
          <w:szCs w:val="20"/>
          <w:color w:val="auto"/>
        </w:rPr>
      </w:pPr>
      <w:r>
        <w:rPr>
          <w:rFonts w:ascii="Arial" w:cs="Arial" w:eastAsia="Arial" w:hAnsi="Arial"/>
          <w:sz w:val="18"/>
          <w:szCs w:val="18"/>
          <w:color w:val="auto"/>
        </w:rPr>
        <w:t>Our principal investing activities in 2017 included expenditures of $6.0 billion for property and equipment, including 20 Airbus A321 aircraft, 20 Boeing 737-800 aircraft, 16 Embraer E175 aircraft, 13 Boeing 787 family aircraft and four Boeing 737-8 MAX aircraft. We also made a $203 million equity investment in China Southern Airlines. These cash outflows were offset in part by $1.3 billion in net sales of short-term investments, $947 million of net proceeds primarily from aircraft sale-leaseback transactions, and a $309 million decrease in restricted short-term investments.</w:t>
      </w:r>
    </w:p>
    <w:p>
      <w:pPr>
        <w:spacing w:after="0" w:line="15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Our principal investing activities in 2016 included expenditures of $5.7 billion for property and equipment, including 25 Airbus A321 aircraft, 24 Embraer E175 aircraft, 20 Boeing 737-800 aircraft, 18 Bombardier CRJ 900 aircraft, eight Boeing 787 aircraft and two Boeing 777 aircraft.</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financing activities was $1.1 billion and $894 million in 2017 and 2016, respectively.</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principal financing activities in 2017 included $2.3 billion in scheduled debt repayments, $1.6 billion in share repurchases and $ 198 million in dividend payments. These cash outflows were offset in part by net proceeds of $3.1 billion from the issuance of debt, including the issuance of $2.0 billion of EETCs and $1.0 billion borrowed in connection with the financing of certain aircraft.</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principal financing activities in 2016 included $4.5 billion in share repurchases, $ 3.8 billion in debt repayments, including the repayment of $588 million and $970 million in remaining principal of the tranche B-2 and tranche B-1 term loans, respectively, under a credit facility for which Citicorp was the Administrative Agent (the 2013 Citicorp Credit Facility), and $224 million in dividend payments. These cash outflows were offset in part by net proceeds of $7.7 billion from the issuance of debt, including the issuance of $2.8 billion of EETCs, $2.3 billion provided under term loan facilities and $1.8 billion borrowed in connection with the financing of certain aircraft.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2018 Compared to 2017</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net cash provided by operating activities was $1.9 billion and $2.9 billion in 2018 and 2017, respectively, a year-over-year decrease of $927 million. This decrease in operating cash flows was primarily due to lower profitability in 2018 driven by an increase in fuel costs, which was offset in part by higher revenues.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investing activities was $1.9 billion and $3.6 billion in 2018 and 2017, respectively.</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investing activities in 2018 included expenditures of $3.7 billion for property and equipment, including 16 Boeing 737-8 MAX aircraft, six Boeing 787 family aircraft and five Embraer E175 aircraft. These cash outflows were offset in part by $1.4 billion of net proceeds primarily from aircraft sale-leaseback transactions and $293 million in net sales of short-term investments.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American’s principal investing activities in 2017 included expenditures of $5.9 billion for property and equipment, including 20 Airbus A321 aircraft, 20 Boeing 737-800 aircraft, 16 Embraer E175 aircraft, 13 Boeing 787 family aircraft and four Boeing 737-8 MAX aircraft. American also made a $203 million equity investment in China Southern Airlines. These cash outflows were offset in part by $1.3 billion in net sales of short-term investments, $922 million of net proceeds primarily from aircraft sale-leaseback transactions, and a $309 million decrease in restricted short-term investments.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American’s net cash used in financing activities was $147 million in 2018 and net cash provided by financing activities was $668 million in 2017.</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principal financing activities in 2018 included $2.4 billion in debt repayments, consisting of $1.9 billion in scheduled debt repayments and $513 million in the prepayment of secured loans. These cash outflows were offset in part by net proceeds of $2.4 billion from the issuance of debt, consisting of $1.9 billion in connection with the issuance of equipment notes related to EETCs and the financing of certain aircraft and pre-delivery purchase deposits, as well as an incremental $500 million on a term loan facility.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60" w:right="239" w:bottom="1440" w:gutter="0" w:footer="0" w:header="0"/>
        </w:sectPr>
      </w:pPr>
    </w:p>
    <w:bookmarkStart w:id="67" w:name="page68"/>
    <w:bookmarkEnd w:id="67"/>
    <w:p>
      <w:pPr>
        <w:jc w:val="both"/>
        <w:ind w:firstLine="216"/>
        <w:spacing w:after="0" w:line="256" w:lineRule="auto"/>
        <w:rPr>
          <w:sz w:val="20"/>
          <w:szCs w:val="20"/>
          <w:color w:val="auto"/>
        </w:rPr>
      </w:pPr>
      <w:r>
        <w:rPr>
          <w:rFonts w:ascii="Arial" w:cs="Arial" w:eastAsia="Arial" w:hAnsi="Arial"/>
          <w:sz w:val="18"/>
          <w:szCs w:val="18"/>
          <w:color w:val="auto"/>
        </w:rPr>
        <w:t>American’s principal financing activities in 2017 included net proceeds of $3.1 billion from the issuance of debt, including the issuance of $2.0 billion of EETCs and $1.0 billion borrowed in connection with the financing of certain aircraft. These cash inflows were offset in part by $2.3 billion in scheduled debt repayments.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2017 Compared to 2016</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net cash provided by operating activities was $2.9 billion and $1.8 billion in 2017 and 2016, respectively, a year-over-year increase of $1.1 billion. AAG has the ability to move funds freely between its subsidiaries to support its cash requirements. The increase in operating cash flows was primarily due to a decrease in intercompany cash transfers from American to AAG. This increase in operating cash flows was offset in part by lower profitability in 2017 driven by higher fuel costs and wage rates, which were offset in part by higher revenues.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investing activities was $3.6 billion and $5.6 billion in 2017 and 2016, respectively.</w:t>
      </w:r>
    </w:p>
    <w:p>
      <w:pPr>
        <w:spacing w:after="0" w:line="17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American’s principal investing activities in 2017 included expenditures of $5.9 billion for property and equipment, including 20 Airbus A321 aircraft, 20 Boeing 737-800 aircraft, 16 Embraer E175 aircraft, 13 Boeing 787 family aircraft and four Boeing 737-8 MAX aircraft. American also made a $203 million equity investment in China Southern Airlines. These cash outflows were offset in part by $1.3 billion in net sales of short-term investments, $922 million of net proceeds primarily from aircraft sale-leaseback transactions, and a $309 million decrease in restricted short-term investments.</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investing activities in 2016 included expenditures of $5.7 billion for property and equipment, including 25 Airbus A321 aircraft, 24 Embraer E175 aircraft, 20 Boeing 737-800 aircraft, 18 Bombardier CRJ 900 aircraft, eight Boeing 787 aircraft and two Boeing 777 aircraft.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provided by financing activities was $668 million and $3.8 billion in 2017 and 2016, respectively.</w:t>
      </w:r>
    </w:p>
    <w:p>
      <w:pPr>
        <w:spacing w:after="0" w:line="18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financing activities in 2017 included net proceeds of $3.1 billion from the issuance of debt, including the issuance of $2.0 billion of EETCs and $1.0 billion borrowed in connection with the financing of certain aircraft. These cash inflows were offset in part by $2.3 billion in scheduled debt repayments.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principal financing activities in 2016 included net proceeds of $7.7 billion from the issuance of debt, including the issuance of $2.8 billion of EETCs, $2.3 billion provided under term loan facilities and $1.8 billion borrowed in connection with the financing of certain aircraft. These cash inflows were offset in part by $3.8 billion in debt repayments, including the repayment of $588 million and $970 million in remaining principal of the 2013 Citicorp Credit Facility tranche B-2 and tranche B-1 term loans,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For further information regarding our commitments, see the Notes to AAG’s Consolidated Financial Statements in Part II, Item 8A and the Notes to American’s Consolidated Financial Statements in Part II, Item 8B at the referenced footnotes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AAG</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American</w:t>
            </w:r>
          </w:p>
        </w:tc>
      </w:tr>
      <w:tr>
        <w:trPr>
          <w:trHeight w:val="256"/>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and debt covenants</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Note 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Note 3</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Leases</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rPr>
              <w:t>Note 6</w:t>
            </w: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Note 4</w:t>
            </w:r>
          </w:p>
        </w:tc>
      </w:tr>
      <w:tr>
        <w:trPr>
          <w:trHeight w:val="263"/>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benefit plans</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8"/>
              </w:rPr>
              <w:t>Note 10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Note 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Commitments, contingencies and guarantees</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Note 12</w:t>
            </w:r>
          </w:p>
        </w:tc>
        <w:tc>
          <w:tcPr>
            <w:tcW w:w="1600" w:type="dxa"/>
            <w:vAlign w:val="bottom"/>
          </w:tcPr>
          <w:p>
            <w:pPr>
              <w:jc w:val="center"/>
              <w:spacing w:after="0"/>
              <w:rPr>
                <w:sz w:val="20"/>
                <w:szCs w:val="20"/>
                <w:color w:val="auto"/>
              </w:rPr>
            </w:pPr>
            <w:r>
              <w:rPr>
                <w:rFonts w:ascii="Arial" w:cs="Arial" w:eastAsia="Arial" w:hAnsi="Arial"/>
                <w:sz w:val="18"/>
                <w:szCs w:val="18"/>
                <w:color w:val="auto"/>
              </w:rPr>
              <w:t>Note 10</w:t>
            </w:r>
          </w:p>
        </w:tc>
      </w:tr>
    </w:tbl>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60" w:right="239" w:bottom="1440" w:gutter="0" w:footer="0" w:header="0"/>
        </w:sectPr>
      </w:pPr>
    </w:p>
    <w:bookmarkStart w:id="68" w:name="page69"/>
    <w:bookmarkEnd w:id="68"/>
    <w:p>
      <w:pPr>
        <w:jc w:val="both"/>
        <w:ind w:firstLine="216"/>
        <w:spacing w:after="0" w:line="254" w:lineRule="auto"/>
        <w:rPr>
          <w:sz w:val="20"/>
          <w:szCs w:val="20"/>
          <w:color w:val="auto"/>
        </w:rPr>
      </w:pPr>
      <w:r>
        <w:rPr>
          <w:rFonts w:ascii="Arial" w:cs="Arial" w:eastAsia="Arial" w:hAnsi="Arial"/>
          <w:sz w:val="18"/>
          <w:szCs w:val="18"/>
          <w:color w:val="auto"/>
        </w:rPr>
        <w:t>We have no off-balance sheet arrangements of the types described in the first three categories above that we believe may have a material current or future effect on financial condition, liquidity or results of operations. Certain guarantees that we do not expect to have a material current or future effect on our financial condition, liquidity or results of operations are disclosed in Note 12(d) to AAG’s Consolidated Financial Statements included in Part II, Item 8A and Note 10(d) to American’s Consolidated Financial Statements in Part II, Item 8B.</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Pass-Through Trusts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have financed certain aircraft and engines with EETCs, issued by pass-through trusts. These trusts are off-balance sheet entities, the primary purpose of which is to finance the acquisition of flight equipment.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Each trust covers a set number of aircraft scheduled to be delivered or refinanced upon the issuance of the EETC or within a specific period of time thereafter. At the time of each covered aircraft financing, the relevant trust used the proceeds of the issuance of the EETC (which may have been available at the time of issuance thereof or held in escrow until financing of the applicable aircraft following its delivery) to purchase equipment notes relating to the financed aircraft. The equipment notes are issued, at American’s election, in connection with a mortgage financing of the aircraft or, in certain cases, by a separate owner trust in connection with a leveraged lease financing of the aircraft. In the case of a leveraged lease financing, the owner trust then leases the aircraft to American. In both cases, the equipment notes are secured by a security interest in the aircraft. The pass-through trust certificates are not direct obligations of, nor are they guaranteed by, AAG or American. However, in the case of mortgage financings, the equipment notes issued to the trusts are direct obligations of American and, in certain instances, have been guaranteed by AAG. As of December 31, 2018, $11.6 billion associated with these mortgage financings is reflected as debt in the accompanying consolidated balance sheet.</w:t>
      </w:r>
    </w:p>
    <w:p>
      <w:pPr>
        <w:spacing w:after="0" w:line="15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With respect to leveraged leases, American evaluated whether the leases had characteristics of a variable interest entity. American concluded the leasing entities met the criteria for variable interest entities. American generally is not the primary beneficiary of the leasing entities if the lease terms are consistent with market terms at the inception of the lease and do not include a residual value guarantee, fixed-price purchase option or similar feature that obligates American to absorb decreases in value or entitles American to participate in increases in the value of the aircraft. American does not provide residual value guarantees to the bondholders or equity participants in the trusts. Some leases have a fair market value or a fixed price purchase option that allows American to purchase the aircraft at or near the end of the lease term. However, the option price approximates an estimate of the aircraft’s fair value at the option date. Under this feature, American does not participate in any increases in the value of the aircraft. American concluded it is not the primary beneficiary under these arrangements. Therefore, American accounts for the majority of its EETC leveraged lease financings as operating leases. American’s total future payments to the trusts of each of the relevant EETCs under these leveraged lease financings are $352 million as of December 31, 2018.</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provide financial assurance, such as letters of credit, surety bonds or restricted cash and investments, primarily to support projected workers’ compensation obligations and airport commitments. As of December 31, 2018, we had $460 million of letters of credit and surety bonds securing various obligations. The letters of credit and surety bonds that are subject to expiration will expire on various dates through 2022.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6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Contractual Obligations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following table provides details of our future cash contractual obligations as of December 31, 2018. The table does not include commitments that are contingent on events or other factors that are uncertain or unknown at this time.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8"/>
          </w:tcPr>
          <w:p>
            <w:pPr>
              <w:ind w:left="400"/>
              <w:spacing w:after="0"/>
              <w:rPr>
                <w:sz w:val="20"/>
                <w:szCs w:val="20"/>
                <w:color w:val="auto"/>
              </w:rPr>
            </w:pPr>
            <w:r>
              <w:rPr>
                <w:rFonts w:ascii="Arial" w:cs="Arial" w:eastAsia="Arial" w:hAnsi="Arial"/>
                <w:sz w:val="16"/>
                <w:szCs w:val="16"/>
                <w:b w:val="1"/>
                <w:bCs w:val="1"/>
                <w:color w:val="auto"/>
              </w:rPr>
              <w:t>Payments Due by Period</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176"/>
        </w:trPr>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2024 and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270"/>
        </w:trPr>
        <w:tc>
          <w:tcPr>
            <w:tcW w:w="4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American </w:t>
            </w:r>
            <w:r>
              <w:rPr>
                <w:rFonts w:ascii="Arial" w:cs="Arial" w:eastAsia="Arial" w:hAnsi="Arial"/>
                <w:sz w:val="21"/>
                <w:szCs w:val="21"/>
                <w:i w:val="1"/>
                <w:iCs w:val="1"/>
                <w:color w:val="auto"/>
                <w:vertAlign w:val="superscript"/>
              </w:rPr>
              <w:t>(a)</w:t>
            </w: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r>
      <w:tr>
        <w:trPr>
          <w:trHeight w:val="263"/>
        </w:trPr>
        <w:tc>
          <w:tcPr>
            <w:tcW w:w="42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7"/>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(b), (d)</w:t>
            </w:r>
            <w:r>
              <w:rPr>
                <w:rFonts w:ascii="Arial" w:cs="Arial" w:eastAsia="Arial" w:hAnsi="Arial"/>
                <w:sz w:val="18"/>
                <w:szCs w:val="18"/>
                <w:color w:val="auto"/>
              </w:rPr>
              <w:t xml:space="preserve"> (See Note 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22,722</w:t>
            </w: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(c), (d)</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4,737</w:t>
            </w: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obligations (See Note 4)</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871</w:t>
            </w:r>
          </w:p>
        </w:tc>
      </w:tr>
      <w:tr>
        <w:trPr>
          <w:trHeight w:val="229"/>
        </w:trPr>
        <w:tc>
          <w:tcPr>
            <w:tcW w:w="4220" w:type="dxa"/>
            <w:vAlign w:val="bottom"/>
          </w:tcPr>
          <w:p>
            <w:pPr>
              <w:ind w:left="40"/>
              <w:spacing w:after="0" w:line="229"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1"/>
                <w:szCs w:val="21"/>
                <w:color w:val="auto"/>
                <w:vertAlign w:val="superscript"/>
              </w:rPr>
              <w:t>(e)</w:t>
            </w:r>
            <w:r>
              <w:rPr>
                <w:rFonts w:ascii="Arial" w:cs="Arial" w:eastAsia="Arial" w:hAnsi="Arial"/>
                <w:sz w:val="18"/>
                <w:szCs w:val="18"/>
                <w:color w:val="auto"/>
              </w:rPr>
              <w:t xml:space="preserve"> (See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4220" w:type="dxa"/>
            <w:vAlign w:val="bottom"/>
          </w:tcPr>
          <w:p>
            <w:pPr>
              <w:ind w:left="200"/>
              <w:spacing w:after="0"/>
              <w:rPr>
                <w:sz w:val="20"/>
                <w:szCs w:val="20"/>
                <w:color w:val="auto"/>
              </w:rPr>
            </w:pPr>
            <w:r>
              <w:rPr>
                <w:rFonts w:ascii="Arial" w:cs="Arial" w:eastAsia="Arial" w:hAnsi="Arial"/>
                <w:sz w:val="18"/>
                <w:szCs w:val="18"/>
                <w:color w:val="auto"/>
              </w:rPr>
              <w:t>Note 10(a))</w:t>
            </w: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6,047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14,458</w:t>
            </w:r>
          </w:p>
        </w:tc>
      </w:tr>
      <w:tr>
        <w:trPr>
          <w:trHeight w:val="27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21"/>
                <w:szCs w:val="21"/>
                <w:color w:val="auto"/>
                <w:vertAlign w:val="superscript"/>
              </w:rPr>
              <w:t>(f)</w:t>
            </w:r>
            <w:r>
              <w:rPr>
                <w:rFonts w:ascii="Arial" w:cs="Arial" w:eastAsia="Arial" w:hAnsi="Arial"/>
                <w:sz w:val="18"/>
                <w:szCs w:val="18"/>
                <w:color w:val="auto"/>
              </w:rPr>
              <w:t xml:space="preserve"> (See Note 4)</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11,632</w:t>
            </w:r>
          </w:p>
        </w:tc>
      </w:tr>
      <w:tr>
        <w:trPr>
          <w:trHeight w:val="229"/>
        </w:trPr>
        <w:tc>
          <w:tcPr>
            <w:tcW w:w="4220" w:type="dxa"/>
            <w:vAlign w:val="bottom"/>
          </w:tcPr>
          <w:p>
            <w:pPr>
              <w:ind w:left="40"/>
              <w:spacing w:after="0" w:line="229"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1"/>
                <w:szCs w:val="21"/>
                <w:color w:val="auto"/>
                <w:vertAlign w:val="superscript"/>
              </w:rPr>
              <w:t>(g)</w:t>
            </w:r>
            <w:r>
              <w:rPr>
                <w:rFonts w:ascii="Arial" w:cs="Arial" w:eastAsia="Arial" w:hAnsi="Arial"/>
                <w:sz w:val="18"/>
                <w:szCs w:val="18"/>
                <w:color w:val="auto"/>
              </w:rPr>
              <w:t xml:space="preserve"> (See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4220" w:type="dxa"/>
            <w:vAlign w:val="bottom"/>
          </w:tcPr>
          <w:p>
            <w:pPr>
              <w:ind w:left="200"/>
              <w:spacing w:after="0"/>
              <w:rPr>
                <w:sz w:val="20"/>
                <w:szCs w:val="20"/>
                <w:color w:val="auto"/>
              </w:rPr>
            </w:pPr>
            <w:r>
              <w:rPr>
                <w:rFonts w:ascii="Arial" w:cs="Arial" w:eastAsia="Arial" w:hAnsi="Arial"/>
                <w:sz w:val="18"/>
                <w:szCs w:val="18"/>
                <w:color w:val="auto"/>
              </w:rPr>
              <w:t>Note 10(b))</w:t>
            </w: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4,944</w:t>
            </w:r>
          </w:p>
        </w:tc>
      </w:tr>
      <w:tr>
        <w:trPr>
          <w:trHeight w:val="27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(h)</w:t>
            </w:r>
            <w:r>
              <w:rPr>
                <w:rFonts w:ascii="Arial" w:cs="Arial" w:eastAsia="Arial" w:hAnsi="Arial"/>
                <w:sz w:val="18"/>
                <w:szCs w:val="18"/>
                <w:color w:val="auto"/>
              </w:rPr>
              <w:t xml:space="preserve"> (See Note 8)</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5,208</w:t>
            </w:r>
          </w:p>
        </w:tc>
      </w:tr>
      <w:tr>
        <w:trPr>
          <w:trHeight w:val="229"/>
        </w:trPr>
        <w:tc>
          <w:tcPr>
            <w:tcW w:w="4220" w:type="dxa"/>
            <w:vAlign w:val="bottom"/>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4220" w:type="dxa"/>
            <w:vAlign w:val="bottom"/>
          </w:tcPr>
          <w:p>
            <w:pPr>
              <w:ind w:left="200"/>
              <w:spacing w:after="0"/>
              <w:rPr>
                <w:sz w:val="20"/>
                <w:szCs w:val="20"/>
                <w:color w:val="auto"/>
              </w:rPr>
            </w:pPr>
            <w:r>
              <w:rPr>
                <w:rFonts w:ascii="Arial" w:cs="Arial" w:eastAsia="Arial" w:hAnsi="Arial"/>
                <w:sz w:val="18"/>
                <w:szCs w:val="18"/>
                <w:color w:val="auto"/>
              </w:rPr>
              <w:t>(See Note 8)</w:t>
            </w: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377</w:t>
            </w:r>
          </w:p>
        </w:tc>
      </w:tr>
      <w:tr>
        <w:trPr>
          <w:trHeight w:val="27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1"/>
                <w:szCs w:val="21"/>
                <w:color w:val="auto"/>
                <w:vertAlign w:val="superscript"/>
              </w:rPr>
              <w:t>(i)</w:t>
            </w:r>
            <w:r>
              <w:rPr>
                <w:rFonts w:ascii="Arial" w:cs="Arial" w:eastAsia="Arial" w:hAnsi="Arial"/>
                <w:sz w:val="18"/>
                <w:szCs w:val="18"/>
                <w:color w:val="auto"/>
              </w:rPr>
              <w:t xml:space="preserve"> (See Note 10(a))</w:t>
            </w: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4,081</w:t>
            </w: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Total American Contractual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12,169</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8,919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9,339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6,476</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8,634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23,493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69,030</w:t>
            </w:r>
          </w:p>
        </w:tc>
      </w:tr>
      <w:tr>
        <w:trPr>
          <w:trHeight w:val="331"/>
        </w:trPr>
        <w:tc>
          <w:tcPr>
            <w:tcW w:w="4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 xml:space="preserve">AAG Parent and Other AAG Subsidiaries </w:t>
            </w:r>
            <w:r>
              <w:rPr>
                <w:rFonts w:ascii="Arial" w:cs="Arial" w:eastAsia="Arial" w:hAnsi="Arial"/>
                <w:sz w:val="21"/>
                <w:szCs w:val="21"/>
                <w:i w:val="1"/>
                <w:iCs w:val="1"/>
                <w:color w:val="auto"/>
                <w:vertAlign w:val="superscript"/>
              </w:rPr>
              <w:t>(a)</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(b)</w:t>
            </w:r>
            <w:r>
              <w:rPr>
                <w:rFonts w:ascii="Arial" w:cs="Arial" w:eastAsia="Arial" w:hAnsi="Arial"/>
                <w:sz w:val="18"/>
                <w:szCs w:val="18"/>
                <w:color w:val="auto"/>
              </w:rPr>
              <w:t xml:space="preserve"> (See Note 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1,279</w:t>
            </w:r>
          </w:p>
        </w:tc>
      </w:tr>
      <w:tr>
        <w:trPr>
          <w:trHeight w:val="27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(c)</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(h)</w:t>
            </w:r>
            <w:r>
              <w:rPr>
                <w:rFonts w:ascii="Arial" w:cs="Arial" w:eastAsia="Arial" w:hAnsi="Arial"/>
                <w:sz w:val="18"/>
                <w:szCs w:val="18"/>
                <w:color w:val="auto"/>
              </w:rPr>
              <w:t xml:space="preserve"> (See Note 10)</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64"/>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commitments (See Note 6)</w:t>
            </w: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57"/>
        </w:trPr>
        <w:tc>
          <w:tcPr>
            <w:tcW w:w="4220" w:type="dxa"/>
            <w:vAlign w:val="bottom"/>
          </w:tcPr>
          <w:p>
            <w:pPr>
              <w:ind w:left="380"/>
              <w:spacing w:after="0"/>
              <w:rPr>
                <w:sz w:val="20"/>
                <w:szCs w:val="20"/>
                <w:color w:val="auto"/>
              </w:rPr>
            </w:pPr>
            <w:r>
              <w:rPr>
                <w:rFonts w:ascii="Arial" w:cs="Arial" w:eastAsia="Arial" w:hAnsi="Arial"/>
                <w:sz w:val="18"/>
                <w:szCs w:val="18"/>
                <w:color w:val="auto"/>
              </w:rPr>
              <w:t>Total AAG Contractual Obligations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13,010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9,456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9,359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8,647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23,537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70,504</w:t>
            </w:r>
          </w:p>
        </w:tc>
      </w:tr>
      <w:tr>
        <w:trPr>
          <w:trHeight w:val="20"/>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(g)</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additional information, see the Notes to AAG’s and American’s Consolidated Financial Statements in Part II, Items 8A and 8B, respectively, referenced in the table above.</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Amounts represent contractual amounts due. Excludes $219 million and $3 million of unamortized debt discount, premium and issuance costs as of December 31, 2018 for American and AAG Parent,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For variable-rate debt, future interest obligations are estimated using the current forward rates at December 31, 2018.</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Includes $11.6 billion of future principal payments and $2.4 billion of future interest payments, respectively, as of December 31, 2018, related to EETCs associated with mortgage financings for the purchase of certain aircraft.</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See Part I, Item 2. Properties –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for additional information about the firm commitment aircraft delivery schedule. Boeing has committed to provide sale-leaseback financing (in the form of operating leases) for 22 787-8 aircraft to be delivered in 2020 and 2021. This financing is reflected in the operating lease commitments line above.</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Includes $ 352 million of future minimum lease payments related to EETC leveraged lease financings of certain aircraft as of December 31, 2018.</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Rental payments under operating leases for certain aircraft flown under these capacity purchase agreements is reflected in the operating lease commitments line above.</w:t>
      </w:r>
    </w:p>
    <w:p>
      <w:pPr>
        <w:spacing w:after="0" w:line="23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70</w:t>
      </w:r>
    </w:p>
    <w:p>
      <w:pPr>
        <w:sectPr>
          <w:pgSz w:w="11900" w:h="16838" w:orient="portrait"/>
          <w:cols w:equalWidth="0" w:num="2">
            <w:col w:w="140" w:space="520"/>
            <w:col w:w="10760"/>
          </w:cols>
          <w:pgMar w:left="240" w:top="819"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1"/>
          <w:szCs w:val="11"/>
          <w:color w:val="auto"/>
        </w:rPr>
        <w: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(i)</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8"/>
          <w:szCs w:val="18"/>
          <w:color w:val="auto"/>
        </w:rPr>
        <w:t>Includes minimum pension contributions based on actuarially determined estimates and is based on estimated payments through 2028. The total AAG expected pension contribution of $807 million in 2019 assumes a supplemental contribution of $21 million in addition to the $786 million minimum required contribution.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Includes purchase commitments for jet fuel, construction projects and information technology support.</w:t>
      </w:r>
    </w:p>
    <w:p>
      <w:pPr>
        <w:spacing w:after="0" w:line="200" w:lineRule="exact"/>
        <w:rPr>
          <w:sz w:val="20"/>
          <w:szCs w:val="20"/>
          <w:color w:val="auto"/>
        </w:rPr>
      </w:pPr>
    </w:p>
    <w:p>
      <w:pPr>
        <w:sectPr>
          <w:pgSz w:w="11900" w:h="16838" w:orient="portrait"/>
          <w:cols w:equalWidth="0" w:num="2">
            <w:col w:w="140" w:space="520"/>
            <w:col w:w="10760"/>
          </w:cols>
          <w:pgMar w:left="240" w:top="704" w:right="239"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light of our significant financial commitments related to, among other things, new aircraft, the servicing and amortization of existing debt and equipment leasing arrangements, and future pension funding obligations,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natural disasters or other causes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certain of our financing arrangements contain significant minimum cash balance requirements. As a result, we cannot use all of our available cash to fund operations, capital expenditures and cash obligations without violating these requirements. See Note 5 to AAG’s Consolidated Financial Statements in Part II, Item 8A and Note 3 to American’s Consolidated Financial Statements in Part II, Item 8B for information regarding our financing arrangements.</w:t>
      </w:r>
    </w:p>
    <w:p>
      <w:pPr>
        <w:spacing w:after="0" w:line="15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4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Board of Directors has from time to time authorized programs to repurchase shares of our common stock, one of which is currently in effect, and may authorize additional share repurchase programs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1 to AAG’s Consolidated Financial Statements in Part II, Item 8A and Note 1 to American’s Consolidated Financial Statements in Part II, Item 8B for information regarding the basis of presentation.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 Critical accounting policies are defined as those that are reflective of significant judgments and uncertainties and could potentially result in materially different results under different assumptions and conditions. We have identified the following critical accounting policies that impact the preparation of our consolidated financial statements. See the “</w:t>
      </w:r>
      <w:r>
        <w:rPr>
          <w:rFonts w:ascii="Arial" w:cs="Arial" w:eastAsia="Arial" w:hAnsi="Arial"/>
          <w:sz w:val="18"/>
          <w:szCs w:val="18"/>
          <w:i w:val="1"/>
          <w:iCs w:val="1"/>
          <w:color w:val="auto"/>
        </w:rPr>
        <w:t>Basis of Presentation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Note 1 to AAG’s Consolidated Financial Statements in Part II, Item 8A and Note 1 to American’s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 Part II, Item 8B for additional discussion of the application of these estimates and other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Revenue</w:t>
      </w:r>
    </w:p>
    <w:p>
      <w:pPr>
        <w:spacing w:after="0" w:line="112"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We recognize all revenues generated from transportation on American and our regional flights operated under the brand name American Eagle, including associated baggage fees, ticketing change fees and other inflight services, as passenger revenue when transportation is provided. Ticket and other related sales for transportation that has not yet been provided are initially deferred and recorded as air traffic liability on our consolidated balance sheets. The air traffic liability principally represents tickets sold for future travel on American and partner airlines, as well as estimated future refunds and exchanges of tickets sold for past travel.</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Due to complex pricing structures, refund and exchange policies, and interline agreements with other airlines,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04" w:right="239" w:bottom="1440" w:gutter="0" w:footer="0" w:header="0"/>
          <w:type w:val="continuous"/>
        </w:sectPr>
      </w:pPr>
    </w:p>
    <w:bookmarkStart w:id="71" w:name="page72"/>
    <w:bookmarkEnd w:id="71"/>
    <w:p>
      <w:pPr>
        <w:jc w:val="both"/>
        <w:spacing w:after="0" w:line="252" w:lineRule="auto"/>
        <w:rPr>
          <w:sz w:val="20"/>
          <w:szCs w:val="20"/>
          <w:color w:val="auto"/>
        </w:rPr>
      </w:pPr>
      <w:r>
        <w:rPr>
          <w:rFonts w:ascii="Arial" w:cs="Arial" w:eastAsia="Arial" w:hAnsi="Arial"/>
          <w:sz w:val="18"/>
          <w:szCs w:val="18"/>
          <w:color w:val="auto"/>
        </w:rPr>
        <w:t>certain amounts are recognized in passenger revenue using estimates regarding both the timing of the revenue recognition and the amount of revenue to be recognized. These estimates are generally based on the analysis of our historical data. We have consistently applied this accounting method to estimate revenue from forfeited tickets at the date of travel. Estimated future refunds and exchanges included in the air traffic liability are routinely evaluated based on subsequent activity to validate the accuracy of our estimates. Any adjustments resulting from periodic evaluations of the estimated air traffic liability are included in passenger revenue during the period in which the evaluations are completed.</w:t>
      </w:r>
    </w:p>
    <w:p>
      <w:pPr>
        <w:spacing w:after="0" w:line="15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Various taxes and fees assessed on the sale of tickets to end customers are collected by us as an agent and remitted to taxing authorities. These taxes and fees have been presented on a net basis in the accompanying consolidated statements of operations and recorded as a liability until remitted to the appropriate taxing authority.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Loyalty Revenue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We currently operate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the Citi and Barclaycard US co-branded credit cards, hotels and car rental companies. Mileage credits can be redeemed for travel on American and other participating partner airlines, as well as other non-air travel awards such as hotels and rental cars. For mileage credits earned by AAdvantage loyalty program members, we apply the deferred revenue method in accordance with the New Revenue Standard.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Mileage credits earned through travel</w:t>
      </w:r>
    </w:p>
    <w:p>
      <w:pPr>
        <w:spacing w:after="0" w:line="193"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miles is adjusted for an estimate of miles that will not be redeemed based on historical redemption patterns. For the year ended December 31, 2018, a hypothetical 10% increase in the estimated selling price of miles would have decreased revenues by approximately $100 million as a result of additional amounts deferred from passenger ticket sales.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Mileage credits sold to co-branded credit cards and other partners</w:t>
      </w:r>
    </w:p>
    <w:p>
      <w:pPr>
        <w:spacing w:after="0" w:line="19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sell mileage credits to participating airline partners and non-airline business partners including our co-branded credit card partners, under contracts with terms extending generally for one to nine years. Consideration received from the sale of mileage credits is variable and payment terms typically are within 30 days subsequent to the month of mileage sale. Sales of mileage credits to non-airline business partners are comprised of two components, transportation and marketing. We allocate the consideration received from these sales of mileage credits based on the relative selling price of each product or service delivered.</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most significant partner agreements are our co-branded credit card agreements with Citi and Barclaycard US that we entered into in 2016. We identified the following revenue elements in these co-branded credit card agreements: the transportation component; and the use of intellectual property, including the American brand and access to loyalty program member lists, which is the predominant element in the agreements, as well as advertising (collectively, the marketing component). Accordingly, we recognize the marketing component in other revenue in the period of the mileage sale following the sales-based royalty method.</w:t>
      </w:r>
    </w:p>
    <w:p>
      <w:pPr>
        <w:spacing w:after="0" w:line="15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For the portion of our outstanding mileage credits that we estimate will not be redeemed, we recognize the associated value proportionally as the remaining mileage credits are redeemed. Our estimates are based on analysis of historical redemptions. For the year ended December 31, 2018, a hypothetical 10% increase in our estimate of miles not expected to be redeemed would have increased revenues by approximately $100 million.</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Cargo Revenue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is recognized when we provide the transportation.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60" w:right="239" w:bottom="1440" w:gutter="0" w:footer="0" w:header="0"/>
        </w:sectPr>
      </w:pPr>
    </w:p>
    <w:bookmarkStart w:id="72" w:name="page73"/>
    <w:bookmarkEnd w:id="72"/>
    <w:p>
      <w:pPr>
        <w:ind w:left="22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Other revenue includes revenue associated with our loyalty program, which is comprised principally of the marketing component of mileage sales to co-branded credit card and other partners and other marketing related payments. The accounting and recognition for the loyalty program marketing services are discussed above in “</w:t>
      </w:r>
      <w:r>
        <w:rPr>
          <w:rFonts w:ascii="Arial" w:cs="Arial" w:eastAsia="Arial" w:hAnsi="Arial"/>
          <w:sz w:val="18"/>
          <w:szCs w:val="18"/>
          <w:i w:val="1"/>
          <w:iCs w:val="1"/>
          <w:color w:val="auto"/>
        </w:rPr>
        <w:t>Loyalty Revenue</w:t>
      </w:r>
      <w:r>
        <w:rPr>
          <w:rFonts w:ascii="Arial" w:cs="Arial" w:eastAsia="Arial" w:hAnsi="Arial"/>
          <w:sz w:val="18"/>
          <w:szCs w:val="18"/>
          <w:color w:val="auto"/>
        </w:rPr>
        <w:t>.” The remaining amounts included within other revenue relate to airport clubs, advertising and vacation-related services.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Long-lived assets consist of flight equipment, as well as other fixed assets and finite-lived intangible assets such as certain domestic airport slots, customer relationships, marketing agreements, tradenames and airport gate leasehold rights. In addition to the original cost, the recorded value of our fixed assets is impacted by a number of estimates made, including estimated useful lives, salvage values and our determination as to whether aircraft are temporarily or permanently grounded. Finite-lived intangible assets are originally recorded at their acquired fair values and are subsequently amortized over their estimated useful lives. See Note 1 to AAG’s Consolidated Financial Statements in Part II, Item 8A and Note 1 to American’s Consolidated Financial Statements in Part II, Item 8B for further information.</w:t>
      </w:r>
    </w:p>
    <w:p>
      <w:pPr>
        <w:spacing w:after="0" w:line="1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assess impairment on long-lived assets used in operations when events and circumstances indicate that the assets may be impaired. An asset or group of assets is considered impaired when the undiscounted cash flows estimated to be generated by the assets are less than the carrying amount of the assets and the net book value of the assets exceeds their estimated fair value. If such assets are considered to be impaired, the impairment to be recognized is measured by the amount by which the carrying amount of the assets exceeds the fair value of the assets. Estimates of fair value represent management’s best estimate based on appraisals, industry trends and reference to market rates and transactions.</w:t>
      </w:r>
    </w:p>
    <w:p>
      <w:pPr>
        <w:spacing w:after="0" w:line="155" w:lineRule="exact"/>
        <w:rPr>
          <w:sz w:val="20"/>
          <w:szCs w:val="20"/>
          <w:color w:val="auto"/>
        </w:rPr>
      </w:pPr>
    </w:p>
    <w:p>
      <w:pPr>
        <w:jc w:val="both"/>
        <w:ind w:right="20" w:firstLine="216"/>
        <w:spacing w:after="0" w:line="254" w:lineRule="auto"/>
        <w:rPr>
          <w:sz w:val="20"/>
          <w:szCs w:val="20"/>
          <w:color w:val="auto"/>
        </w:rPr>
      </w:pPr>
      <w:r>
        <w:rPr>
          <w:rFonts w:ascii="Arial" w:cs="Arial" w:eastAsia="Arial" w:hAnsi="Arial"/>
          <w:sz w:val="18"/>
          <w:szCs w:val="18"/>
          <w:color w:val="auto"/>
        </w:rPr>
        <w:t>The majority of American’s aircraft fleet types are depreciated over 25-30 years. It is possible that the ultimate lives of our aircraft will be significantly different than the current estimate due to unforeseen events in the future that impact our fleet plan, including positive or negative developments in the areas described above. For example, operating the aircraft for a longer period will result in higher maintenance, fuel and other operating costs than if we replaced the aircraft.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adopted ASU 2016-02: Leases (Topic 842) (the New Lease Standard) as of January 1, 2018.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below for further discussion about the New Lease Standard and its impact on our consolidated balance sheet. We determine if an arrangement is a lease at inception. Operating leases are included in operating lease right-of-use (ROU) assets, current operating lease liabilities and noncurrent operating lease liabilities in our consolidated balance sheet. Finance leases are included in property and equipment, current maturities of long-term debt and finance leases and long-term debt and finance leases, net of current maturities, in our consolidated balance sheet.</w:t>
      </w:r>
    </w:p>
    <w:p>
      <w:pPr>
        <w:spacing w:after="0" w:line="66"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ROU assets and liabilities are recognized at the lease commencement date based on the estimated present value of lease payments over the lease term.</w:t>
      </w:r>
    </w:p>
    <w:p>
      <w:pPr>
        <w:spacing w:after="0" w:line="5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use our estimated incremental borrowing rate, which is derived from information available at the lease commencement date, in determining the present value of lease payments. We give consideration to our recent debt issuances as well as publicly available data for instruments with similar characteristics when calculating our incremental borrowing rates. A 100 basis point decrease in our estimate of the incremental borrowing rate at January 1, 2018 (the date of our adoption of the New Lease Standard) would increase our operating lease liability by approximately $275 million.</w:t>
      </w:r>
    </w:p>
    <w:p>
      <w:pPr>
        <w:spacing w:after="0" w:line="14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lease term includes options to extend the lease when it is reasonably certain that we will exercise that option. Leases with a term of 12 months or less are not recorded on the balance sheet. Our lease agreements do not contain any residual value guarantees.</w:t>
      </w:r>
    </w:p>
    <w:p>
      <w:pPr>
        <w:spacing w:after="0" w:line="14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Under certain of our capacity purchase agreements with third-party regional carriers, we do not own the underlying aircraft. However, since we control the marketing, scheduling, ticketing, pricing and seat inventories of these aircraft and therefore control the asset, the aircraft is deemed to be leased for accounting purposes. For these capacity purchase agreements, we account for the lease and non-lease components separately. The lease component consists of the aircraft and the non-lease components consist of services, such as the crew and maintenance. We allocate the consideration in the capacity purchase agreements to the lease and non-lease components using their estimated relative standalone prices. See Note 12(b) to AAG’s Consolidated Financial Statements in Part II, Item 8A and Note 10(b) to American’s Consolidated Financial Statements in Part II, Item 8B for additional information on our capacity purchase agreements.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real estate, we account for the lease and non-lease components as a single lease component.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823"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Goodwill and Indefinite-lived Assets</w:t>
      </w:r>
    </w:p>
    <w:p>
      <w:pPr>
        <w:spacing w:after="0" w:line="112" w:lineRule="exact"/>
        <w:rPr>
          <w:sz w:val="20"/>
          <w:szCs w:val="20"/>
          <w:color w:val="auto"/>
        </w:rPr>
      </w:pPr>
    </w:p>
    <w:p>
      <w:pPr>
        <w:jc w:val="both"/>
        <w:ind w:firstLine="216"/>
        <w:spacing w:after="0" w:line="237"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and liabilities assumed. Goodwill is not amortized but assessed for impairment annually on October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or more frequently if events or circumstances indicate that goodwill may be impaired. We have one consolidated reporting unit.</w:t>
      </w:r>
    </w:p>
    <w:p>
      <w:pPr>
        <w:spacing w:after="0" w:line="163" w:lineRule="exact"/>
        <w:rPr>
          <w:sz w:val="20"/>
          <w:szCs w:val="20"/>
          <w:color w:val="auto"/>
        </w:rPr>
      </w:pPr>
    </w:p>
    <w:p>
      <w:pPr>
        <w:jc w:val="both"/>
        <w:ind w:firstLine="216"/>
        <w:spacing w:after="0" w:line="237" w:lineRule="auto"/>
        <w:rPr>
          <w:sz w:val="20"/>
          <w:szCs w:val="20"/>
          <w:color w:val="auto"/>
        </w:rPr>
      </w:pPr>
      <w:r>
        <w:rPr>
          <w:rFonts w:ascii="Arial" w:cs="Arial" w:eastAsia="Arial" w:hAnsi="Arial"/>
          <w:sz w:val="18"/>
          <w:szCs w:val="18"/>
          <w:color w:val="auto"/>
        </w:rPr>
        <w:t>Indefinite-lived intangible assets other than goodwill include certain domestic airport slots at our hubs and international slots and route authorities. Indefinite-lived intangible assets are not amortized but instead are assessed for impairment annually on October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or more frequently if events or circumstances indicate that the asset may be impaired.</w:t>
      </w:r>
    </w:p>
    <w:p>
      <w:pPr>
        <w:spacing w:after="0" w:line="163"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second quarter of 2018, American recorded a $26 million impairment charge on a Brazil route authority as a result of the U.S.-Brazil open skies agreement.</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Goodwill and indefinite-lived intangible assets are assessed for impairment by initially performing a qualitative assessment. Under the qualitative approach, we analyze the following factors, among others, to determine if events and circumstances have affected the fair value of goodwill and indefinite-lived intangible assets: (1) negative trends in our market capitalization, (2) an increase in fuel prices, (3) declining per mile passenger yields, (4) lower passenger demand as a result of a weakened U.S. and global economy and (5) changes to the regulatory environment.</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Based upon our annual assessment, there were no impairments of our goodwill and no additional impairments of our indefinite-lived assets in 2018 other than the Brazil route authority described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Pensions and Retiree Medical and Other Postretirement Benefits</w:t>
      </w:r>
    </w:p>
    <w:p>
      <w:pPr>
        <w:spacing w:after="0" w:line="11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We recognize the funded status (i.e., the difference between the fair value of plan assets and the projected benefit obligations) of our pension and retiree medical and other postretirement benefits plans in the consolidated balance sheets with a corresponding adjustment to accumulated other comprehensive income (loss).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pension and retiree medical and other postretirement benefits costs and liabilities are calculated using various actuarial assumptions and methodologies. We use certain assumptions including, but not limited to, the selection of the: (1) discount rate, (2) expected return on plan assets, (3) expected health care cost trend rate and (4) estimated age of pilot retirement (as discussed below). These assumptions as of December 31 were: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Borders>
              <w:bottom w:val="single" w:sz="8" w:color="CCEEFF"/>
            </w:tcBorders>
            <w:gridSpan w:val="2"/>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r>
      <w:tr>
        <w:trPr>
          <w:trHeight w:val="256"/>
        </w:trPr>
        <w:tc>
          <w:tcPr>
            <w:tcW w:w="8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Pension weighted average discount rate </w:t>
            </w:r>
            <w:r>
              <w:rPr>
                <w:rFonts w:ascii="Arial" w:cs="Arial" w:eastAsia="Arial" w:hAnsi="Arial"/>
                <w:sz w:val="21"/>
                <w:szCs w:val="21"/>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70"/>
        </w:trPr>
        <w:tc>
          <w:tcPr>
            <w:tcW w:w="8920" w:type="dxa"/>
            <w:vAlign w:val="bottom"/>
            <w:gridSpan w:val="3"/>
          </w:tcPr>
          <w:p>
            <w:pPr>
              <w:ind w:left="40"/>
              <w:spacing w:after="0"/>
              <w:rPr>
                <w:sz w:val="20"/>
                <w:szCs w:val="20"/>
                <w:color w:val="auto"/>
              </w:rPr>
            </w:pPr>
            <w:r>
              <w:rPr>
                <w:rFonts w:ascii="Arial" w:cs="Arial" w:eastAsia="Arial" w:hAnsi="Arial"/>
                <w:sz w:val="18"/>
                <w:szCs w:val="18"/>
                <w:color w:val="auto"/>
              </w:rPr>
              <w:t xml:space="preserve">Retiree medical and other postretirement benefits weighted average discount rate </w:t>
            </w:r>
            <w:r>
              <w:rPr>
                <w:rFonts w:ascii="Arial" w:cs="Arial" w:eastAsia="Arial" w:hAnsi="Arial"/>
                <w:sz w:val="21"/>
                <w:szCs w:val="21"/>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0"/>
        </w:trPr>
        <w:tc>
          <w:tcPr>
            <w:tcW w:w="8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Expected rate of return on plan assets </w:t>
            </w:r>
            <w:r>
              <w:rPr>
                <w:rFonts w:ascii="Arial" w:cs="Arial" w:eastAsia="Arial" w:hAnsi="Arial"/>
                <w:sz w:val="21"/>
                <w:szCs w:val="21"/>
                <w:color w:val="auto"/>
                <w:vertAlign w:val="superscript"/>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70"/>
        </w:trPr>
        <w:tc>
          <w:tcPr>
            <w:tcW w:w="8920" w:type="dxa"/>
            <w:vAlign w:val="bottom"/>
            <w:gridSpan w:val="3"/>
          </w:tcPr>
          <w:p>
            <w:pPr>
              <w:ind w:left="40"/>
              <w:spacing w:after="0"/>
              <w:rPr>
                <w:sz w:val="20"/>
                <w:szCs w:val="20"/>
                <w:color w:val="auto"/>
              </w:rPr>
            </w:pPr>
            <w:r>
              <w:rPr>
                <w:rFonts w:ascii="Arial" w:cs="Arial" w:eastAsia="Arial" w:hAnsi="Arial"/>
                <w:sz w:val="18"/>
                <w:szCs w:val="18"/>
                <w:color w:val="auto"/>
              </w:rPr>
              <w:t xml:space="preserve">Weighted average health care cost trend rate assumed for next year </w:t>
            </w:r>
            <w:r>
              <w:rPr>
                <w:rFonts w:ascii="Arial" w:cs="Arial" w:eastAsia="Arial" w:hAnsi="Arial"/>
                <w:sz w:val="21"/>
                <w:szCs w:val="21"/>
                <w:color w:val="auto"/>
                <w:vertAlign w:val="superscript"/>
              </w:rPr>
              <w:t>(3)</w:t>
            </w: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8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Initial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63"/>
        </w:trPr>
        <w:tc>
          <w:tcPr>
            <w:tcW w:w="8920" w:type="dxa"/>
            <w:vAlign w:val="bottom"/>
            <w:gridSpan w:val="3"/>
          </w:tcPr>
          <w:p>
            <w:pPr>
              <w:ind w:left="280"/>
              <w:spacing w:after="0"/>
              <w:rPr>
                <w:sz w:val="20"/>
                <w:szCs w:val="20"/>
                <w:color w:val="auto"/>
              </w:rPr>
            </w:pPr>
            <w:r>
              <w:rPr>
                <w:rFonts w:ascii="Arial" w:cs="Arial" w:eastAsia="Arial" w:hAnsi="Arial"/>
                <w:sz w:val="18"/>
                <w:szCs w:val="18"/>
                <w:color w:val="auto"/>
              </w:rPr>
              <w:t>Ultimate (2026)</w:t>
            </w:r>
          </w:p>
        </w:tc>
        <w:tc>
          <w:tcPr>
            <w:tcW w:w="62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7"/>
        </w:trPr>
        <w:tc>
          <w:tcPr>
            <w:tcW w:w="8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Assumed Pilot Retirement Age</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62</w:t>
            </w:r>
          </w:p>
        </w:tc>
      </w:tr>
      <w:tr>
        <w:trPr>
          <w:trHeight w:val="257"/>
        </w:trPr>
        <w:tc>
          <w:tcPr>
            <w:tcW w:w="2120" w:type="dxa"/>
            <w:vAlign w:val="bottom"/>
            <w:tcBorders>
              <w:bottom w:val="single" w:sz="8" w:color="auto"/>
            </w:tcBorders>
          </w:tcPr>
          <w:p>
            <w:pPr>
              <w:spacing w:after="0"/>
              <w:rPr>
                <w:sz w:val="22"/>
                <w:szCs w:val="22"/>
                <w:color w:val="auto"/>
              </w:rPr>
            </w:pPr>
          </w:p>
        </w:tc>
        <w:tc>
          <w:tcPr>
            <w:tcW w:w="5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819" w:right="23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When establishing our discount rate to measure our obligations, we match high quality corporate bonds available in the marketplace whose cash flows approximate our projected benefit disbursements. Lowering the discount rate by 50 basis points as of December 31, 2018 would increase our pension and retiree medical and other postretirement benefits obligations by approximately $1.1 billion and $37 million, respectively, and increase both estimated 2019 pension expense and estimated 2019 retiree medical and other postretirement benefits expense by $2 million and less than $1 million, respectively.</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expected rate of return on plan assets is based upon an evaluation of our historical trends and experience, taking into account current and expected market conditions and our target asset allocation of 30% U.S. stocks, 22% developed international stocks, 20% fixed income securities, 20% alternative (private) investments and 8% emerging market stocks. The expected rate of return on plan assets component of our net periodic benefit cost is calculated based on the fair value of plan assets and our target asset allocation. Lowering the expected long-term rate of return on plan assets by 50 basis points as of December 31, 2018 would increase estimated 2019 pension expense and retiree medical and other postretirement benefits expense by approximately $51 million and $1 million, respectively.</w:t>
      </w:r>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74</w:t>
      </w:r>
    </w:p>
    <w:p>
      <w:pPr>
        <w:sectPr>
          <w:pgSz w:w="11900" w:h="16838" w:orient="portrait"/>
          <w:cols w:equalWidth="0" w:num="2">
            <w:col w:w="140" w:space="520"/>
            <w:col w:w="10760"/>
          </w:cols>
          <w:pgMar w:left="240" w:top="819" w:right="239" w:bottom="1440" w:gutter="0" w:footer="0" w:header="0"/>
          <w:type w:val="continuous"/>
        </w:sectPr>
      </w:pPr>
    </w:p>
    <w:bookmarkStart w:id="74" w:name="page75"/>
    <w:bookmarkEnd w:id="74"/>
    <w:p>
      <w:pPr>
        <w:jc w:val="both"/>
        <w:ind w:left="660" w:right="20" w:hanging="652"/>
        <w:spacing w:after="0" w:line="233" w:lineRule="auto"/>
        <w:tabs>
          <w:tab w:leader="none" w:pos="6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The assumed health care cost trend rate is based upon an evaluation of our historical trends and experience, taking into account current and expected market conditions. Increasing the assumed health care cost trend rate by 100 basis points would increase estimated 2019 retiree medical and other postretirement benefits expense by $6 million.</w:t>
      </w:r>
    </w:p>
    <w:p>
      <w:pPr>
        <w:spacing w:after="0" w:line="16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During 2018, we reviewed and revised certain economic and demographic assumptions including the pension and retiree medical and other postretirement benefits discount rates, retirement rates and health care cost and trend rates. The net effect of changing these assumptions for the pension plans resulted in a decrease of $1.8 billion in the projected benefit obligation at December 31, 2018. The net effect of changing these assumptions for retiree medical and other postretirement benefits plans resulted in a decrease of $126 million in the projected benefit obligation at December 31, 2018. We also revised our mortality assumptions to incorporate the new mortality improvement scale issued by the Society of Actuaries. This resulted in a decrease in the projected benefit obligations of our pension and retiree medical and other postretirement benefits plans of $58 million and $1 million, respectively.</w:t>
      </w:r>
    </w:p>
    <w:p>
      <w:pPr>
        <w:spacing w:after="0" w:line="15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10 to AAG’s Consolidated Financial Statements in Part II, Item 8A and Note 8 to American’s Consolidated Financial Statements in Part II, Item 8B for additional information regarding our employee benefit plans.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Standards Adopted in 2018</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January 1, 2018, we adopted the accounting pronouncements described below.</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2014-09: Revenue from Contracts with Customers (Topic 606) (the New Revenue Standard)</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New Revenue Standard applies to all companies that enter into contracts with customers to transfer goods or services. We adopted the New Revenue Standard using the full retrospective method, which resulted in the recast of prior reporting periods.</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adoption of the New Revenue Standard impacted our accounting for outstanding mileage credits earned through travel by AAdvantage loyalty program members. There was no change in accounting for sales of mileage credits to co-branded credit card or other partners. Prior to the adoption of the New Revenue Standard, we used the incremental cost method to account for the portion of our loyalty program liability related to mileage credits earned through travel, which were valued based on the estimated incremental cost of carrying one additional passenger. The New Revenue Standard required us to change our policy to the deferred revenue method and apply a relative selling price approach whereby a portion of each passenger ticket sale attributable to mileage credits earned is deferred and recognized in passenger revenue upon future mileage redemption. The value of the earned mileage credits is materially greater under the deferred revenue method than the value attributed to these mileage credits under the incremental cost method.</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New Revenue Standard also required certain reclassifications, principally the reclassification of certain ancillary revenues previously classified and reported as other revenue to passenger revenue and as applicable to cargo revenue. Additionally, the New Revenue Standard required a gross presentation on the face of our consolidated statements of operations for certain revenues and expenses that had previously been presented on a net basis.</w:t>
      </w:r>
    </w:p>
    <w:p>
      <w:pPr>
        <w:spacing w:after="0" w:line="132"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“Impacts to 2017 Results”</w:t>
      </w:r>
      <w:r>
        <w:rPr>
          <w:rFonts w:ascii="Arial" w:cs="Arial" w:eastAsia="Arial" w:hAnsi="Arial"/>
          <w:sz w:val="18"/>
          <w:szCs w:val="18"/>
          <w:color w:val="auto"/>
        </w:rPr>
        <w:t xml:space="preserve"> and </w:t>
      </w:r>
      <w:r>
        <w:rPr>
          <w:rFonts w:ascii="Arial" w:cs="Arial" w:eastAsia="Arial" w:hAnsi="Arial"/>
          <w:sz w:val="18"/>
          <w:szCs w:val="18"/>
          <w:i w:val="1"/>
          <w:iCs w:val="1"/>
          <w:color w:val="auto"/>
        </w:rPr>
        <w:t>“Impacts to 2016 Results”</w:t>
      </w:r>
      <w:r>
        <w:rPr>
          <w:rFonts w:ascii="Arial" w:cs="Arial" w:eastAsia="Arial" w:hAnsi="Arial"/>
          <w:sz w:val="18"/>
          <w:szCs w:val="18"/>
          <w:color w:val="auto"/>
        </w:rPr>
        <w:t xml:space="preserve"> below for the impact to our consolidated statements of operations data for 2017 and 2016, respectively, and our consolidated balance sheet as of December 31, 2017 related to the adoption of the New Revenue Standard.</w:t>
      </w:r>
    </w:p>
    <w:p>
      <w:pPr>
        <w:spacing w:after="0" w:line="199"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ASU 2017-07: Compensation - Retirement Benefits (Topic 715): Improving the Presentation of Net Periodic Pension Cost and Net Periodic Postretirement Benefit Cost (the New Retirement Standard)</w:t>
      </w:r>
    </w:p>
    <w:p>
      <w:pPr>
        <w:spacing w:after="0" w:line="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New Retirement Standard required all components of our net periodic benefit cost (income), with the exception of service cost, previously reported within operating expenses as salaries, wages and benefits, to be reclassified and reported within nonoperating income (expense). The New Retirement Standard was applied retrospectively, which resulted in the recast of each prior reporting period presented. The adoption of the New Retirement Standard had no impact on pre-tax income or net income reported.</w:t>
      </w:r>
    </w:p>
    <w:p>
      <w:pPr>
        <w:spacing w:after="0" w:line="132"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“Impacts to 2017 Results”</w:t>
      </w:r>
      <w:r>
        <w:rPr>
          <w:rFonts w:ascii="Arial" w:cs="Arial" w:eastAsia="Arial" w:hAnsi="Arial"/>
          <w:sz w:val="18"/>
          <w:szCs w:val="18"/>
          <w:color w:val="auto"/>
        </w:rPr>
        <w:t xml:space="preserve"> and </w:t>
      </w:r>
      <w:r>
        <w:rPr>
          <w:rFonts w:ascii="Arial" w:cs="Arial" w:eastAsia="Arial" w:hAnsi="Arial"/>
          <w:sz w:val="18"/>
          <w:szCs w:val="18"/>
          <w:i w:val="1"/>
          <w:iCs w:val="1"/>
          <w:color w:val="auto"/>
        </w:rPr>
        <w:t>“Impacts to 2016 Results”</w:t>
      </w:r>
      <w:r>
        <w:rPr>
          <w:rFonts w:ascii="Arial" w:cs="Arial" w:eastAsia="Arial" w:hAnsi="Arial"/>
          <w:sz w:val="18"/>
          <w:szCs w:val="18"/>
          <w:color w:val="auto"/>
        </w:rPr>
        <w:t xml:space="preserve"> below for the impact to our consolidated statements of operations data for 2017 and 2016, respectively, related to the adoption of the New Retirement Standard.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60" w:right="239" w:bottom="1440" w:gutter="0" w:footer="0" w:header="0"/>
        </w:sectPr>
      </w:pPr>
    </w:p>
    <w:bookmarkStart w:id="75" w:name="page76"/>
    <w:bookmarkEnd w:id="75"/>
    <w:p>
      <w:pPr>
        <w:ind w:left="220"/>
        <w:spacing w:after="0"/>
        <w:rPr>
          <w:sz w:val="20"/>
          <w:szCs w:val="20"/>
          <w:color w:val="auto"/>
        </w:rPr>
      </w:pPr>
      <w:r>
        <w:rPr>
          <w:rFonts w:ascii="Arial" w:cs="Arial" w:eastAsia="Arial" w:hAnsi="Arial"/>
          <w:sz w:val="18"/>
          <w:szCs w:val="18"/>
          <w:b w:val="1"/>
          <w:bCs w:val="1"/>
          <w:i w:val="1"/>
          <w:iCs w:val="1"/>
          <w:color w:val="auto"/>
        </w:rPr>
        <w:t>ASU 2016-02: Leases (Topic 842) (the New Lease Standard)</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New Lease Standard requires lessees to recognize a lease liability and a right-of-use (ROU) asset on the balance sheet for operating leases. Accounting for finance leases is substantially unchanged. The New Lease Standard is effective for fiscal years beginning after December 15, 2018, including interim periods within those fiscal years. Early adoption is permitted.</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fourth quarter of 2018, we elected to early adopt the New Lease Standard as of January 1, 2018 using a modified retrospective transition, with the cumulative-effect adjustment to the opening balance of retained earnings as of the effective date (the effective date method). Under the effective date method, financial results reported in periods prior to 2018 are unchanged. We also elected the package of practical expedients, which among other things, does not require reassessment of lease classification.</w:t>
      </w:r>
    </w:p>
    <w:p>
      <w:pPr>
        <w:spacing w:after="0" w:line="150"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adoption of the New Lease Standard had a significant impact on our consolidated balance sheet due to the recognition of approximately $10 billion of lease liabilities with corresponding right-of-use assets for operating leases.</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Additionally, we recognized a $ 197 million cumulative effect adjustment credit, net of tax, to retained earnings. The adjustment to retained earnings was driven principally by sale-leaseback transactions including the recognition of unamortized deferred aircraft sale-leaseback gains. Prior to the adoption of the New Lease Standard, gains on sale-leaseback transactions were generally deferred and recognized in the income statement over the lease term. Under the New Lease Standard, gains on sale-leaseback transactions (subject to adjustment for off-market terms) are recognized immediately.</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Finally, our 2018 pre-tax income decreased by $16 million as a result of adoption of the New Lease Standard.</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2016-01: Financial Instruments - Overall (Subtopic 825-10)</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This ASU made several modifications to Subtopic 825-10, including the elimination of the available-for-sale classification of equity investments, and it required equity investments with readily determinable fair values to be measured at fair value with changes in fair value recognized in net income. This standard was adopted prospectively as of January 1, 2018 and resulted in a $60 million cumulative effect adjustment credit to retained earnings, net of tax, related to our investment in China Southern Airlines, which was previously accounted for under the cost method.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2016-18: Statement of Cash Flows (Topic 230): Restricted Cash</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This ASU required that the change in the total cash balance, cash at the beginning of the period and cash at the end of the period on the statement of cash flows include restricted cash, and also required companies that report cash and restricted cash separately on the balance sheet to reconcile those amounts to the statement of cash flows. This standard was applied retrospectively, which resulted in the recast of prior reporting periods in the statement of cash flows. For the years ended December 31, 2018, 2017 and 2016, $11 million, $ 103 million and $113 million, respectively, of restricted cash is included in the total cash and restricted cash balance at the end of the period. A reconciliation of cash and restricted cash reported on our consolidated statements of cash flows to the amounts reported on our consolidated balance sheets is provided in a table below the Consolidated Statements of Cash Flows in Part II, Item 8A - AAG’s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19" w:right="239" w:bottom="1440" w:gutter="0" w:footer="0" w:header="0"/>
        </w:sectPr>
      </w:pPr>
    </w:p>
    <w:bookmarkStart w:id="76" w:name="page77"/>
    <w:bookmarkEnd w:id="76"/>
    <w:p>
      <w:pPr>
        <w:ind w:left="220"/>
        <w:spacing w:after="0"/>
        <w:rPr>
          <w:sz w:val="20"/>
          <w:szCs w:val="20"/>
          <w:color w:val="auto"/>
        </w:rPr>
      </w:pPr>
      <w:r>
        <w:rPr>
          <w:rFonts w:ascii="Arial" w:cs="Arial" w:eastAsia="Arial" w:hAnsi="Arial"/>
          <w:sz w:val="18"/>
          <w:szCs w:val="18"/>
          <w:b w:val="1"/>
          <w:bCs w:val="1"/>
          <w:i w:val="1"/>
          <w:iCs w:val="1"/>
          <w:color w:val="auto"/>
        </w:rPr>
        <w:t>Impacts to 2017 Results</w:t>
      </w:r>
    </w:p>
    <w:p>
      <w:pPr>
        <w:spacing w:after="0" w:line="112"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The effects of the adoption of the New Revenue Standard and New Retirement Standard to our consolidated statement of operations for the twelve months ended December 31, 2017 were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New Retirement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New Revenue Standard</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Standard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Ancillary Revenue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Versus Net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 Method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Presentation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As Recast</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36,133</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39,131</w:t>
            </w:r>
          </w:p>
        </w:tc>
        <w:tc>
          <w:tcPr>
            <w:tcW w:w="0" w:type="dxa"/>
            <w:vAlign w:val="bottom"/>
          </w:tcPr>
          <w:p>
            <w:pPr>
              <w:spacing w:after="0"/>
              <w:rPr>
                <w:sz w:val="1"/>
                <w:szCs w:val="1"/>
                <w:color w:val="auto"/>
              </w:rPr>
            </w:pPr>
          </w:p>
        </w:tc>
      </w:tr>
      <w:tr>
        <w:trPr>
          <w:trHeight w:val="27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5,274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42,207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42,622</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38,149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38,391</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29"/>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Total nonoperating expense,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70"/>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Income tax provision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44"/>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1,919</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 earnings per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40" w:type="dxa"/>
            <w:vAlign w:val="bottom"/>
            <w:gridSpan w:val="2"/>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2"/>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common share</w:t>
            </w: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jc w:val="both"/>
        <w:ind w:left="340" w:hanging="332"/>
        <w:spacing w:after="0" w:line="233" w:lineRule="auto"/>
        <w:tabs>
          <w:tab w:leader="none" w:pos="34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The adjustment to the 2017 income tax provision includes an $823 million special charge to reduce our deferred tax asset associated with loyalty program liabilities as a result of the 2017 Tax Act enacted in December 2017 that reduced the federal corporate income tax rate from 35% to 21%.</w:t>
      </w:r>
    </w:p>
    <w:p>
      <w:pPr>
        <w:spacing w:after="0" w:line="163"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effects of the adoption of the New Revenue Standard to our December 31, 2017 consolidated balance sheet were as follows (in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New Revenue Standard</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As Recast</w:t>
            </w:r>
          </w:p>
        </w:tc>
      </w:tr>
      <w:tr>
        <w:trPr>
          <w:trHeight w:val="256"/>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r>
      <w:tr>
        <w:trPr>
          <w:trHeight w:val="263"/>
        </w:trPr>
        <w:tc>
          <w:tcPr>
            <w:tcW w:w="4200" w:type="dxa"/>
            <w:vAlign w:val="bottom"/>
          </w:tcPr>
          <w:p>
            <w:pPr>
              <w:ind w:left="40"/>
              <w:spacing w:after="0"/>
              <w:rPr>
                <w:sz w:val="20"/>
                <w:szCs w:val="20"/>
                <w:color w:val="auto"/>
              </w:rPr>
            </w:pPr>
            <w:r>
              <w:rPr>
                <w:rFonts w:ascii="Arial" w:cs="Arial" w:eastAsia="Arial" w:hAnsi="Arial"/>
                <w:sz w:val="18"/>
                <w:szCs w:val="18"/>
                <w:color w:val="auto"/>
              </w:rPr>
              <w:t>Air traffic liability</w:t>
            </w:r>
          </w:p>
        </w:tc>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4,042</w:t>
            </w:r>
          </w:p>
        </w:tc>
      </w:tr>
      <w:tr>
        <w:trPr>
          <w:trHeight w:val="277"/>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loyalty program liability</w:t>
            </w:r>
          </w:p>
        </w:tc>
        <w:tc>
          <w:tcPr>
            <w:tcW w:w="1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3,121</w:t>
            </w:r>
          </w:p>
        </w:tc>
      </w:tr>
      <w:tr>
        <w:trPr>
          <w:trHeight w:val="263"/>
        </w:trPr>
        <w:tc>
          <w:tcPr>
            <w:tcW w:w="4200" w:type="dxa"/>
            <w:vAlign w:val="bottom"/>
          </w:tcPr>
          <w:p>
            <w:pPr>
              <w:ind w:left="40"/>
              <w:spacing w:after="0"/>
              <w:rPr>
                <w:sz w:val="20"/>
                <w:szCs w:val="20"/>
                <w:color w:val="auto"/>
              </w:rPr>
            </w:pPr>
            <w:r>
              <w:rPr>
                <w:rFonts w:ascii="Arial" w:cs="Arial" w:eastAsia="Arial" w:hAnsi="Arial"/>
                <w:sz w:val="18"/>
                <w:szCs w:val="18"/>
                <w:color w:val="auto"/>
              </w:rPr>
              <w:t>Noncurrent loyalty program liability</w:t>
            </w:r>
          </w:p>
        </w:tc>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5,701</w:t>
            </w:r>
          </w:p>
        </w:tc>
      </w:tr>
      <w:tr>
        <w:trPr>
          <w:trHeight w:val="277"/>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1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621"/>
        </w:trPr>
        <w:tc>
          <w:tcPr>
            <w:tcW w:w="4200" w:type="dxa"/>
            <w:vAlign w:val="bottom"/>
          </w:tcPr>
          <w:p>
            <w:pPr>
              <w:spacing w:after="0"/>
              <w:rPr>
                <w:sz w:val="24"/>
                <w:szCs w:val="24"/>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77" w:name="page78"/>
    <w:bookmarkEnd w:id="77"/>
    <w:p>
      <w:pPr>
        <w:ind w:left="220"/>
        <w:spacing w:after="0"/>
        <w:rPr>
          <w:sz w:val="20"/>
          <w:szCs w:val="20"/>
          <w:color w:val="auto"/>
        </w:rPr>
      </w:pPr>
      <w:r>
        <w:rPr>
          <w:rFonts w:ascii="Arial" w:cs="Arial" w:eastAsia="Arial" w:hAnsi="Arial"/>
          <w:sz w:val="18"/>
          <w:szCs w:val="18"/>
          <w:b w:val="1"/>
          <w:bCs w:val="1"/>
          <w:i w:val="1"/>
          <w:iCs w:val="1"/>
          <w:color w:val="auto"/>
        </w:rPr>
        <w:t>Impacts to 2016 Results</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effects of the adoption of the New Revenue Standard and New Retirement Standard to our consolidated statement of operations for the twelve months ended December 31, 2016 were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New Retirement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New Revenue Standard</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Standard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Ancillary Revenue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Versus Net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 Method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Presentation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As Recast</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34,579</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37,045</w:t>
            </w:r>
          </w:p>
        </w:tc>
        <w:tc>
          <w:tcPr>
            <w:tcW w:w="0" w:type="dxa"/>
            <w:vAlign w:val="bottom"/>
          </w:tcPr>
          <w:p>
            <w:pPr>
              <w:spacing w:after="0"/>
              <w:rPr>
                <w:sz w:val="1"/>
                <w:szCs w:val="1"/>
                <w:color w:val="auto"/>
              </w:rPr>
            </w:pPr>
          </w:p>
        </w:tc>
      </w:tr>
      <w:tr>
        <w:trPr>
          <w:trHeight w:val="27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40,180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40,142</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34,896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35,082</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5,284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29"/>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Total nonoperating expense,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50"/>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2,676</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 earnings per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40" w:type="dxa"/>
            <w:vAlign w:val="bottom"/>
            <w:gridSpan w:val="2"/>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2"/>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common share</w:t>
            </w: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Standards Effective for 2019 Reporting Periods</w:t>
      </w:r>
    </w:p>
    <w:p>
      <w:pPr>
        <w:spacing w:after="0" w:line="86"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This ASU provides financial statement preparers with an option to reclassify stranded tax effects within accumulated other comprehensive income to retained earnings due to the U.S. federal corporate income tax rate change as a result of the 2017 Tax Act. The amount of the reclassification is the difference between the amount initially charged or credited directly to other comprehensive income at the previously enacted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and early adoption is permitted. We will adopt this standard effective January 1, 2019. The adoption of the standard may impact tax amounts stranded in accumulated other comprehensive income related to our pension and retiree medical and other postretirement benefit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risk inherent in our market risk sensitive instruments and positions is the potential loss arising from adverse changes in the price of fuel, foreign currency exchange rates and interest rates as discussed below. The sensitivity analyses presented do not consider the effects that such adverse changes may have on overall economic activity, nor do they consider additional actions we may take to mitigate our exposure to such changes. Therefore, actual results may differ. See Note 8 to AAG’s Consolidated Financial Statements in Part II, Item 8A and Note 6 to American’s Consolidated Financial Statements in Part II, Item 8B for additional discussion regarding risk management matters.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Because of the amount of fuel needed to operate our airlines, even a relatively small increase or decrease in the price of fuel can have a material effect on our costs and liquidity. Market prices for jet fuel have fluctuated substantially over the past several years with market spot prices ranging from a low of approximately $0.80 per gallon to a high of approximately $2.35 per gallon during the period from January 1, 2016 to December 31, 2018.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38" w:right="239" w:bottom="1440" w:gutter="0" w:footer="0" w:header="0"/>
        </w:sectPr>
      </w:pPr>
    </w:p>
    <w:bookmarkStart w:id="78" w:name="page79"/>
    <w:bookmarkEnd w:id="78"/>
    <w:p>
      <w:pPr>
        <w:jc w:val="both"/>
        <w:ind w:firstLine="216"/>
        <w:spacing w:after="0" w:line="253" w:lineRule="auto"/>
        <w:rPr>
          <w:sz w:val="20"/>
          <w:szCs w:val="20"/>
          <w:color w:val="auto"/>
        </w:rPr>
      </w:pPr>
      <w:r>
        <w:rPr>
          <w:rFonts w:ascii="Arial" w:cs="Arial" w:eastAsia="Arial" w:hAnsi="Arial"/>
          <w:sz w:val="18"/>
          <w:szCs w:val="18"/>
          <w:color w:val="auto"/>
        </w:rPr>
        <w:t>As of December 31, 2018,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Based on our 2019 forecasted fuel consumption, we estimate that a one cent per gallon increase in aviation fuel price would increase our 2019 annual fuel expense by $45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 A uniform 10% strengthening in the value of the U.S. dollar from 2018 levels relative to each of the currencies in which we have foreign currency exposure would have resulted in a decrease in operating income of approximately $200 million for the year ended December 31, 2018.</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 rate debt instruments and our interest income from short-term, interest bearing investments.</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largest exposure with respect to variable rate debt comes from changes in LIBOR. We had variable rate debt instruments representing approximately 40% of our total long-term debt at December 31, 2018. We currently do not have an interest rate hedge program. If annual interest rates increase 100 basis points, based on our December 31, 2018 variable-rate debt and short-term investments balances, annual interest expense on variable rate debt would increase by approximately $100 million and annual interest income on short-term investments would increase by approximately $50 million. Additionally, the fair value of fixed-rate debt would have decreased by approximately $565 million for AAG and $550 million for American.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6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8A. CONSOLIDATED FINANCIAL STATEMENTS AND SUPPLEMENTARY DATA OF AMERICAN AIRLINES GROUP INC.</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audited the accompanying consolidated balance sheets of American Airlines Group Inc. and subsidiaries (the Company) as of December 31, 2018 and 2017, the related consolidated statements of operations, comprehensive income, cash flows, and stockholders’ equity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in conformity with U.S. generally accepted accounting principles.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25,</w:t>
      </w:r>
      <w:r>
        <w:rPr>
          <w:rFonts w:ascii="Arial" w:cs="Arial" w:eastAsia="Arial" w:hAnsi="Arial"/>
          <w:sz w:val="18"/>
          <w:szCs w:val="18"/>
          <w:i w:val="1"/>
          <w:iCs w:val="1"/>
          <w:color w:val="auto"/>
        </w:rPr>
        <w:t xml:space="preserve"> </w:t>
      </w:r>
      <w:r>
        <w:rPr>
          <w:rFonts w:ascii="Arial" w:cs="Arial" w:eastAsia="Arial" w:hAnsi="Arial"/>
          <w:sz w:val="18"/>
          <w:szCs w:val="18"/>
          <w:color w:val="auto"/>
        </w:rPr>
        <w:t>2019 expressed an unqualified opinion on the effectiveness of the Company’s internal control over financial reporting.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revenue from contracts with customers and leases in 2018 due to the full retrospective adoption of Accounting Standards Update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as amended, and the modified retrospective adoption of ASU 2016-02,</w:t>
      </w:r>
      <w:r>
        <w:rPr>
          <w:rFonts w:ascii="Arial" w:cs="Arial" w:eastAsia="Arial" w:hAnsi="Arial"/>
          <w:sz w:val="18"/>
          <w:szCs w:val="18"/>
          <w:i w:val="1"/>
          <w:iCs w:val="1"/>
          <w:color w:val="auto"/>
        </w:rPr>
        <w:t xml:space="preserve"> Leases (Topic 842)</w:t>
      </w:r>
      <w:r>
        <w:rPr>
          <w:rFonts w:ascii="Arial" w:cs="Arial" w:eastAsia="Arial" w:hAnsi="Arial"/>
          <w:sz w:val="18"/>
          <w:szCs w:val="18"/>
          <w:color w:val="auto"/>
        </w:rPr>
        <w:t>,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29"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76"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40,676</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39,131</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37,045</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r>
      <w:tr>
        <w:trPr>
          <w:trHeight w:val="26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2,852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2,312</w:t>
            </w:r>
          </w:p>
        </w:tc>
      </w:tr>
      <w:tr>
        <w:trPr>
          <w:trHeight w:val="257"/>
        </w:trPr>
        <w:tc>
          <w:tcPr>
            <w:tcW w:w="6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revenues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44,541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42,622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40,142</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8,053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6,128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5,071</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Salaries, wages and benefits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12,251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11,954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10,967</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expenses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7,133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6,044</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Maintenance, materials and repairs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1,834</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rent and landing fees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1,772</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Aircraft rent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1,203</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expenses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1,323</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1,525</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items, net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r>
      <w:tr>
        <w:trPr>
          <w:trHeight w:val="26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5,088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4,910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4,634</w:t>
            </w:r>
          </w:p>
        </w:tc>
      </w:tr>
      <w:tr>
        <w:trPr>
          <w:trHeight w:val="257"/>
        </w:trPr>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41,885</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38,391</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35,082</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5,060</w:t>
            </w:r>
          </w:p>
        </w:tc>
      </w:tr>
      <w:tr>
        <w:trPr>
          <w:trHeight w:val="25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6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r>
      <w:tr>
        <w:trPr>
          <w:trHeight w:val="257"/>
        </w:trPr>
        <w:tc>
          <w:tcPr>
            <w:tcW w:w="6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nonoperating expense, net</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4,152</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2,113</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1,568</w:t>
            </w:r>
          </w:p>
        </w:tc>
      </w:tr>
      <w:tr>
        <w:trPr>
          <w:trHeight w:val="28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1,412</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2,584</w:t>
            </w:r>
          </w:p>
        </w:tc>
      </w:tr>
      <w:tr>
        <w:trPr>
          <w:trHeight w:val="311"/>
        </w:trPr>
        <w:tc>
          <w:tcPr>
            <w:tcW w:w="638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4.65</w:t>
            </w:r>
          </w:p>
        </w:tc>
      </w:tr>
      <w:tr>
        <w:trPr>
          <w:trHeight w:val="25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464,236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489,164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552,308</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465,660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491,692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556,099</w:t>
            </w: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0.40</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76"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6"/>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1,412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2,584</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retiree medical and other postretirement benefits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64"/>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Investments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r>
      <w:tr>
        <w:trPr>
          <w:trHeight w:val="257"/>
        </w:trPr>
        <w:tc>
          <w:tcPr>
            <w:tcW w:w="66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other comprehensive loss, net of tax</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44"/>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9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1,292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2,233</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76"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4,485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4,771</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Restricted cash and short-term investments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Accounts receivable, net</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1,706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Aircraft fuel, spare parts and supplies, net</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Prepaid expenses and other</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60"/>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36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8,637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9,146</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Operating property and equipment</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Flight equipment</w:t>
            </w:r>
          </w:p>
        </w:tc>
        <w:tc>
          <w:tcPr>
            <w:tcW w:w="36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41,499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40,318</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Ground property and equipment</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8,764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8,267</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Equipment purchase deposits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8120" w:type="dxa"/>
            <w:vAlign w:val="bottom"/>
          </w:tcPr>
          <w:p>
            <w:pPr>
              <w:ind w:left="500"/>
              <w:spacing w:after="0"/>
              <w:rPr>
                <w:sz w:val="20"/>
                <w:szCs w:val="20"/>
                <w:color w:val="auto"/>
              </w:rPr>
            </w:pPr>
            <w:r>
              <w:rPr>
                <w:rFonts w:ascii="Arial" w:cs="Arial" w:eastAsia="Arial" w:hAnsi="Arial"/>
                <w:sz w:val="14"/>
                <w:szCs w:val="14"/>
                <w:color w:val="auto"/>
              </w:rPr>
              <w:t>Total property and equipment, at cost</w:t>
            </w:r>
          </w:p>
        </w:tc>
        <w:tc>
          <w:tcPr>
            <w:tcW w:w="36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51,541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49,802</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accumulated depreciation and amortization</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(17,443)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(15,646)</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8120" w:type="dxa"/>
            <w:vAlign w:val="bottom"/>
          </w:tcPr>
          <w:p>
            <w:pPr>
              <w:ind w:left="500"/>
              <w:spacing w:after="0"/>
              <w:rPr>
                <w:sz w:val="20"/>
                <w:szCs w:val="20"/>
                <w:color w:val="auto"/>
              </w:rPr>
            </w:pPr>
            <w:r>
              <w:rPr>
                <w:rFonts w:ascii="Arial" w:cs="Arial" w:eastAsia="Arial" w:hAnsi="Arial"/>
                <w:sz w:val="14"/>
                <w:szCs w:val="14"/>
                <w:color w:val="auto"/>
              </w:rPr>
              <w:t>Total property and equipment, net</w:t>
            </w:r>
          </w:p>
        </w:tc>
        <w:tc>
          <w:tcPr>
            <w:tcW w:w="36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34,098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34,156</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lease right-of-use assets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9,151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Other assets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w:t>
            </w:r>
          </w:p>
        </w:tc>
        <w:tc>
          <w:tcPr>
            <w:tcW w:w="36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4,091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Intangibles, net of accumulated amortization of $663 and $622, respectively</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2,137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1,816</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1,321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60"/>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other assets</w:t>
            </w:r>
          </w:p>
        </w:tc>
        <w:tc>
          <w:tcPr>
            <w:tcW w:w="36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8,694</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9,483</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Pr>
          <w:p>
            <w:pPr>
              <w:ind w:left="720"/>
              <w:spacing w:after="0"/>
              <w:rPr>
                <w:sz w:val="20"/>
                <w:szCs w:val="20"/>
                <w:color w:val="auto"/>
              </w:rPr>
            </w:pPr>
            <w:r>
              <w:rPr>
                <w:rFonts w:ascii="Arial" w:cs="Arial" w:eastAsia="Arial" w:hAnsi="Arial"/>
                <w:sz w:val="14"/>
                <w:szCs w:val="14"/>
                <w:b w:val="1"/>
                <w:bCs w:val="1"/>
                <w:color w:val="auto"/>
              </w:rPr>
              <w:t>Total assets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60,580</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52,785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 (DEFICIT)</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Current maturities of long-term debt and finance leases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3,294</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2,554</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1,773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salaries and wages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Air traffic liability</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4,339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4,042</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Loyalty program liability</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3,267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3,121</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Operating lease liabilities</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accrued liabilities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2,281</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812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36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18,096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15,358</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Long-term debt and finance leases, net of current maturities</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21,179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22,511</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Pension and postretirement benefits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7,497</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Loyalty program liability</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5,272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5,701</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7,902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Other liabilities</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1,393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2,498</w:t>
            </w:r>
          </w:p>
        </w:tc>
        <w:tc>
          <w:tcPr>
            <w:tcW w:w="0" w:type="dxa"/>
            <w:vAlign w:val="bottom"/>
          </w:tcPr>
          <w:p>
            <w:pPr>
              <w:spacing w:after="0"/>
              <w:rPr>
                <w:sz w:val="1"/>
                <w:szCs w:val="1"/>
                <w:color w:val="auto"/>
              </w:rPr>
            </w:pPr>
          </w:p>
        </w:tc>
      </w:tr>
      <w:tr>
        <w:trPr>
          <w:trHeight w:val="60"/>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noncurrent liabilities</w:t>
            </w:r>
          </w:p>
        </w:tc>
        <w:tc>
          <w:tcPr>
            <w:tcW w:w="36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42,653</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38,207</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Commitments and contingencies (Note 12)</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 (deficit)</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8120" w:type="dxa"/>
            <w:vAlign w:val="bottom"/>
          </w:tcPr>
          <w:p>
            <w:pPr>
              <w:ind w:left="280"/>
              <w:spacing w:after="0"/>
              <w:rPr>
                <w:sz w:val="20"/>
                <w:szCs w:val="20"/>
                <w:color w:val="auto"/>
              </w:rPr>
            </w:pPr>
            <w:r>
              <w:rPr>
                <w:rFonts w:ascii="Arial" w:cs="Arial" w:eastAsia="Arial" w:hAnsi="Arial"/>
                <w:sz w:val="14"/>
                <w:szCs w:val="14"/>
                <w:color w:val="auto"/>
              </w:rPr>
              <w:t>Common stock, $0.01 par value; 1,750,000,000 shares authorized, 460,610,870 shares issued and outstanding at</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120" w:type="dxa"/>
            <w:vAlign w:val="bottom"/>
          </w:tcPr>
          <w:p>
            <w:pPr>
              <w:ind w:left="280"/>
              <w:spacing w:after="0"/>
              <w:rPr>
                <w:sz w:val="20"/>
                <w:szCs w:val="20"/>
                <w:color w:val="auto"/>
              </w:rPr>
            </w:pPr>
            <w:r>
              <w:rPr>
                <w:rFonts w:ascii="Arial" w:cs="Arial" w:eastAsia="Arial" w:hAnsi="Arial"/>
                <w:sz w:val="14"/>
                <w:szCs w:val="14"/>
                <w:color w:val="auto"/>
              </w:rPr>
              <w:t>December 31, 2018; 475,507,887 shares issued and outstanding at December 31, 2017</w:t>
            </w:r>
          </w:p>
        </w:tc>
        <w:tc>
          <w:tcPr>
            <w:tcW w:w="3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4,964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5,714</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Pr>
          <w:p>
            <w:pPr>
              <w:spacing w:after="0"/>
              <w:rPr>
                <w:sz w:val="17"/>
                <w:szCs w:val="1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(5,274)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(5,154)</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Retained earnings (deficit)</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8120" w:type="dxa"/>
            <w:vAlign w:val="bottom"/>
          </w:tcPr>
          <w:p>
            <w:pPr>
              <w:ind w:left="500"/>
              <w:spacing w:after="0"/>
              <w:rPr>
                <w:sz w:val="20"/>
                <w:szCs w:val="20"/>
                <w:color w:val="auto"/>
              </w:rPr>
            </w:pPr>
            <w:r>
              <w:rPr>
                <w:rFonts w:ascii="Arial" w:cs="Arial" w:eastAsia="Arial" w:hAnsi="Arial"/>
                <w:sz w:val="14"/>
                <w:szCs w:val="14"/>
                <w:color w:val="auto"/>
              </w:rPr>
              <w:t>Total stockholders' deficit</w:t>
            </w:r>
          </w:p>
        </w:tc>
        <w:tc>
          <w:tcPr>
            <w:tcW w:w="360" w:type="dxa"/>
            <w:vAlign w:val="bottom"/>
          </w:tcPr>
          <w:p>
            <w:pPr>
              <w:spacing w:after="0"/>
              <w:rPr>
                <w:sz w:val="16"/>
                <w:szCs w:val="16"/>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60"/>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b w:val="1"/>
                <w:bCs w:val="1"/>
                <w:color w:val="auto"/>
              </w:rPr>
              <w:t>Total liabilities and stockholders’ equity (deficit)</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60,580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52,785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576" w:right="239" w:bottom="233"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576" w:right="239" w:bottom="233"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4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20" w:type="dxa"/>
            <w:vAlign w:val="bottom"/>
            <w:shd w:val="clear" w:color="auto" w:fill="CCEEFF"/>
          </w:tcPr>
          <w:p>
            <w:pPr>
              <w:spacing w:after="0"/>
              <w:rPr>
                <w:sz w:val="6"/>
                <w:szCs w:val="6"/>
                <w:color w:val="auto"/>
              </w:rPr>
            </w:pPr>
          </w:p>
        </w:tc>
        <w:tc>
          <w:tcPr>
            <w:tcW w:w="46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17"/>
                <w:szCs w:val="17"/>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1,282</w:t>
            </w:r>
          </w:p>
        </w:tc>
        <w:tc>
          <w:tcPr>
            <w:tcW w:w="100" w:type="dxa"/>
            <w:vAlign w:val="bottom"/>
          </w:tcPr>
          <w:p>
            <w:pPr>
              <w:spacing w:after="0"/>
              <w:rPr>
                <w:sz w:val="17"/>
                <w:szCs w:val="17"/>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2,159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Debt discount and lease amortization</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Special items, non-cash</w:t>
            </w: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Pension and postretirement</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Deferred income tax provision</w:t>
            </w: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2,089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Share-based compensation</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Changes in operating assets and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380"/>
              <w:spacing w:after="0"/>
              <w:rPr>
                <w:sz w:val="20"/>
                <w:szCs w:val="20"/>
                <w:color w:val="auto"/>
              </w:rPr>
            </w:pPr>
            <w:r>
              <w:rPr>
                <w:rFonts w:ascii="Arial" w:cs="Arial" w:eastAsia="Arial" w:hAnsi="Arial"/>
                <w:sz w:val="14"/>
                <w:szCs w:val="14"/>
                <w:color w:val="auto"/>
              </w:rPr>
              <w:t>Decrease (increase) in accounts receivable</w:t>
            </w: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Increase in other assets</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380"/>
              <w:spacing w:after="0"/>
              <w:rPr>
                <w:sz w:val="20"/>
                <w:szCs w:val="20"/>
                <w:color w:val="auto"/>
              </w:rPr>
            </w:pPr>
            <w:r>
              <w:rPr>
                <w:rFonts w:ascii="Arial" w:cs="Arial" w:eastAsia="Arial" w:hAnsi="Arial"/>
                <w:sz w:val="14"/>
                <w:szCs w:val="14"/>
                <w:color w:val="auto"/>
              </w:rPr>
              <w:t>Increase (decrease) in accounts payable and accrued liabilities</w:t>
            </w: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Increase in air traffic liability</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380"/>
              <w:spacing w:after="0"/>
              <w:rPr>
                <w:sz w:val="20"/>
                <w:szCs w:val="20"/>
                <w:color w:val="auto"/>
              </w:rPr>
            </w:pPr>
            <w:r>
              <w:rPr>
                <w:rFonts w:ascii="Arial" w:cs="Arial" w:eastAsia="Arial" w:hAnsi="Arial"/>
                <w:sz w:val="14"/>
                <w:szCs w:val="14"/>
                <w:color w:val="auto"/>
              </w:rPr>
              <w:t>Increase (decrease) in loyalty program liability</w:t>
            </w: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Contributions to pension plans</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380"/>
              <w:spacing w:after="0"/>
              <w:rPr>
                <w:sz w:val="20"/>
                <w:szCs w:val="20"/>
                <w:color w:val="auto"/>
              </w:rPr>
            </w:pPr>
            <w:r>
              <w:rPr>
                <w:rFonts w:ascii="Arial" w:cs="Arial" w:eastAsia="Arial" w:hAnsi="Arial"/>
                <w:sz w:val="14"/>
                <w:szCs w:val="14"/>
                <w:color w:val="auto"/>
              </w:rPr>
              <w:t>Increase (decrease) in other liabilities</w:t>
            </w: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60"/>
        </w:trPr>
        <w:tc>
          <w:tcPr>
            <w:tcW w:w="2120" w:type="dxa"/>
            <w:vAlign w:val="bottom"/>
            <w:tcBorders>
              <w:bottom w:val="single" w:sz="8" w:color="CCEEFF"/>
            </w:tcBorders>
          </w:tcPr>
          <w:p>
            <w:pPr>
              <w:spacing w:after="0"/>
              <w:rPr>
                <w:sz w:val="5"/>
                <w:szCs w:val="5"/>
                <w:color w:val="auto"/>
              </w:rPr>
            </w:pPr>
          </w:p>
        </w:tc>
        <w:tc>
          <w:tcPr>
            <w:tcW w:w="46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67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4,744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6,524</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Capital expenditures and aircraft purchase deposits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(5,731)</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Proceeds from sale of property and equipment and sale-leaseback transactions</w:t>
            </w: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1,207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Purchases of short-term investments</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(6,241)</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Sales of short-term investments</w:t>
            </w: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3,705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5,915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6,092</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sale of investments</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Decrease in restricted short-term investments</w:t>
            </w: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Purchase of equity investment</w:t>
            </w:r>
          </w:p>
        </w:tc>
        <w:tc>
          <w:tcPr>
            <w:tcW w:w="36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Other investing activities</w:t>
            </w: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674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(3,636)</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(5,702)</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7,701</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Payments on long-term debt and finance leases</w:t>
            </w: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(2,941)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(2,332)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(3,827)</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financing costs</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Treasury stock repurchases</w:t>
            </w: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(1,615)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Dividend payments</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Other financing activities</w:t>
            </w: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60"/>
        </w:trPr>
        <w:tc>
          <w:tcPr>
            <w:tcW w:w="2120" w:type="dxa"/>
            <w:vAlign w:val="bottom"/>
            <w:tcBorders>
              <w:bottom w:val="single" w:sz="8" w:color="CCEEFF"/>
            </w:tcBorders>
          </w:tcPr>
          <w:p>
            <w:pPr>
              <w:spacing w:after="0"/>
              <w:rPr>
                <w:sz w:val="5"/>
                <w:szCs w:val="5"/>
                <w:color w:val="auto"/>
              </w:rPr>
            </w:pPr>
          </w:p>
        </w:tc>
        <w:tc>
          <w:tcPr>
            <w:tcW w:w="46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67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 cash used in financing activities</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740" w:type="dxa"/>
            <w:vAlign w:val="bottom"/>
            <w:gridSpan w:val="2"/>
          </w:tcPr>
          <w:p>
            <w:pPr>
              <w:ind w:left="40"/>
              <w:spacing w:after="0"/>
              <w:rPr>
                <w:sz w:val="20"/>
                <w:szCs w:val="20"/>
                <w:color w:val="auto"/>
              </w:rPr>
            </w:pPr>
            <w:r>
              <w:rPr>
                <w:rFonts w:ascii="Arial" w:cs="Arial" w:eastAsia="Arial" w:hAnsi="Arial"/>
                <w:sz w:val="14"/>
                <w:szCs w:val="14"/>
                <w:color w:val="auto"/>
              </w:rPr>
              <w:t>Net decrease in cash and restricted cash</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and restricted cash at beginning of year</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6740" w:type="dxa"/>
            <w:vAlign w:val="bottom"/>
            <w:gridSpan w:val="2"/>
          </w:tcPr>
          <w:p>
            <w:pPr>
              <w:ind w:left="40"/>
              <w:spacing w:after="0"/>
              <w:rPr>
                <w:sz w:val="20"/>
                <w:szCs w:val="20"/>
                <w:color w:val="auto"/>
              </w:rPr>
            </w:pPr>
            <w:r>
              <w:rPr>
                <w:rFonts w:ascii="Arial" w:cs="Arial" w:eastAsia="Arial" w:hAnsi="Arial"/>
                <w:sz w:val="14"/>
                <w:szCs w:val="14"/>
                <w:color w:val="auto"/>
              </w:rPr>
              <w:t xml:space="preserve">Cash and restricted cash at end of year </w:t>
            </w:r>
            <w:r>
              <w:rPr>
                <w:rFonts w:ascii="Arial" w:cs="Arial" w:eastAsia="Arial" w:hAnsi="Arial"/>
                <w:sz w:val="17"/>
                <w:szCs w:val="17"/>
                <w:color w:val="auto"/>
                <w:vertAlign w:val="superscript"/>
              </w:rPr>
              <w:t>(a)</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The following table provides a reconciliation of cash and restricted cash to amounts reported within the consolidated balance sheets: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6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Restricted cash included in restricted cash and short-term investments</w:t>
            </w: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w:t>
            </w:r>
          </w:p>
        </w:tc>
      </w:tr>
      <w:tr>
        <w:trPr>
          <w:trHeight w:val="243"/>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cash and restricted cash</w:t>
            </w:r>
          </w:p>
        </w:tc>
        <w:tc>
          <w:tcPr>
            <w:tcW w:w="6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435</w:t>
            </w:r>
          </w:p>
        </w:tc>
      </w:tr>
      <w:tr>
        <w:trPr>
          <w:trHeight w:val="20"/>
        </w:trPr>
        <w:tc>
          <w:tcPr>
            <w:tcW w:w="6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576" w:right="239" w:bottom="868"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576" w:right="239" w:bottom="868"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6"/>
          <w:szCs w:val="16"/>
          <w:b w:val="1"/>
          <w:bCs w:val="1"/>
          <w:color w:val="auto"/>
        </w:rPr>
        <w:t>AMERICAN AIRLINES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6"/>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(Deficit)</w:t>
            </w:r>
          </w:p>
        </w:tc>
        <w:tc>
          <w:tcPr>
            <w:tcW w:w="180" w:type="dxa"/>
            <w:vAlign w:val="bottom"/>
          </w:tcPr>
          <w:p>
            <w:pPr>
              <w:spacing w:after="0"/>
              <w:rPr>
                <w:sz w:val="17"/>
                <w:szCs w:val="17"/>
                <w:color w:val="auto"/>
              </w:rPr>
            </w:pPr>
          </w:p>
        </w:tc>
        <w:tc>
          <w:tcPr>
            <w:tcW w:w="62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w:t>
            </w:r>
          </w:p>
        </w:tc>
      </w:tr>
      <w:tr>
        <w:trPr>
          <w:trHeight w:val="256"/>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11,591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5,635</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2,584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2,584</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Cash tax withholding on shares issued</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and retirement of 119,823,621 shares of AAG common stock</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Dividends declared on AAG common stock ($0.40 per share)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28"/>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2,506,067 shares of AAG common stock pursuant to employee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4"/>
        </w:trPr>
        <w:tc>
          <w:tcPr>
            <w:tcW w:w="5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plans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Settlement of single-dip unsecured claims held in distributed claims reserve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18"/>
        </w:trPr>
        <w:tc>
          <w:tcPr>
            <w:tcW w:w="5820" w:type="dxa"/>
            <w:vAlign w:val="bottom"/>
          </w:tcPr>
          <w:p>
            <w:pPr>
              <w:ind w:left="40"/>
              <w:spacing w:after="0"/>
              <w:rPr>
                <w:sz w:val="20"/>
                <w:szCs w:val="20"/>
                <w:color w:val="auto"/>
              </w:rPr>
            </w:pPr>
            <w:r>
              <w:rPr>
                <w:rFonts w:ascii="Arial" w:cs="Arial" w:eastAsia="Arial" w:hAnsi="Arial"/>
                <w:sz w:val="16"/>
                <w:szCs w:val="16"/>
                <w:color w:val="auto"/>
              </w:rPr>
              <w:t>Impact of adoption of Accounting Standards Update (ASU) 2016-09 related to</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4"/>
        </w:trPr>
        <w:tc>
          <w:tcPr>
            <w:tcW w:w="582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418</w:t>
            </w:r>
          </w:p>
        </w:tc>
      </w:tr>
      <w:tr>
        <w:trPr>
          <w:trHeight w:val="228"/>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Impact of adoption of ASU 2014-09 related to revenue recognition (See Note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4"/>
        </w:trPr>
        <w:tc>
          <w:tcPr>
            <w:tcW w:w="5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1(b))</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(3,977)</w:t>
            </w:r>
          </w:p>
        </w:tc>
      </w:tr>
      <w:tr>
        <w:trPr>
          <w:trHeight w:val="240"/>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1,282</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tax withholding on shares issued</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Purchase and retirement of 33,953,127 shares of AAG common stock</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(1,563)</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($0.40 per share)</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18"/>
        </w:trPr>
        <w:tc>
          <w:tcPr>
            <w:tcW w:w="5820" w:type="dxa"/>
            <w:vAlign w:val="bottom"/>
          </w:tcPr>
          <w:p>
            <w:pPr>
              <w:ind w:left="40"/>
              <w:spacing w:after="0"/>
              <w:rPr>
                <w:sz w:val="20"/>
                <w:szCs w:val="20"/>
                <w:color w:val="auto"/>
              </w:rPr>
            </w:pPr>
            <w:r>
              <w:rPr>
                <w:rFonts w:ascii="Arial" w:cs="Arial" w:eastAsia="Arial" w:hAnsi="Arial"/>
                <w:sz w:val="16"/>
                <w:szCs w:val="16"/>
                <w:color w:val="auto"/>
              </w:rPr>
              <w:t>Issuance of 2,166,861 shares of AAG common stock pursuant to employee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4"/>
        </w:trPr>
        <w:tc>
          <w:tcPr>
            <w:tcW w:w="5820" w:type="dxa"/>
            <w:vAlign w:val="bottom"/>
          </w:tcPr>
          <w:p>
            <w:pPr>
              <w:ind w:left="200"/>
              <w:spacing w:after="0"/>
              <w:rPr>
                <w:sz w:val="20"/>
                <w:szCs w:val="20"/>
                <w:color w:val="auto"/>
              </w:rPr>
            </w:pPr>
            <w:r>
              <w:rPr>
                <w:rFonts w:ascii="Arial" w:cs="Arial" w:eastAsia="Arial" w:hAnsi="Arial"/>
                <w:sz w:val="16"/>
                <w:szCs w:val="16"/>
                <w:color w:val="auto"/>
              </w:rPr>
              <w:t>stock plans</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of single-dip unsecured claims held in distributed claims reserve</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64"/>
        </w:trPr>
        <w:tc>
          <w:tcPr>
            <w:tcW w:w="58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257"/>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5,714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1,412</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Cash tax withholding on shares issued</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and retirement of 16,606,157 shares of AAG common stock</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Dividends declared on AAG common stock ($0.40 per share)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28"/>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1,709,140 shares of AAG common stock pursuant to employee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4"/>
        </w:trPr>
        <w:tc>
          <w:tcPr>
            <w:tcW w:w="5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plans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228"/>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Impact of adoption of ASU 2016-01 related to financial instruments (See Note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4"/>
        </w:trPr>
        <w:tc>
          <w:tcPr>
            <w:tcW w:w="5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1(b))</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64"/>
        </w:trPr>
        <w:tc>
          <w:tcPr>
            <w:tcW w:w="5820" w:type="dxa"/>
            <w:vAlign w:val="bottom"/>
          </w:tcPr>
          <w:p>
            <w:pPr>
              <w:ind w:left="40"/>
              <w:spacing w:after="0"/>
              <w:rPr>
                <w:sz w:val="20"/>
                <w:szCs w:val="20"/>
                <w:color w:val="auto"/>
              </w:rPr>
            </w:pPr>
            <w:r>
              <w:rPr>
                <w:rFonts w:ascii="Arial" w:cs="Arial" w:eastAsia="Arial" w:hAnsi="Arial"/>
                <w:sz w:val="16"/>
                <w:szCs w:val="16"/>
                <w:color w:val="auto"/>
              </w:rPr>
              <w:t>Impact of adoption of ASU 2016-02 related to leases (See Note 1(b))</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237"/>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1" w:right="239" w:bottom="1440" w:gutter="0" w:footer="0" w:header="0"/>
        </w:sectPr>
      </w:pPr>
    </w:p>
    <w:bookmarkStart w:id="85" w:name="page86"/>
    <w:bookmarkEnd w:id="85"/>
    <w:p>
      <w:pPr>
        <w:ind w:left="172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Airlines Group Inc. (we, us, our and similar terms, or AAG), a Delaware corporation, is a holding company whose primary business activity is the operation of a major network air carrier, providing scheduled air transportation for passengers and cargo through its mainline operating subsidiary, American Airlines, Inc. (American) and its wholly-owned regional airline subsidiaries, Envoy Aviation Group Inc. (Envoy), PSA Airlines, Inc. (PSA) and Piedmont Airlines, Inc. (Piedmont) that operate under the brand American Eagle. 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All significant intercompany transactions have been eliminated.</w:t>
      </w:r>
    </w:p>
    <w:p>
      <w:pPr>
        <w:spacing w:after="0" w:line="15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211" w:lineRule="exact"/>
        <w:rPr>
          <w:sz w:val="20"/>
          <w:szCs w:val="20"/>
          <w:color w:val="auto"/>
        </w:rPr>
      </w:pPr>
    </w:p>
    <w:p>
      <w:pPr>
        <w:ind w:left="220" w:right="7760" w:firstLine="4"/>
        <w:spacing w:after="0" w:line="378" w:lineRule="auto"/>
        <w:tabs>
          <w:tab w:leader="none" w:pos="500" w:val="left"/>
        </w:tabs>
        <w:numPr>
          <w:ilvl w:val="0"/>
          <w:numId w:val="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i w:val="1"/>
          <w:iCs w:val="1"/>
          <w:u w:val="single" w:color="auto"/>
          <w:color w:val="auto"/>
        </w:rPr>
        <w:t>Standards Adopted in 2018</w:t>
      </w:r>
    </w:p>
    <w:p>
      <w:pPr>
        <w:ind w:left="220"/>
        <w:spacing w:after="0"/>
        <w:rPr>
          <w:rFonts w:ascii="Arial" w:cs="Arial" w:eastAsia="Arial" w:hAnsi="Arial"/>
          <w:sz w:val="17"/>
          <w:szCs w:val="17"/>
          <w:b w:val="1"/>
          <w:bCs w:val="1"/>
          <w:i w:val="1"/>
          <w:iCs w:val="1"/>
          <w:color w:val="auto"/>
        </w:rPr>
      </w:pPr>
      <w:r>
        <w:rPr>
          <w:rFonts w:ascii="Arial" w:cs="Arial" w:eastAsia="Arial" w:hAnsi="Arial"/>
          <w:sz w:val="18"/>
          <w:szCs w:val="18"/>
          <w:color w:val="auto"/>
        </w:rPr>
        <w:t>Effective January 1, 2018, we adopted the accounting pronouncements described below.</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2014-09: Revenue from Contracts with Customers (Topic 606) (the New Revenue Standard)</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New Revenue Standard applies to all companies that enter into contracts with customers to transfer goods or services. We adopted the New Revenue Standard using the full retrospective method, which resulted in the recast of prior reporting periods.</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adoption of the New Revenue Standard impacted our accounting for outstanding mileage credits earned through travel by AAdvantage loyalty program members. There was no change in accounting for sales of mileage credits to co-branded credit card or other partners. Prior to the adoption of the New Revenue Standard, we used the incremental cost method to account for the portion of our loyalty program liability related to mileage credits earned through travel, which were valued based on the estimated incremental cost of carrying one additional passenger. The New Revenue Standard required us to change our policy to the deferred revenue method and apply a relative selling price approach whereby a portion of each passenger ticket sale attributable to mileage credits earned is deferred and recognized in passenger revenue upon future mileage redemption. The value of the earned mileage credits is materially greater under the deferred revenue method than the value attributed to these mileage credits under the incremental cost method.</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New Revenue Standard also required certain reclassifications, principally the reclassification of certain ancillary revenues previously classified and reported as other revenue to passenger revenue and as applicable to cargo revenue. Additionally, the New Revenue Standard required a gross presentation on the face of our consolidated statements of operations for certain revenues and expenses that had previously been presented on a net basis.</w:t>
      </w:r>
    </w:p>
    <w:p>
      <w:pPr>
        <w:spacing w:after="0" w:line="132"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“Impacts to 2017 Results”</w:t>
      </w:r>
      <w:r>
        <w:rPr>
          <w:rFonts w:ascii="Arial" w:cs="Arial" w:eastAsia="Arial" w:hAnsi="Arial"/>
          <w:sz w:val="18"/>
          <w:szCs w:val="18"/>
          <w:color w:val="auto"/>
        </w:rPr>
        <w:t xml:space="preserve"> and </w:t>
      </w:r>
      <w:r>
        <w:rPr>
          <w:rFonts w:ascii="Arial" w:cs="Arial" w:eastAsia="Arial" w:hAnsi="Arial"/>
          <w:sz w:val="18"/>
          <w:szCs w:val="18"/>
          <w:i w:val="1"/>
          <w:iCs w:val="1"/>
          <w:color w:val="auto"/>
        </w:rPr>
        <w:t>“Impacts to 2016 Results”</w:t>
      </w:r>
      <w:r>
        <w:rPr>
          <w:rFonts w:ascii="Arial" w:cs="Arial" w:eastAsia="Arial" w:hAnsi="Arial"/>
          <w:sz w:val="18"/>
          <w:szCs w:val="18"/>
          <w:color w:val="auto"/>
        </w:rPr>
        <w:t xml:space="preserve"> below for the impact to our consolidated statements of operations data for 2017 and 2016, respectively, and our consolidated balance sheet as of December 31, 2017 related to the adoption of the New Revenue Standard.</w:t>
      </w:r>
    </w:p>
    <w:p>
      <w:pPr>
        <w:spacing w:after="0" w:line="199"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ASU 2017-07: Compensation - Retirement Benefits (Topic 715): Improving the Presentation of Net Periodic Pension Cost and Net Periodic Postretirement Benefit Cost (the New Retirement Standard)</w:t>
      </w:r>
    </w:p>
    <w:p>
      <w:pPr>
        <w:spacing w:after="0" w:line="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New Retirement Standard required all components of our net periodic benefit cost (income), with the exception of service cost, previously reported within operating expenses as salaries, wages and benefits, to be reclassified and reported within nonoperating income (expense). The New Retirement Standard was applied retrospectively, which resulted in the recast of each prior reporting period presented. The adoption of the New Retirement Standard had no impact on pre-tax income or net income reported.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76"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18"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“Impacts to 2017 Results”</w:t>
      </w:r>
      <w:r>
        <w:rPr>
          <w:rFonts w:ascii="Arial" w:cs="Arial" w:eastAsia="Arial" w:hAnsi="Arial"/>
          <w:sz w:val="18"/>
          <w:szCs w:val="18"/>
          <w:color w:val="auto"/>
        </w:rPr>
        <w:t xml:space="preserve"> and </w:t>
      </w:r>
      <w:r>
        <w:rPr>
          <w:rFonts w:ascii="Arial" w:cs="Arial" w:eastAsia="Arial" w:hAnsi="Arial"/>
          <w:sz w:val="18"/>
          <w:szCs w:val="18"/>
          <w:i w:val="1"/>
          <w:iCs w:val="1"/>
          <w:color w:val="auto"/>
        </w:rPr>
        <w:t>“Impacts to 2016 Results”</w:t>
      </w:r>
      <w:r>
        <w:rPr>
          <w:rFonts w:ascii="Arial" w:cs="Arial" w:eastAsia="Arial" w:hAnsi="Arial"/>
          <w:sz w:val="18"/>
          <w:szCs w:val="18"/>
          <w:color w:val="auto"/>
        </w:rPr>
        <w:t xml:space="preserve"> below for the impact to our consolidated statements of operations data for 2017 and 2016, respectively, related to the adoption of the New Retirement Standard.</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2016-02: Leases (Topic 842) (the New Lease Standard)</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New Lease Standard requires lessees to recognize a lease liability and a right-of-use (ROU) asset on the balance sheet for operating leases. Accounting for finance leases is substantially unchanged. The New Lease Standard is effective for fiscal years beginning after December 15, 2018, including interim periods within those fiscal years. Early adoption is permitted.</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fourth quarter of 2018, we elected to early adopt the New Lease Standard as of January 1, 2018 using a modified retrospective transition, with the cumulative-effect adjustment to the opening balance of retained earnings as of the effective date (the effective date method). Under the effective date method, financial results reported in periods prior to 2018 are unchanged. We also elected the package of practical expedients, which among other things, does not require reassessment of lease classification.</w:t>
      </w:r>
    </w:p>
    <w:p>
      <w:pPr>
        <w:spacing w:after="0" w:line="150"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adoption of the New Lease Standard had a significant impact on our consolidated balance sheet due to the recognition of approximately $10 billion of lease liabilities with corresponding right-of-use assets for operating leases.</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Additionally, we recognized a $ 197 million cumulative effect adjustment credit, net of tax, to retained earnings. The adjustment to retained earnings was driven principally by sale-leaseback transactions including the recognition of unamortized deferred aircraft sale-leaseback gains. Prior to the adoption of the New Lease Standard, gains on sale-leaseback transactions were generally deferred and recognized in the income statement over the lease term. Under the New Lease Standard, gains on sale-leaseback transactions (subject to adjustment for off-market terms) are recognized immediately.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2016-01: Financial Instruments - Overall (Subtopic 825-10)</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This ASU made several modifications to Subtopic 825-10, including the elimination of the available-for-sale classification of equity investments, and it required equity investments with readily determinable fair values to be measured at fair value with changes in fair value recognized in net income. This standard was adopted prospectively as of January 1, 2018 and resulted in a $60 million cumulative effect adjustment credit to retained earnings, net of tax, related to our investment in China Southern Airlines Company Limited (China Southern Airlines), which was previously accounted for under the cost method.</w:t>
      </w:r>
    </w:p>
    <w:p>
      <w:pPr>
        <w:spacing w:after="0" w:line="2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2016-18: Statement of Cash Flows (Topic 230): Restricted Cash</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This ASU required that the change in the total cash balance, cash at the beginning of the period and cash at the end of the period on the statement of cash flows include restricted cash, and also required companies that report cash and restricted cash separately on the balance sheet to reconcile those amounts to the statement of cash flows. This standard was applied retrospectively, which resulted in the recast of prior reporting periods in the statement of cash flows. For the years ended December 31, 2018, 2017 and 2016, $11 million, $ 103 million and $113 million, respectively, of restricted cash is included in the total cash and restricted cash balance at the end of the period. A reconciliation of cash and restricted cash reported on our consolidated statements of cash flows to the amounts reported on our consolidated balance sheets is provided in a table below the Consolidated Statements of Cash Flows.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49"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Impacts to 2017 Results</w:t>
      </w:r>
    </w:p>
    <w:p>
      <w:pPr>
        <w:spacing w:after="0" w:line="112"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The effects of the adoption of the New Revenue Standard and New Retirement Standard to our consolidated statement of operations for the twelve months ended December 31, 2017 were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New Retirement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New Revenue Standard</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Standard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Ancillary Revenue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Versus Net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 Method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Presentation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As Recast</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36,133</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39,131</w:t>
            </w:r>
          </w:p>
        </w:tc>
        <w:tc>
          <w:tcPr>
            <w:tcW w:w="0" w:type="dxa"/>
            <w:vAlign w:val="bottom"/>
          </w:tcPr>
          <w:p>
            <w:pPr>
              <w:spacing w:after="0"/>
              <w:rPr>
                <w:sz w:val="1"/>
                <w:szCs w:val="1"/>
                <w:color w:val="auto"/>
              </w:rPr>
            </w:pPr>
          </w:p>
        </w:tc>
      </w:tr>
      <w:tr>
        <w:trPr>
          <w:trHeight w:val="27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5,274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42,207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42,622</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38,149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38,391</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29"/>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Total nonoperating expense,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70"/>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Income tax provision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44"/>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1,919</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 earnings per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40" w:type="dxa"/>
            <w:vAlign w:val="bottom"/>
            <w:gridSpan w:val="2"/>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2"/>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common share</w:t>
            </w: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jc w:val="both"/>
        <w:ind w:left="340" w:hanging="332"/>
        <w:spacing w:after="0" w:line="233" w:lineRule="auto"/>
        <w:tabs>
          <w:tab w:leader="none" w:pos="34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The adjustment to the 2017 income tax provision includes an $823 million special charge to reduce our deferred tax asset associated with loyalty program liabilities as a result of H.R. 1, the 2017 Tax Cuts and Jobs Act (the 2017 Tax Act), enacted in December 2017 that reduced the federal corporate income tax rate from 35% to 21%.</w:t>
      </w:r>
    </w:p>
    <w:p>
      <w:pPr>
        <w:spacing w:after="0" w:line="163"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effects of the adoption of the New Revenue Standard to our December 31, 2017 consolidated balance sheet were as follows (in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New Revenue Standard</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As Recast</w:t>
            </w:r>
          </w:p>
        </w:tc>
      </w:tr>
      <w:tr>
        <w:trPr>
          <w:trHeight w:val="256"/>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r>
      <w:tr>
        <w:trPr>
          <w:trHeight w:val="263"/>
        </w:trPr>
        <w:tc>
          <w:tcPr>
            <w:tcW w:w="4200" w:type="dxa"/>
            <w:vAlign w:val="bottom"/>
          </w:tcPr>
          <w:p>
            <w:pPr>
              <w:ind w:left="40"/>
              <w:spacing w:after="0"/>
              <w:rPr>
                <w:sz w:val="20"/>
                <w:szCs w:val="20"/>
                <w:color w:val="auto"/>
              </w:rPr>
            </w:pPr>
            <w:r>
              <w:rPr>
                <w:rFonts w:ascii="Arial" w:cs="Arial" w:eastAsia="Arial" w:hAnsi="Arial"/>
                <w:sz w:val="18"/>
                <w:szCs w:val="18"/>
                <w:color w:val="auto"/>
              </w:rPr>
              <w:t>Air traffic liability</w:t>
            </w:r>
          </w:p>
        </w:tc>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4,042</w:t>
            </w:r>
          </w:p>
        </w:tc>
      </w:tr>
      <w:tr>
        <w:trPr>
          <w:trHeight w:val="277"/>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loyalty program liability</w:t>
            </w:r>
          </w:p>
        </w:tc>
        <w:tc>
          <w:tcPr>
            <w:tcW w:w="1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3,121</w:t>
            </w:r>
          </w:p>
        </w:tc>
      </w:tr>
      <w:tr>
        <w:trPr>
          <w:trHeight w:val="263"/>
        </w:trPr>
        <w:tc>
          <w:tcPr>
            <w:tcW w:w="4200" w:type="dxa"/>
            <w:vAlign w:val="bottom"/>
          </w:tcPr>
          <w:p>
            <w:pPr>
              <w:ind w:left="40"/>
              <w:spacing w:after="0"/>
              <w:rPr>
                <w:sz w:val="20"/>
                <w:szCs w:val="20"/>
                <w:color w:val="auto"/>
              </w:rPr>
            </w:pPr>
            <w:r>
              <w:rPr>
                <w:rFonts w:ascii="Arial" w:cs="Arial" w:eastAsia="Arial" w:hAnsi="Arial"/>
                <w:sz w:val="18"/>
                <w:szCs w:val="18"/>
                <w:color w:val="auto"/>
              </w:rPr>
              <w:t>Noncurrent loyalty program liability</w:t>
            </w:r>
          </w:p>
        </w:tc>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5,701</w:t>
            </w:r>
          </w:p>
        </w:tc>
      </w:tr>
      <w:tr>
        <w:trPr>
          <w:trHeight w:val="277"/>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1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621"/>
        </w:trPr>
        <w:tc>
          <w:tcPr>
            <w:tcW w:w="4200" w:type="dxa"/>
            <w:vAlign w:val="bottom"/>
          </w:tcPr>
          <w:p>
            <w:pPr>
              <w:spacing w:after="0"/>
              <w:rPr>
                <w:sz w:val="24"/>
                <w:szCs w:val="24"/>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Impacts to 2016 Results</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effects of the adoption of the New Revenue Standard and New Retirement Standard to our consolidated statement of operations for the twelve months ended December 31, 2016 were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New Retirement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New Revenue Standard</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Standard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Ancillary Revenue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Versus Net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 Method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Presentation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As Recast</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34,579</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37,045</w:t>
            </w:r>
          </w:p>
        </w:tc>
        <w:tc>
          <w:tcPr>
            <w:tcW w:w="0" w:type="dxa"/>
            <w:vAlign w:val="bottom"/>
          </w:tcPr>
          <w:p>
            <w:pPr>
              <w:spacing w:after="0"/>
              <w:rPr>
                <w:sz w:val="1"/>
                <w:szCs w:val="1"/>
                <w:color w:val="auto"/>
              </w:rPr>
            </w:pPr>
          </w:p>
        </w:tc>
      </w:tr>
      <w:tr>
        <w:trPr>
          <w:trHeight w:val="27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40,180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40,142</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34,896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35,082</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5,284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29"/>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Total nonoperating expense,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50"/>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2,676</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 earnings per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40" w:type="dxa"/>
            <w:vAlign w:val="bottom"/>
            <w:gridSpan w:val="2"/>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2"/>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common share</w:t>
            </w: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Standards Effective for 2019 Reporting Periods</w:t>
      </w:r>
    </w:p>
    <w:p>
      <w:pPr>
        <w:spacing w:after="0" w:line="86"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This ASU provides financial statement preparers with an option to reclassify stranded tax effects within accumulated other comprehensive income to retained earnings due to the U.S. federal corporate income tax rate change as a result of the 2017 Tax Act. The amount of the reclassification is the difference between the amount initially charged or credited directly to other comprehensive income at the previously enacted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and early adoption is permitted. We will adopt this standard effective January 1, 2019. The adoption of the standard may impact tax amounts stranded in accumulated other comprehensive income related to our pension and retiree medical and other postretirement benefit plans.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Short-term Investments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Short-term investments are classified as available-for-sale and stated at fair value. Realized gains and losses are recorded in nonoperating expense on our consolidated statements of operations. Unrealized gains and losses are recorded in accumulated other comprehensive loss on our consolidated balance sheets.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Restricted Cash and Short-term Investments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restricted cash and short-term investments related primarily to collateral held to support workers’ compensation obligations.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Aircraft Fuel, Spare Parts and Supplies, Net</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Aircraft fuel is recorded on a first-in, first-out basis. Spare parts and supplies are recorded at average costs less an allowance for obsolescence. These items are expensed when used.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49"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 Operating Property and Equipment</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Operating property and equipment is recorded at cost and depreciated or amortized to residual values over the asset’s estimated useful life or the lease term, whichever is less, using the straight-line method. Residual values for aircraft, engines and related rotable parts are generally 5% to 10% of original cost. Costs of major improvements that enhance the usefulness of the asset are capitalized and depreciated or amortized over the estimated useful life of the asset or the lease term, whichever is less. The estimated useful lives for the principal property and equipment classifications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1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1"/>
        </w:trPr>
        <w:tc>
          <w:tcPr>
            <w:tcW w:w="40" w:type="dxa"/>
            <w:vAlign w:val="bottom"/>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Aircraft, engines and related rotable parts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30 years</w:t>
            </w:r>
          </w:p>
        </w:tc>
      </w:tr>
      <w:tr>
        <w:trPr>
          <w:trHeight w:val="250"/>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Buildings and improvements</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30 years</w:t>
            </w:r>
          </w:p>
        </w:tc>
      </w:tr>
      <w:tr>
        <w:trPr>
          <w:trHeight w:val="263"/>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10 years</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Capitalized software</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10 years</w:t>
            </w:r>
          </w:p>
        </w:tc>
      </w:tr>
    </w:tbl>
    <w:p>
      <w:pPr>
        <w:spacing w:after="0" w:line="175" w:lineRule="exact"/>
        <w:rPr>
          <w:sz w:val="20"/>
          <w:szCs w:val="20"/>
          <w:color w:val="auto"/>
        </w:rPr>
      </w:pPr>
    </w:p>
    <w:p>
      <w:pPr>
        <w:jc w:val="both"/>
        <w:ind w:right="20" w:firstLine="216"/>
        <w:spacing w:after="0" w:line="253" w:lineRule="auto"/>
        <w:rPr>
          <w:sz w:val="20"/>
          <w:szCs w:val="20"/>
          <w:color w:val="auto"/>
        </w:rPr>
      </w:pPr>
      <w:r>
        <w:rPr>
          <w:rFonts w:ascii="Arial" w:cs="Arial" w:eastAsia="Arial" w:hAnsi="Arial"/>
          <w:sz w:val="18"/>
          <w:szCs w:val="18"/>
          <w:color w:val="auto"/>
        </w:rPr>
        <w:t>We assess impairment on operating property and equipment when events and circumstances indicate that the assets may be impaired. An asset or group of assets is considered impaired when the undiscounted cash flows estimated to be generated by the assets are less than the carrying amount of the assets and the net book value of the assets exceeds their estimated fair value. If such assets are considered to be impaired, the impairment to be recognized is measured by the amount by which the carrying amount of the assets exceeds the fair value of the assets. Assets to be disposed of are reported at the lower of the carrying amount or fair value less the cost to sell.</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depreciation and amortization expense was $2.4 billion, $2.2 billion and $1.9 billion for the years ended December 31, 2018, 2017 and 2016, respectively.</w:t>
      </w:r>
    </w:p>
    <w:p>
      <w:pPr>
        <w:spacing w:after="0" w:line="2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 Leases</w:t>
      </w:r>
    </w:p>
    <w:p>
      <w:pPr>
        <w:spacing w:after="0" w:line="15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ROU assets, current operating lease liabilities and noncurrent operating lease liabilities in our consolidated balance sheet. Finance leases are included in property and equipment, current maturities of long-term debt and finance leases and long-term debt and finance leases, net of current maturities, in our consolidated balance sheet.</w:t>
      </w:r>
    </w:p>
    <w:p>
      <w:pPr>
        <w:spacing w:after="0" w:line="150"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ROU assets and liabilities are recognized at the lease commencement date based on the estimated present value of lease payments over the lease term.</w:t>
      </w:r>
    </w:p>
    <w:p>
      <w:pPr>
        <w:spacing w:after="0" w:line="134"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use our estimated incremental borrowing rate, which is derived from information available at the lease commencement date, in determining the present value of lease payments. We give consideration to our recent debt issuances as well as publicly available data for instruments with similar characteristics when calculating our incremental borrowing rates.</w:t>
      </w:r>
    </w:p>
    <w:p>
      <w:pPr>
        <w:spacing w:after="0" w:line="14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lease term includes options to extend the lease when it is reasonably certain that we will exercise that option. Leases with a term of 12 months or less are not recorded on the balance sheet. Our lease agreements do not contain any residual value guarantees.</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Under certain of our capacity purchase agreements with third-party regional carriers, we do not own the underlying aircraft. However, since we control the marketing, scheduling, ticketing, pricing and seat inventories of these aircraft and therefore control the asset, the aircraft is deemed to be leased for accounting purposes. For these capacity purchase agreements, we account for the lease and non-lease components separately. The lease component consists of the aircraft and the non-lease components consist of services, such as the crew and maintenance. We allocate the consideration in the capacity purchase agreements to the lease and non-lease components using their estimated relative standalone prices. See Note 12(b) for additional information on our capacity purchase agreements.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real estate, we account for the lease and non-lease components as a single lease component.</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 Income Taxes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deferred income taxes.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49"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provide a valuation allowance for our deferred tax assets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level and volatility of fuel prices and travel demand.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Goodwill</w:t>
      </w:r>
    </w:p>
    <w:p>
      <w:pPr>
        <w:spacing w:after="0" w:line="112" w:lineRule="exact"/>
        <w:rPr>
          <w:sz w:val="20"/>
          <w:szCs w:val="20"/>
          <w:color w:val="auto"/>
        </w:rPr>
      </w:pPr>
    </w:p>
    <w:p>
      <w:pPr>
        <w:jc w:val="both"/>
        <w:ind w:firstLine="216"/>
        <w:spacing w:after="0" w:line="237"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and liabilities assumed. Goodwill is not amortized but assessed for impairment annually on October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or more frequently if events or circumstances indicate that goodwill may be impaired. We have one consolidated reporting unit.</w:t>
      </w:r>
    </w:p>
    <w:p>
      <w:pPr>
        <w:spacing w:after="0" w:line="16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Goodwill is assessed for impairment by initially performing a qualitative assessment and, if necessary, then comparing the fair value of the reporting unit to its carrying value, including goodwill. If the fair value of the reporting unit is less than the carrying value, a second step is performed to determine the implied fair value of goodwill. If the implied fair value of goodwill is lower than its carrying value, an impairment charge equal to the difference is recorded. Based upon our annual assessment, there was no goodwill impairment in 2018. The carrying value of the goodwill on our consolidated balance sheets was $4.1 billion as of December 31, 2018 and 2017.</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 Other Intangibles, Net</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Intangible assets consist primarily of domestic airport slots, customer relationships, marketing agreements, international slots and route authorities, airport gate leasehold rights and tradenames.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Finite-Lived Intangible Assets</w:t>
      </w:r>
    </w:p>
    <w:p>
      <w:pPr>
        <w:spacing w:after="0" w:line="10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Finite-lived intangible assets are amortized over their respective estimated useful lives and reviewed for impairment whenever events or changes in circumstances indicate that the carrying value may not be recoverable.</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information relating to our amortizable intangible assets as of December 31, 2018 and 2017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 airport slots</w:t>
            </w:r>
          </w:p>
        </w:tc>
        <w:tc>
          <w:tcPr>
            <w:tcW w:w="106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spacing w:after="0"/>
              <w:rPr>
                <w:sz w:val="22"/>
                <w:szCs w:val="22"/>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Marketing agreements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1060" w:type="dxa"/>
            <w:vAlign w:val="bottom"/>
          </w:tcPr>
          <w:p>
            <w:pPr>
              <w:spacing w:after="0"/>
              <w:rPr>
                <w:sz w:val="22"/>
                <w:szCs w:val="22"/>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Airport gate leasehold rights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r>
      <w:tr>
        <w:trPr>
          <w:trHeight w:val="20"/>
        </w:trPr>
        <w:tc>
          <w:tcPr>
            <w:tcW w:w="7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domestic airport slots and airport gate leasehold rights are amortized on a straight-line basis over 25 years. The customer relationships and marketing agreements were identified as intangible assets subject to amortization and are amortized on a straight-line basis over approximately nine years and 30 years, respectively. Tradenames are fully amortized.</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recorded amortization expense related to these intangible assets of $41 million, $44 million and $76 million for the years ended December 31, 2018, 2017 and 2016, respectively. We expect to record annual amortization expense for these intangible assets as follows (in millions):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49"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9"/>
        </w:trPr>
        <w:tc>
          <w:tcPr>
            <w:tcW w:w="1660" w:type="dxa"/>
            <w:vAlign w:val="bottom"/>
          </w:tcPr>
          <w:p>
            <w:pPr>
              <w:spacing w:after="0"/>
              <w:rPr>
                <w:sz w:val="20"/>
                <w:szCs w:val="20"/>
                <w:color w:val="auto"/>
              </w:rPr>
            </w:pPr>
          </w:p>
        </w:tc>
        <w:tc>
          <w:tcPr>
            <w:tcW w:w="87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9"/>
              </w:rPr>
              <w:t>NOTES TO CONSOLIDATED FINANCIAL STATEMENTS OF AMERICAN AIRLINES GROUP INC.</w:t>
            </w:r>
          </w:p>
        </w:tc>
        <w:tc>
          <w:tcPr>
            <w:tcW w:w="1060" w:type="dxa"/>
            <w:vAlign w:val="bottom"/>
          </w:tcPr>
          <w:p>
            <w:pPr>
              <w:spacing w:after="0"/>
              <w:rPr>
                <w:sz w:val="20"/>
                <w:szCs w:val="20"/>
                <w:color w:val="auto"/>
              </w:rPr>
            </w:pPr>
          </w:p>
        </w:tc>
      </w:tr>
      <w:tr>
        <w:trPr>
          <w:trHeight w:val="378"/>
        </w:trPr>
        <w:tc>
          <w:tcPr>
            <w:tcW w:w="16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7"/>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50"/>
        </w:trPr>
        <w:tc>
          <w:tcPr>
            <w:tcW w:w="1660" w:type="dxa"/>
            <w:vAlign w:val="bottom"/>
          </w:tcPr>
          <w:p>
            <w:pPr>
              <w:ind w:left="40"/>
              <w:spacing w:after="0"/>
              <w:rPr>
                <w:sz w:val="20"/>
                <w:szCs w:val="20"/>
                <w:color w:val="auto"/>
              </w:rPr>
            </w:pPr>
            <w:r>
              <w:rPr>
                <w:rFonts w:ascii="Arial" w:cs="Arial" w:eastAsia="Arial" w:hAnsi="Arial"/>
                <w:sz w:val="18"/>
                <w:szCs w:val="18"/>
                <w:color w:val="auto"/>
              </w:rPr>
              <w:t>2020</w:t>
            </w:r>
          </w:p>
        </w:tc>
        <w:tc>
          <w:tcPr>
            <w:tcW w:w="7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63"/>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9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50"/>
        </w:trPr>
        <w:tc>
          <w:tcPr>
            <w:tcW w:w="1660" w:type="dxa"/>
            <w:vAlign w:val="bottom"/>
          </w:tcPr>
          <w:p>
            <w:pPr>
              <w:ind w:left="40"/>
              <w:spacing w:after="0"/>
              <w:rPr>
                <w:sz w:val="20"/>
                <w:szCs w:val="20"/>
                <w:color w:val="auto"/>
              </w:rPr>
            </w:pPr>
            <w:r>
              <w:rPr>
                <w:rFonts w:ascii="Arial" w:cs="Arial" w:eastAsia="Arial" w:hAnsi="Arial"/>
                <w:sz w:val="18"/>
                <w:szCs w:val="18"/>
                <w:color w:val="auto"/>
              </w:rPr>
              <w:t>2022</w:t>
            </w:r>
          </w:p>
        </w:tc>
        <w:tc>
          <w:tcPr>
            <w:tcW w:w="7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63"/>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9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0"/>
        </w:trPr>
        <w:tc>
          <w:tcPr>
            <w:tcW w:w="1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2024 and thereafter</w:t>
            </w:r>
          </w:p>
        </w:tc>
        <w:tc>
          <w:tcPr>
            <w:tcW w:w="79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r>
      <w:tr>
        <w:trPr>
          <w:trHeight w:val="250"/>
        </w:trPr>
        <w:tc>
          <w:tcPr>
            <w:tcW w:w="1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108" w:lineRule="exact"/>
        <w:rPr>
          <w:sz w:val="20"/>
          <w:szCs w:val="20"/>
          <w:color w:val="auto"/>
        </w:rPr>
      </w:pPr>
    </w:p>
    <w:p>
      <w:pPr>
        <w:jc w:val="both"/>
        <w:ind w:firstLine="216"/>
        <w:spacing w:after="0" w:line="241" w:lineRule="auto"/>
        <w:rPr>
          <w:sz w:val="20"/>
          <w:szCs w:val="20"/>
          <w:color w:val="auto"/>
        </w:rPr>
      </w:pPr>
      <w:r>
        <w:rPr>
          <w:rFonts w:ascii="Arial" w:cs="Arial" w:eastAsia="Arial" w:hAnsi="Arial"/>
          <w:sz w:val="18"/>
          <w:szCs w:val="18"/>
          <w:color w:val="auto"/>
        </w:rPr>
        <w:t>Indefinite-lived intangible assets include certain domestic airport slots at our hubs and international slots and route authorities. Indefinite-lived intangible assets are not amortized but instead are assessed for impairment annually on October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or more frequently if events or circumstances indicate that the asset may be impaired. For both periods as of December 31, 2018 and 2017, we had $1.9 billion of indefinite-lived intangible assets on our consolidated balance sheets.</w:t>
      </w:r>
    </w:p>
    <w:p>
      <w:pPr>
        <w:spacing w:after="0" w:line="160"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In the second quarter of 2018, we recorded a $26 million impairment charge on a Brazil route authority as a result of the U.S.-Brazil open skies agreement, which is included within special items, net on our consolidated statement of operations.</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Indefinite-lived intangible assets are assessed for impairment by initially performing a qualitative assessment to determine whether we believe it is more likely than not that an asset has been impaired. If we believe impairment has occurred, we then evaluate for impairment by comparing the estimated fair value of assets to the carrying value. An impairment charge is recognized if the asset’s estimated fair value is less than its carrying value. Based upon our annual assessment, there were no additional indefinite-lived intangible asset impairments in 2018 other than the Brazil route authority described above.</w:t>
      </w:r>
    </w:p>
    <w:p>
      <w:pPr>
        <w:spacing w:after="0" w:line="211" w:lineRule="exact"/>
        <w:rPr>
          <w:sz w:val="20"/>
          <w:szCs w:val="20"/>
          <w:color w:val="auto"/>
        </w:rPr>
      </w:pPr>
    </w:p>
    <w:p>
      <w:pPr>
        <w:ind w:left="240" w:right="9060" w:firstLine="11"/>
        <w:spacing w:after="0" w:line="357" w:lineRule="auto"/>
        <w:tabs>
          <w:tab w:leader="none" w:pos="524"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i w:val="1"/>
          <w:iCs w:val="1"/>
          <w:u w:val="single" w:color="auto"/>
          <w:color w:val="auto"/>
        </w:rPr>
        <w:t>Revenue</w:t>
      </w:r>
    </w:p>
    <w:p>
      <w:pPr>
        <w:jc w:val="both"/>
        <w:ind w:firstLine="230"/>
        <w:spacing w:after="0" w:line="253" w:lineRule="auto"/>
        <w:rPr>
          <w:sz w:val="20"/>
          <w:szCs w:val="20"/>
          <w:color w:val="auto"/>
        </w:rPr>
      </w:pPr>
      <w:r>
        <w:rPr>
          <w:rFonts w:ascii="Arial" w:cs="Arial" w:eastAsia="Arial" w:hAnsi="Arial"/>
          <w:sz w:val="18"/>
          <w:szCs w:val="18"/>
          <w:color w:val="auto"/>
        </w:rPr>
        <w:t>Effective January 1, 2018, we adopted the New Revenue Standard using the full retrospective method, which resulted in the recast of prior reporting periods. Refer to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Note 1(b) for the effects of the adoption on our consolidated statements of operations for the years ended December 31, 2017 and 2016 and on our consolidated balance sheet as of December 31, 2017. Under the New Revenue Standard, revenue is recognized upon the transfer of control of promised products or services to our customers in an amount that reflects the consideration we expect to receive in exchange for those products or services.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the significant categories comprising our reported operating revenues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Borders>
              <w:bottom w:val="single" w:sz="8" w:color="CCEEFF"/>
            </w:tcBorders>
          </w:tcPr>
          <w:p>
            <w:pPr>
              <w:spacing w:after="0"/>
              <w:rPr>
                <w:sz w:val="17"/>
                <w:szCs w:val="17"/>
                <w:color w:val="auto"/>
              </w:rPr>
            </w:pPr>
          </w:p>
        </w:tc>
        <w:tc>
          <w:tcPr>
            <w:tcW w:w="46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37,457</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36,152</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34,278</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2,979</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2,767</w:t>
            </w: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39,131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37,045</w:t>
            </w:r>
          </w:p>
        </w:tc>
      </w:tr>
      <w:tr>
        <w:trPr>
          <w:trHeight w:val="277"/>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785</w:t>
            </w:r>
          </w:p>
        </w:tc>
      </w:tr>
      <w:tr>
        <w:trPr>
          <w:trHeight w:val="26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1,872</w:t>
            </w:r>
          </w:p>
        </w:tc>
      </w:tr>
      <w:tr>
        <w:trPr>
          <w:trHeight w:val="264"/>
        </w:trPr>
        <w:tc>
          <w:tcPr>
            <w:tcW w:w="6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440</w:t>
            </w:r>
          </w:p>
        </w:tc>
      </w:tr>
      <w:tr>
        <w:trPr>
          <w:trHeight w:val="250"/>
        </w:trPr>
        <w:tc>
          <w:tcPr>
            <w:tcW w:w="6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2,312</w:t>
            </w:r>
          </w:p>
        </w:tc>
      </w:tr>
      <w:tr>
        <w:trPr>
          <w:trHeight w:val="25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44,541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42,622</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40,142</w:t>
            </w:r>
          </w:p>
        </w:tc>
      </w:tr>
      <w:tr>
        <w:trPr>
          <w:trHeight w:val="20"/>
        </w:trPr>
        <w:tc>
          <w:tcPr>
            <w:tcW w:w="2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96" w:lineRule="exact"/>
        <w:rPr>
          <w:sz w:val="20"/>
          <w:szCs w:val="20"/>
          <w:color w:val="auto"/>
        </w:rPr>
      </w:pPr>
    </w:p>
    <w:p>
      <w:pPr>
        <w:ind w:left="500" w:right="20" w:hanging="330"/>
        <w:spacing w:after="0" w:line="225" w:lineRule="auto"/>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earned through travel and mileage credits sold to co-branded credit card and other partners. See “</w:t>
      </w:r>
      <w:r>
        <w:rPr>
          <w:rFonts w:ascii="Arial" w:cs="Arial" w:eastAsia="Arial" w:hAnsi="Arial"/>
          <w:sz w:val="18"/>
          <w:szCs w:val="18"/>
          <w:i w:val="1"/>
          <w:iCs w:val="1"/>
          <w:color w:val="auto"/>
        </w:rPr>
        <w:t>Loyalty Revenue</w:t>
      </w:r>
      <w:r>
        <w:rPr>
          <w:rFonts w:ascii="Arial" w:cs="Arial" w:eastAsia="Arial" w:hAnsi="Arial"/>
          <w:sz w:val="18"/>
          <w:szCs w:val="18"/>
          <w:color w:val="auto"/>
        </w:rPr>
        <w:t>” below for further discussion on these mileage credits.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49"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29,573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28,749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27,202</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4,676</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4,376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3,873</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1,294</w:t>
            </w: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39,131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37,045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Passenger Revenue</w:t>
      </w:r>
    </w:p>
    <w:p>
      <w:pPr>
        <w:spacing w:after="0" w:line="112"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We recognize all revenues generated from transportation on American and our regional flights operated under the brand name American Eagle, including associated baggage fees, ticketing change fees and other inflight services, as passenger revenue when transportation is provided. Ticket and other related sales for transportation that has not yet been provided are initially deferred and recorded as air traffic liability on our consolidated balance sheets. The air traffic liability principally represents tickets sold for future travel on American and partner airlines, as well as estimated future refunds and exchanges of tickets sold for past travel.</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 and the amount of revenue to be recognized. These estimates are generally based on the analysis of our historical data. We have consistently applied this accounting method to estimate revenue from forfeited tickets at the date of travel. Estimated future refunds and exchanges included in the air traffic liability are routinely evaluated based on subsequent activity to validate the accuracy of our estimates. Any adjustments resulting from periodic evaluations of the estimated air traffic liability are included in passenger revenue during the period in which the evaluations are completed.</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Various taxes and fees assessed on the sale of tickets to end customers are collected by us as an agent and remitted to taxing authorities. These taxes and fees have been presented on a net basis in the accompanying consolidated statements of operations and recorded as a liability until remitted to the appropriate taxing authority.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Loyalty Revenue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We currently operate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the Citi and Barclaycard US co-branded credit cards, hotels and car rental companies. Mileage credits can be redeemed for travel on American and other participating partner airlines, as well as other non-air travel awards such as hotels and rental cars. For mileage credits earned by AAdvantage loyalty program members, we apply the deferred revenue method in accordance with the New Revenue Standard.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Mileage credits earned through travel</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miles is adjusted for an estimate of miles that will not be redeemed based on historical redemption patterns.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49"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Mileage credits sold to co-branded credit cards and other partners</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sell mileage credits to participating airline partners and non-airline business partners including our co-branded credit card partners, under contracts with terms extending generally for one to nine years. Consideration received from the sale of mileage credits is variable and payment terms typically are within 30 days subsequent to the month of mileage sale. Sales of mileage credits to non-airline business partners are comprised of two components, transportation and marketing. We allocate the consideration received from these sales of mileage credits based on the relative selling price of each product or service delivered.</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most significant partner agreements are our co-branded credit card agreements with Citi and Barclaycard US that we entered into in 2016. We identified the following revenue elements in these co-branded credit card agreements: the transportation component; and the use of intellectual property, including the American brand and access to loyalty program member lists, which is the predominant element in the agreements, as well as advertising (collectively, the marketing component). Accordingly, we recognize the marketing component in other revenue in the period of the mileage sale following the sales-based royalty method.</w:t>
      </w:r>
    </w:p>
    <w:p>
      <w:pPr>
        <w:spacing w:after="0" w:line="15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For the portion of our outstanding mileage credits that we estimate will not be redeemed, we recognize the associated value proportionally as the remaining mileage credits are redeemed. Our estimates are based on analysis of historical redemptions.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Cargo Revenue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is recognized when we provide the transportation.</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Revenue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Other revenue includes revenue associated with our loyalty program, which is comprised principally of the marketing component of mileage sales to co-branded credit card and other partners and other marketing related payments. For the years ended December 31, 2018, 2017 and 2016, loyalty revenue included in other revenue was $2.4 billion, $2.1 billion and $1.9 billion, respectively. The accounting and recognition for the loyalty program marketing services are discussed above in “</w:t>
      </w:r>
      <w:r>
        <w:rPr>
          <w:rFonts w:ascii="Arial" w:cs="Arial" w:eastAsia="Arial" w:hAnsi="Arial"/>
          <w:sz w:val="18"/>
          <w:szCs w:val="18"/>
          <w:i w:val="1"/>
          <w:iCs w:val="1"/>
          <w:color w:val="auto"/>
        </w:rPr>
        <w:t>Loyalty Revenue</w:t>
      </w:r>
      <w:r>
        <w:rPr>
          <w:rFonts w:ascii="Arial" w:cs="Arial" w:eastAsia="Arial" w:hAnsi="Arial"/>
          <w:sz w:val="18"/>
          <w:szCs w:val="18"/>
          <w:color w:val="auto"/>
        </w:rPr>
        <w:t>.” The remaining amounts included within other revenue relate to airport clubs, advertising and vacation-related services.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our consolidated balance sheet and (2) ticket sales for transportation that has not yet been provided, reported as air traffic liability on our consolidated balance sheet.</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376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0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6"/>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4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8,539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40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4,339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12,878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12,864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1850"/>
              <w:spacing w:after="0"/>
              <w:rPr>
                <w:sz w:val="20"/>
                <w:szCs w:val="20"/>
                <w:color w:val="auto"/>
              </w:rPr>
            </w:pPr>
            <w:r>
              <w:rPr>
                <w:rFonts w:ascii="Arial" w:cs="Arial" w:eastAsia="Arial" w:hAnsi="Arial"/>
                <w:sz w:val="18"/>
                <w:szCs w:val="18"/>
                <w:color w:val="auto"/>
              </w:rPr>
              <w:t>94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7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-1105535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31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8,822</w:t>
            </w:r>
          </w:p>
        </w:tc>
      </w:tr>
      <w:tr>
        <w:trPr>
          <w:trHeight w:val="250"/>
        </w:trPr>
        <w:tc>
          <w:tcPr>
            <w:tcW w:w="9700" w:type="dxa"/>
            <w:vAlign w:val="bottom"/>
          </w:tcPr>
          <w:p>
            <w:pPr>
              <w:ind w:left="28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3,083</w:t>
            </w:r>
          </w:p>
        </w:tc>
      </w:tr>
      <w:tr>
        <w:trPr>
          <w:trHeight w:val="263"/>
        </w:trPr>
        <w:tc>
          <w:tcPr>
            <w:tcW w:w="9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50"/>
        </w:trPr>
        <w:tc>
          <w:tcPr>
            <w:tcW w:w="9700" w:type="dxa"/>
            <w:vAlign w:val="bottom"/>
          </w:tcPr>
          <w:p>
            <w:pPr>
              <w:ind w:left="40"/>
              <w:spacing w:after="0"/>
              <w:rPr>
                <w:sz w:val="20"/>
                <w:szCs w:val="20"/>
                <w:color w:val="auto"/>
              </w:rPr>
            </w:pPr>
            <w:r>
              <w:rPr>
                <w:rFonts w:ascii="Arial" w:cs="Arial" w:eastAsia="Arial" w:hAnsi="Arial"/>
                <w:sz w:val="18"/>
                <w:szCs w:val="18"/>
                <w:color w:val="auto"/>
              </w:rPr>
              <w:t xml:space="preserve">Balance at December 31, 2018 </w:t>
            </w:r>
            <w:r>
              <w:rPr>
                <w:rFonts w:ascii="Arial" w:cs="Arial" w:eastAsia="Arial" w:hAnsi="Arial"/>
                <w:sz w:val="21"/>
                <w:szCs w:val="21"/>
                <w:color w:val="auto"/>
                <w:vertAlign w:val="superscript"/>
              </w:rPr>
              <w:t>(2)</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8,539</w:t>
            </w:r>
          </w:p>
        </w:tc>
      </w:tr>
      <w:tr>
        <w:trPr>
          <w:trHeight w:val="20"/>
        </w:trPr>
        <w:tc>
          <w:tcPr>
            <w:tcW w:w="9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jc w:val="both"/>
        <w:ind w:left="500" w:hanging="330"/>
        <w:spacing w:after="0" w:line="233" w:lineRule="auto"/>
        <w:tabs>
          <w:tab w:leader="none" w:pos="50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2"/>
          <w:szCs w:val="22"/>
          <w:color w:val="auto"/>
          <w:vertAlign w:val="superscript"/>
        </w:rPr>
      </w:pPr>
    </w:p>
    <w:p>
      <w:pPr>
        <w:jc w:val="both"/>
        <w:ind w:left="500" w:hanging="330"/>
        <w:spacing w:after="0" w:line="237" w:lineRule="auto"/>
        <w:tabs>
          <w:tab w:leader="none" w:pos="50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December 31, 2018, our current loyalty program liability was $3.3 billion and represents our current estimate of revenue expected to be recognized in the next twelve months based on historical trends, with the balance reflected in long-term loyalty program liability expected to be recognized as revenue in periods thereafter.</w:t>
      </w:r>
    </w:p>
    <w:p>
      <w:pPr>
        <w:spacing w:after="0" w:line="16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one year. Accordingly, any revenue associated with tickets sold for future travel will be recognized within twelve months. For 2018, $3.1 billion of revenue was recognized in passenger revenue that was included in our air traffic liability at December 31, 2017.</w:t>
      </w:r>
    </w:p>
    <w:p>
      <w:pPr>
        <w:spacing w:after="0" w:line="1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With respect to contract receivables, reflected as accounts receivable, net on the accompanying consolidated balance sheet, these primarily include receivables for tickets sold to individual passengers through the use of major credit cards. These receivables are short-term, mostly settled within seven days after sale. Bad debt losses, which have been minimal in the past, have been considered in establishing allowances for doubtful accounts.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 Maintenance, Materials and Repairs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Maintenance and repair costs for owned and leased flight equipment are charged to operating expense as incurred, except costs incurred for maintenance and repair under flight hour maintenance contract agreements, which are accrued based on contractual terms when an obligation exists.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 Selling Expenses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Selling expenses include credit card fees, commissions, computerized reservations systems fees and advertising. Advertising costs are expensed as incurred. Advertising expense was $128 million, $135 million and $116 million for the years ended December 31, 2018, 2017 and 2016, respectively.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 Share-based Compensation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account for our share-based compensation expense based on the fair value of the stock award at the time of grant, which is recognized ratably over the vesting period of the stock award. Certain awards have performance conditions that must be achieved prior to vesting and are expensed based on the expected achievement at each reporting period. The fair value of stock appreciation rights is estimated using a Black-Scholes option pricing model. The fair value of restricted stock units is based on the market price of the underlying shares of AAG common stock on the date of grant. See Note 15 for further discussion of share-based compensation.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 Foreign Currency Gains and Losses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Foreign currency gains and losses are recorded as part of other income, net within total nonoperating expense, net in our consolidated statements of operations. Foreign currency losses for 2018 and 2017 were $55 million and $4 million, respectively, and for 2016, foreign currency gains were $1 million.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49"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 Other Operating Expenses</w:t>
      </w:r>
    </w:p>
    <w:p>
      <w:pPr>
        <w:spacing w:after="0" w:line="11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Other operating expenses includes costs associated with ground and cargo handling, crew travel, aircraft food and catering, passenger accommodation, airport security, international navigation fees and certain general and administrative expenses.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 Regional Expenses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Expenses associated with American Eagle operations are classified as regional expenses on our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expenses consist of the following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6"/>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1,843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1,591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1,333</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1,431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1,538</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345</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301</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64"/>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457</w:t>
            </w:r>
          </w:p>
        </w:tc>
      </w:tr>
      <w:tr>
        <w:trPr>
          <w:trHeight w:val="250"/>
        </w:trPr>
        <w:tc>
          <w:tcPr>
            <w:tcW w:w="6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7,133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6,044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540" w:hanging="532"/>
        <w:spacing w:after="0" w:line="225" w:lineRule="auto"/>
        <w:tabs>
          <w:tab w:leader="none" w:pos="54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In 2018, we recognized $565 million of expense under our capacity purchase agreement with Republic Airline Inc. (Republic). We hold a 25% equity interest in Republic Airways Holdings Inc. (Republic Holdings), the parent company of Republic.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49"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Special items, net on our consolidated statements of operations consisted of the following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0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514</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1"/>
                <w:szCs w:val="21"/>
                <w:color w:val="auto"/>
                <w:vertAlign w:val="superscript"/>
              </w:rPr>
              <w:t>(4)</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(5)</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(6)</w:t>
            </w: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(7)</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(credits), net</w:t>
            </w:r>
          </w:p>
        </w:tc>
        <w:tc>
          <w:tcPr>
            <w:tcW w:w="10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6740" w:type="dxa"/>
            <w:vAlign w:val="bottom"/>
          </w:tcPr>
          <w:p>
            <w:pPr>
              <w:ind w:left="280"/>
              <w:spacing w:after="0"/>
              <w:rPr>
                <w:sz w:val="20"/>
                <w:szCs w:val="20"/>
                <w:color w:val="auto"/>
              </w:rPr>
            </w:pPr>
            <w:r>
              <w:rPr>
                <w:rFonts w:ascii="Arial" w:cs="Arial" w:eastAsia="Arial" w:hAnsi="Arial"/>
                <w:sz w:val="18"/>
                <w:szCs w:val="18"/>
                <w:color w:val="auto"/>
              </w:rPr>
              <w:t>Mainline operating special items, net</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709</w:t>
            </w: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Regional operating special items, net</w:t>
            </w:r>
          </w:p>
        </w:tc>
        <w:tc>
          <w:tcPr>
            <w:tcW w:w="10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50"/>
        </w:trPr>
        <w:tc>
          <w:tcPr>
            <w:tcW w:w="6740" w:type="dxa"/>
            <w:vAlign w:val="bottom"/>
          </w:tcPr>
          <w:p>
            <w:pPr>
              <w:ind w:left="500"/>
              <w:spacing w:after="0"/>
              <w:rPr>
                <w:sz w:val="20"/>
                <w:szCs w:val="20"/>
                <w:color w:val="auto"/>
              </w:rPr>
            </w:pPr>
            <w:r>
              <w:rPr>
                <w:rFonts w:ascii="Arial" w:cs="Arial" w:eastAsia="Arial" w:hAnsi="Arial"/>
                <w:sz w:val="18"/>
                <w:szCs w:val="18"/>
                <w:color w:val="auto"/>
              </w:rPr>
              <w:t>Operating special items, net</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723</w:t>
            </w:r>
          </w:p>
        </w:tc>
      </w:tr>
      <w:tr>
        <w:trPr>
          <w:trHeight w:val="331"/>
        </w:trPr>
        <w:tc>
          <w:tcPr>
            <w:tcW w:w="6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1"/>
                <w:szCs w:val="21"/>
                <w:color w:val="auto"/>
                <w:vertAlign w:val="superscript"/>
              </w:rPr>
              <w:t>(8)</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color w:val="auto"/>
              </w:rPr>
              <w:t>Other nonoperating credits, net</w:t>
            </w: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Nonoperating special items, net</w:t>
            </w:r>
          </w:p>
        </w:tc>
        <w:tc>
          <w:tcPr>
            <w:tcW w:w="100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324"/>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Income tax special items </w:t>
            </w:r>
            <w:r>
              <w:rPr>
                <w:rFonts w:ascii="Arial" w:cs="Arial" w:eastAsia="Arial" w:hAnsi="Arial"/>
                <w:sz w:val="21"/>
                <w:szCs w:val="21"/>
                <w:color w:val="auto"/>
                <w:vertAlign w:val="superscript"/>
              </w:rPr>
              <w:t>(9)</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Impact of the 2017 Tax Act </w:t>
            </w:r>
            <w:r>
              <w:rPr>
                <w:rFonts w:ascii="Arial" w:cs="Arial" w:eastAsia="Arial" w:hAnsi="Arial"/>
                <w:sz w:val="21"/>
                <w:szCs w:val="21"/>
                <w:color w:val="auto"/>
                <w:vertAlign w:val="superscript"/>
              </w:rPr>
              <w:t>(10)</w:t>
            </w:r>
          </w:p>
        </w:tc>
        <w:tc>
          <w:tcPr>
            <w:tcW w:w="10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 special items, net</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right="20" w:hanging="972"/>
        <w:spacing w:after="0" w:line="225" w:lineRule="auto"/>
        <w:tabs>
          <w:tab w:leader="none" w:pos="494"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09"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our flight attendant, human resources and payroll, and technical operations systems.</w:t>
      </w:r>
    </w:p>
    <w:p>
      <w:pPr>
        <w:spacing w:after="0" w:line="72"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Severance expenses primarily included costs associated with reductions of management and support staff team members.</w:t>
      </w:r>
    </w:p>
    <w:p>
      <w:pPr>
        <w:spacing w:after="0" w:line="89" w:lineRule="exact"/>
        <w:rPr>
          <w:rFonts w:ascii="Arial" w:cs="Arial" w:eastAsia="Arial" w:hAnsi="Arial"/>
          <w:sz w:val="22"/>
          <w:szCs w:val="22"/>
          <w:color w:val="auto"/>
          <w:vertAlign w:val="superscript"/>
        </w:rPr>
      </w:pPr>
    </w:p>
    <w:p>
      <w:pPr>
        <w:ind w:left="980" w:hanging="972"/>
        <w:spacing w:after="0" w:line="235" w:lineRule="auto"/>
        <w:tabs>
          <w:tab w:leader="none" w:pos="494"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Settlement of a private party antitrust lawsuit. See Note 12(e) - “</w:t>
      </w:r>
      <w:r>
        <w:rPr>
          <w:rFonts w:ascii="Arial" w:cs="Arial" w:eastAsia="Arial" w:hAnsi="Arial"/>
          <w:sz w:val="18"/>
          <w:szCs w:val="18"/>
          <w:i w:val="1"/>
          <w:iCs w:val="1"/>
          <w:color w:val="auto"/>
        </w:rPr>
        <w:t>Private Party Antitrust Action Related to Passenger Capacity</w:t>
      </w:r>
      <w:r>
        <w:rPr>
          <w:rFonts w:ascii="Arial" w:cs="Arial" w:eastAsia="Arial" w:hAnsi="Arial"/>
          <w:sz w:val="18"/>
          <w:szCs w:val="18"/>
          <w:color w:val="auto"/>
        </w:rPr>
        <w:t>” for further discussion.</w:t>
      </w:r>
    </w:p>
    <w:p>
      <w:pPr>
        <w:spacing w:after="0" w:line="107"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our Brazil route authority as a result of the U.S.-Brazil open skies agreement.</w:t>
      </w:r>
    </w:p>
    <w:p>
      <w:pPr>
        <w:spacing w:after="0" w:line="72"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07"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Employee bonus expense included costs related to the $1,000 cash bonus and associated payroll taxes granted to mainline employees as of December 31, 2017 in recognition of the 2017 Tax Act.</w:t>
      </w:r>
    </w:p>
    <w:p>
      <w:pPr>
        <w:spacing w:after="0" w:line="109"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investments relate to net unrealized losses primarily associated with our equity investments in China Southern Airlines and Mesa Air Group, Inc.</w:t>
      </w:r>
    </w:p>
    <w:p>
      <w:pPr>
        <w:spacing w:after="0" w:line="72"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Income tax special items for 2018 included an $18 million charge related to an international income tax matter.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49"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382" w:lineRule="exact"/>
        <w:rPr>
          <w:sz w:val="20"/>
          <w:szCs w:val="20"/>
          <w:color w:val="auto"/>
        </w:rPr>
      </w:pPr>
    </w:p>
    <w:p>
      <w:pPr>
        <w:ind w:left="980" w:right="20" w:hanging="972"/>
        <w:spacing w:after="0" w:line="233" w:lineRule="auto"/>
        <w:tabs>
          <w:tab w:leader="none" w:pos="494"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Impact of the 2017 Tax Act includes an $823 million non-cash charge to income tax expense to reflect the impact of lower corporate income tax rates on our deferred tax asset and liabilities resulting from the 2017 Tax Act, which reduced the federal corporate income tax rate from 35% to 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following table sets forth the computation of basic and diluted earnings per common share (EPS) (in millions, except share and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1,412</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2,584</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(in thousands)</w:t>
            </w: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464,236</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489,164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552,308</w:t>
            </w:r>
          </w:p>
        </w:tc>
      </w:tr>
      <w:tr>
        <w:trPr>
          <w:trHeight w:val="284"/>
        </w:trPr>
        <w:tc>
          <w:tcPr>
            <w:tcW w:w="7080" w:type="dxa"/>
            <w:vAlign w:val="bottom"/>
          </w:tcPr>
          <w:p>
            <w:pPr>
              <w:ind w:left="280"/>
              <w:spacing w:after="0"/>
              <w:rPr>
                <w:sz w:val="20"/>
                <w:szCs w:val="20"/>
                <w:color w:val="auto"/>
              </w:rPr>
            </w:pPr>
            <w:r>
              <w:rPr>
                <w:rFonts w:ascii="Arial" w:cs="Arial" w:eastAsia="Arial" w:hAnsi="Arial"/>
                <w:sz w:val="18"/>
                <w:szCs w:val="18"/>
                <w:color w:val="auto"/>
              </w:rPr>
              <w:t>Basic EPS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3.04</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4.68</w:t>
            </w:r>
          </w:p>
        </w:tc>
      </w:tr>
      <w:tr>
        <w:trPr>
          <w:trHeight w:val="311"/>
        </w:trPr>
        <w:tc>
          <w:tcPr>
            <w:tcW w:w="70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for purposes of computing diluted EPS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2,584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Share computation for diluted EPS (in thousands):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 weighted average common shares outstanding</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464,236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489,164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552,308</w:t>
            </w:r>
          </w:p>
        </w:tc>
      </w:tr>
      <w:tr>
        <w:trPr>
          <w:trHeight w:val="264"/>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Dilutive effect of stock awards</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3,791</w:t>
            </w:r>
          </w:p>
        </w:tc>
      </w:tr>
      <w:tr>
        <w:trPr>
          <w:trHeight w:val="257"/>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465,660</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491,692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556,099</w:t>
            </w:r>
          </w:p>
        </w:tc>
      </w:tr>
      <w:tr>
        <w:trPr>
          <w:trHeight w:val="284"/>
        </w:trPr>
        <w:tc>
          <w:tcPr>
            <w:tcW w:w="7080" w:type="dxa"/>
            <w:vAlign w:val="bottom"/>
          </w:tcPr>
          <w:p>
            <w:pPr>
              <w:ind w:left="720"/>
              <w:spacing w:after="0"/>
              <w:rPr>
                <w:sz w:val="20"/>
                <w:szCs w:val="20"/>
                <w:color w:val="auto"/>
              </w:rPr>
            </w:pPr>
            <w:r>
              <w:rPr>
                <w:rFonts w:ascii="Arial" w:cs="Arial" w:eastAsia="Arial" w:hAnsi="Arial"/>
                <w:sz w:val="18"/>
                <w:szCs w:val="18"/>
                <w:color w:val="auto"/>
              </w:rPr>
              <w:t>Diluted EPS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4.65</w:t>
            </w:r>
          </w:p>
        </w:tc>
      </w:tr>
      <w:tr>
        <w:trPr>
          <w:trHeight w:val="311"/>
        </w:trPr>
        <w:tc>
          <w:tcPr>
            <w:tcW w:w="70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rPr>
              <w:t>Restricted stock unit awards excluded from the calculation of diluted EPS because</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7"/>
        </w:trPr>
        <w:tc>
          <w:tcPr>
            <w:tcW w:w="7080" w:type="dxa"/>
            <w:vAlign w:val="bottom"/>
          </w:tcPr>
          <w:p>
            <w:pPr>
              <w:ind w:left="200"/>
              <w:spacing w:after="0"/>
              <w:rPr>
                <w:sz w:val="20"/>
                <w:szCs w:val="20"/>
                <w:color w:val="auto"/>
              </w:rPr>
            </w:pPr>
            <w:r>
              <w:rPr>
                <w:rFonts w:ascii="Arial" w:cs="Arial" w:eastAsia="Arial" w:hAnsi="Arial"/>
                <w:sz w:val="18"/>
                <w:szCs w:val="18"/>
                <w:color w:val="auto"/>
              </w:rPr>
              <w:t>inclusion would be antidilutive (in thousands)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1,429</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Dividends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April 2018, we announced that our Board of Directors authorized a new $2.0 billion share repurchase program that expires on December 31, 2020. Since July 2014, our Board of Directors has approved seven share repurchase programs aggregating $13.0 billion of authority. As of December 31, 2018, there was $1.7 billion remaining authority to repurchase shares under our new $2.0 billion share repurchase program. Share repurchases under our repurchase programs may be made through a variety of methods, which may include open market purchases, privately negotiated transactions, block trades or accelerated share repurchase transactions. Any such repurchases that may be made from time to time will be subject to market and economic conditions, applicable legal requirements and other relevant factors. We are not obligated to repurchase any specific number of shares and our repurchase of AAG common stock may be limited, suspended or discontinued at any time at our discretion and without prior notice.</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2018, we repurchased 16.6 million shares of AAG common stock for $800 million at a weighted average cost per share of $48.15. In 2017, we repurchased 33.9 million shares of AAG common stock for $1.6 billion at a weighted average cost per share of $45.68. In 2016, we repurchased 119.8 million shares of AAG common stock for $4.4 billion at a weighted average cost per share of $36.86. Since the inception of our share repurchase programs in July 2014 through December 31, 2018, we have repurchased 278.9 million shares of AAG common stock for $11.3 billion at a weighted average cost per share of $40.69.</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Board of Directors declared quarterly cash dividends of $0.10 per share totaling $186 million, $198 million and $224 million for 2018, 2017 and 2016,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49"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Long-term debt included in the consolidated balance sheets consisted of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8560" w:type="dxa"/>
            <w:vAlign w:val="bottom"/>
          </w:tcPr>
          <w:p>
            <w:pPr>
              <w:ind w:left="280"/>
              <w:spacing w:after="0"/>
              <w:rPr>
                <w:sz w:val="20"/>
                <w:szCs w:val="20"/>
                <w:color w:val="auto"/>
              </w:rPr>
            </w:pPr>
            <w:r>
              <w:rPr>
                <w:rFonts w:ascii="Arial" w:cs="Arial" w:eastAsia="Arial" w:hAnsi="Arial"/>
                <w:sz w:val="18"/>
                <w:szCs w:val="18"/>
                <w:color w:val="auto"/>
              </w:rPr>
              <w:t xml:space="preserve">2013 Credit Facilities, variable interest rate of 4.26%, installments through 2025 </w:t>
            </w:r>
            <w:r>
              <w:rPr>
                <w:rFonts w:ascii="Arial" w:cs="Arial" w:eastAsia="Arial" w:hAnsi="Arial"/>
                <w:sz w:val="21"/>
                <w:szCs w:val="21"/>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1,825</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2014 Credit Facilities, variable interest rate of 4.39%, installments through 2021 </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r>
      <w:tr>
        <w:trPr>
          <w:trHeight w:val="270"/>
        </w:trPr>
        <w:tc>
          <w:tcPr>
            <w:tcW w:w="8560" w:type="dxa"/>
            <w:vAlign w:val="bottom"/>
          </w:tcPr>
          <w:p>
            <w:pPr>
              <w:ind w:left="280"/>
              <w:spacing w:after="0"/>
              <w:rPr>
                <w:sz w:val="20"/>
                <w:szCs w:val="20"/>
                <w:color w:val="auto"/>
              </w:rPr>
            </w:pPr>
            <w:r>
              <w:rPr>
                <w:rFonts w:ascii="Arial" w:cs="Arial" w:eastAsia="Arial" w:hAnsi="Arial"/>
                <w:sz w:val="18"/>
                <w:szCs w:val="18"/>
                <w:color w:val="auto"/>
              </w:rPr>
              <w:t xml:space="preserve">April 2016 Credit Facilities, variable interest rate of 4.52%, installments through 2023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990</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December 2016 Credit Facilities, variable interest rate of 4.46%, installments through 2023 </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1,238</w:t>
            </w:r>
          </w:p>
        </w:tc>
      </w:tr>
      <w:tr>
        <w:trPr>
          <w:trHeight w:val="226"/>
        </w:trPr>
        <w:tc>
          <w:tcPr>
            <w:tcW w:w="8560" w:type="dxa"/>
            <w:vAlign w:val="bottom"/>
          </w:tcPr>
          <w:p>
            <w:pPr>
              <w:ind w:left="280"/>
              <w:spacing w:after="0"/>
              <w:rPr>
                <w:sz w:val="20"/>
                <w:szCs w:val="20"/>
                <w:color w:val="auto"/>
              </w:rPr>
            </w:pPr>
            <w:r>
              <w:rPr>
                <w:rFonts w:ascii="Arial" w:cs="Arial" w:eastAsia="Arial" w:hAnsi="Arial"/>
                <w:sz w:val="18"/>
                <w:szCs w:val="18"/>
                <w:color w:val="auto"/>
              </w:rPr>
              <w:t>Aircraft enhanced equipment trust certificates (EETCs), fixed interest rates ranging from 3.00% to</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3"/>
        </w:trPr>
        <w:tc>
          <w:tcPr>
            <w:tcW w:w="8560" w:type="dxa"/>
            <w:vAlign w:val="bottom"/>
          </w:tcPr>
          <w:p>
            <w:pPr>
              <w:ind w:left="440"/>
              <w:spacing w:after="0" w:line="233" w:lineRule="exact"/>
              <w:rPr>
                <w:sz w:val="20"/>
                <w:szCs w:val="20"/>
                <w:color w:val="auto"/>
              </w:rPr>
            </w:pPr>
            <w:r>
              <w:rPr>
                <w:rFonts w:ascii="Arial" w:cs="Arial" w:eastAsia="Arial" w:hAnsi="Arial"/>
                <w:sz w:val="18"/>
                <w:szCs w:val="18"/>
                <w:color w:val="auto"/>
              </w:rPr>
              <w:t xml:space="preserve">9.01%, averaging 4.21%, maturing from 2019 to 2029 </w:t>
            </w:r>
            <w:r>
              <w:rPr>
                <w:rFonts w:ascii="Arial" w:cs="Arial" w:eastAsia="Arial" w:hAnsi="Arial"/>
                <w:sz w:val="21"/>
                <w:szCs w:val="21"/>
                <w:color w:val="auto"/>
                <w:vertAlign w:val="superscript"/>
              </w:rPr>
              <w:t>(b)</w:t>
            </w:r>
          </w:p>
        </w:tc>
        <w:tc>
          <w:tcPr>
            <w:tcW w:w="3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11,648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11,881</w:t>
            </w:r>
          </w:p>
        </w:tc>
      </w:tr>
      <w:tr>
        <w:trPr>
          <w:trHeight w:val="226"/>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Equipment loans and other notes payable, fixed and variable interest rates ranging from 2.34% to</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3"/>
        </w:trPr>
        <w:tc>
          <w:tcPr>
            <w:tcW w:w="8560" w:type="dxa"/>
            <w:vAlign w:val="bottom"/>
            <w:shd w:val="clear" w:color="auto" w:fill="CCEEFF"/>
          </w:tcPr>
          <w:p>
            <w:pPr>
              <w:ind w:left="440"/>
              <w:spacing w:after="0" w:line="233" w:lineRule="exact"/>
              <w:rPr>
                <w:sz w:val="20"/>
                <w:szCs w:val="20"/>
                <w:color w:val="auto"/>
              </w:rPr>
            </w:pPr>
            <w:r>
              <w:rPr>
                <w:rFonts w:ascii="Arial" w:cs="Arial" w:eastAsia="Arial" w:hAnsi="Arial"/>
                <w:sz w:val="18"/>
                <w:szCs w:val="18"/>
                <w:color w:val="auto"/>
              </w:rPr>
              <w:t xml:space="preserve">8.48%, averaging 4.26%, maturing from 2019 to 2030 </w:t>
            </w:r>
            <w:r>
              <w:rPr>
                <w:rFonts w:ascii="Arial" w:cs="Arial" w:eastAsia="Arial" w:hAnsi="Arial"/>
                <w:sz w:val="21"/>
                <w:szCs w:val="21"/>
                <w:color w:val="auto"/>
                <w:vertAlign w:val="superscript"/>
              </w:rPr>
              <w:t>(c)</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5,259</w:t>
            </w:r>
          </w:p>
        </w:tc>
      </w:tr>
      <w:tr>
        <w:trPr>
          <w:trHeight w:val="229"/>
        </w:trPr>
        <w:tc>
          <w:tcPr>
            <w:tcW w:w="8560" w:type="dxa"/>
            <w:vAlign w:val="bottom"/>
          </w:tcPr>
          <w:p>
            <w:pPr>
              <w:ind w:left="280"/>
              <w:spacing w:after="0"/>
              <w:rPr>
                <w:sz w:val="20"/>
                <w:szCs w:val="20"/>
                <w:color w:val="auto"/>
              </w:rPr>
            </w:pPr>
            <w:r>
              <w:rPr>
                <w:rFonts w:ascii="Arial" w:cs="Arial" w:eastAsia="Arial" w:hAnsi="Arial"/>
                <w:sz w:val="18"/>
                <w:szCs w:val="18"/>
                <w:color w:val="auto"/>
              </w:rPr>
              <w:t>Special facility revenue bonds, fixed interest rates ranging from 5.00% to 8.00%, maturing from 2019 to</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8560" w:type="dxa"/>
            <w:vAlign w:val="bottom"/>
          </w:tcPr>
          <w:p>
            <w:pPr>
              <w:ind w:left="440"/>
              <w:spacing w:after="0"/>
              <w:rPr>
                <w:sz w:val="20"/>
                <w:szCs w:val="20"/>
                <w:color w:val="auto"/>
              </w:rPr>
            </w:pPr>
            <w:r>
              <w:rPr>
                <w:rFonts w:ascii="Arial" w:cs="Arial" w:eastAsia="Arial" w:hAnsi="Arial"/>
                <w:sz w:val="18"/>
                <w:szCs w:val="18"/>
                <w:color w:val="auto"/>
              </w:rPr>
              <w:t>2031</w:t>
            </w:r>
          </w:p>
        </w:tc>
        <w:tc>
          <w:tcPr>
            <w:tcW w:w="3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857</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secured obligations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50"/>
        </w:trPr>
        <w:tc>
          <w:tcPr>
            <w:tcW w:w="85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22,751</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22,780</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Unsecured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8560" w:type="dxa"/>
            <w:vAlign w:val="bottom"/>
          </w:tcPr>
          <w:p>
            <w:pPr>
              <w:ind w:left="280"/>
              <w:spacing w:after="0"/>
              <w:rPr>
                <w:sz w:val="20"/>
                <w:szCs w:val="20"/>
                <w:color w:val="auto"/>
              </w:rPr>
            </w:pPr>
            <w:r>
              <w:rPr>
                <w:rFonts w:ascii="Arial" w:cs="Arial" w:eastAsia="Arial" w:hAnsi="Arial"/>
                <w:sz w:val="18"/>
                <w:szCs w:val="18"/>
                <w:color w:val="auto"/>
              </w:rPr>
              <w:t xml:space="preserve">5.50% senior notes, interest only payments until due in 2019 </w:t>
            </w:r>
            <w:r>
              <w:rPr>
                <w:rFonts w:ascii="Arial" w:cs="Arial" w:eastAsia="Arial" w:hAnsi="Arial"/>
                <w:sz w:val="21"/>
                <w:szCs w:val="21"/>
                <w:color w:val="auto"/>
                <w:vertAlign w:val="superscript"/>
              </w:rPr>
              <w:t>(d)</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4.625% senior notes, interest only payments until due in 2020 </w:t>
            </w:r>
            <w:r>
              <w:rPr>
                <w:rFonts w:ascii="Arial" w:cs="Arial" w:eastAsia="Arial" w:hAnsi="Arial"/>
                <w:sz w:val="21"/>
                <w:szCs w:val="21"/>
                <w:color w:val="auto"/>
                <w:vertAlign w:val="superscript"/>
              </w:rPr>
              <w:t>(d)</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64"/>
        </w:trPr>
        <w:tc>
          <w:tcPr>
            <w:tcW w:w="8560" w:type="dxa"/>
            <w:vAlign w:val="bottom"/>
          </w:tcPr>
          <w:p>
            <w:pPr>
              <w:ind w:left="280"/>
              <w:spacing w:after="0"/>
              <w:rPr>
                <w:sz w:val="20"/>
                <w:szCs w:val="20"/>
                <w:color w:val="auto"/>
              </w:rPr>
            </w:pPr>
            <w:r>
              <w:rPr>
                <w:rFonts w:ascii="Arial" w:cs="Arial" w:eastAsia="Arial" w:hAnsi="Arial"/>
                <w:sz w:val="18"/>
                <w:szCs w:val="18"/>
                <w:color w:val="auto"/>
              </w:rPr>
              <w:t>6.125% senior notes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57"/>
        </w:trPr>
        <w:tc>
          <w:tcPr>
            <w:tcW w:w="856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1,250</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24,001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24,530</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Total unamortized debt discount, premium and issuance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64"/>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Current maturities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3,213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2,476</w:t>
            </w: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debt, net of current maturities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20,566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21,818</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December 31, 2018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7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1,543</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7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4"/>
        </w:trPr>
        <w:tc>
          <w:tcPr>
            <w:tcW w:w="9580" w:type="dxa"/>
            <w:vAlign w:val="bottom"/>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2,843</w:t>
            </w:r>
          </w:p>
        </w:tc>
      </w:tr>
      <w:tr>
        <w:trPr>
          <w:trHeight w:val="20"/>
        </w:trPr>
        <w:tc>
          <w:tcPr>
            <w:tcW w:w="9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airport slots and pre-delivery payments.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2018, the maturities of long-term debt are as follows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3,258</w:t>
            </w:r>
          </w:p>
        </w:tc>
      </w:tr>
      <w:tr>
        <w:trPr>
          <w:trHeight w:val="250"/>
        </w:trPr>
        <w:tc>
          <w:tcPr>
            <w:tcW w:w="9480" w:type="dxa"/>
            <w:vAlign w:val="bottom"/>
          </w:tcPr>
          <w:p>
            <w:pPr>
              <w:ind w:left="40"/>
              <w:spacing w:after="0"/>
              <w:rPr>
                <w:sz w:val="20"/>
                <w:szCs w:val="20"/>
                <w:color w:val="auto"/>
              </w:rPr>
            </w:pPr>
            <w:r>
              <w:rPr>
                <w:rFonts w:ascii="Arial" w:cs="Arial" w:eastAsia="Arial" w:hAnsi="Arial"/>
                <w:sz w:val="18"/>
                <w:szCs w:val="18"/>
                <w:color w:val="auto"/>
              </w:rPr>
              <w:t>2020</w:t>
            </w:r>
          </w:p>
        </w:tc>
        <w:tc>
          <w:tcPr>
            <w:tcW w:w="7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2,320</w:t>
            </w:r>
          </w:p>
        </w:tc>
      </w:tr>
      <w:tr>
        <w:trPr>
          <w:trHeight w:val="26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3,411</w:t>
            </w:r>
          </w:p>
        </w:tc>
      </w:tr>
      <w:tr>
        <w:trPr>
          <w:trHeight w:val="250"/>
        </w:trPr>
        <w:tc>
          <w:tcPr>
            <w:tcW w:w="9480" w:type="dxa"/>
            <w:vAlign w:val="bottom"/>
          </w:tcPr>
          <w:p>
            <w:pPr>
              <w:ind w:left="40"/>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1,346</w:t>
            </w:r>
          </w:p>
        </w:tc>
      </w:tr>
      <w:tr>
        <w:trPr>
          <w:trHeight w:val="26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3,894</w:t>
            </w:r>
          </w:p>
        </w:tc>
      </w:tr>
      <w:tr>
        <w:trPr>
          <w:trHeight w:val="250"/>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2024 and thereafter</w:t>
            </w:r>
          </w:p>
        </w:tc>
        <w:tc>
          <w:tcPr>
            <w:tcW w:w="7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9,772</w:t>
            </w: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24,001</w:t>
            </w:r>
          </w:p>
        </w:tc>
      </w:tr>
      <w:tr>
        <w:trPr>
          <w:trHeight w:val="20"/>
        </w:trPr>
        <w:tc>
          <w:tcPr>
            <w:tcW w:w="9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549" w:right="2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40" w:right="5940" w:hanging="16"/>
        <w:spacing w:after="0" w:line="357" w:lineRule="auto"/>
        <w:tabs>
          <w:tab w:leader="none" w:pos="497"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2013, 2014, April 2016 and December 2016 Credit Facilities </w:t>
      </w:r>
      <w:r>
        <w:rPr>
          <w:rFonts w:ascii="Arial" w:cs="Arial" w:eastAsia="Arial" w:hAnsi="Arial"/>
          <w:sz w:val="18"/>
          <w:szCs w:val="18"/>
          <w:i w:val="1"/>
          <w:iCs w:val="1"/>
          <w:u w:val="single" w:color="auto"/>
          <w:color w:val="auto"/>
        </w:rPr>
        <w:t>2013 Credit Facilities</w:t>
      </w:r>
    </w:p>
    <w:p>
      <w:pPr>
        <w:jc w:val="both"/>
        <w:ind w:firstLine="230"/>
        <w:spacing w:after="0" w:line="251" w:lineRule="auto"/>
        <w:rPr>
          <w:sz w:val="20"/>
          <w:szCs w:val="20"/>
          <w:color w:val="auto"/>
        </w:rPr>
      </w:pPr>
      <w:r>
        <w:rPr>
          <w:rFonts w:ascii="Arial" w:cs="Arial" w:eastAsia="Arial" w:hAnsi="Arial"/>
          <w:sz w:val="18"/>
          <w:szCs w:val="18"/>
          <w:color w:val="auto"/>
        </w:rPr>
        <w:t>In May 2018, American and AAG entered into a Fourth Amendment (the Fourth Amendment to the 2013 Credit Agreement) to the Amended and Restated Credit and Guaranty Agreement, amending the Amended and Restated Credit and Guaranty Agreement dated as of May 21, 2015, which amended and restated the Credit and Guaranty Agreement dated as of June 27, 2013 (as previously amended, the 2013 Credit Agreement, the revolving facility established thereunder, the 2013 Revolving Facility, the term loan facility established thereunder, the 2013 Term Loan Facility, and the 2013 Revolving Facility together with the 2013 Term Loan Facility, the 2013 Credit Facilities), pursuant to which American refinanced $1.8 billion of the existing term loans outstanding under the 2013 Credit Facilities with proceeds of term loans incurred under the Fourth Amendment to the 2013 Credit Agreement (the 2013 Replacement Term Loans). The LIBOR margin on the 2013 Replacement Term Loans was reduced from 2.00% to 1.75% and the base rate margin on the 2013 Replacement Term Loans was reduced from 1.00% to 0.75%. Additionally, the maturity date of the 2013 Replacement Term Loans was extended to June 2025 pursuant to the Fourth Amendment to the 2013 Credit Agreement.</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December 2018, American and AAG entered into a Fifth Amendment (the Fifth Amendment to the 2013 Credit Agreement) to the 2013 Credit Agreement, as previously amended by the Fourth Amendment to the 2013 Credit Agreement. Pursuant to the Fifth Amendment to the 2013 Credit Agreement, adjustments to the 2013 Revolving Facility were made, including reducing the total aggregate commitments under the 2013 Revolving Facility by $200 million, extending the maturity date for the revolver loans thereunder from October 2022 to October 2023 and reducing the LIBOR margin from 2.25% to 2.00% and the base rate margin from 1.25% to 1.00% for certain of the lenders of the revolver loans thereunder. As of December 31, 2018, there were no borrowings or letters of credit outstanding under the 2013 Revolving Facility.</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108"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8"/>
          <w:szCs w:val="18"/>
          <w:color w:val="auto"/>
        </w:rPr>
        <w:t>In September 2018, American and AAG entered into a Fifth Amendment (the Fifth Amendment to the 2014 Credit Agreement) to the Amended and Restated Credit and Guaranty Agreement, amending the Amended and Restated Credit and Guaranty Agreement dated as of April 20, 2015, which amended and restated the Credit and Guaranty Agreement dated as of October 10, 2014 (as previously amended, the 2014 Credit Agreement, the revolving credit facility established thereunder, the 2014 Revolving Facility, the term loan facility established thereunder, the 2014 Term Loan Facility, and the 2014 Revolving Facility together with the 2014 Term Loan Facility, the 2014 Credit Facilities). The Fifth Amendment to the 2014 Credit Agreement provides for incremental term loans in the amount of $ 500 million under the 2014 Term Loan Facility. The terms of such incremental term loans are substantially similar to the terms of the existing term loans under the 2014 Term Loan Facility, including those with regard to maturity and interest rate margins. As of December 31, 2018, approximately $1.2 billion was outstanding under the 2014 Term Loan Facility.</w:t>
      </w:r>
    </w:p>
    <w:p>
      <w:pPr>
        <w:spacing w:after="0" w:line="159"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December 2018, American and AAG entered into a Sixth Amendment (the Sixth Amendment to the 2014 Credit Agreement) to the 2014 Credit Agreement, as previously amended by the Fifth Amendment to the 2014 Credit Agreement. Pursuant to the Sixth Amendment to the 2014 Credit Agreement, adjustments to the 2014 Revolving Facility were made, including increasing the total aggregate commitments under the 2014 Revolving Facility by approximately $543 million, extending the maturity date for the revolver loans thereunder from October 2022 to October 2023 and reducing the LIBOR margin from 2.25% to 2.00% and the base rate margin from 1.25% to 1.00% for certain of the lenders of the revolver loans thereunder. In addition to the slots, gates and routes (SGR) between airports in the United States and LHR previously pledged as collateral for the 2014 Credit Facilities, SGR between airports in the United States and other countries in the European Union were added as collateral under the 2014 Credit Facilities pursuant to the Sixth Amendment to the 2014 Credit Agreement. As of December 31, 2018, there were no borrowings or letters of credit outstanding under the 2014 Revolving Facility.</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April 2016 Credit Facilities</w:t>
      </w:r>
    </w:p>
    <w:p>
      <w:pPr>
        <w:spacing w:after="0" w:line="189"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December 2018, American and AAG entered into a Fourth Amendment (the Fourth Amendment to the April 2016 Credit Agreement) to the Credit and Guaranty Agreement, amending the Credit and Guaranty Agreement dated as of April 29, 2016 (as previously amended, the April 2016 Credit Agreement, and the revolving credit facility established thereunder, the April 2016 Revolving Facility, the term loan facility established thereunder, the 2016 Term Loan Facility and the 2016 April Revolving Facility together with the 2016 Term Loan Facility, the April 2016 Credit Facilities). Pursuant to the Fourth Amendment to the April 2016 Credit Agreement, adjustments to the April 2016 Revolving Facility were made, including extending the maturity date from October 2022 to October 2023 for the revolver loans established thereunder and reducing the LIBOR margin from 2.25% to 2.00% and the base rate margin from 1.25% to 1.00% for certain of the lenders of the revolver loans thereunder. As of December 31, 2018, there were no borrowings or letters of credit outstanding under the April 2016 Revolving Facility.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49"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December 2016 Credit Facilities</w:t>
      </w:r>
    </w:p>
    <w:p>
      <w:pPr>
        <w:spacing w:after="0" w:line="189"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November 2017, American and AAG entered into the First Amendment to the Amended and Restated Credit and Guaranty Agreement, amending the Amended and Restated Credit and Guaranty Agreement, dated as of December 15, 2016, pursuant to which American refinanced the $ 1.3 billion term loan facility due December 2023 established thereunder (the December 2016 Term Loan Facility, and together with a revolving credit facility that may be established thereunder in the future, the December 2016 Credit Facilities), to reduce the LIBOR margin from 2.50% to 2.00% and the base rate margin from 1.50% to 1.00%.</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Certain details of our 2013 Credit Facilities, 2014 Credit Facilities, April 2016 Credit Facilities and December 2016 Credit Facilities (collectively referred to as the Credit Facilities) are shown in the table below as of December 31, 2018:</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25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2013 Credit Facilities</w:t>
            </w:r>
          </w:p>
        </w:tc>
        <w:tc>
          <w:tcPr>
            <w:tcW w:w="120" w:type="dxa"/>
            <w:vAlign w:val="bottom"/>
          </w:tcPr>
          <w:p>
            <w:pPr>
              <w:spacing w:after="0"/>
              <w:rPr>
                <w:sz w:val="17"/>
                <w:szCs w:val="17"/>
                <w:color w:val="auto"/>
              </w:rPr>
            </w:pPr>
          </w:p>
        </w:tc>
        <w:tc>
          <w:tcPr>
            <w:tcW w:w="24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2014 Credit Facilities</w:t>
            </w:r>
          </w:p>
        </w:tc>
        <w:tc>
          <w:tcPr>
            <w:tcW w:w="100" w:type="dxa"/>
            <w:vAlign w:val="bottom"/>
          </w:tcPr>
          <w:p>
            <w:pPr>
              <w:spacing w:after="0"/>
              <w:rPr>
                <w:sz w:val="17"/>
                <w:szCs w:val="17"/>
                <w:color w:val="auto"/>
              </w:rPr>
            </w:pPr>
          </w:p>
        </w:tc>
        <w:tc>
          <w:tcPr>
            <w:tcW w:w="23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April 2016 Credit Facilities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0" w:type="dxa"/>
            <w:vAlign w:val="bottom"/>
          </w:tcPr>
          <w:p>
            <w:pPr>
              <w:spacing w:after="0"/>
              <w:rPr>
                <w:sz w:val="1"/>
                <w:szCs w:val="1"/>
                <w:color w:val="auto"/>
              </w:rPr>
            </w:pPr>
          </w:p>
        </w:tc>
      </w:tr>
      <w:tr>
        <w:trPr>
          <w:trHeight w:val="175"/>
        </w:trPr>
        <w:tc>
          <w:tcPr>
            <w:tcW w:w="26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April 2016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Replacement</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Revolving</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Revolving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 Term</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Revolving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 Loan</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Facility</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2014 Term Loan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Loan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principal issued or</w:t>
            </w: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credit facility availability</w:t>
            </w:r>
          </w:p>
        </w:tc>
        <w:tc>
          <w:tcPr>
            <w:tcW w:w="1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$1,900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$1,543</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$300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$1,250</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millions)</w:t>
            </w: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Principal outstanding or drawn</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8"/>
              </w:rPr>
              <w:t>$1,825</w:t>
            </w:r>
          </w:p>
        </w:tc>
        <w:tc>
          <w:tcPr>
            <w:tcW w:w="120" w:type="dxa"/>
            <w:vAlign w:val="bottom"/>
          </w:tcPr>
          <w:p>
            <w:pPr>
              <w:spacing w:after="0"/>
              <w:rPr>
                <w:sz w:val="19"/>
                <w:szCs w:val="19"/>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$980</w:t>
            </w:r>
          </w:p>
        </w:tc>
        <w:tc>
          <w:tcPr>
            <w:tcW w:w="100" w:type="dxa"/>
            <w:vAlign w:val="bottom"/>
          </w:tcPr>
          <w:p>
            <w:pPr>
              <w:spacing w:after="0"/>
              <w:rPr>
                <w:sz w:val="19"/>
                <w:szCs w:val="19"/>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8"/>
              </w:rPr>
              <w:t>$1,225</w:t>
            </w:r>
          </w:p>
        </w:tc>
        <w:tc>
          <w:tcPr>
            <w:tcW w:w="0" w:type="dxa"/>
            <w:vAlign w:val="bottom"/>
          </w:tcPr>
          <w:p>
            <w:pPr>
              <w:spacing w:after="0"/>
              <w:rPr>
                <w:sz w:val="1"/>
                <w:szCs w:val="1"/>
                <w:color w:val="auto"/>
              </w:rPr>
            </w:pPr>
          </w:p>
        </w:tc>
      </w:tr>
      <w:tr>
        <w:trPr>
          <w:trHeight w:val="109"/>
        </w:trPr>
        <w:tc>
          <w:tcPr>
            <w:tcW w:w="2640" w:type="dxa"/>
            <w:vAlign w:val="bottom"/>
            <w:vMerge w:val="restart"/>
          </w:tcPr>
          <w:p>
            <w:pPr>
              <w:ind w:left="40"/>
              <w:spacing w:after="0"/>
              <w:rPr>
                <w:sz w:val="20"/>
                <w:szCs w:val="20"/>
                <w:color w:val="auto"/>
              </w:rPr>
            </w:pPr>
            <w:r>
              <w:rPr>
                <w:rFonts w:ascii="Arial" w:cs="Arial" w:eastAsia="Arial" w:hAnsi="Arial"/>
                <w:sz w:val="18"/>
                <w:szCs w:val="18"/>
                <w:color w:val="auto"/>
              </w:rPr>
              <w:t>(in millions)</w:t>
            </w:r>
          </w:p>
        </w:tc>
        <w:tc>
          <w:tcPr>
            <w:tcW w:w="1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6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13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rPr>
              <w:t>June 2025</w:t>
            </w:r>
          </w:p>
        </w:tc>
        <w:tc>
          <w:tcPr>
            <w:tcW w:w="12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rPr>
              <w:t>October 2023</w:t>
            </w:r>
          </w:p>
        </w:tc>
        <w:tc>
          <w:tcPr>
            <w:tcW w:w="12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October 2021</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October</w:t>
            </w:r>
          </w:p>
        </w:tc>
        <w:tc>
          <w:tcPr>
            <w:tcW w:w="1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rPr>
              <w:t>April 2023</w:t>
            </w: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October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December</w:t>
            </w:r>
          </w:p>
        </w:tc>
        <w:tc>
          <w:tcPr>
            <w:tcW w:w="0" w:type="dxa"/>
            <w:vAlign w:val="bottom"/>
          </w:tcPr>
          <w:p>
            <w:pPr>
              <w:spacing w:after="0"/>
              <w:rPr>
                <w:sz w:val="1"/>
                <w:szCs w:val="1"/>
                <w:color w:val="auto"/>
              </w:rPr>
            </w:pPr>
          </w:p>
        </w:tc>
      </w:tr>
      <w:tr>
        <w:trPr>
          <w:trHeight w:val="109"/>
        </w:trPr>
        <w:tc>
          <w:tcPr>
            <w:tcW w:w="2640" w:type="dxa"/>
            <w:vAlign w:val="bottom"/>
            <w:vMerge w:val="continue"/>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60" w:type="dxa"/>
            <w:vAlign w:val="bottom"/>
            <w:gridSpan w:val="2"/>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2023</w:t>
            </w:r>
          </w:p>
        </w:tc>
        <w:tc>
          <w:tcPr>
            <w:tcW w:w="100" w:type="dxa"/>
            <w:vAlign w:val="bottom"/>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2023</w:t>
            </w:r>
          </w:p>
        </w:tc>
        <w:tc>
          <w:tcPr>
            <w:tcW w:w="10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122"/>
        </w:trPr>
        <w:tc>
          <w:tcPr>
            <w:tcW w:w="26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LIBOR margin</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1.75%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term loans under each of the Credit Facilities are repayable in annual installments in an amount equal to 1.00% of the aggregate principal amount issued, with any unpaid balance due on the respective maturity dates. Voluntary prepayments may be made by American at any time.</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2013 Revolving Facility, 2014 Revolving Facility and April 2016 Revolving Facility provide that American may from time to time borrow, repay and reborrow loans thereunder. The 2013 Revolving Facility and 2014 Revolving Facility have the ability to issue letters of credit thereunder in an aggregate amount outstanding at any time up to $100 million and $200 million, respectively. The 2013 Revolving Facility, 2014 Revolving Facility and April 2016 Revolving Facility are each subject to an undrawn annual fee of 0.63%. As of December 31, 2018, there were no borrowings or letters of credit outstanding under the 2013 Revolving Facility, 2014 Revolving Facility or April 2016 Revolving Facility. The December 2016 Credit Facilities provide for a revolving credit facility that may be established thereunder in the future.</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Subject to certain limitations and exceptions, the Credit Facilities are secured by collateral, including certain spare parts, certain slots, certain route authorities, certain simulators and certain leasehold rights. American has the ability to make future modifications to the collateral pledged, subject to certain restrictions. American’s obligations under the Credit Facilities are guaranteed by AAG. American is required to maintain a certain minimum ratio of appraised value of the collateral to the outstanding loans as further described below in </w:t>
      </w:r>
      <w:r>
        <w:rPr>
          <w:rFonts w:ascii="Arial" w:cs="Arial" w:eastAsia="Arial" w:hAnsi="Arial"/>
          <w:sz w:val="18"/>
          <w:szCs w:val="18"/>
          <w:i w:val="1"/>
          <w:iCs w:val="1"/>
          <w:color w:val="auto"/>
        </w:rPr>
        <w:t>“Collateral-Related Covenants.”</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Credit Facilities contain events of default customary for similar financings, including cross default to other material indebtedness. Upon the occurrence of an event of default, the outstanding obligations may be accelerated and become due and payable immediately. In addition, if a “change of control” occurs, American will (absent an amendment or waiver) be required to repay at par the loans outstanding under the Credit Facilities and terminate the 2013 Revolving Facility, 2014 Revolving Facility and April 2016 Revolving Facility and any revolving credit facility established under the December 2016 Credit Facilities. The Credit Facilities also include covenants that, among other things, require AAG to maintain a minimum aggregate liquidity (as defined in the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49"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EETCs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Below is a discussion of the 2018 aircraft financing activities resulting from EETC issuances.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2017-2 EETCs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August and October 2017, American created three pass-through trusts which issued approximately $1.0 billion aggregate face amount of Series 2017-2 Class AA, Class A and Class B EETCs (the 2017-2 EETCs) in connection with the financing of 30 aircraft delivered to American through May 2018 (the 2017-2 Aircraft). In 2017, approximately $735 million of the net proceeds were used to purchase equipment notes issued by American in connection with the financing of 24 aircraft financed under the 2017-2 EETC. During the first six months of 2018, the remaining $283 million of net proceeds was used to purchase equipment notes issued by American in connection with the financing of the remaining six aircraft financed under the 2017-2 EETCs. Interest and principal payments on equipment notes issued in connection with the 2017-2 EETCs are payable semi-annually in April and October of each year, with interest payments that began in April 2018 and principal payments that began in October 2018. These equipment notes are secured by liens on the 2017-2 Aircraft.</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information regarding the 2017-2 EETC equipment notes, as of December 31, 2018, is set forth in the table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2017-2 EETCs</w:t>
            </w:r>
          </w:p>
        </w:tc>
        <w:tc>
          <w:tcPr>
            <w:tcW w:w="16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Series 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$545 million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$252 million</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$221 million</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3.35%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3.70%</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October 2029</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2029</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October 2025</w:t>
            </w:r>
          </w:p>
        </w:tc>
      </w:tr>
      <w:tr>
        <w:trPr>
          <w:trHeight w:val="27"/>
        </w:trPr>
        <w:tc>
          <w:tcPr>
            <w:tcW w:w="64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2012-2C(R) EETCs</w:t>
      </w:r>
    </w:p>
    <w:p>
      <w:pPr>
        <w:spacing w:after="0" w:line="108" w:lineRule="exact"/>
        <w:rPr>
          <w:sz w:val="20"/>
          <w:szCs w:val="20"/>
          <w:color w:val="auto"/>
        </w:rPr>
      </w:pPr>
    </w:p>
    <w:p>
      <w:pPr>
        <w:jc w:val="both"/>
        <w:ind w:firstLine="230"/>
        <w:spacing w:after="0" w:line="256" w:lineRule="auto"/>
        <w:rPr>
          <w:sz w:val="20"/>
          <w:szCs w:val="20"/>
          <w:color w:val="auto"/>
        </w:rPr>
      </w:pPr>
      <w:r>
        <w:rPr>
          <w:rFonts w:ascii="Arial" w:cs="Arial" w:eastAsia="Arial" w:hAnsi="Arial"/>
          <w:sz w:val="18"/>
          <w:szCs w:val="18"/>
          <w:color w:val="auto"/>
        </w:rPr>
        <w:t>On May 15, 2018, American created a pass-through trust which issued $100 million aggregate face amount of the Series 2012-2 Class C(R) EETCs (the 2012-2C(R) EETCs). Interest and principal payments on equipment notes issued in connection with the 2012-2C(R) EETCs are payable semi-annually in June and December of each year, which began in December 2018.</w:t>
      </w:r>
    </w:p>
    <w:p>
      <w:pPr>
        <w:spacing w:after="0" w:line="148"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American had previously issued $100 million aggregate face amount of Series 2012-2 Class C Certificates on June 6, 2013 (the 2012-2C Certificates) in connection with the financing of 11 aircraft previously delivered to American between May 2013 and October 2013. On June 1, 2018, American redeemed the Series C Equipment Notes relating to such 2012-2C Certificates (the 2012-2C Equipment Notes), which were scheduled to mature on June 3, 2018. The proceeds received from the 2012-2C(R) EETCs were used for the redemption of the 2012-2 Series C Equipment Notes and the repayment of the 2012-2C Certificates.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2012-2 Class C(R) EETC equipment notes, as of December 31, 2018, is set forth in the table below.</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2012-2C(R) EETCs</w:t>
            </w:r>
          </w:p>
        </w:tc>
      </w:tr>
      <w:tr>
        <w:trPr>
          <w:trHeight w:val="210"/>
        </w:trPr>
        <w:tc>
          <w:tcPr>
            <w:tcW w:w="936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C(R)</w:t>
            </w: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 million</w:t>
            </w:r>
          </w:p>
        </w:tc>
      </w:tr>
      <w:tr>
        <w:trPr>
          <w:trHeight w:val="250"/>
        </w:trPr>
        <w:tc>
          <w:tcPr>
            <w:tcW w:w="936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4.70%</w:t>
            </w:r>
          </w:p>
        </w:tc>
      </w:tr>
      <w:tr>
        <w:trPr>
          <w:trHeight w:val="26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June 2021</w:t>
            </w:r>
          </w:p>
        </w:tc>
      </w:tr>
    </w:tbl>
    <w:p>
      <w:pPr>
        <w:spacing w:after="0" w:line="3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Equipment Loans and Other Notes Payable Issued in 2018</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2018, American entered into agreements under which it borrowed $1.5 billion in connection with the financing of certain aircraft and certain pre-delivery purchase deposits. Debt incurred under these agreements matures in 2021 through 2030 and bears interest at fixed and variable rates of LIBOR plus an applicable margin averaging 4.28% at December 31, 2018.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549"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Senior Notes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details of our 5.50% and 4.625% senior notes are shown in the table below as of December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Borders>
              <w:bottom w:val="single" w:sz="8" w:color="CCEEFF"/>
            </w:tcBorders>
          </w:tcPr>
          <w:p>
            <w:pPr>
              <w:spacing w:after="0"/>
              <w:rPr>
                <w:sz w:val="17"/>
                <w:szCs w:val="17"/>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5.50% Senior Notes</w:t>
            </w:r>
          </w:p>
        </w:tc>
        <w:tc>
          <w:tcPr>
            <w:tcW w:w="12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4.625% Senior Notes</w:t>
            </w:r>
          </w:p>
        </w:tc>
        <w:tc>
          <w:tcPr>
            <w:tcW w:w="0" w:type="dxa"/>
            <w:vAlign w:val="bottom"/>
          </w:tcPr>
          <w:p>
            <w:pPr>
              <w:spacing w:after="0"/>
              <w:rPr>
                <w:sz w:val="1"/>
                <w:szCs w:val="1"/>
                <w:color w:val="auto"/>
              </w:rPr>
            </w:pPr>
          </w:p>
        </w:tc>
      </w:tr>
      <w:tr>
        <w:trPr>
          <w:trHeight w:val="256"/>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 and outstanding</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$750 million</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 million</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October 2019</w:t>
            </w:r>
          </w:p>
        </w:tc>
        <w:tc>
          <w:tcPr>
            <w:tcW w:w="2720" w:type="dxa"/>
            <w:vAlign w:val="bottom"/>
          </w:tcPr>
          <w:p>
            <w:pPr>
              <w:jc w:val="center"/>
              <w:spacing w:after="0"/>
              <w:rPr>
                <w:sz w:val="20"/>
                <w:szCs w:val="20"/>
                <w:color w:val="auto"/>
              </w:rPr>
            </w:pPr>
            <w:r>
              <w:rPr>
                <w:rFonts w:ascii="Arial" w:cs="Arial" w:eastAsia="Arial" w:hAnsi="Arial"/>
                <w:sz w:val="18"/>
                <w:szCs w:val="18"/>
                <w:color w:val="auto"/>
              </w:rPr>
              <w:t>March 2020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per annum</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4.625%</w:t>
            </w:r>
          </w:p>
        </w:tc>
        <w:tc>
          <w:tcPr>
            <w:tcW w:w="0" w:type="dxa"/>
            <w:vAlign w:val="bottom"/>
          </w:tcPr>
          <w:p>
            <w:pPr>
              <w:spacing w:after="0"/>
              <w:rPr>
                <w:sz w:val="1"/>
                <w:szCs w:val="1"/>
                <w:color w:val="auto"/>
              </w:rPr>
            </w:pPr>
          </w:p>
        </w:tc>
      </w:tr>
      <w:tr>
        <w:trPr>
          <w:trHeight w:val="229"/>
        </w:trPr>
        <w:tc>
          <w:tcPr>
            <w:tcW w:w="5820" w:type="dxa"/>
            <w:vAlign w:val="bottom"/>
            <w:vMerge w:val="restart"/>
          </w:tcPr>
          <w:p>
            <w:pPr>
              <w:ind w:left="40"/>
              <w:spacing w:after="0"/>
              <w:rPr>
                <w:sz w:val="20"/>
                <w:szCs w:val="20"/>
                <w:color w:val="auto"/>
              </w:rPr>
            </w:pPr>
            <w:r>
              <w:rPr>
                <w:rFonts w:ascii="Arial" w:cs="Arial" w:eastAsia="Arial" w:hAnsi="Arial"/>
                <w:sz w:val="18"/>
                <w:szCs w:val="18"/>
                <w:color w:val="auto"/>
              </w:rPr>
              <w:t>Interest payments</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rPr>
              <w:t>Semi-annually in arrears in April</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Semi-annually in arrears in</w:t>
            </w:r>
          </w:p>
        </w:tc>
        <w:tc>
          <w:tcPr>
            <w:tcW w:w="0" w:type="dxa"/>
            <w:vAlign w:val="bottom"/>
          </w:tcPr>
          <w:p>
            <w:pPr>
              <w:spacing w:after="0"/>
              <w:rPr>
                <w:sz w:val="1"/>
                <w:szCs w:val="1"/>
                <w:color w:val="auto"/>
              </w:rPr>
            </w:pPr>
          </w:p>
        </w:tc>
      </w:tr>
      <w:tr>
        <w:trPr>
          <w:trHeight w:val="109"/>
        </w:trPr>
        <w:tc>
          <w:tcPr>
            <w:tcW w:w="5820" w:type="dxa"/>
            <w:vAlign w:val="bottom"/>
            <w:vMerge w:val="continue"/>
          </w:tcPr>
          <w:p>
            <w:pPr>
              <w:spacing w:after="0"/>
              <w:rPr>
                <w:sz w:val="9"/>
                <w:szCs w:val="9"/>
                <w:color w:val="auto"/>
              </w:rPr>
            </w:pPr>
          </w:p>
        </w:tc>
        <w:tc>
          <w:tcPr>
            <w:tcW w:w="28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rPr>
              <w:t>and October</w:t>
            </w:r>
          </w:p>
        </w:tc>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9"/>
              </w:rPr>
              <w:t>March and September</w:t>
            </w:r>
          </w:p>
        </w:tc>
        <w:tc>
          <w:tcPr>
            <w:tcW w:w="0" w:type="dxa"/>
            <w:vAlign w:val="bottom"/>
          </w:tcPr>
          <w:p>
            <w:pPr>
              <w:spacing w:after="0"/>
              <w:rPr>
                <w:sz w:val="1"/>
                <w:szCs w:val="1"/>
                <w:color w:val="auto"/>
              </w:rPr>
            </w:pPr>
          </w:p>
        </w:tc>
      </w:tr>
      <w:tr>
        <w:trPr>
          <w:trHeight w:val="108"/>
        </w:trPr>
        <w:tc>
          <w:tcPr>
            <w:tcW w:w="5820" w:type="dxa"/>
            <w:vAlign w:val="bottom"/>
          </w:tcPr>
          <w:p>
            <w:pPr>
              <w:spacing w:after="0"/>
              <w:rPr>
                <w:sz w:val="9"/>
                <w:szCs w:val="9"/>
                <w:color w:val="auto"/>
              </w:rPr>
            </w:pPr>
          </w:p>
        </w:tc>
        <w:tc>
          <w:tcPr>
            <w:tcW w:w="2880" w:type="dxa"/>
            <w:vAlign w:val="bottom"/>
            <w:gridSpan w:val="2"/>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5.50% and 4.625% senior notes are senior unsecured obligations of AAG. The senior notes are fully and unconditionally guaranteed by American. The indentures for the senior notes contain covenants and events of default generally customary for similar financings. In addition, if we experience specific kinds of changes of control, we must offer to repurchase the senior notes at a price of 101% of the principal amount plus accrued and unpaid interest, if any, to (but not including) the repurchase date. Upon the occurrence of certain events of default, the senior notes may be accelerated and become due and payable.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Guarantees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December 31, 2018, AAG had issued guarantees covering approximately $769 million of American’s special facility revenue bonds (and interest thereon) and $8.4 billion of American’s secured debt (and interest thereon), including the Credit Facilities and certain EETC financings.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Collateral-Related Covenants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of our debt financing agreements contain loan to value (LTV) ratio covenants and require us to annually appraise the related collateral. Pursuant to such agreements, if the LTV ratio exceeds a specified threshold, we are required, as applicable, to pledge additional qualifying collateral (which in some cases may include cash collateral), or pay down such financing, in whole or in part.</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Specifically, we are required to meet certain collateral coverage tests on an annual basis for our Credit Facilities, as described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 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 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0" w:type="dxa"/>
            <w:vAlign w:val="bottom"/>
          </w:tcPr>
          <w:p>
            <w:pPr>
              <w:spacing w:after="0"/>
              <w:rPr>
                <w:sz w:val="1"/>
                <w:szCs w:val="1"/>
                <w:color w:val="auto"/>
              </w:rPr>
            </w:pPr>
          </w:p>
        </w:tc>
      </w:tr>
      <w:tr>
        <w:trPr>
          <w:trHeight w:val="21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Frequency of Appraisals</w:t>
            </w:r>
          </w:p>
        </w:tc>
        <w:tc>
          <w:tcPr>
            <w:tcW w:w="2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Annual</w:t>
            </w: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Annual</w:t>
            </w: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Annual</w:t>
            </w: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Annual</w:t>
            </w:r>
          </w:p>
        </w:tc>
        <w:tc>
          <w:tcPr>
            <w:tcW w:w="0" w:type="dxa"/>
            <w:vAlign w:val="bottom"/>
          </w:tcPr>
          <w:p>
            <w:pPr>
              <w:spacing w:after="0"/>
              <w:rPr>
                <w:sz w:val="1"/>
                <w:szCs w:val="1"/>
                <w:color w:val="auto"/>
              </w:rPr>
            </w:pPr>
          </w:p>
        </w:tc>
      </w:tr>
      <w:tr>
        <w:trPr>
          <w:trHeight w:val="122"/>
        </w:trPr>
        <w:tc>
          <w:tcPr>
            <w:tcW w:w="28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of Appraised Collateral</w:t>
            </w:r>
          </w:p>
        </w:tc>
        <w:tc>
          <w:tcPr>
            <w:tcW w:w="216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2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80" w:type="dxa"/>
            <w:vAlign w:val="bottom"/>
            <w:vMerge w:val="continue"/>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1.6x Collateral</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1.6x Collateral valuation</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1.6x Collateral valuation</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1.6x Collateral valuation</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valuation to amount of</w:t>
            </w:r>
          </w:p>
        </w:tc>
        <w:tc>
          <w:tcPr>
            <w:tcW w:w="2160" w:type="dxa"/>
            <w:vAlign w:val="bottom"/>
            <w:gridSpan w:val="2"/>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LTV Requirement</w:t>
            </w: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to amount of debt</w:t>
            </w: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to amount of debt</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to amount of debt</w:t>
            </w:r>
          </w:p>
        </w:tc>
        <w:tc>
          <w:tcPr>
            <w:tcW w:w="0" w:type="dxa"/>
            <w:vAlign w:val="bottom"/>
          </w:tcPr>
          <w:p>
            <w:pPr>
              <w:spacing w:after="0"/>
              <w:rPr>
                <w:sz w:val="1"/>
                <w:szCs w:val="1"/>
                <w:color w:val="auto"/>
              </w:rPr>
            </w:pPr>
          </w:p>
        </w:tc>
      </w:tr>
      <w:tr>
        <w:trPr>
          <w:trHeight w:val="95"/>
        </w:trPr>
        <w:tc>
          <w:tcPr>
            <w:tcW w:w="2880" w:type="dxa"/>
            <w:vAlign w:val="bottom"/>
            <w:vMerge w:val="continue"/>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rPr>
              <w:t>debt outstanding (62.5%</w:t>
            </w:r>
          </w:p>
        </w:tc>
        <w:tc>
          <w:tcPr>
            <w:tcW w:w="2160" w:type="dxa"/>
            <w:vAlign w:val="bottom"/>
            <w:gridSpan w:val="2"/>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outstanding (62.5% LTV)</w:t>
            </w: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LTV)</w:t>
            </w: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LTV as of Last Measurement Date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57.5%</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Generally, certain slots,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Generally, certain</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8"/>
              </w:rPr>
              <w:t>Generally, certain slots,</w:t>
            </w: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route authorities and</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Ronald Reagan</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route authorities and</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airport gate leasehold</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Washington National</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airport gate leasehold</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rights used by American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Generally, certain spare</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Airport (DCA) slots,</w:t>
            </w:r>
          </w:p>
        </w:tc>
        <w:tc>
          <w:tcPr>
            <w:tcW w:w="0" w:type="dxa"/>
            <w:vAlign w:val="bottom"/>
          </w:tcPr>
          <w:p>
            <w:pPr>
              <w:spacing w:after="0"/>
              <w:rPr>
                <w:sz w:val="1"/>
                <w:szCs w:val="1"/>
                <w:color w:val="auto"/>
              </w:rPr>
            </w:pPr>
          </w:p>
        </w:tc>
      </w:tr>
      <w:tr>
        <w:trPr>
          <w:trHeight w:val="95"/>
        </w:trPr>
        <w:tc>
          <w:tcPr>
            <w:tcW w:w="288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Collateral Description</w:t>
            </w: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rights used by American</w:t>
            </w: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to operate certain</w:t>
            </w: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parts</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certain La Guardia</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rPr>
              <w:t>to operate all services</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services between the</w:t>
            </w: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Airport (LGA) slots,</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between the U.S. and</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U.S. and European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certain simulators and</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South America</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Union (including London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rPr>
              <w:t>certain leasehold rights</w:t>
            </w: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Heathrow)</w:t>
            </w: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At December 31, 2018, we were in compliance with the applicable collateral coverage tests as of the most recent measurement dates.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49"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12"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We lease certain aircraft and engines, including aircraft under capacity purchase agreements. As of December 31, 2018, we had 660 leased aircraft, with remaining terms ranging from less than one year to 12 years.</w:t>
      </w:r>
    </w:p>
    <w:p>
      <w:pPr>
        <w:spacing w:after="0" w:line="6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At each airport where we conduct flight operations, we have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our level of operations and the operations of the airport. Additionally, at our hub locations and in certain other cities we serve, we lease administrative offices, catering, cargo, training, maintenance and other facilities.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jc w:val="right"/>
              <w:ind w:right="615"/>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9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1,907</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28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63"/>
        </w:trPr>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assets</w:t>
            </w: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r>
      <w:tr>
        <w:trPr>
          <w:trHeight w:val="250"/>
        </w:trPr>
        <w:tc>
          <w:tcPr>
            <w:tcW w:w="924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280" w:type="dxa"/>
            <w:vAlign w:val="bottom"/>
          </w:tcPr>
          <w:p>
            <w:pPr>
              <w:spacing w:after="0"/>
              <w:rPr>
                <w:sz w:val="21"/>
                <w:szCs w:val="21"/>
                <w:color w:val="auto"/>
              </w:rPr>
            </w:pPr>
          </w:p>
        </w:tc>
        <w:tc>
          <w:tcPr>
            <w:tcW w:w="1900" w:type="dxa"/>
            <w:vAlign w:val="bottom"/>
          </w:tcPr>
          <w:p>
            <w:pPr>
              <w:jc w:val="right"/>
              <w:ind w:right="15"/>
              <w:spacing w:after="0"/>
              <w:rPr>
                <w:sz w:val="20"/>
                <w:szCs w:val="20"/>
                <w:color w:val="auto"/>
              </w:rPr>
            </w:pPr>
            <w:r>
              <w:rPr>
                <w:rFonts w:ascii="Arial" w:cs="Arial" w:eastAsia="Arial" w:hAnsi="Arial"/>
                <w:sz w:val="18"/>
                <w:szCs w:val="18"/>
                <w:color w:val="auto"/>
              </w:rPr>
              <w:t>48</w:t>
            </w:r>
          </w:p>
        </w:tc>
      </w:tr>
      <w:tr>
        <w:trPr>
          <w:trHeight w:val="25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2,353</w:t>
            </w:r>
          </w:p>
        </w:tc>
      </w:tr>
      <w:tr>
        <w:trPr>
          <w:trHeight w:val="257"/>
        </w:trPr>
        <w:tc>
          <w:tcPr>
            <w:tcW w:w="9240" w:type="dxa"/>
            <w:vAlign w:val="bottom"/>
          </w:tcPr>
          <w:p>
            <w:pPr>
              <w:ind w:left="40"/>
              <w:spacing w:after="0"/>
              <w:rPr>
                <w:sz w:val="20"/>
                <w:szCs w:val="20"/>
                <w:color w:val="auto"/>
              </w:rPr>
            </w:pPr>
            <w:r>
              <w:rPr>
                <w:rFonts w:ascii="Arial" w:cs="Arial" w:eastAsia="Arial" w:hAnsi="Arial"/>
                <w:sz w:val="18"/>
                <w:szCs w:val="18"/>
                <w:color w:val="auto"/>
              </w:rPr>
              <w:t>Total net lease cost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4,386</w:t>
            </w: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Included in the table above is $226 million of operating lease cost under our capacity purchase agreement with Republic. We hold a 25% equity interest in Republic Holdings, the parent company of Republic.</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549"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balance sheet information related to leases was as follows (in millions, except lease term and discount rate):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9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50"/>
        </w:trPr>
        <w:tc>
          <w:tcPr>
            <w:tcW w:w="9160" w:type="dxa"/>
            <w:vAlign w:val="bottom"/>
          </w:tcPr>
          <w:p>
            <w:pPr>
              <w:ind w:left="180"/>
              <w:spacing w:after="0"/>
              <w:rPr>
                <w:sz w:val="20"/>
                <w:szCs w:val="20"/>
                <w:color w:val="auto"/>
              </w:rPr>
            </w:pPr>
            <w:r>
              <w:rPr>
                <w:rFonts w:ascii="Arial" w:cs="Arial" w:eastAsia="Arial" w:hAnsi="Arial"/>
                <w:sz w:val="18"/>
                <w:szCs w:val="18"/>
                <w:color w:val="auto"/>
              </w:rPr>
              <w:t>Operating lease ROU assets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92"/>
              <w:spacing w:after="0"/>
              <w:rPr>
                <w:sz w:val="20"/>
                <w:szCs w:val="20"/>
                <w:color w:val="auto"/>
              </w:rPr>
            </w:pPr>
            <w:r>
              <w:rPr>
                <w:rFonts w:ascii="Arial" w:cs="Arial" w:eastAsia="Arial" w:hAnsi="Arial"/>
                <w:sz w:val="18"/>
                <w:szCs w:val="18"/>
                <w:color w:val="auto"/>
              </w:rPr>
              <w:t>9,151</w:t>
            </w:r>
          </w:p>
        </w:tc>
      </w:tr>
      <w:tr>
        <w:trPr>
          <w:trHeight w:val="331"/>
        </w:trPr>
        <w:tc>
          <w:tcPr>
            <w:tcW w:w="9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50"/>
        </w:trPr>
        <w:tc>
          <w:tcPr>
            <w:tcW w:w="916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92"/>
              <w:spacing w:after="0"/>
              <w:rPr>
                <w:sz w:val="20"/>
                <w:szCs w:val="20"/>
                <w:color w:val="auto"/>
              </w:rPr>
            </w:pPr>
            <w:r>
              <w:rPr>
                <w:rFonts w:ascii="Arial" w:cs="Arial" w:eastAsia="Arial" w:hAnsi="Arial"/>
                <w:sz w:val="18"/>
                <w:szCs w:val="18"/>
                <w:color w:val="auto"/>
              </w:rPr>
              <w:t>1,654</w:t>
            </w:r>
          </w:p>
        </w:tc>
      </w:tr>
      <w:tr>
        <w:trPr>
          <w:trHeight w:val="257"/>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7,902</w:t>
            </w:r>
          </w:p>
        </w:tc>
      </w:tr>
      <w:tr>
        <w:trPr>
          <w:trHeight w:val="297"/>
        </w:trPr>
        <w:tc>
          <w:tcPr>
            <w:tcW w:w="9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9,556</w:t>
            </w:r>
          </w:p>
        </w:tc>
      </w:tr>
      <w:tr>
        <w:trPr>
          <w:trHeight w:val="305"/>
        </w:trPr>
        <w:tc>
          <w:tcPr>
            <w:tcW w:w="9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63"/>
        </w:trPr>
        <w:tc>
          <w:tcPr>
            <w:tcW w:w="916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63"/>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at cost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936</w:t>
            </w:r>
          </w:p>
        </w:tc>
      </w:tr>
      <w:tr>
        <w:trPr>
          <w:trHeight w:val="250"/>
        </w:trPr>
        <w:tc>
          <w:tcPr>
            <w:tcW w:w="9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amortization</w:t>
            </w: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(391)</w:t>
            </w:r>
          </w:p>
        </w:tc>
      </w:tr>
      <w:tr>
        <w:trPr>
          <w:trHeight w:val="257"/>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545</w:t>
            </w:r>
          </w:p>
        </w:tc>
      </w:tr>
      <w:tr>
        <w:trPr>
          <w:trHeight w:val="20"/>
        </w:trPr>
        <w:tc>
          <w:tcPr>
            <w:tcW w:w="9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305"/>
        </w:trPr>
        <w:tc>
          <w:tcPr>
            <w:tcW w:w="9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7"/>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obligations of finance leases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81</w:t>
            </w:r>
          </w:p>
        </w:tc>
      </w:tr>
      <w:tr>
        <w:trPr>
          <w:trHeight w:val="250"/>
        </w:trPr>
        <w:tc>
          <w:tcPr>
            <w:tcW w:w="9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Finance leases, net of current obligations</w:t>
            </w: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613</w:t>
            </w:r>
          </w:p>
        </w:tc>
      </w:tr>
      <w:tr>
        <w:trPr>
          <w:trHeight w:val="257"/>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finance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694</w:t>
            </w:r>
          </w:p>
        </w:tc>
      </w:tr>
      <w:tr>
        <w:trPr>
          <w:trHeight w:val="20"/>
        </w:trPr>
        <w:tc>
          <w:tcPr>
            <w:tcW w:w="9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305"/>
        </w:trPr>
        <w:tc>
          <w:tcPr>
            <w:tcW w:w="9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0"/>
        </w:trPr>
        <w:tc>
          <w:tcPr>
            <w:tcW w:w="9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50"/>
        </w:trPr>
        <w:tc>
          <w:tcPr>
            <w:tcW w:w="91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92"/>
              <w:spacing w:after="0"/>
              <w:rPr>
                <w:sz w:val="20"/>
                <w:szCs w:val="20"/>
                <w:color w:val="auto"/>
              </w:rPr>
            </w:pPr>
            <w:r>
              <w:rPr>
                <w:rFonts w:ascii="Arial" w:cs="Arial" w:eastAsia="Arial" w:hAnsi="Arial"/>
                <w:sz w:val="18"/>
                <w:szCs w:val="18"/>
                <w:color w:val="auto"/>
              </w:rPr>
              <w:t>7.6</w:t>
            </w:r>
          </w:p>
        </w:tc>
      </w:tr>
      <w:tr>
        <w:trPr>
          <w:trHeight w:val="263"/>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7.4</w:t>
            </w:r>
          </w:p>
        </w:tc>
      </w:tr>
      <w:tr>
        <w:trPr>
          <w:trHeight w:val="324"/>
        </w:trPr>
        <w:tc>
          <w:tcPr>
            <w:tcW w:w="9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0"/>
        </w:trPr>
        <w:tc>
          <w:tcPr>
            <w:tcW w:w="9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50"/>
        </w:trPr>
        <w:tc>
          <w:tcPr>
            <w:tcW w:w="91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3"/>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378"/>
        </w:trPr>
        <w:tc>
          <w:tcPr>
            <w:tcW w:w="9160" w:type="dxa"/>
            <w:vAlign w:val="bottom"/>
          </w:tcPr>
          <w:p>
            <w:pPr>
              <w:ind w:left="260"/>
              <w:spacing w:after="0"/>
              <w:rPr>
                <w:sz w:val="20"/>
                <w:szCs w:val="20"/>
                <w:color w:val="auto"/>
              </w:rPr>
            </w:pPr>
            <w:r>
              <w:rPr>
                <w:rFonts w:ascii="Arial" w:cs="Arial" w:eastAsia="Arial" w:hAnsi="Arial"/>
                <w:sz w:val="18"/>
                <w:szCs w:val="18"/>
                <w:color w:val="auto"/>
              </w:rPr>
              <w:t>Supplemental cash flow and other information related to leases was as follows (in millions):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73"/>
        </w:trPr>
        <w:tc>
          <w:tcPr>
            <w:tcW w:w="9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right"/>
              <w:ind w:right="552"/>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9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9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50"/>
        </w:trPr>
        <w:tc>
          <w:tcPr>
            <w:tcW w:w="916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1,931</w:t>
            </w:r>
          </w:p>
        </w:tc>
      </w:tr>
      <w:tr>
        <w:trPr>
          <w:trHeight w:val="263"/>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50"/>
        </w:trPr>
        <w:tc>
          <w:tcPr>
            <w:tcW w:w="916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78</w:t>
            </w:r>
          </w:p>
        </w:tc>
      </w:tr>
      <w:tr>
        <w:trPr>
          <w:trHeight w:val="331"/>
        </w:trPr>
        <w:tc>
          <w:tcPr>
            <w:tcW w:w="9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63"/>
        </w:trPr>
        <w:tc>
          <w:tcPr>
            <w:tcW w:w="9160" w:type="dxa"/>
            <w:vAlign w:val="bottom"/>
          </w:tcPr>
          <w:p>
            <w:pPr>
              <w:ind w:left="40"/>
              <w:spacing w:after="0"/>
              <w:rPr>
                <w:sz w:val="20"/>
                <w:szCs w:val="20"/>
                <w:color w:val="auto"/>
              </w:rPr>
            </w:pPr>
            <w:r>
              <w:rPr>
                <w:rFonts w:ascii="Arial" w:cs="Arial" w:eastAsia="Arial" w:hAnsi="Arial"/>
                <w:sz w:val="18"/>
                <w:szCs w:val="18"/>
                <w:color w:val="auto"/>
              </w:rPr>
              <w:t>ROU assets obtained in exchange for lease liabilities:</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63"/>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1,292</w:t>
            </w:r>
          </w:p>
        </w:tc>
      </w:tr>
      <w:tr>
        <w:trPr>
          <w:trHeight w:val="324"/>
        </w:trPr>
        <w:tc>
          <w:tcPr>
            <w:tcW w:w="9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7"/>
        </w:trPr>
        <w:tc>
          <w:tcPr>
            <w:tcW w:w="9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sale leaseback transactions, net</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r>
      <w:tr>
        <w:trPr>
          <w:trHeight w:val="459"/>
        </w:trPr>
        <w:tc>
          <w:tcPr>
            <w:tcW w:w="9160" w:type="dxa"/>
            <w:vAlign w:val="bottom"/>
          </w:tcPr>
          <w:p>
            <w:pPr>
              <w:ind w:left="556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Maturities of lease liabilities were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gridSpan w:val="4"/>
          </w:tcPr>
          <w:p>
            <w:pPr>
              <w:jc w:val="right"/>
              <w:ind w:right="1471"/>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6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80" w:type="dxa"/>
            <w:vAlign w:val="bottom"/>
            <w:gridSpan w:val="2"/>
          </w:tcPr>
          <w:p>
            <w:pPr>
              <w:ind w:left="180"/>
              <w:spacing w:after="0"/>
              <w:rPr>
                <w:sz w:val="20"/>
                <w:szCs w:val="20"/>
                <w:color w:val="auto"/>
              </w:rPr>
            </w:pPr>
            <w:r>
              <w:rPr>
                <w:rFonts w:ascii="Arial" w:cs="Arial" w:eastAsia="Arial" w:hAnsi="Arial"/>
                <w:sz w:val="14"/>
                <w:szCs w:val="14"/>
                <w:b w:val="1"/>
                <w:bCs w:val="1"/>
                <w:color w:val="auto"/>
              </w:rPr>
              <w:t>Operating Leases</w:t>
            </w:r>
          </w:p>
        </w:tc>
        <w:tc>
          <w:tcPr>
            <w:tcW w:w="340" w:type="dxa"/>
            <w:vAlign w:val="bottom"/>
          </w:tcPr>
          <w:p>
            <w:pPr>
              <w:spacing w:after="0"/>
              <w:rPr>
                <w:sz w:val="22"/>
                <w:szCs w:val="22"/>
                <w:color w:val="auto"/>
              </w:rPr>
            </w:pPr>
          </w:p>
        </w:tc>
        <w:tc>
          <w:tcPr>
            <w:tcW w:w="1840" w:type="dxa"/>
            <w:vAlign w:val="bottom"/>
          </w:tcPr>
          <w:p>
            <w:pPr>
              <w:jc w:val="right"/>
              <w:ind w:right="471"/>
              <w:spacing w:after="0"/>
              <w:rPr>
                <w:sz w:val="20"/>
                <w:szCs w:val="20"/>
                <w:color w:val="auto"/>
              </w:rPr>
            </w:pPr>
            <w:r>
              <w:rPr>
                <w:rFonts w:ascii="Arial" w:cs="Arial" w:eastAsia="Arial" w:hAnsi="Arial"/>
                <w:sz w:val="14"/>
                <w:szCs w:val="14"/>
                <w:b w:val="1"/>
                <w:bCs w:val="1"/>
                <w:color w:val="auto"/>
              </w:rPr>
              <w:t>Finance Leases</w:t>
            </w:r>
          </w:p>
        </w:tc>
      </w:tr>
      <w:tr>
        <w:trPr>
          <w:trHeight w:val="256"/>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1,912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2"/>
                <w:szCs w:val="22"/>
                <w:color w:val="auto"/>
              </w:rPr>
            </w:pPr>
          </w:p>
        </w:tc>
        <w:tc>
          <w:tcPr>
            <w:tcW w:w="1880" w:type="dxa"/>
            <w:vAlign w:val="bottom"/>
          </w:tcPr>
          <w:p>
            <w:pPr>
              <w:jc w:val="right"/>
              <w:ind w:right="33"/>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7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2"/>
                <w:szCs w:val="22"/>
                <w:color w:val="auto"/>
              </w:rPr>
            </w:pPr>
          </w:p>
        </w:tc>
        <w:tc>
          <w:tcPr>
            <w:tcW w:w="1880" w:type="dxa"/>
            <w:vAlign w:val="bottom"/>
          </w:tcPr>
          <w:p>
            <w:pPr>
              <w:jc w:val="right"/>
              <w:ind w:right="33"/>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2024 and thereafter</w:t>
            </w: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w:t>
            </w:r>
          </w:p>
        </w:tc>
      </w:tr>
      <w:tr>
        <w:trPr>
          <w:trHeight w:val="25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11,699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871</w:t>
            </w: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5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obligations</w:t>
            </w:r>
          </w:p>
        </w:tc>
        <w:tc>
          <w:tcPr>
            <w:tcW w:w="30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9,556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w:t>
            </w: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obligations</w:t>
            </w: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57"/>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As of December 31, 2018, we have additional operating lease commitments that have not yet commenced of approximately $1.9 billion for 22 787-8 aircraft to be delivered in 2020 and 2021 with lease terms of 10 years.</w:t>
      </w: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Disclosures related to periods prior to adoption of the New Lease Standard</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Operating lease rent expense, excluding landing fees, was approximately $3.2 billion in each of 2017 and 2016, which includes the lease of certain aircraft under capacity purchase agreements. As of December 31, 2017, future minimum lease payment obligations under noncancellable operating leases, including payments for the lease of certain aircraft under capacity purchase agreements, as well as payments under capital lease obligations were as follows (in millions):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3"/>
          </w:tcPr>
          <w:p>
            <w:pPr>
              <w:jc w:val="right"/>
              <w:ind w:right="876"/>
              <w:spacing w:after="0"/>
              <w:rPr>
                <w:sz w:val="20"/>
                <w:szCs w:val="20"/>
                <w:color w:val="auto"/>
              </w:rPr>
            </w:pPr>
            <w:r>
              <w:rPr>
                <w:rFonts w:ascii="Arial" w:cs="Arial" w:eastAsia="Arial" w:hAnsi="Arial"/>
                <w:sz w:val="14"/>
                <w:szCs w:val="14"/>
                <w:b w:val="1"/>
                <w:bCs w:val="1"/>
                <w:color w:val="auto"/>
              </w:rPr>
              <w:t>December 31, 2017</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980" w:type="dxa"/>
            <w:vAlign w:val="bottom"/>
            <w:tcBorders>
              <w:bottom w:val="single" w:sz="8" w:color="CCEEFF"/>
            </w:tcBorders>
          </w:tcPr>
          <w:p>
            <w:pPr>
              <w:spacing w:after="0"/>
              <w:rPr>
                <w:sz w:val="22"/>
                <w:szCs w:val="22"/>
                <w:color w:val="auto"/>
              </w:rPr>
            </w:pPr>
          </w:p>
        </w:tc>
        <w:tc>
          <w:tcPr>
            <w:tcW w:w="3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Capital Leases</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2,572</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63"/>
        </w:trPr>
        <w:tc>
          <w:tcPr>
            <w:tcW w:w="3980" w:type="dxa"/>
            <w:vAlign w:val="bottom"/>
          </w:tcPr>
          <w:p>
            <w:pPr>
              <w:ind w:left="40"/>
              <w:spacing w:after="0"/>
              <w:rPr>
                <w:sz w:val="20"/>
                <w:szCs w:val="20"/>
                <w:color w:val="auto"/>
              </w:rPr>
            </w:pPr>
            <w:r>
              <w:rPr>
                <w:rFonts w:ascii="Arial" w:cs="Arial" w:eastAsia="Arial" w:hAnsi="Arial"/>
                <w:sz w:val="18"/>
                <w:szCs w:val="18"/>
                <w:color w:val="auto"/>
              </w:rPr>
              <w:t>2019</w:t>
            </w:r>
          </w:p>
        </w:tc>
        <w:tc>
          <w:tcPr>
            <w:tcW w:w="3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7"/>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2,104</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63"/>
        </w:trPr>
        <w:tc>
          <w:tcPr>
            <w:tcW w:w="3980" w:type="dxa"/>
            <w:vAlign w:val="bottom"/>
          </w:tcPr>
          <w:p>
            <w:pPr>
              <w:ind w:left="40"/>
              <w:spacing w:after="0"/>
              <w:rPr>
                <w:sz w:val="20"/>
                <w:szCs w:val="20"/>
                <w:color w:val="auto"/>
              </w:rPr>
            </w:pPr>
            <w:r>
              <w:rPr>
                <w:rFonts w:ascii="Arial" w:cs="Arial" w:eastAsia="Arial" w:hAnsi="Arial"/>
                <w:sz w:val="18"/>
                <w:szCs w:val="18"/>
                <w:color w:val="auto"/>
              </w:rPr>
              <w:t>2021</w:t>
            </w:r>
          </w:p>
        </w:tc>
        <w:tc>
          <w:tcPr>
            <w:tcW w:w="3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7"/>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64"/>
        </w:trPr>
        <w:tc>
          <w:tcPr>
            <w:tcW w:w="3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2023 and thereafter</w:t>
            </w:r>
          </w:p>
        </w:tc>
        <w:tc>
          <w:tcPr>
            <w:tcW w:w="3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3,965</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3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13,989</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Imputed interest</w:t>
            </w:r>
          </w:p>
        </w:tc>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line="20" w:lineRule="exact"/>
              <w:rPr>
                <w:sz w:val="1"/>
                <w:szCs w:val="1"/>
                <w:color w:val="auto"/>
              </w:rPr>
            </w:pPr>
          </w:p>
        </w:tc>
      </w:tr>
      <w:tr>
        <w:trPr>
          <w:trHeight w:val="244"/>
        </w:trPr>
        <w:tc>
          <w:tcPr>
            <w:tcW w:w="3980" w:type="dxa"/>
            <w:vAlign w:val="bottom"/>
            <w:tcBorders>
              <w:bottom w:val="single" w:sz="8" w:color="CCEEFF"/>
            </w:tcBorders>
            <w:vMerge w:val="continue"/>
          </w:tcPr>
          <w:p>
            <w:pPr>
              <w:spacing w:after="0"/>
              <w:rPr>
                <w:sz w:val="21"/>
                <w:szCs w:val="21"/>
                <w:color w:val="auto"/>
              </w:rPr>
            </w:pPr>
          </w:p>
        </w:tc>
        <w:tc>
          <w:tcPr>
            <w:tcW w:w="32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7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obligations</w:t>
            </w:r>
          </w:p>
        </w:tc>
        <w:tc>
          <w:tcPr>
            <w:tcW w:w="3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64"/>
        </w:trPr>
        <w:tc>
          <w:tcPr>
            <w:tcW w:w="3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obligations</w:t>
            </w:r>
          </w:p>
        </w:tc>
        <w:tc>
          <w:tcPr>
            <w:tcW w:w="32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3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200" w:type="dxa"/>
            <w:vAlign w:val="bottom"/>
            <w:vMerge w:val="restart"/>
          </w:tcPr>
          <w:p>
            <w:pPr>
              <w:jc w:val="right"/>
              <w:ind w:right="123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significant components of the income tax provision were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provision:</w:t>
            </w: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100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0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Current income tax provision</w:t>
            </w:r>
          </w:p>
        </w:tc>
        <w:tc>
          <w:tcPr>
            <w:tcW w:w="1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w:t>
            </w: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1,456</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Local</w:t>
            </w:r>
          </w:p>
        </w:tc>
        <w:tc>
          <w:tcPr>
            <w:tcW w:w="10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4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income tax provision</w:t>
            </w:r>
          </w:p>
        </w:tc>
        <w:tc>
          <w:tcPr>
            <w:tcW w:w="1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2,089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1,556</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provision</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income tax provision differed from amounts computed at the statutory federal income tax rate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income tax provision</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1,453</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tax effect</w:t>
            </w:r>
          </w:p>
        </w:tc>
        <w:tc>
          <w:tcPr>
            <w:tcW w:w="1000" w:type="dxa"/>
            <w:vAlign w:val="bottom"/>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income taxes, net of federal tax effect</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Book expenses not deductible for tax purposes</w:t>
            </w:r>
          </w:p>
        </w:tc>
        <w:tc>
          <w:tcPr>
            <w:tcW w:w="1000" w:type="dxa"/>
            <w:vAlign w:val="bottom"/>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Bankruptcy administration expenses</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2017 Tax Act</w:t>
            </w:r>
          </w:p>
        </w:tc>
        <w:tc>
          <w:tcPr>
            <w:tcW w:w="1000" w:type="dxa"/>
            <w:vAlign w:val="bottom"/>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5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provide a valuation allowance for our deferred tax assets, which include our net operating losses (NOLs),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level and volatility of fuel prices and travel demand.</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total decrease to the valuation allowance was $6 million in 2018. In 2017, the total increase to the valuation allowance was $7 million, $10 million of which is included in the 2017 Tax Act amount in the table above. In 2016, the total increase to the valuation allowance was $7 million.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549"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our deferred tax assets and liabilities were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7"/>
                <w:szCs w:val="17"/>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Operating loss carryforwards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22"/>
                <w:szCs w:val="22"/>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2,281</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Pensions</w:t>
            </w:r>
          </w:p>
        </w:tc>
        <w:tc>
          <w:tcPr>
            <w:tcW w:w="106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1,559</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Loyalty program liability</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1,809</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Alternative minimum tax (AMT) credit carryforwards</w:t>
            </w:r>
          </w:p>
        </w:tc>
        <w:tc>
          <w:tcPr>
            <w:tcW w:w="106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344</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Postretirement benefits other than pensions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Rent expense</w:t>
            </w:r>
          </w:p>
        </w:tc>
        <w:tc>
          <w:tcPr>
            <w:tcW w:w="106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160</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Reorganization items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64"/>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678</w:t>
            </w:r>
          </w:p>
        </w:tc>
      </w:tr>
      <w:tr>
        <w:trPr>
          <w:trHeight w:val="25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8,852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7,143</w:t>
            </w:r>
          </w:p>
        </w:tc>
      </w:tr>
      <w:tr>
        <w:trPr>
          <w:trHeight w:val="264"/>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Valuation allowance</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deferred tax assets</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8,822</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7,107</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depreciation and amortization</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Leases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4"/>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deferred tax liabilities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1,783</w:t>
            </w:r>
          </w:p>
        </w:tc>
      </w:tr>
      <w:tr>
        <w:trPr>
          <w:trHeight w:val="20"/>
        </w:trPr>
        <w:tc>
          <w:tcPr>
            <w:tcW w:w="7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At December 31, 2018, we had approximately $10.2 billion of federal NOLs carried over from prior taxable years (NOL Carryforwards) to reduce future federal taxable income, substantially all of which we expect to be available for use in 2019. The federal NOL Carryforwards will expire beginning in 2022 if unused. We also had approximately $3.2 billion of NOL Carryforwards to reduce future state taxable income at December 31, 2018, which will expire in years 2019 through 2038 if unused. Our ability to deduct our NOL Carryforwards and to utilize certain other available tax attributes can be substantially constrained under the general annual limitation rules of Section 382 where an “ownership change” has occurred. Substantially all of our remaining federal NOL Carryforwards attributable to US Airways Group are subject to limitation under Section 382; however, our ability to utilize such NOL Carryforwards is not anticipated to be effectively constrained as a result of such limitation. We elected to be covered by certain special rules for federal income tax purposes that permitted approximately $9.0 billion (with $8.4 billion of unlimited NOL still remaining at December 31, 2018) of our federal NOL Carryforwards to be utilized without regard to the annual limitation generally imposed by Section 382. Similar limitations may apply for state income tax purposes. Our ability to utilize any new NOL Carryforwards arising after the ownership changes is not affected by the annual limitation rules imposed by Section 382 unless another future ownership change occurs. Under the Section 382 limitation, cumulative stock ownership changes among material stockholders exceeding 50% during a rolling three-year period can potentially limit a company’s future use of NOLs and tax credits. See Part I, Item 1A. Risk Factors </w:t>
      </w:r>
      <w:r>
        <w:rPr>
          <w:rFonts w:ascii="Arial" w:cs="Arial" w:eastAsia="Arial" w:hAnsi="Arial"/>
          <w:sz w:val="18"/>
          <w:szCs w:val="18"/>
          <w:i w:val="1"/>
          <w:iCs w:val="1"/>
          <w:color w:val="auto"/>
        </w:rPr>
        <w:t>–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ability to utilize our NOL Carryforwards may be limited” </w:t>
      </w:r>
      <w:r>
        <w:rPr>
          <w:rFonts w:ascii="Arial" w:cs="Arial" w:eastAsia="Arial" w:hAnsi="Arial"/>
          <w:sz w:val="18"/>
          <w:szCs w:val="18"/>
          <w:color w:val="auto"/>
        </w:rPr>
        <w:t>for unaudited additional discussion of this risk.</w:t>
      </w:r>
    </w:p>
    <w:p>
      <w:pPr>
        <w:spacing w:after="0" w:line="15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At December 31, 2018, we had an AMT credit carryforward of approximately $ 339 million available for federal income tax purposes, which is now expected to be fully refundable over the next several years as a result of the repeal of corporate AMT.</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2018, we recorded an income tax provision of $472 million, with an effective rate of approximately 25%, which was substantially non-cash. The 2018 income tax provision included an $18 million special income tax charge related to an international income tax matter. Substantially all of our income before income taxes is attributable to the United States.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file our tax returns as prescribed by the tax laws of the jurisdictions in which we operate. Our 2015 through 2017 tax years are still subject to examination by the Internal Revenue Service. Various state and foreign jurisdiction tax years remain open to examination and we are under examination, in administrative appeals, or engaged in tax litigation in certain jurisdictions. We believe that the effect of any assessments will not be material to our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49"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amount of, and changes to, our uncertain tax positions were not material in any of the years presented. We accrue interest and penalties related to unrecognized tax benefits in interest expense and operating expense, respectively.</w:t>
      </w:r>
    </w:p>
    <w:p>
      <w:pPr>
        <w:spacing w:after="0" w:line="14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2017 Tax Act was enacted on December 22, 2017. The 2017 Tax Act is the most comprehensive tax change in more than 30 years. We have completed our evaluation of the 2017 Tax Act and we have reflected the impact of its effects, including the impact of lower corporate income tax rates (21% vs. 35%) on our deferred tax assets and liabilities and the one-time transition tax on earnings of certain foreign subsidiaries that were previously tax deferred. For the year ended December 31, 2017, we recognized a special income tax provision of $823 million to reflect these impacts of the 2017 Tax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Risk Management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economic prospects are heavily dependent upon two variables we cannot control: the health of the economy and the price of fuel.</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negative effect on our business. In addition, during challenging economic times, actions by our competitors to increase their revenues can have an adverse impact on our revenues.</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Market prices for jet fuel have fluctuated substantially over the past several years and prices continue to be highly volatile. Because of the amount of fuel needed to operate our business, even a relatively small increase or decrease in the price of fuel can have a material effect on our operating results and liquidity.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These additional factors could impact our results of operations, financial performance and liquidity:</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Credit Risk</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Most of our receivables relate to tickets sold to individual passengers through the use of major credit cards or to tickets sold by other airlines and used by passengers on American. These receivables are short-term, mostly settled within seven days after sale. Bad debt losses, which have been minimal in the past, have been considered in establishing allowances for doubtful accounts. We do not believe we are subject to any significant concentration of credit risk.</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Interest Rate Risk</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have exposure to market risk associated with changes in interest rates related primarily to our variable rate debt obligations. Interest rates on $9.9 billion principal amount of long-term debt as of December 31, 2018 are subject to adjustment to reflect changes in floating interest rates. The weighted average effective interest rate on our variable rate debt was 4.3% at December 31, 2018. We do not currently have an interest rate hedge program.</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Foreign Currency Risk</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 See Part I, Item 1A. Risk Factors – </w:t>
      </w:r>
      <w:r>
        <w:rPr>
          <w:rFonts w:ascii="Arial" w:cs="Arial" w:eastAsia="Arial" w:hAnsi="Arial"/>
          <w:sz w:val="18"/>
          <w:szCs w:val="18"/>
          <w:i w:val="1"/>
          <w:iCs w:val="1"/>
          <w:color w:val="auto"/>
        </w:rPr>
        <w:t>“We operate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for unaudited additional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risk.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and Other Investments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549"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382"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11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3 – Unobservable inputs in which there is little or no market data, which require the reporting entity to develop its own assumptions.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When available, we use quoted market prices to determine the fair value of our financial assets. If quoted market prices are not available, we measure fair value using valuation techniques that use, when possible, current market-based or independently-sourced market parameters, such as interest rates and currency rates.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utilize the market approach to measure fair value for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year ended December 31, 2018.</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21"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Fair Value Measurements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26035</wp:posOffset>
            </wp:positionV>
            <wp:extent cx="39789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4,469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44"/>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25"/>
        </w:trPr>
        <w:tc>
          <w:tcPr>
            <w:tcW w:w="2120" w:type="dxa"/>
            <w:vAlign w:val="bottom"/>
            <w:tcBorders>
              <w:bottom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Unrealized gains or losses on short-term investments are recorded in accumulated other comprehensive loss at each measurement date.</w:t>
      </w:r>
    </w:p>
    <w:p>
      <w:pPr>
        <w:spacing w:after="0" w:line="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All short-term investments are classified as available-for-sale and stated at fair value. Our short-term investments mature in one year or less except for $877 million of bank notes/certificates of deposit/time deposits and $101 million of corporate obligations.</w:t>
      </w:r>
    </w:p>
    <w:p>
      <w:pPr>
        <w:spacing w:after="0" w:line="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Long-term investments primarily include our equity investment in China Southern Airlines, in which we presently own a 2.2% equity interest, and are classified in other assets on the consolidated balance sheets.</w:t>
      </w:r>
    </w:p>
    <w:p>
      <w:pPr>
        <w:spacing w:after="0" w:line="2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110</w:t>
      </w:r>
    </w:p>
    <w:p>
      <w:pPr>
        <w:sectPr>
          <w:pgSz w:w="11900" w:h="16838" w:orient="portrait"/>
          <w:cols w:equalWidth="0" w:num="2">
            <w:col w:w="140" w:space="520"/>
            <w:col w:w="10760"/>
          </w:cols>
          <w:pgMar w:left="240" w:top="549"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122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4,771</w:t>
            </w: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5,089</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4,793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325"/>
        </w:trPr>
        <w:tc>
          <w:tcPr>
            <w:tcW w:w="2120" w:type="dxa"/>
            <w:vAlign w:val="bottom"/>
            <w:tcBorders>
              <w:bottom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42" w:lineRule="exact"/>
        <w:rPr>
          <w:sz w:val="20"/>
          <w:szCs w:val="20"/>
          <w:color w:val="auto"/>
        </w:rPr>
      </w:pPr>
    </w:p>
    <w:p>
      <w:pPr>
        <w:ind w:left="660" w:hanging="652"/>
        <w:spacing w:after="0" w:line="225" w:lineRule="auto"/>
        <w:tabs>
          <w:tab w:leader="none" w:pos="6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are recorded in accumulated other comprehensive loss at each measurement date.</w:t>
      </w:r>
    </w:p>
    <w:p>
      <w:pPr>
        <w:spacing w:after="0" w:line="81" w:lineRule="exact"/>
        <w:rPr>
          <w:rFonts w:ascii="Arial" w:cs="Arial" w:eastAsia="Arial" w:hAnsi="Arial"/>
          <w:sz w:val="22"/>
          <w:szCs w:val="22"/>
          <w:color w:val="auto"/>
          <w:vertAlign w:val="superscript"/>
        </w:rPr>
      </w:pPr>
    </w:p>
    <w:p>
      <w:pPr>
        <w:ind w:left="660" w:hanging="652"/>
        <w:spacing w:after="0" w:line="225" w:lineRule="auto"/>
        <w:tabs>
          <w:tab w:leader="none" w:pos="6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Our short-term investments mature in one year or less except for $700 million of bank notes/certificates of deposit/time deposits and $341 million of corporate obligations.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2017</w:t>
            </w:r>
          </w:p>
        </w:tc>
      </w:tr>
      <w:tr>
        <w:trPr>
          <w:trHeight w:val="175"/>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Fair</w:t>
            </w:r>
          </w:p>
        </w:tc>
      </w:tr>
      <w:tr>
        <w:trPr>
          <w:trHeight w:val="196"/>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Value</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23,779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23,775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24,294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24,985</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sponsor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our defined benefit pension plans were frozen and we began providing enhanced benefits under our defined contribution pension plans for certain employee groups. We use a December 31 measurement date for all of our defined benefit pension plans. We also provide certain retiree medical and other postretirement benefits, including health care and life insurance benefits, to retired employees. Effective November 1, 2012, we modified our retiree medical and other postretirement benefits plans to eliminate the company subsidy for employees who retire on or after November 1, 2012. As a result of modifications to our retiree medical and other postretirement benefits plans in 2012, we recognized a negative plan amendment of $1.9 billion, which is included as a component of prior service benefit in accumulated other comprehensive income (loss) (AOCI) and will be amortized over the future service life of the active plan participants for whom the benefit was eliminated, or approximately eight years. As of December 31, 2018, $390 million of prior service benefit remains to be amortized.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549"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Obligations, Fair Value of Plan Assets and Funded Status</w:t>
      </w:r>
    </w:p>
    <w:p>
      <w:pPr>
        <w:spacing w:after="0" w:line="11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The following tables provide a reconciliation of the changes in the pension and retiree medical and other postretirement benefits obligations, fair value of plan assets and a statement of funded status as of December 31, 2018 and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18,275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17,238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8"/>
                <w:szCs w:val="18"/>
                <w:color w:val="auto"/>
              </w:rPr>
              <w:t xml:space="preserve">Actuarial (gain) loss </w:t>
            </w:r>
            <w:r>
              <w:rPr>
                <w:rFonts w:ascii="Arial" w:cs="Arial" w:eastAsia="Arial" w:hAnsi="Arial"/>
                <w:sz w:val="21"/>
                <w:szCs w:val="21"/>
                <w:color w:val="auto"/>
                <w:vertAlign w:val="superscript"/>
              </w:rPr>
              <w:t>(1) (2)</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Benefit payments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Benefit obligation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16,378</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18,275</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11,395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10,017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Employer contributions </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Benefit payments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period</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Funded status at end of period</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December 31, 2018 and 2017 pension actuarial (gain) loss primarily relates to changes in our weighted average discount rate and mortality assumptions and, in 2018, changes to our retirement rate assumptions.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December 31, 2018 and 2017 retiree medical and other postretirement benefits actuarial (gain) loss primarily relates to weighted average discount rate assumption changes and, in 2018, changes to our medical trend and per capita claim assumptions.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2018, we contributed $475 million to our defined benefit pension plans, including supplemental contributions of $433 million in addition to a $42 million minimum required contribution. During 2017, we contributed $286 million to our defined benefit pension plans, including supplemental contributions of $261 million in addition to a $25 million minimum required contribution.</w:t>
      </w:r>
    </w:p>
    <w:p>
      <w:pPr>
        <w:spacing w:after="0" w:line="22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112</w:t>
      </w:r>
    </w:p>
    <w:p>
      <w:pPr>
        <w:sectPr>
          <w:pgSz w:w="11900" w:h="16838" w:orient="portrait"/>
          <w:cols w:equalWidth="0" w:num="2">
            <w:col w:w="140" w:space="400"/>
            <w:col w:w="10880"/>
          </w:cols>
          <w:pgMar w:left="240" w:top="549" w:right="2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Balance Sheet Position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7"/>
          </w:tcPr>
          <w:p>
            <w:pPr>
              <w:jc w:val="center"/>
              <w:ind w:right="593"/>
              <w:spacing w:after="0"/>
              <w:rPr>
                <w:sz w:val="20"/>
                <w:szCs w:val="20"/>
                <w:color w:val="auto"/>
              </w:rPr>
            </w:pPr>
            <w:r>
              <w:rPr>
                <w:rFonts w:ascii="Arial" w:cs="Arial" w:eastAsia="Arial" w:hAnsi="Arial"/>
                <w:sz w:val="14"/>
                <w:szCs w:val="14"/>
                <w:b w:val="1"/>
                <w:bCs w:val="1"/>
                <w:color w:val="auto"/>
              </w:rPr>
              <w:t>Retiree Medical and</w:t>
            </w: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Pension Benefits</w:t>
            </w: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9"/>
          </w:tcPr>
          <w:p>
            <w:pPr>
              <w:jc w:val="center"/>
              <w:ind w:right="253"/>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ind w:left="360"/>
              <w:spacing w:after="0"/>
              <w:rPr>
                <w:sz w:val="20"/>
                <w:szCs w:val="20"/>
                <w:color w:val="auto"/>
              </w:rPr>
            </w:pPr>
            <w:r>
              <w:rPr>
                <w:rFonts w:ascii="Arial" w:cs="Arial" w:eastAsia="Arial" w:hAnsi="Arial"/>
                <w:sz w:val="14"/>
                <w:szCs w:val="14"/>
                <w:b w:val="1"/>
                <w:bCs w:val="1"/>
                <w:color w:val="auto"/>
                <w:w w:val="99"/>
              </w:rPr>
              <w:t>(In millions)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 of December 31,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6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Current liability</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780" w:type="dxa"/>
            <w:vAlign w:val="bottom"/>
            <w:gridSpan w:val="3"/>
          </w:tcPr>
          <w:p>
            <w:pPr>
              <w:jc w:val="right"/>
              <w:ind w:right="37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89</w:t>
            </w:r>
          </w:p>
        </w:tc>
      </w:tr>
      <w:tr>
        <w:trPr>
          <w:trHeight w:val="27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liability</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627</w:t>
            </w:r>
          </w:p>
        </w:tc>
      </w:tr>
      <w:tr>
        <w:trPr>
          <w:trHeight w:val="244"/>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6,325</w:t>
            </w:r>
          </w:p>
        </w:tc>
        <w:tc>
          <w:tcPr>
            <w:tcW w:w="780" w:type="dxa"/>
            <w:vAlign w:val="bottom"/>
            <w:gridSpan w:val="3"/>
          </w:tcPr>
          <w:p>
            <w:pPr>
              <w:jc w:val="right"/>
              <w:ind w:right="37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6,880</w:t>
            </w:r>
          </w:p>
        </w:tc>
        <w:tc>
          <w:tcPr>
            <w:tcW w:w="5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716</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7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actuarial loss (gain)</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780" w:type="dxa"/>
            <w:vAlign w:val="bottom"/>
            <w:gridSpan w:val="3"/>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64"/>
        </w:trPr>
        <w:tc>
          <w:tcPr>
            <w:tcW w:w="4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Prior service cost (benefit)</w:t>
            </w:r>
          </w:p>
        </w:tc>
        <w:tc>
          <w:tcPr>
            <w:tcW w:w="2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131</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r>
      <w:tr>
        <w:trPr>
          <w:trHeight w:val="257"/>
        </w:trPr>
        <w:tc>
          <w:tcPr>
            <w:tcW w:w="52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 (income), pre-tax</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720" w:type="dxa"/>
            <w:vAlign w:val="bottom"/>
            <w:gridSpan w:val="15"/>
          </w:tcPr>
          <w:p>
            <w:pPr>
              <w:ind w:left="180"/>
              <w:spacing w:after="0"/>
              <w:rPr>
                <w:sz w:val="20"/>
                <w:szCs w:val="20"/>
                <w:color w:val="auto"/>
              </w:rPr>
            </w:pPr>
            <w:r>
              <w:rPr>
                <w:rFonts w:ascii="Arial" w:cs="Arial" w:eastAsia="Arial" w:hAnsi="Arial"/>
                <w:sz w:val="18"/>
                <w:szCs w:val="18"/>
                <w:b w:val="1"/>
                <w:bCs w:val="1"/>
                <w:i w:val="1"/>
                <w:iCs w:val="1"/>
                <w:color w:val="auto"/>
              </w:rPr>
              <w:t>Plans with Accumulated Benefit Obligations Exceeding Fair Value of Plan Assets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7"/>
          </w:tcPr>
          <w:p>
            <w:pPr>
              <w:jc w:val="center"/>
              <w:ind w:right="593"/>
              <w:spacing w:after="0"/>
              <w:rPr>
                <w:sz w:val="20"/>
                <w:szCs w:val="20"/>
                <w:color w:val="auto"/>
              </w:rPr>
            </w:pPr>
            <w:r>
              <w:rPr>
                <w:rFonts w:ascii="Arial" w:cs="Arial" w:eastAsia="Arial" w:hAnsi="Arial"/>
                <w:sz w:val="14"/>
                <w:szCs w:val="14"/>
                <w:b w:val="1"/>
                <w:bCs w:val="1"/>
                <w:color w:val="auto"/>
              </w:rPr>
              <w:t>Retiree Medical and</w:t>
            </w: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Pension Benefits</w:t>
            </w: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9"/>
          </w:tcPr>
          <w:p>
            <w:pPr>
              <w:jc w:val="center"/>
              <w:ind w:right="253"/>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ind w:left="360"/>
              <w:spacing w:after="0"/>
              <w:rPr>
                <w:sz w:val="20"/>
                <w:szCs w:val="20"/>
                <w:color w:val="auto"/>
              </w:rPr>
            </w:pPr>
            <w:r>
              <w:rPr>
                <w:rFonts w:ascii="Arial" w:cs="Arial" w:eastAsia="Arial" w:hAnsi="Arial"/>
                <w:sz w:val="14"/>
                <w:szCs w:val="14"/>
                <w:b w:val="1"/>
                <w:bCs w:val="1"/>
                <w:color w:val="auto"/>
                <w:w w:val="99"/>
              </w:rPr>
              <w:t>(In millions)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6"/>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16,351</w:t>
            </w:r>
          </w:p>
        </w:tc>
        <w:tc>
          <w:tcPr>
            <w:tcW w:w="780" w:type="dxa"/>
            <w:vAlign w:val="bottom"/>
            <w:gridSpan w:val="3"/>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Accumulated benefit obligation (ABO)</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16,341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18,235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Accumulated postretirement benefit obligation</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1,011</w:t>
            </w:r>
          </w:p>
        </w:tc>
      </w:tr>
      <w:tr>
        <w:trPr>
          <w:trHeight w:val="26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Fair value of plan assets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10,023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11,364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295</w:t>
            </w:r>
          </w:p>
        </w:tc>
      </w:tr>
      <w:tr>
        <w:trPr>
          <w:trHeight w:val="27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ABO less fair value of plan assets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459"/>
        </w:trPr>
        <w:tc>
          <w:tcPr>
            <w:tcW w:w="40" w:type="dxa"/>
            <w:vAlign w:val="bottom"/>
          </w:tcPr>
          <w:p>
            <w:pPr>
              <w:spacing w:after="0"/>
              <w:rPr>
                <w:sz w:val="24"/>
                <w:szCs w:val="24"/>
                <w:color w:val="auto"/>
              </w:rPr>
            </w:pPr>
          </w:p>
        </w:tc>
        <w:tc>
          <w:tcPr>
            <w:tcW w:w="396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Net Periodic Benefit Cost (Income)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7"/>
          </w:tcPr>
          <w:p>
            <w:pPr>
              <w:jc w:val="right"/>
              <w:spacing w:after="0"/>
              <w:rPr>
                <w:sz w:val="20"/>
                <w:szCs w:val="20"/>
                <w:color w:val="auto"/>
              </w:rPr>
            </w:pPr>
            <w:r>
              <w:rPr>
                <w:rFonts w:ascii="Arial" w:cs="Arial" w:eastAsia="Arial" w:hAnsi="Arial"/>
                <w:sz w:val="14"/>
                <w:szCs w:val="14"/>
                <w:b w:val="1"/>
                <w:bCs w:val="1"/>
                <w:color w:val="auto"/>
              </w:rPr>
              <w:t>Retiree Medical and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640" w:type="dxa"/>
            <w:vAlign w:val="bottom"/>
          </w:tcPr>
          <w:p>
            <w:pPr>
              <w:jc w:val="right"/>
              <w:ind w:right="433"/>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16"/>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7"/>
        </w:trPr>
        <w:tc>
          <w:tcPr>
            <w:tcW w:w="40" w:type="dxa"/>
            <w:vAlign w:val="bottom"/>
            <w:shd w:val="clear" w:color="auto" w:fill="CCEEFF"/>
          </w:tcPr>
          <w:p>
            <w:pPr>
              <w:spacing w:after="0"/>
              <w:rPr>
                <w:sz w:val="24"/>
                <w:szCs w:val="24"/>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r>
      <w:tr>
        <w:trPr>
          <w:trHeight w:val="263"/>
        </w:trPr>
        <w:tc>
          <w:tcPr>
            <w:tcW w:w="40" w:type="dxa"/>
            <w:vAlign w:val="bottom"/>
          </w:tcPr>
          <w:p>
            <w:pPr>
              <w:spacing w:after="0"/>
              <w:rPr>
                <w:sz w:val="22"/>
                <w:szCs w:val="22"/>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Expected return on assets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40" w:type="dxa"/>
            <w:vAlign w:val="bottom"/>
            <w:shd w:val="clear" w:color="auto" w:fill="CCEEFF"/>
          </w:tcPr>
          <w:p>
            <w:pPr>
              <w:spacing w:after="0"/>
              <w:rPr>
                <w:sz w:val="24"/>
                <w:szCs w:val="24"/>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Settlements</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Prior service cost (benefit)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64"/>
        </w:trPr>
        <w:tc>
          <w:tcPr>
            <w:tcW w:w="40" w:type="dxa"/>
            <w:vAlign w:val="bottom"/>
            <w:tcBorders>
              <w:bottom w:val="single" w:sz="8" w:color="CCEEFF"/>
            </w:tcBorders>
          </w:tcPr>
          <w:p>
            <w:pPr>
              <w:spacing w:after="0"/>
              <w:rPr>
                <w:sz w:val="22"/>
                <w:szCs w:val="22"/>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Unrecognized net loss (gain)</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components of net periodic benefit income other than the service cost component are included in nonoperating other income, net in our consolidated statements of operations.</w:t>
      </w:r>
    </w:p>
    <w:p>
      <w:pPr>
        <w:spacing w:after="0" w:line="14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estimated amount of unrecognized actuarial net loss and prior service cost for the defined benefit pension plans that will be amortized from AOCI into net periodic benefit cost over the next fiscal year is $181 million.</w:t>
      </w:r>
    </w:p>
    <w:p>
      <w:pPr>
        <w:sectPr>
          <w:pgSz w:w="11900" w:h="16838" w:orient="portrait"/>
          <w:cols w:equalWidth="0" w:num="1">
            <w:col w:w="11420"/>
          </w:cols>
          <w:pgMar w:left="240" w:top="549"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549" w:right="2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ind w:right="20" w:firstLine="243"/>
        <w:spacing w:after="0" w:line="262" w:lineRule="auto"/>
        <w:rPr>
          <w:sz w:val="20"/>
          <w:szCs w:val="20"/>
          <w:color w:val="auto"/>
        </w:rPr>
      </w:pPr>
      <w:r>
        <w:rPr>
          <w:rFonts w:ascii="Arial" w:cs="Arial" w:eastAsia="Arial" w:hAnsi="Arial"/>
          <w:sz w:val="18"/>
          <w:szCs w:val="18"/>
          <w:color w:val="auto"/>
        </w:rPr>
        <w:t>The estimated amount of unrecognized actuarial net gain and prior service benefit for the retiree medical and other postretirement benefits plans that will be amortized from AOCI into net periodic benefit cost over the next fiscal year is $269 million.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Assumptions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actuarial assumptions were used to determine our benefit obligations and net periodic benefit cost for the periods presented:</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Benefit obligations: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Net periodic benefit cost: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Weighted average expected rate of return on plan assets</w:t>
      </w:r>
    </w:p>
    <w:p>
      <w:pPr>
        <w:spacing w:after="0" w:line="75" w:lineRule="exact"/>
        <w:rPr>
          <w:sz w:val="20"/>
          <w:szCs w:val="20"/>
          <w:color w:val="auto"/>
        </w:rPr>
      </w:pPr>
    </w:p>
    <w:p>
      <w:pPr>
        <w:ind w:left="200" w:right="140" w:hanging="161"/>
        <w:spacing w:after="0" w:line="268" w:lineRule="auto"/>
        <w:rPr>
          <w:sz w:val="20"/>
          <w:szCs w:val="20"/>
          <w:color w:val="auto"/>
        </w:rPr>
      </w:pPr>
      <w:r>
        <w:rPr>
          <w:rFonts w:ascii="Arial" w:cs="Arial" w:eastAsia="Arial" w:hAnsi="Arial"/>
          <w:sz w:val="18"/>
          <w:szCs w:val="18"/>
          <w:color w:val="auto"/>
        </w:rPr>
        <w:t xml:space="preserve">Weighted average health care cost trend rate assumed for next year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379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center"/>
        <w:ind w:left="-679"/>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26035</wp:posOffset>
            </wp:positionV>
            <wp:extent cx="19640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03" w:lineRule="exact"/>
        <w:rPr>
          <w:sz w:val="20"/>
          <w:szCs w:val="20"/>
          <w:color w:val="auto"/>
        </w:rPr>
      </w:pPr>
    </w:p>
    <w:p>
      <w:pPr>
        <w:ind w:left="780"/>
        <w:spacing w:after="0"/>
        <w:tabs>
          <w:tab w:leader="none" w:pos="23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26035</wp:posOffset>
            </wp:positionV>
            <wp:extent cx="724662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5"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8"/>
          <w:szCs w:val="18"/>
          <w:color w:val="auto"/>
        </w:rPr>
        <w:t>3.80%</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26035</wp:posOffset>
            </wp:positionV>
            <wp:extent cx="2109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100"/>
        <w:spacing w:after="0"/>
        <w:tabs>
          <w:tab w:leader="none" w:pos="1220" w:val="left"/>
          <w:tab w:leader="none" w:pos="23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26035</wp:posOffset>
            </wp:positionV>
            <wp:extent cx="724662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5" w:lineRule="exact"/>
        <w:rPr>
          <w:sz w:val="20"/>
          <w:szCs w:val="20"/>
          <w:color w:val="auto"/>
        </w:rPr>
      </w:pPr>
    </w:p>
    <w:p>
      <w:pPr>
        <w:spacing w:after="0"/>
        <w:tabs>
          <w:tab w:leader="none" w:pos="1140" w:val="left"/>
          <w:tab w:leader="none" w:pos="2260" w:val="left"/>
        </w:tabs>
        <w:rPr>
          <w:sz w:val="20"/>
          <w:szCs w:val="20"/>
          <w:color w:val="auto"/>
        </w:rPr>
      </w:pPr>
      <w:r>
        <w:rPr>
          <w:rFonts w:ascii="Arial" w:cs="Arial" w:eastAsia="Arial" w:hAnsi="Arial"/>
          <w:sz w:val="18"/>
          <w:szCs w:val="18"/>
          <w:color w:val="auto"/>
        </w:rPr>
        <w:t>3.80%</w:t>
      </w:r>
      <w:r>
        <w:rPr>
          <w:sz w:val="20"/>
          <w:szCs w:val="20"/>
          <w:color w:val="auto"/>
        </w:rPr>
        <w:tab/>
      </w: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14605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140" w:val="left"/>
          <w:tab w:leader="none" w:pos="2260" w:val="left"/>
        </w:tabs>
        <w:rPr>
          <w:sz w:val="20"/>
          <w:szCs w:val="20"/>
          <w:color w:val="auto"/>
        </w:rPr>
      </w:pPr>
      <w:r>
        <w:rPr>
          <w:rFonts w:ascii="Arial" w:cs="Arial" w:eastAsia="Arial" w:hAnsi="Arial"/>
          <w:sz w:val="18"/>
          <w:szCs w:val="18"/>
          <w:color w:val="auto"/>
        </w:rPr>
        <w:t>8.00%</w:t>
      </w:r>
      <w:r>
        <w:rPr>
          <w:sz w:val="20"/>
          <w:szCs w:val="20"/>
          <w:color w:val="auto"/>
        </w:rPr>
        <w:tab/>
      </w:r>
      <w:r>
        <w:rPr>
          <w:rFonts w:ascii="Arial" w:cs="Arial" w:eastAsia="Arial" w:hAnsi="Arial"/>
          <w:sz w:val="18"/>
          <w:szCs w:val="18"/>
          <w:color w:val="auto"/>
        </w:rPr>
        <w:t>8.00%</w:t>
      </w:r>
      <w:r>
        <w:rPr>
          <w:sz w:val="20"/>
          <w:szCs w:val="20"/>
          <w:color w:val="auto"/>
        </w:rPr>
        <w:tab/>
      </w:r>
      <w:r>
        <w:rPr>
          <w:rFonts w:ascii="Arial" w:cs="Arial" w:eastAsia="Arial" w:hAnsi="Arial"/>
          <w:sz w:val="18"/>
          <w:szCs w:val="18"/>
          <w:color w:val="auto"/>
        </w:rPr>
        <w:t>8.00%</w:t>
      </w:r>
    </w:p>
    <w:p>
      <w:pPr>
        <w:spacing w:after="0" w:line="252" w:lineRule="exact"/>
        <w:rPr>
          <w:sz w:val="20"/>
          <w:szCs w:val="20"/>
          <w:color w:val="auto"/>
        </w:rPr>
      </w:pPr>
    </w:p>
    <w:p>
      <w:pPr>
        <w:ind w:left="100"/>
        <w:spacing w:after="0"/>
        <w:tabs>
          <w:tab w:leader="none" w:pos="1240" w:val="left"/>
          <w:tab w:leader="none" w:pos="2380" w:val="left"/>
        </w:tabs>
        <w:rPr>
          <w:sz w:val="20"/>
          <w:szCs w:val="20"/>
          <w:color w:val="auto"/>
        </w:rPr>
      </w:pP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Retiree Medical and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19380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p>
      <w:pPr>
        <w:ind w:left="560"/>
        <w:spacing w:after="0"/>
        <w:tabs>
          <w:tab w:leader="none" w:pos="21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365" w:lineRule="exact"/>
        <w:rPr>
          <w:sz w:val="20"/>
          <w:szCs w:val="20"/>
          <w:color w:val="auto"/>
        </w:rPr>
      </w:pPr>
    </w:p>
    <w:p>
      <w:pPr>
        <w:ind w:left="460"/>
        <w:spacing w:after="0"/>
        <w:tabs>
          <w:tab w:leader="none" w:pos="202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3.60%</w:t>
      </w:r>
    </w:p>
    <w:p>
      <w:pPr>
        <w:spacing w:after="0" w:line="334"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Retiree Medical and</w:t>
      </w:r>
    </w:p>
    <w:p>
      <w:pPr>
        <w:spacing w:after="0" w:line="1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14605</wp:posOffset>
            </wp:positionV>
            <wp:extent cx="2092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p>
      <w:pPr>
        <w:ind w:left="100"/>
        <w:spacing w:after="0"/>
        <w:tabs>
          <w:tab w:leader="none" w:pos="1220" w:val="left"/>
          <w:tab w:leader="none" w:pos="23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365"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18"/>
          <w:szCs w:val="18"/>
          <w:color w:val="auto"/>
        </w:rPr>
        <w:t>3.60%</w:t>
      </w:r>
      <w:r>
        <w:rPr>
          <w:sz w:val="20"/>
          <w:szCs w:val="20"/>
          <w:color w:val="auto"/>
        </w:rPr>
        <w:tab/>
      </w: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4.42%</w:t>
      </w:r>
    </w:p>
    <w:p>
      <w:pPr>
        <w:spacing w:after="0" w:line="63"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18"/>
          <w:szCs w:val="18"/>
          <w:color w:val="auto"/>
        </w:rPr>
        <w:t>8.00%</w:t>
      </w:r>
      <w:r>
        <w:rPr>
          <w:sz w:val="20"/>
          <w:szCs w:val="20"/>
          <w:color w:val="auto"/>
        </w:rPr>
        <w:tab/>
      </w:r>
      <w:r>
        <w:rPr>
          <w:rFonts w:ascii="Arial" w:cs="Arial" w:eastAsia="Arial" w:hAnsi="Arial"/>
          <w:sz w:val="18"/>
          <w:szCs w:val="18"/>
          <w:color w:val="auto"/>
        </w:rPr>
        <w:t>8.00%</w:t>
      </w:r>
      <w:r>
        <w:rPr>
          <w:sz w:val="20"/>
          <w:szCs w:val="20"/>
          <w:color w:val="auto"/>
        </w:rPr>
        <w:tab/>
      </w:r>
      <w:r>
        <w:rPr>
          <w:rFonts w:ascii="Arial" w:cs="Arial" w:eastAsia="Arial" w:hAnsi="Arial"/>
          <w:sz w:val="17"/>
          <w:szCs w:val="17"/>
          <w:color w:val="auto"/>
        </w:rPr>
        <w:t>8.00%</w:t>
      </w:r>
    </w:p>
    <w:p>
      <w:pPr>
        <w:spacing w:after="0" w:line="252"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8"/>
          <w:szCs w:val="18"/>
          <w:color w:val="auto"/>
        </w:rPr>
        <w:t>4.19%</w:t>
      </w:r>
      <w:r>
        <w:rPr>
          <w:sz w:val="20"/>
          <w:szCs w:val="20"/>
          <w:color w:val="auto"/>
        </w:rPr>
        <w:tab/>
      </w:r>
      <w:r>
        <w:rPr>
          <w:rFonts w:ascii="Arial" w:cs="Arial" w:eastAsia="Arial" w:hAnsi="Arial"/>
          <w:sz w:val="17"/>
          <w:szCs w:val="17"/>
          <w:color w:val="auto"/>
        </w:rPr>
        <w:t>4.25%</w:t>
      </w:r>
    </w:p>
    <w:p>
      <w:pPr>
        <w:spacing w:after="0" w:line="291" w:lineRule="exact"/>
        <w:rPr>
          <w:sz w:val="20"/>
          <w:szCs w:val="20"/>
          <w:color w:val="auto"/>
        </w:rPr>
      </w:pPr>
    </w:p>
    <w:p>
      <w:pPr>
        <w:sectPr>
          <w:pgSz w:w="11900" w:h="16838" w:orient="portrait"/>
          <w:cols w:equalWidth="0" w:num="3">
            <w:col w:w="4560" w:space="400"/>
            <w:col w:w="2800" w:space="620"/>
            <w:col w:w="3040"/>
          </w:cols>
          <w:pgMar w:left="240" w:top="549" w:right="239" w:bottom="1440" w:gutter="0" w:footer="0" w:header="0"/>
          <w:type w:val="continuous"/>
        </w:sectPr>
      </w:pPr>
    </w:p>
    <w:p>
      <w:pPr>
        <w:spacing w:after="0" w:line="137" w:lineRule="exact"/>
        <w:rPr>
          <w:sz w:val="20"/>
          <w:szCs w:val="20"/>
          <w:color w:val="auto"/>
        </w:rPr>
      </w:pPr>
    </w:p>
    <w:p>
      <w:pPr>
        <w:ind w:left="660" w:hanging="652"/>
        <w:spacing w:after="0" w:line="225" w:lineRule="auto"/>
        <w:tabs>
          <w:tab w:leader="none" w:pos="66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The weighted average health care cost trend rate at December 31, 2018 is assumed to decline gradually to 3.45% by 2026 and remain level thereafter.</w:t>
      </w:r>
    </w:p>
    <w:p>
      <w:pPr>
        <w:spacing w:after="0" w:line="16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December 31, 2018, our estimate of the long-term rate of return on plan assets was 8%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ten years, current and expected market conditions, and expected value to be generated through active management and securities lending programs.</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 one percentage point change in the assumed health care cost trend rates would have the following effects on our retiree medical and other postretirement benefits plans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1% Increase</w:t>
            </w:r>
          </w:p>
        </w:tc>
        <w:tc>
          <w:tcPr>
            <w:tcW w:w="180" w:type="dxa"/>
            <w:vAlign w:val="bottom"/>
          </w:tcPr>
          <w:p>
            <w:pPr>
              <w:spacing w:after="0"/>
              <w:rPr>
                <w:sz w:val="17"/>
                <w:szCs w:val="17"/>
                <w:color w:val="auto"/>
              </w:rPr>
            </w:pPr>
          </w:p>
        </w:tc>
        <w:tc>
          <w:tcPr>
            <w:tcW w:w="1200" w:type="dxa"/>
            <w:vAlign w:val="bottom"/>
          </w:tcPr>
          <w:p>
            <w:pPr>
              <w:jc w:val="right"/>
              <w:ind w:right="156"/>
              <w:spacing w:after="0"/>
              <w:rPr>
                <w:sz w:val="20"/>
                <w:szCs w:val="20"/>
                <w:color w:val="auto"/>
              </w:rPr>
            </w:pPr>
            <w:r>
              <w:rPr>
                <w:rFonts w:ascii="Arial" w:cs="Arial" w:eastAsia="Arial" w:hAnsi="Arial"/>
                <w:sz w:val="14"/>
                <w:szCs w:val="14"/>
                <w:b w:val="1"/>
                <w:bCs w:val="1"/>
                <w:color w:val="auto"/>
              </w:rPr>
              <w:t>1% Decrease</w:t>
            </w:r>
          </w:p>
        </w:tc>
      </w:tr>
      <w:tr>
        <w:trPr>
          <w:trHeight w:val="256"/>
        </w:trPr>
        <w:tc>
          <w:tcPr>
            <w:tcW w:w="8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on 2018 service and interest cost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Increase (decrease) on benefit obligation as of December 31, 2018</w:t>
            </w:r>
          </w:p>
        </w:tc>
        <w:tc>
          <w:tcPr>
            <w:tcW w:w="200" w:type="dxa"/>
            <w:vAlign w:val="bottom"/>
          </w:tcPr>
          <w:p>
            <w:pPr>
              <w:spacing w:after="0"/>
              <w:rPr>
                <w:sz w:val="22"/>
                <w:szCs w:val="22"/>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Minimum Contributions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are required to make minimum contributions to our defined benefit pension plans under the minimum funding requirements of the Employee Retirement Income Security Act of 1974 (ERISA) and various other laws for U.S. based plans as well as underfunding rules specific to countries where we maintain defined benefit plans. Based on current funding assumptions, we have minimum required contributions of $786 million for 2019 including contributions to defined benefit plans for our wholly-owned regional subsidiaries. We expect to make supplemental contributions of $21 million to our U.S. based defined benefit pension plans in 2019. Our funding obligations will depend on the performance of our investments held in trust by the pension plans, interest rates for determining liabilities, the amount of and timing of any supplemental contributions and our actuarial experience.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549" w:right="239" w:bottom="144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(approximately,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2024-2028</w:t>
            </w:r>
          </w:p>
        </w:tc>
      </w:tr>
      <w:tr>
        <w:trPr>
          <w:trHeight w:val="256"/>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benefits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4,917</w:t>
            </w: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280</w:t>
            </w:r>
          </w:p>
        </w:tc>
      </w:tr>
    </w:tbl>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Plan Assets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objectives of our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Based on these investment objectives, a long-term strategic asset allocation has been established. This strategic allocation seeks to balance the potential benefit of improving funded position with the potential risk that the funded position would decline. The current strategic target asset allocation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Class/Sub-Class</w:t>
            </w:r>
          </w:p>
        </w:tc>
        <w:tc>
          <w:tcPr>
            <w:tcW w:w="19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Allowed Range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0"/>
        </w:trPr>
        <w:tc>
          <w:tcPr>
            <w:tcW w:w="9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- 85%</w:t>
            </w:r>
          </w:p>
        </w:tc>
      </w:tr>
      <w:tr>
        <w:trPr>
          <w:trHeight w:val="243"/>
        </w:trPr>
        <w:tc>
          <w:tcPr>
            <w:tcW w:w="40" w:type="dxa"/>
            <w:vAlign w:val="bottom"/>
          </w:tcPr>
          <w:p>
            <w:pPr>
              <w:spacing w:after="0"/>
              <w:rPr>
                <w:sz w:val="21"/>
                <w:szCs w:val="21"/>
                <w:color w:val="auto"/>
              </w:rPr>
            </w:pPr>
          </w:p>
        </w:tc>
        <w:tc>
          <w:tcPr>
            <w:tcW w:w="9440" w:type="dxa"/>
            <w:vAlign w:val="bottom"/>
            <w:gridSpan w:val="2"/>
          </w:tcPr>
          <w:p>
            <w:pPr>
              <w:ind w:left="140"/>
              <w:spacing w:after="0"/>
              <w:rPr>
                <w:sz w:val="20"/>
                <w:szCs w:val="20"/>
                <w:color w:val="auto"/>
              </w:rPr>
            </w:pPr>
            <w:r>
              <w:rPr>
                <w:rFonts w:ascii="Arial" w:cs="Arial" w:eastAsia="Arial" w:hAnsi="Arial"/>
                <w:sz w:val="18"/>
                <w:szCs w:val="18"/>
                <w:color w:val="auto"/>
              </w:rPr>
              <w:t>Public:</w:t>
            </w:r>
          </w:p>
        </w:tc>
        <w:tc>
          <w:tcPr>
            <w:tcW w:w="14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Large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w:t>
            </w:r>
          </w:p>
        </w:tc>
      </w:tr>
      <w:tr>
        <w:trPr>
          <w:trHeight w:val="250"/>
        </w:trPr>
        <w:tc>
          <w:tcPr>
            <w:tcW w:w="40" w:type="dxa"/>
            <w:vAlign w:val="bottom"/>
          </w:tcPr>
          <w:p>
            <w:pPr>
              <w:spacing w:after="0"/>
              <w:rPr>
                <w:sz w:val="21"/>
                <w:szCs w:val="21"/>
                <w:color w:val="auto"/>
              </w:rPr>
            </w:pPr>
          </w:p>
        </w:tc>
        <w:tc>
          <w:tcPr>
            <w:tcW w:w="9440" w:type="dxa"/>
            <w:vAlign w:val="bottom"/>
            <w:gridSpan w:val="2"/>
          </w:tcPr>
          <w:p>
            <w:pPr>
              <w:ind w:left="240"/>
              <w:spacing w:after="0"/>
              <w:rPr>
                <w:sz w:val="20"/>
                <w:szCs w:val="20"/>
                <w:color w:val="auto"/>
              </w:rPr>
            </w:pPr>
            <w:r>
              <w:rPr>
                <w:rFonts w:ascii="Arial" w:cs="Arial" w:eastAsia="Arial" w:hAnsi="Arial"/>
                <w:sz w:val="18"/>
                <w:szCs w:val="18"/>
                <w:color w:val="auto"/>
              </w:rPr>
              <w:t>U.S. Small/Mid</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63"/>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w:t>
            </w:r>
          </w:p>
        </w:tc>
      </w:tr>
      <w:tr>
        <w:trPr>
          <w:trHeight w:val="250"/>
        </w:trPr>
        <w:tc>
          <w:tcPr>
            <w:tcW w:w="40" w:type="dxa"/>
            <w:vAlign w:val="bottom"/>
          </w:tcPr>
          <w:p>
            <w:pPr>
              <w:spacing w:after="0"/>
              <w:rPr>
                <w:sz w:val="21"/>
                <w:szCs w:val="21"/>
                <w:color w:val="auto"/>
              </w:rPr>
            </w:pPr>
          </w:p>
        </w:tc>
        <w:tc>
          <w:tcPr>
            <w:tcW w:w="9440" w:type="dxa"/>
            <w:vAlign w:val="bottom"/>
            <w:gridSpan w:val="2"/>
          </w:tcPr>
          <w:p>
            <w:pPr>
              <w:ind w:left="240"/>
              <w:spacing w:after="0"/>
              <w:rPr>
                <w:sz w:val="20"/>
                <w:szCs w:val="20"/>
                <w:color w:val="auto"/>
              </w:rPr>
            </w:pPr>
            <w:r>
              <w:rPr>
                <w:rFonts w:ascii="Arial" w:cs="Arial" w:eastAsia="Arial" w:hAnsi="Arial"/>
                <w:sz w:val="18"/>
                <w:szCs w:val="18"/>
                <w:color w:val="auto"/>
              </w:rPr>
              <w:t>Emerging Markets</w:t>
            </w: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- 11%</w:t>
            </w:r>
          </w:p>
        </w:tc>
      </w:tr>
      <w:tr>
        <w:trPr>
          <w:trHeight w:val="263"/>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Alternative Investments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r>
      <w:tr>
        <w:trPr>
          <w:trHeight w:val="250"/>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Fixed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jc w:val="right"/>
              <w:spacing w:after="0"/>
              <w:rPr>
                <w:sz w:val="20"/>
                <w:szCs w:val="20"/>
                <w:color w:val="auto"/>
              </w:rPr>
            </w:pPr>
            <w:r>
              <w:rPr>
                <w:rFonts w:ascii="Arial" w:cs="Arial" w:eastAsia="Arial" w:hAnsi="Arial"/>
                <w:sz w:val="18"/>
                <w:szCs w:val="18"/>
                <w:color w:val="auto"/>
              </w:rPr>
              <w:t>- 40%</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Public:</w:t>
            </w:r>
          </w:p>
        </w:tc>
        <w:tc>
          <w:tcPr>
            <w:tcW w:w="14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9440" w:type="dxa"/>
            <w:vAlign w:val="bottom"/>
            <w:gridSpan w:val="2"/>
          </w:tcPr>
          <w:p>
            <w:pPr>
              <w:ind w:left="240"/>
              <w:spacing w:after="0"/>
              <w:rPr>
                <w:sz w:val="20"/>
                <w:szCs w:val="20"/>
                <w:color w:val="auto"/>
              </w:rPr>
            </w:pPr>
            <w:r>
              <w:rPr>
                <w:rFonts w:ascii="Arial" w:cs="Arial" w:eastAsia="Arial" w:hAnsi="Arial"/>
                <w:sz w:val="18"/>
                <w:szCs w:val="18"/>
                <w:color w:val="auto"/>
              </w:rPr>
              <w:t>U.S. Long Duration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jc w:val="right"/>
              <w:spacing w:after="0"/>
              <w:rPr>
                <w:sz w:val="20"/>
                <w:szCs w:val="20"/>
                <w:color w:val="auto"/>
              </w:rPr>
            </w:pPr>
            <w:r>
              <w:rPr>
                <w:rFonts w:ascii="Arial" w:cs="Arial" w:eastAsia="Arial" w:hAnsi="Arial"/>
                <w:sz w:val="18"/>
                <w:szCs w:val="18"/>
                <w:color w:val="auto"/>
              </w:rPr>
              <w:t>- 30%</w:t>
            </w:r>
          </w:p>
        </w:tc>
      </w:tr>
      <w:tr>
        <w:trPr>
          <w:trHeight w:val="263"/>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High Yield and Emerging Markets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w:t>
            </w:r>
          </w:p>
        </w:tc>
      </w:tr>
      <w:tr>
        <w:trPr>
          <w:trHeight w:val="250"/>
        </w:trPr>
        <w:tc>
          <w:tcPr>
            <w:tcW w:w="40" w:type="dxa"/>
            <w:vAlign w:val="bottom"/>
          </w:tcPr>
          <w:p>
            <w:pPr>
              <w:spacing w:after="0"/>
              <w:rPr>
                <w:sz w:val="21"/>
                <w:szCs w:val="21"/>
                <w:color w:val="auto"/>
              </w:rPr>
            </w:pPr>
          </w:p>
        </w:tc>
        <w:tc>
          <w:tcPr>
            <w:tcW w:w="9440" w:type="dxa"/>
            <w:vAlign w:val="bottom"/>
            <w:gridSpan w:val="2"/>
          </w:tcPr>
          <w:p>
            <w:pPr>
              <w:ind w:left="140"/>
              <w:spacing w:after="0"/>
              <w:rPr>
                <w:sz w:val="20"/>
                <w:szCs w:val="20"/>
                <w:color w:val="auto"/>
              </w:rPr>
            </w:pPr>
            <w:r>
              <w:rPr>
                <w:rFonts w:ascii="Arial" w:cs="Arial" w:eastAsia="Arial" w:hAnsi="Arial"/>
                <w:sz w:val="18"/>
                <w:szCs w:val="18"/>
                <w:color w:val="auto"/>
              </w:rPr>
              <w:t>Private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63"/>
        </w:trPr>
        <w:tc>
          <w:tcPr>
            <w:tcW w:w="9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- 5%</w:t>
            </w:r>
          </w:p>
        </w:tc>
      </w:tr>
    </w:tbl>
    <w:p>
      <w:pPr>
        <w:spacing w:after="0" w:line="16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Public equity as well as high yield and emerging market fixed income securities are used to provide diversification and are expected to generate higher returns over the long-term than U.S. long duration bonds. Public stocks are managed using a value investment approach in order to participate in the returns generated by stocks in the long-term, while reducing year-over-year volatility. U.S. long duration bonds are used to partially hedge the assets from declines in interest rates. Alternative (private) investments are used to provide expected returns in excess of the public markets over the long-term. The pension plan’s master trust also participates in securities lending programs to generate additional income by loaning plan assets to borrowers on a fully collateralized basis. These programs are subject to market risk.</w:t>
      </w:r>
    </w:p>
    <w:p>
      <w:pPr>
        <w:spacing w:after="0" w:line="1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Investments in securities traded on recognized securities exchanges are valued at the last reported sales price on the last business day of the year. Securities traded in the over-the-counter market are valued at the last bid price. The money market fund is valued at fair value which represents the net asset value of the shares of such fund as of the close of business at the end of the period. Investments in limited partnerships are carried at estimated net asset value as determined by and reported by the general partners of the partnerships and represent the proportionate share of the estimated fair value of the underlying assets of the limited partnerships. Common/collective trusts are valued at net asset value based on the fair values of the underlying investments of the trusts as determined by the sponsor of the trusts. The pension plan’s master trust also invests in a 103-12 investment entity (the 103-12 Investment Trust) which is designed to invest plan assets of more than one unrelated employer. The 103-12 Investment Trust is valued at net asset value which is determined by the issuer at the end of each month and is based on the aggregate fair value of trust assets less liabilities, divided by the number of units outstanding. No changes in valuation techniques or inputs occurred during the year.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49"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Plan Assets Measured at Fair Value on a Recurring Basis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fair value of our pension plan assets at December 31, 2018 and 2017, by asset category,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gridSpan w:val="9"/>
          </w:tcPr>
          <w:p>
            <w:pPr>
              <w:ind w:left="1100"/>
              <w:spacing w:after="0"/>
              <w:rPr>
                <w:sz w:val="20"/>
                <w:szCs w:val="20"/>
                <w:color w:val="auto"/>
              </w:rPr>
            </w:pPr>
            <w:r>
              <w:rPr>
                <w:rFonts w:ascii="Arial" w:cs="Arial" w:eastAsia="Arial" w:hAnsi="Arial"/>
                <w:sz w:val="14"/>
                <w:szCs w:val="14"/>
                <w:b w:val="1"/>
                <w:bCs w:val="1"/>
                <w:color w:val="auto"/>
              </w:rPr>
              <w:t>Fair Value Measurements as of December 31, 2018</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 Identical</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Unobservable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46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98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International markets </w:t>
            </w:r>
            <w:r>
              <w:rPr>
                <w:rFonts w:ascii="Arial" w:cs="Arial" w:eastAsia="Arial" w:hAnsi="Arial"/>
                <w:sz w:val="21"/>
                <w:szCs w:val="21"/>
                <w:color w:val="auto"/>
                <w:vertAlign w:val="superscript"/>
              </w:rPr>
              <w:t>(a) (b)</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3,181</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Large-cap companies </w:t>
            </w:r>
            <w:r>
              <w:rPr>
                <w:rFonts w:ascii="Arial" w:cs="Arial" w:eastAsia="Arial" w:hAnsi="Arial"/>
                <w:sz w:val="21"/>
                <w:szCs w:val="21"/>
                <w:color w:val="auto"/>
                <w:vertAlign w:val="superscript"/>
              </w:rPr>
              <w:t>(b)</w:t>
            </w:r>
          </w:p>
        </w:tc>
        <w:tc>
          <w:tcPr>
            <w:tcW w:w="18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2,021</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Mid-cap companies </w:t>
            </w:r>
            <w:r>
              <w:rPr>
                <w:rFonts w:ascii="Arial" w:cs="Arial" w:eastAsia="Arial" w:hAnsi="Arial"/>
                <w:sz w:val="21"/>
                <w:szCs w:val="21"/>
                <w:color w:val="auto"/>
                <w:vertAlign w:val="superscript"/>
              </w:rPr>
              <w:t>(b)</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Small-cap companies </w:t>
            </w:r>
            <w:r>
              <w:rPr>
                <w:rFonts w:ascii="Arial" w:cs="Arial" w:eastAsia="Arial" w:hAnsi="Arial"/>
                <w:sz w:val="21"/>
                <w:szCs w:val="21"/>
                <w:color w:val="auto"/>
                <w:vertAlign w:val="superscript"/>
              </w:rPr>
              <w:t>(b)</w:t>
            </w:r>
          </w:p>
        </w:tc>
        <w:tc>
          <w:tcPr>
            <w:tcW w:w="18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1"/>
                <w:szCs w:val="21"/>
                <w:color w:val="auto"/>
                <w:vertAlign w:val="superscript"/>
              </w:rPr>
              <w:t>(c)</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Fixed income:</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21"/>
                <w:szCs w:val="21"/>
                <w:color w:val="auto"/>
                <w:vertAlign w:val="superscript"/>
              </w:rPr>
              <w:t>(d)</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2,116</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Government securities </w:t>
            </w:r>
            <w:r>
              <w:rPr>
                <w:rFonts w:ascii="Arial" w:cs="Arial" w:eastAsia="Arial" w:hAnsi="Arial"/>
                <w:sz w:val="21"/>
                <w:szCs w:val="21"/>
                <w:color w:val="auto"/>
                <w:vertAlign w:val="superscript"/>
              </w:rPr>
              <w:t>(e)</w:t>
            </w: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municipal securities</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Alternative instruments: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Private market partnerships </w:t>
            </w:r>
            <w:r>
              <w:rPr>
                <w:rFonts w:ascii="Arial" w:cs="Arial" w:eastAsia="Arial" w:hAnsi="Arial"/>
                <w:sz w:val="21"/>
                <w:szCs w:val="21"/>
                <w:color w:val="auto"/>
                <w:vertAlign w:val="superscript"/>
              </w:rPr>
              <w:t>(f)</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Private market partnerships measured at net asset value </w:t>
            </w:r>
            <w:r>
              <w:rPr>
                <w:rFonts w:ascii="Arial" w:cs="Arial" w:eastAsia="Arial" w:hAnsi="Arial"/>
                <w:sz w:val="21"/>
                <w:szCs w:val="21"/>
                <w:color w:val="auto"/>
                <w:vertAlign w:val="superscript"/>
              </w:rPr>
              <w:t>(f) (h)</w:t>
            </w: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1,188</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1"/>
                <w:szCs w:val="21"/>
                <w:color w:val="auto"/>
                <w:vertAlign w:val="superscript"/>
              </w:rPr>
              <w:t>(g)</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26"/>
        </w:trPr>
        <w:tc>
          <w:tcPr>
            <w:tcW w:w="40" w:type="dxa"/>
            <w:vAlign w:val="bottom"/>
          </w:tcPr>
          <w:p>
            <w:pPr>
              <w:spacing w:after="0"/>
              <w:rPr>
                <w:sz w:val="19"/>
                <w:szCs w:val="19"/>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Common/collective trusts and 103-12 Investment Trust</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3"/>
        </w:trPr>
        <w:tc>
          <w:tcPr>
            <w:tcW w:w="40" w:type="dxa"/>
            <w:vAlign w:val="bottom"/>
          </w:tcPr>
          <w:p>
            <w:pPr>
              <w:spacing w:after="0"/>
              <w:rPr>
                <w:sz w:val="20"/>
                <w:szCs w:val="20"/>
                <w:color w:val="auto"/>
              </w:rPr>
            </w:pPr>
          </w:p>
        </w:tc>
        <w:tc>
          <w:tcPr>
            <w:tcW w:w="5420" w:type="dxa"/>
            <w:vAlign w:val="bottom"/>
            <w:gridSpan w:val="2"/>
          </w:tcPr>
          <w:p>
            <w:pPr>
              <w:ind w:left="500"/>
              <w:spacing w:after="0" w:line="233" w:lineRule="exact"/>
              <w:rPr>
                <w:sz w:val="20"/>
                <w:szCs w:val="20"/>
                <w:color w:val="auto"/>
              </w:rPr>
            </w:pPr>
            <w:r>
              <w:rPr>
                <w:rFonts w:ascii="Arial" w:cs="Arial" w:eastAsia="Arial" w:hAnsi="Arial"/>
                <w:sz w:val="18"/>
                <w:szCs w:val="18"/>
                <w:color w:val="auto"/>
              </w:rPr>
              <w:t xml:space="preserve">measured at net asset value </w:t>
            </w:r>
            <w:r>
              <w:rPr>
                <w:rFonts w:ascii="Arial" w:cs="Arial" w:eastAsia="Arial" w:hAnsi="Arial"/>
                <w:sz w:val="21"/>
                <w:szCs w:val="21"/>
                <w:color w:val="auto"/>
                <w:vertAlign w:val="superscript"/>
              </w:rPr>
              <w:t>(g) (h)</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227</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Insurance group annuity contracts</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6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Dividend and interest receivable</w:t>
            </w:r>
          </w:p>
        </w:tc>
        <w:tc>
          <w:tcPr>
            <w:tcW w:w="18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7"/>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Due to/from brokers for sale of securities – net</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64"/>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Other liabilities – net</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4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10,053</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Holdings are diversified as follows: 17% United Kingdom, 10% Japan, 8% France, 7% Switzerland, 6% Ireland, 17% emerging markets and the remaining 35% with no concentration greater than 5% in any one country.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concentrations of holdings by company or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Investment includes mutual funds invested 37% in equity securities of large-cap, mid-cap and small-cap U.S. companies, 38% in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treasuries and corporate bonds and 25% in equity securities of international companies.</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Includes approximately 77% investments in corporate debt with a S&amp;P rating lower than A and 23% investments in corporate debt with a S&amp;P rating A or higher. Holdings include 85% U.S. companies, 12% international companies and 3% emerging market companies.</w:t>
      </w:r>
    </w:p>
    <w:p>
      <w:pPr>
        <w:spacing w:after="0" w:line="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Includes approximately 32% investments in U.S. domestic government securities, 37% in emerging market government securities and 31% in international government securities. There are no significant foreign currency risks within this classification.</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Includes limited partnerships that invest primarily in U.S. (94%) and European (6%) buyout opportunities of a range of privately held companies.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$1.0 billion over the next ten years.</w:t>
      </w:r>
    </w:p>
    <w:p>
      <w:pPr>
        <w:spacing w:after="0" w:line="23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116</w:t>
      </w:r>
    </w:p>
    <w:p>
      <w:pPr>
        <w:sectPr>
          <w:pgSz w:w="11900" w:h="16838" w:orient="portrait"/>
          <w:cols w:equalWidth="0" w:num="2">
            <w:col w:w="140" w:space="520"/>
            <w:col w:w="10760"/>
          </w:cols>
          <w:pgMar w:left="240" w:top="549" w:right="239" w:bottom="1440" w:gutter="0" w:footer="0" w:header="0"/>
          <w:type w:val="continuous"/>
        </w:sectPr>
      </w:pPr>
    </w:p>
    <w:bookmarkStart w:id="116" w:name="page117"/>
    <w:bookmarkEnd w:id="116"/>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(h)</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Investment includes 45% in an emerging market 103-12 Investment Trust with investments in emerging country equity securities, 37% in a collective interest trust investing primarily in short-term securities, 12% in Canadian segregated balanced value, income growth and diversified pooled funds and 6% in a common/collective trust investing in securities of smaller companies located outside the U.S., including developing markets. For some trusts, requests for withdrawals must meet specific requirements with advance notice of redemption preferred.</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investments that are measured using net asset value per share (or its equivalent) as a practical expedient for fair value have not been classified in the fair value hierarchy. The fair value amounts presented in this table are intended to permit reconciliation of the fair value hierarchy to the amounts presented in the notes to the consolidated financial statements.</w:t>
      </w:r>
    </w:p>
    <w:p>
      <w:pPr>
        <w:spacing w:after="0" w:line="200" w:lineRule="exact"/>
        <w:rPr>
          <w:sz w:val="20"/>
          <w:szCs w:val="20"/>
          <w:color w:val="auto"/>
        </w:rPr>
      </w:pPr>
    </w:p>
    <w:p>
      <w:pPr>
        <w:sectPr>
          <w:pgSz w:w="11900" w:h="16838" w:orient="portrait"/>
          <w:cols w:equalWidth="0" w:num="2">
            <w:col w:w="140" w:space="520"/>
            <w:col w:w="10760"/>
          </w:cols>
          <w:pgMar w:left="240" w:top="549" w:right="239" w:bottom="1440" w:gutter="0" w:footer="0" w:header="0"/>
        </w:sectPr>
      </w:pP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gridSpan w:val="9"/>
          </w:tcPr>
          <w:p>
            <w:pPr>
              <w:ind w:left="1100"/>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 Identical</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Unobservable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46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98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International markets </w:t>
            </w:r>
            <w:r>
              <w:rPr>
                <w:rFonts w:ascii="Arial" w:cs="Arial" w:eastAsia="Arial" w:hAnsi="Arial"/>
                <w:sz w:val="21"/>
                <w:szCs w:val="21"/>
                <w:color w:val="auto"/>
                <w:vertAlign w:val="superscript"/>
              </w:rPr>
              <w:t>(a) (b)</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3,837</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Large-cap companies </w:t>
            </w:r>
            <w:r>
              <w:rPr>
                <w:rFonts w:ascii="Arial" w:cs="Arial" w:eastAsia="Arial" w:hAnsi="Arial"/>
                <w:sz w:val="21"/>
                <w:szCs w:val="21"/>
                <w:color w:val="auto"/>
                <w:vertAlign w:val="superscript"/>
              </w:rPr>
              <w:t>(b)</w:t>
            </w:r>
          </w:p>
        </w:tc>
        <w:tc>
          <w:tcPr>
            <w:tcW w:w="18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2,451</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Mid-cap companies </w:t>
            </w:r>
            <w:r>
              <w:rPr>
                <w:rFonts w:ascii="Arial" w:cs="Arial" w:eastAsia="Arial" w:hAnsi="Arial"/>
                <w:sz w:val="21"/>
                <w:szCs w:val="21"/>
                <w:color w:val="auto"/>
                <w:vertAlign w:val="superscript"/>
              </w:rPr>
              <w:t>(b)</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Small-cap companies </w:t>
            </w:r>
            <w:r>
              <w:rPr>
                <w:rFonts w:ascii="Arial" w:cs="Arial" w:eastAsia="Arial" w:hAnsi="Arial"/>
                <w:sz w:val="21"/>
                <w:szCs w:val="21"/>
                <w:color w:val="auto"/>
                <w:vertAlign w:val="superscript"/>
              </w:rPr>
              <w:t>(b)</w:t>
            </w:r>
          </w:p>
        </w:tc>
        <w:tc>
          <w:tcPr>
            <w:tcW w:w="18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1"/>
                <w:szCs w:val="21"/>
                <w:color w:val="auto"/>
                <w:vertAlign w:val="superscript"/>
              </w:rPr>
              <w:t>(c)</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Fixed income:</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21"/>
                <w:szCs w:val="21"/>
                <w:color w:val="auto"/>
                <w:vertAlign w:val="superscript"/>
              </w:rPr>
              <w:t>(d)</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2,344</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Government securities </w:t>
            </w:r>
            <w:r>
              <w:rPr>
                <w:rFonts w:ascii="Arial" w:cs="Arial" w:eastAsia="Arial" w:hAnsi="Arial"/>
                <w:sz w:val="21"/>
                <w:szCs w:val="21"/>
                <w:color w:val="auto"/>
                <w:vertAlign w:val="superscript"/>
              </w:rPr>
              <w:t>(e)</w:t>
            </w: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238</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municipal securities</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Alternative instruments: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Private market partnerships </w:t>
            </w:r>
            <w:r>
              <w:rPr>
                <w:rFonts w:ascii="Arial" w:cs="Arial" w:eastAsia="Arial" w:hAnsi="Arial"/>
                <w:sz w:val="21"/>
                <w:szCs w:val="21"/>
                <w:color w:val="auto"/>
                <w:vertAlign w:val="superscript"/>
              </w:rPr>
              <w:t>(f)</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Private market partnerships measured at net asset value </w:t>
            </w:r>
            <w:r>
              <w:rPr>
                <w:rFonts w:ascii="Arial" w:cs="Arial" w:eastAsia="Arial" w:hAnsi="Arial"/>
                <w:sz w:val="21"/>
                <w:szCs w:val="21"/>
                <w:color w:val="auto"/>
                <w:vertAlign w:val="superscript"/>
              </w:rPr>
              <w:t>(f) (h)</w:t>
            </w: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879</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1"/>
                <w:szCs w:val="21"/>
                <w:color w:val="auto"/>
                <w:vertAlign w:val="superscript"/>
              </w:rPr>
              <w:t>(g)</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r>
      <w:tr>
        <w:trPr>
          <w:trHeight w:val="226"/>
        </w:trPr>
        <w:tc>
          <w:tcPr>
            <w:tcW w:w="40" w:type="dxa"/>
            <w:vAlign w:val="bottom"/>
          </w:tcPr>
          <w:p>
            <w:pPr>
              <w:spacing w:after="0"/>
              <w:rPr>
                <w:sz w:val="19"/>
                <w:szCs w:val="19"/>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Common/collective trusts and 103-12 Investment Trust</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3"/>
        </w:trPr>
        <w:tc>
          <w:tcPr>
            <w:tcW w:w="40" w:type="dxa"/>
            <w:vAlign w:val="bottom"/>
          </w:tcPr>
          <w:p>
            <w:pPr>
              <w:spacing w:after="0"/>
              <w:rPr>
                <w:sz w:val="20"/>
                <w:szCs w:val="20"/>
                <w:color w:val="auto"/>
              </w:rPr>
            </w:pPr>
          </w:p>
        </w:tc>
        <w:tc>
          <w:tcPr>
            <w:tcW w:w="5420" w:type="dxa"/>
            <w:vAlign w:val="bottom"/>
            <w:gridSpan w:val="2"/>
          </w:tcPr>
          <w:p>
            <w:pPr>
              <w:ind w:left="500"/>
              <w:spacing w:after="0" w:line="233" w:lineRule="exact"/>
              <w:rPr>
                <w:sz w:val="20"/>
                <w:szCs w:val="20"/>
                <w:color w:val="auto"/>
              </w:rPr>
            </w:pPr>
            <w:r>
              <w:rPr>
                <w:rFonts w:ascii="Arial" w:cs="Arial" w:eastAsia="Arial" w:hAnsi="Arial"/>
                <w:sz w:val="18"/>
                <w:szCs w:val="18"/>
                <w:color w:val="auto"/>
              </w:rPr>
              <w:t xml:space="preserve">measured at net asset value </w:t>
            </w:r>
            <w:r>
              <w:rPr>
                <w:rFonts w:ascii="Arial" w:cs="Arial" w:eastAsia="Arial" w:hAnsi="Arial"/>
                <w:sz w:val="21"/>
                <w:szCs w:val="21"/>
                <w:color w:val="auto"/>
                <w:vertAlign w:val="superscript"/>
              </w:rPr>
              <w:t>(g) (h)</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283</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Insurance group annuity contracts</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6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Dividend and interest receivable</w:t>
            </w:r>
          </w:p>
        </w:tc>
        <w:tc>
          <w:tcPr>
            <w:tcW w:w="18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7"/>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Due to/from brokers for sale of securities – net</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64"/>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Other liabilities – net</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4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11,395</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Holdings are diversified as follows: 17% United Kingdom, 11% Japan, 9% France, 6% Switzerland, 16% emerging markets and the remaining 41% with no concentration greater than 5% in any one country.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concentrations of holdings by company or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Investment includes mutual funds invested 39% in equity securities of large-cap, mid-cap and small-cap U.S. companies, 34% in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treasuries and corporate bonds and 27% in equity securities of international companies.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Includes approximately 76% investments in corporate debt with a S&amp;P rating lower than A and 24% investments in corporate debt with a S&amp;P rating A or higher. Holdings include 85% U.S. companies, 12% international companies and 3% emerging market companies.</w:t>
      </w:r>
    </w:p>
    <w:p>
      <w:pPr>
        <w:spacing w:after="0" w:line="2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117</w:t>
      </w:r>
    </w:p>
    <w:p>
      <w:pPr>
        <w:sectPr>
          <w:pgSz w:w="11900" w:h="16838" w:orient="portrait"/>
          <w:cols w:equalWidth="0" w:num="2">
            <w:col w:w="140" w:space="520"/>
            <w:col w:w="10760"/>
          </w:cols>
          <w:pgMar w:left="240" w:top="549" w:right="239"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382" w:lineRule="exact"/>
        <w:rPr>
          <w:sz w:val="20"/>
          <w:szCs w:val="20"/>
          <w:color w:val="auto"/>
        </w:rPr>
      </w:pPr>
    </w:p>
    <w:p>
      <w:pPr>
        <w:ind w:left="660" w:right="20" w:hanging="652"/>
        <w:spacing w:after="0" w:line="225" w:lineRule="auto"/>
        <w:tabs>
          <w:tab w:leader="none" w:pos="6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Includes approximately 27% investments in U.S. domestic government securities, 43% in emerging market government securities and 30% in international government securities. There are no significant foreign currency risks within this classification.</w:t>
      </w:r>
    </w:p>
    <w:p>
      <w:pPr>
        <w:spacing w:after="0" w:line="109" w:lineRule="exact"/>
        <w:rPr>
          <w:rFonts w:ascii="Arial" w:cs="Arial" w:eastAsia="Arial" w:hAnsi="Arial"/>
          <w:sz w:val="22"/>
          <w:szCs w:val="22"/>
          <w:color w:val="auto"/>
          <w:vertAlign w:val="superscript"/>
        </w:rPr>
      </w:pPr>
    </w:p>
    <w:p>
      <w:pPr>
        <w:jc w:val="both"/>
        <w:ind w:left="660" w:hanging="652"/>
        <w:spacing w:after="0"/>
        <w:tabs>
          <w:tab w:leader="none" w:pos="6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Includes limited partnerships that invest primarily in U.S. (94%) and European (6%) buyout opportunities of a range of privately held companies.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$903 million over the next ten years.</w:t>
      </w:r>
    </w:p>
    <w:p>
      <w:pPr>
        <w:spacing w:after="0" w:line="107" w:lineRule="exact"/>
        <w:rPr>
          <w:rFonts w:ascii="Arial" w:cs="Arial" w:eastAsia="Arial" w:hAnsi="Arial"/>
          <w:sz w:val="22"/>
          <w:szCs w:val="22"/>
          <w:color w:val="auto"/>
          <w:vertAlign w:val="superscript"/>
        </w:rPr>
      </w:pPr>
    </w:p>
    <w:p>
      <w:pPr>
        <w:jc w:val="both"/>
        <w:ind w:left="660" w:hanging="652"/>
        <w:spacing w:after="0"/>
        <w:tabs>
          <w:tab w:leader="none" w:pos="6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Investment includes 42% in a collective interest trust investing primarily in short-term securities, 40% in an emerging market 103-12 Investment Trust with investments in emerging country equity securities, 10% in Canadian segregated balanced value, income growth and diversified pooled funds and 8% in a common/collective trust investing in securities of smaller companies located outside the U.S., including developing markets. For some trusts, requests for withdrawals must meet specific requirements with advance notice of redemption preferred.</w:t>
      </w:r>
    </w:p>
    <w:p>
      <w:pPr>
        <w:spacing w:after="0" w:line="107" w:lineRule="exact"/>
        <w:rPr>
          <w:rFonts w:ascii="Arial" w:cs="Arial" w:eastAsia="Arial" w:hAnsi="Arial"/>
          <w:sz w:val="22"/>
          <w:szCs w:val="22"/>
          <w:color w:val="auto"/>
          <w:vertAlign w:val="superscript"/>
        </w:rPr>
      </w:pPr>
    </w:p>
    <w:p>
      <w:pPr>
        <w:jc w:val="both"/>
        <w:ind w:left="660" w:hanging="652"/>
        <w:spacing w:after="0" w:line="233" w:lineRule="auto"/>
        <w:tabs>
          <w:tab w:leader="none" w:pos="6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Certain investments that are measured using net asset value per share (or its equivalent) as a practical expedient for fair value have not been classified in the fair value hierarchy. The fair value amounts presented in this table are intended to permit reconciliation of the fair value hierarchy to the amounts presented in the notes to the consolidated financial statements.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2018,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Private Market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255"/>
              <w:spacing w:after="0"/>
              <w:rPr>
                <w:sz w:val="20"/>
                <w:szCs w:val="20"/>
                <w:color w:val="auto"/>
              </w:rPr>
            </w:pPr>
            <w:r>
              <w:rPr>
                <w:rFonts w:ascii="Arial" w:cs="Arial" w:eastAsia="Arial" w:hAnsi="Arial"/>
                <w:sz w:val="14"/>
                <w:szCs w:val="14"/>
                <w:b w:val="1"/>
                <w:bCs w:val="1"/>
                <w:color w:val="auto"/>
              </w:rPr>
              <w:t>Insurance Group</w:t>
            </w:r>
          </w:p>
        </w:tc>
      </w:tr>
      <w:tr>
        <w:trPr>
          <w:trHeight w:val="196"/>
        </w:trPr>
        <w:tc>
          <w:tcPr>
            <w:tcW w:w="76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Partnerships</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Annuity Contracts</w:t>
            </w: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2017</w:t>
            </w:r>
          </w:p>
        </w:tc>
        <w:tc>
          <w:tcPr>
            <w:tcW w:w="1460" w:type="dxa"/>
            <w:vAlign w:val="bottom"/>
            <w:shd w:val="clear" w:color="auto" w:fill="CCEEFF"/>
          </w:tcPr>
          <w:p>
            <w:pPr>
              <w:jc w:val="right"/>
              <w:ind w:right="125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Actual loss on plan assets:</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Relating to assets still held at the reporting date</w:t>
            </w:r>
          </w:p>
        </w:tc>
        <w:tc>
          <w:tcPr>
            <w:tcW w:w="14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Purchases</w:t>
            </w:r>
          </w:p>
        </w:tc>
        <w:tc>
          <w:tcPr>
            <w:tcW w:w="1460" w:type="dxa"/>
            <w:vAlign w:val="bottom"/>
          </w:tcPr>
          <w:p>
            <w:pPr>
              <w:spacing w:after="0"/>
              <w:rPr>
                <w:sz w:val="22"/>
                <w:szCs w:val="22"/>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46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Ending balance at December 31, 2018</w:t>
            </w:r>
          </w:p>
        </w:tc>
        <w:tc>
          <w:tcPr>
            <w:tcW w:w="1460" w:type="dxa"/>
            <w:vAlign w:val="bottom"/>
            <w:tcBorders>
              <w:bottom w:val="single" w:sz="8" w:color="auto"/>
            </w:tcBorders>
          </w:tcPr>
          <w:p>
            <w:pPr>
              <w:jc w:val="right"/>
              <w:ind w:right="12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r>
      <w:tr>
        <w:trPr>
          <w:trHeight w:val="20"/>
        </w:trPr>
        <w:tc>
          <w:tcPr>
            <w:tcW w:w="7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2017,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Private Market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254"/>
              <w:spacing w:after="0"/>
              <w:rPr>
                <w:sz w:val="20"/>
                <w:szCs w:val="20"/>
                <w:color w:val="auto"/>
              </w:rPr>
            </w:pPr>
            <w:r>
              <w:rPr>
                <w:rFonts w:ascii="Arial" w:cs="Arial" w:eastAsia="Arial" w:hAnsi="Arial"/>
                <w:sz w:val="14"/>
                <w:szCs w:val="14"/>
                <w:b w:val="1"/>
                <w:bCs w:val="1"/>
                <w:color w:val="auto"/>
              </w:rPr>
              <w:t>Insurance Group</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Partnerships</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Annuity Contracts</w:t>
            </w: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2016</w:t>
            </w:r>
          </w:p>
        </w:tc>
        <w:tc>
          <w:tcPr>
            <w:tcW w:w="4280" w:type="dxa"/>
            <w:vAlign w:val="bottom"/>
            <w:gridSpan w:val="2"/>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Actual loss on plan assets:</w:t>
            </w:r>
          </w:p>
        </w:tc>
        <w:tc>
          <w:tcPr>
            <w:tcW w:w="28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Relating to assets still held at the reporting date</w:t>
            </w:r>
          </w:p>
        </w:tc>
        <w:tc>
          <w:tcPr>
            <w:tcW w:w="28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820" w:type="dxa"/>
            <w:vAlign w:val="bottom"/>
          </w:tcPr>
          <w:p>
            <w:pPr>
              <w:ind w:left="40"/>
              <w:spacing w:after="0"/>
              <w:rPr>
                <w:sz w:val="20"/>
                <w:szCs w:val="20"/>
                <w:color w:val="auto"/>
              </w:rPr>
            </w:pPr>
            <w:r>
              <w:rPr>
                <w:rFonts w:ascii="Arial" w:cs="Arial" w:eastAsia="Arial" w:hAnsi="Arial"/>
                <w:sz w:val="18"/>
                <w:szCs w:val="18"/>
                <w:color w:val="auto"/>
              </w:rPr>
              <w:t>Purchases</w:t>
            </w:r>
          </w:p>
        </w:tc>
        <w:tc>
          <w:tcPr>
            <w:tcW w:w="28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8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Transfers out</w:t>
            </w:r>
          </w:p>
        </w:tc>
        <w:tc>
          <w:tcPr>
            <w:tcW w:w="28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2017</w:t>
            </w:r>
          </w:p>
        </w:tc>
        <w:tc>
          <w:tcPr>
            <w:tcW w:w="4280" w:type="dxa"/>
            <w:vAlign w:val="bottom"/>
            <w:gridSpan w:val="2"/>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1690"/>
              <w:spacing w:after="0"/>
              <w:rPr>
                <w:sz w:val="20"/>
                <w:szCs w:val="20"/>
                <w:color w:val="auto"/>
              </w:rPr>
            </w:pPr>
            <w:r>
              <w:rPr>
                <w:rFonts w:ascii="Arial" w:cs="Arial" w:eastAsia="Arial" w:hAnsi="Arial"/>
                <w:sz w:val="18"/>
                <w:szCs w:val="18"/>
                <w:color w:val="auto"/>
              </w:rPr>
              <w:t>118</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fair value of our retiree medical and other postretirement benefits plans assets at December 31, 2018 by asset category, were as follows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gridSpan w:val="9"/>
          </w:tcPr>
          <w:p>
            <w:pPr>
              <w:ind w:left="1340"/>
              <w:spacing w:after="0"/>
              <w:rPr>
                <w:sz w:val="20"/>
                <w:szCs w:val="20"/>
                <w:color w:val="auto"/>
              </w:rPr>
            </w:pPr>
            <w:r>
              <w:rPr>
                <w:rFonts w:ascii="Arial" w:cs="Arial" w:eastAsia="Arial" w:hAnsi="Arial"/>
                <w:sz w:val="14"/>
                <w:szCs w:val="14"/>
                <w:b w:val="1"/>
                <w:bCs w:val="1"/>
                <w:color w:val="auto"/>
              </w:rPr>
              <w:t>Fair Value Measurements as of December 31, 2018</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5"/>
                <w:szCs w:val="15"/>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Active Markets for</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Identical Assets</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market fund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6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Mutual funds – AAL Class</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221</w:t>
            </w:r>
          </w:p>
        </w:tc>
      </w:tr>
      <w:tr>
        <w:trPr>
          <w:trHeight w:val="250"/>
        </w:trPr>
        <w:tc>
          <w:tcPr>
            <w:tcW w:w="4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fair value of our retiree medical and other postretirement benefits plans assets at December 31, 2017 by asset category, were as follows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gridSpan w:val="9"/>
          </w:tcPr>
          <w:p>
            <w:pPr>
              <w:ind w:left="1340"/>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5"/>
                <w:szCs w:val="15"/>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Active Markets for</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Identical Assets</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market fund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6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Mutual funds – AAL Class</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290</w:t>
            </w:r>
          </w:p>
        </w:tc>
      </w:tr>
      <w:tr>
        <w:trPr>
          <w:trHeight w:val="250"/>
        </w:trPr>
        <w:tc>
          <w:tcPr>
            <w:tcW w:w="4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Investments in the retiree medical and other postretirement benefits plans’ mutual funds are valued by quoted prices on the active market, which is fair value and represents the net asset value of the shares of such funds as of the close of business at the end of the period. The AAL Class mutual fund restricts trading only to American, resulting in a fair value classification of Level 2. Investments included approximately 30% of investments in non-U.S. common stocks in both 2018 and 2017. Net asset value is based on the fair market value of the funds’ underlying assets and liabilities at the date of determination.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2"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We contributed $877 million, $851 million and $766 million to our defined contribution plans for the years ended December 31, 2018, 2017 and 2016, respectively.</w:t>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Profit Sharing Program</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accrue 5% of our pre-tax income excluding special items for our profit sharing program. For the year ended December 31, 2018, we accrued $175 million for this program, which will be distributed to employees in the first quarter of 2019.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549"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Retiree</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Medical and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 Loss on</w:t>
            </w:r>
          </w:p>
        </w:tc>
        <w:tc>
          <w:tcPr>
            <w:tcW w:w="180" w:type="dxa"/>
            <w:vAlign w:val="bottom"/>
          </w:tcPr>
          <w:p>
            <w:pPr>
              <w:spacing w:after="0"/>
              <w:rPr>
                <w:sz w:val="14"/>
                <w:szCs w:val="14"/>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2"/>
        </w:trPr>
        <w:tc>
          <w:tcPr>
            <w:tcW w:w="55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(2)</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(2)</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84" w:lineRule="exact"/>
        <w:rPr>
          <w:sz w:val="20"/>
          <w:szCs w:val="20"/>
          <w:color w:val="auto"/>
        </w:rPr>
      </w:pPr>
    </w:p>
    <w:p>
      <w:pPr>
        <w:ind w:left="660" w:hanging="652"/>
        <w:spacing w:after="0" w:line="225" w:lineRule="auto"/>
        <w:tabs>
          <w:tab w:leader="none" w:pos="66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09" w:lineRule="exact"/>
        <w:rPr>
          <w:rFonts w:ascii="Arial" w:cs="Arial" w:eastAsia="Arial" w:hAnsi="Arial"/>
          <w:sz w:val="22"/>
          <w:szCs w:val="22"/>
          <w:color w:val="auto"/>
          <w:vertAlign w:val="superscript"/>
        </w:rPr>
      </w:pPr>
    </w:p>
    <w:p>
      <w:pPr>
        <w:ind w:left="660" w:hanging="652"/>
        <w:spacing w:after="0" w:line="225" w:lineRule="auto"/>
        <w:tabs>
          <w:tab w:leader="none" w:pos="66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our consolidated statements of operations.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Reclassifications out of AOCI for the years ended December 31, 2018 and 2017 are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88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rPr>
              <w:t>Amounts reclassified from AOCI</w:t>
            </w: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0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360" w:type="dxa"/>
            <w:vAlign w:val="bottom"/>
            <w:gridSpan w:val="3"/>
          </w:tcPr>
          <w:p>
            <w:pPr>
              <w:ind w:left="40"/>
              <w:spacing w:after="0"/>
              <w:rPr>
                <w:sz w:val="20"/>
                <w:szCs w:val="20"/>
                <w:color w:val="auto"/>
              </w:rPr>
            </w:pPr>
            <w:r>
              <w:rPr>
                <w:rFonts w:ascii="Arial" w:cs="Arial" w:eastAsia="Arial" w:hAnsi="Arial"/>
                <w:sz w:val="14"/>
                <w:szCs w:val="14"/>
                <w:b w:val="1"/>
                <w:bCs w:val="1"/>
                <w:color w:val="auto"/>
              </w:rPr>
              <w:t>AOCI Components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pension, retiree medical and other postretirement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benefits:</w:t>
            </w: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Prior service benefit</w:t>
            </w:r>
          </w:p>
        </w:tc>
        <w:tc>
          <w:tcPr>
            <w:tcW w:w="880" w:type="dxa"/>
            <w:vAlign w:val="bottom"/>
          </w:tcPr>
          <w:p>
            <w:pPr>
              <w:jc w:val="right"/>
              <w:ind w:right="661"/>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2"/>
                <w:szCs w:val="22"/>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(132)</w:t>
            </w:r>
          </w:p>
        </w:tc>
        <w:tc>
          <w:tcPr>
            <w:tcW w:w="100" w:type="dxa"/>
            <w:vAlign w:val="bottom"/>
          </w:tcPr>
          <w:p>
            <w:pPr>
              <w:spacing w:after="0"/>
              <w:rPr>
                <w:sz w:val="22"/>
                <w:szCs w:val="22"/>
                <w:color w:val="auto"/>
              </w:rPr>
            </w:pPr>
          </w:p>
        </w:tc>
        <w:tc>
          <w:tcPr>
            <w:tcW w:w="3080" w:type="dxa"/>
            <w:vAlign w:val="bottom"/>
          </w:tcPr>
          <w:p>
            <w:pPr>
              <w:jc w:val="right"/>
              <w:ind w:right="464"/>
              <w:spacing w:after="0"/>
              <w:rPr>
                <w:sz w:val="20"/>
                <w:szCs w:val="20"/>
                <w:color w:val="auto"/>
              </w:rPr>
            </w:pPr>
            <w:r>
              <w:rPr>
                <w:rFonts w:ascii="Arial" w:cs="Arial" w:eastAsia="Arial" w:hAnsi="Arial"/>
                <w:sz w:val="18"/>
                <w:szCs w:val="18"/>
                <w:color w:val="auto"/>
                <w:w w:val="99"/>
              </w:rPr>
              <w:t>Nonoperating other income, net</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Actuarial loss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80" w:type="dxa"/>
            <w:vAlign w:val="bottom"/>
            <w:gridSpan w:val="3"/>
            <w:shd w:val="clear" w:color="auto" w:fill="CCEEFF"/>
          </w:tcPr>
          <w:p>
            <w:pPr>
              <w:jc w:val="right"/>
              <w:ind w:right="464"/>
              <w:spacing w:after="0"/>
              <w:rPr>
                <w:sz w:val="20"/>
                <w:szCs w:val="20"/>
                <w:color w:val="auto"/>
              </w:rPr>
            </w:pPr>
            <w:r>
              <w:rPr>
                <w:rFonts w:ascii="Arial" w:cs="Arial" w:eastAsia="Arial" w:hAnsi="Arial"/>
                <w:sz w:val="18"/>
                <w:szCs w:val="18"/>
                <w:color w:val="auto"/>
              </w:rPr>
              <w:t>77   Nonoperating other income, net</w:t>
            </w:r>
          </w:p>
        </w:tc>
        <w:tc>
          <w:tcPr>
            <w:tcW w:w="0" w:type="dxa"/>
            <w:vAlign w:val="bottom"/>
          </w:tcPr>
          <w:p>
            <w:pPr>
              <w:spacing w:after="0"/>
              <w:rPr>
                <w:sz w:val="1"/>
                <w:szCs w:val="1"/>
                <w:color w:val="auto"/>
              </w:rPr>
            </w:pPr>
          </w:p>
        </w:tc>
      </w:tr>
      <w:tr>
        <w:trPr>
          <w:trHeight w:val="244"/>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88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Amounts allocated to other comprehensive income (OCI) for income taxes as further described in Note 7 will remain in AOCI until we cease all related activities, such as termination of the pension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549"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90" w:lineRule="exact"/>
        <w:rPr>
          <w:rFonts w:ascii="Arial" w:cs="Arial" w:eastAsia="Arial" w:hAnsi="Arial"/>
          <w:sz w:val="18"/>
          <w:szCs w:val="18"/>
          <w:b w:val="1"/>
          <w:bCs w:val="1"/>
          <w:color w:val="auto"/>
        </w:rPr>
      </w:pPr>
    </w:p>
    <w:p>
      <w:pPr>
        <w:ind w:left="500" w:hanging="276"/>
        <w:spacing w:after="0"/>
        <w:tabs>
          <w:tab w:leader="none" w:pos="500" w:val="left"/>
        </w:tabs>
        <w:numPr>
          <w:ilvl w:val="1"/>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Aircraft, Engine and Other Purchase Commitments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Under all of our aircraft and engine purchase agreements, our total future commitments as of December 31, 2018 are expected to be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2024 and</w:t>
            </w:r>
          </w:p>
        </w:tc>
        <w:tc>
          <w:tcPr>
            <w:tcW w:w="920" w:type="dxa"/>
            <w:vAlign w:val="bottom"/>
          </w:tcPr>
          <w:p>
            <w:pPr>
              <w:spacing w:after="0"/>
              <w:rPr>
                <w:sz w:val="14"/>
                <w:szCs w:val="14"/>
                <w:color w:val="auto"/>
              </w:rPr>
            </w:pPr>
          </w:p>
        </w:tc>
      </w:tr>
      <w:tr>
        <w:trPr>
          <w:trHeight w:val="196"/>
        </w:trPr>
        <w:tc>
          <w:tcPr>
            <w:tcW w:w="42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12"/>
        </w:trPr>
        <w:tc>
          <w:tcPr>
            <w:tcW w:w="4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aircraft commitments and certain</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3"/>
        </w:trPr>
        <w:tc>
          <w:tcPr>
            <w:tcW w:w="4220" w:type="dxa"/>
            <w:vAlign w:val="bottom"/>
            <w:shd w:val="clear" w:color="auto" w:fill="CCEEFF"/>
          </w:tcPr>
          <w:p>
            <w:pPr>
              <w:ind w:left="200"/>
              <w:spacing w:after="0" w:line="233" w:lineRule="exact"/>
              <w:rPr>
                <w:sz w:val="20"/>
                <w:szCs w:val="20"/>
                <w:color w:val="auto"/>
              </w:rPr>
            </w:pPr>
            <w:r>
              <w:rPr>
                <w:rFonts w:ascii="Arial" w:cs="Arial" w:eastAsia="Arial" w:hAnsi="Arial"/>
                <w:sz w:val="18"/>
                <w:szCs w:val="18"/>
                <w:color w:val="auto"/>
              </w:rPr>
              <w:t xml:space="preserve">engines </w:t>
            </w:r>
            <w:r>
              <w:rPr>
                <w:rFonts w:ascii="Arial" w:cs="Arial" w:eastAsia="Arial" w:hAnsi="Arial"/>
                <w:sz w:val="21"/>
                <w:szCs w:val="21"/>
                <w:color w:val="auto"/>
                <w:vertAlign w:val="superscript"/>
              </w:rPr>
              <w:t>(1)</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2,906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1,683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1,378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1,450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6,047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14,458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84" w:lineRule="exact"/>
        <w:rPr>
          <w:sz w:val="20"/>
          <w:szCs w:val="20"/>
          <w:color w:val="auto"/>
        </w:rPr>
      </w:pPr>
    </w:p>
    <w:p>
      <w:pPr>
        <w:jc w:val="both"/>
        <w:ind w:left="660" w:right="20" w:hanging="652"/>
        <w:spacing w:after="0" w:line="233" w:lineRule="auto"/>
        <w:tabs>
          <w:tab w:leader="none" w:pos="660" w:val="left"/>
        </w:tabs>
        <w:numPr>
          <w:ilvl w:val="0"/>
          <w:numId w:val="49"/>
        </w:numPr>
        <w:rPr>
          <w:rFonts w:ascii="Arial" w:cs="Arial" w:eastAsia="Arial" w:hAnsi="Arial"/>
          <w:sz w:val="22"/>
          <w:szCs w:val="22"/>
          <w:color w:val="auto"/>
          <w:vertAlign w:val="superscript"/>
        </w:rPr>
      </w:pPr>
      <w:r>
        <w:rPr>
          <w:rFonts w:ascii="Arial" w:cs="Arial" w:eastAsia="Arial" w:hAnsi="Arial"/>
          <w:sz w:val="18"/>
          <w:szCs w:val="18"/>
          <w:color w:val="auto"/>
        </w:rPr>
        <w:t>These amounts are net of purchase deposits currently held by the manufacturers and include all commitments for regional aircraft. We have granted a security interest in certain of our purchase deposits with Boeing. Our purchase deposits held by all manufacturers totaled $1.3 billion as of December 31, 2018.</w:t>
      </w:r>
    </w:p>
    <w:p>
      <w:pPr>
        <w:spacing w:after="0" w:line="16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Additionally, we have purchase commitments related to jet fuel, construction projects and information technology support as follows (approximately): $1.9 billion in 2019, $1.1 billion in 2020, $1.0 billion in 2021, $32 million in 2022 and $7 million in 2023.</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Capacity Purchase Agreements with Third-Party Regional Carriers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has capacity purchase agreements with third-party regional carriers. The capacity purchase agreements provide that all revenues, including passenger, in-flight, ancillary, mail and freight revenues, go to American. In return, American agrees to pay predetermined fees to these airlines for operating an agreed-upon number of aircraft, without regard to the number of passengers on board. In addition, these agreements provide that American either reimburses or pays 100% of certain variable costs, such as airport landing fees, fuel and passenger liability insurance. American controls marketing, scheduling, ticketing, pricing and seat inventories.</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2018, American’s capacity purchase agreements with third-party regional carriers had expiration dates ranging from 2019 to 2027, with rights of American to extend the respective terms of certain agreements. See Part I, Item 2. Properties for unaudited information on the aircraft operated by third-party regional carriers under such capacity purchase agreements.</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2018, American’s minimum fixed obligations under its capacity purchase agreements with third-party regional carriers are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2024 and</w:t>
            </w:r>
          </w:p>
        </w:tc>
        <w:tc>
          <w:tcPr>
            <w:tcW w:w="920" w:type="dxa"/>
            <w:vAlign w:val="bottom"/>
          </w:tcPr>
          <w:p>
            <w:pPr>
              <w:spacing w:after="0"/>
              <w:rPr>
                <w:sz w:val="14"/>
                <w:szCs w:val="14"/>
                <w:color w:val="auto"/>
              </w:rPr>
            </w:pPr>
          </w:p>
        </w:tc>
      </w:tr>
      <w:tr>
        <w:trPr>
          <w:trHeight w:val="196"/>
        </w:trPr>
        <w:tc>
          <w:tcPr>
            <w:tcW w:w="4540" w:type="dxa"/>
            <w:vAlign w:val="bottom"/>
          </w:tcPr>
          <w:p>
            <w:pPr>
              <w:spacing w:after="0"/>
              <w:rPr>
                <w:sz w:val="17"/>
                <w:szCs w:val="17"/>
                <w:color w:val="auto"/>
              </w:rPr>
            </w:pPr>
          </w:p>
        </w:tc>
        <w:tc>
          <w:tcPr>
            <w:tcW w:w="820" w:type="dxa"/>
            <w:vAlign w:val="bottom"/>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800" w:type="dxa"/>
            <w:vAlign w:val="bottom"/>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800" w:type="dxa"/>
            <w:vAlign w:val="bottom"/>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12"/>
        </w:trPr>
        <w:tc>
          <w:tcPr>
            <w:tcW w:w="4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fixed obligations under capacity purchase</w:t>
            </w: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3"/>
        </w:trPr>
        <w:tc>
          <w:tcPr>
            <w:tcW w:w="4540" w:type="dxa"/>
            <w:vAlign w:val="bottom"/>
            <w:shd w:val="clear" w:color="auto" w:fill="CCEEFF"/>
          </w:tcPr>
          <w:p>
            <w:pPr>
              <w:ind w:left="200"/>
              <w:spacing w:after="0" w:line="233" w:lineRule="exact"/>
              <w:rPr>
                <w:sz w:val="20"/>
                <w:szCs w:val="20"/>
                <w:color w:val="auto"/>
              </w:rPr>
            </w:pPr>
            <w:r>
              <w:rPr>
                <w:rFonts w:ascii="Arial" w:cs="Arial" w:eastAsia="Arial" w:hAnsi="Arial"/>
                <w:sz w:val="18"/>
                <w:szCs w:val="18"/>
                <w:color w:val="auto"/>
              </w:rPr>
              <w:t xml:space="preserve">agreements with third-party regional carriers </w:t>
            </w:r>
            <w:r>
              <w:rPr>
                <w:rFonts w:ascii="Arial" w:cs="Arial" w:eastAsia="Arial" w:hAnsi="Arial"/>
                <w:sz w:val="21"/>
                <w:szCs w:val="21"/>
                <w:color w:val="auto"/>
                <w:vertAlign w:val="superscript"/>
              </w:rPr>
              <w:t>(1)</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  1,101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618</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487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4,944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84" w:lineRule="exact"/>
        <w:rPr>
          <w:sz w:val="20"/>
          <w:szCs w:val="20"/>
          <w:color w:val="auto"/>
        </w:rPr>
      </w:pPr>
    </w:p>
    <w:p>
      <w:pPr>
        <w:jc w:val="both"/>
        <w:ind w:left="660" w:hanging="652"/>
        <w:spacing w:after="0" w:line="237" w:lineRule="auto"/>
        <w:tabs>
          <w:tab w:leader="none" w:pos="66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Represents minimum payments under capacity purchase agreements with third-party regional carriers, which are estimates of costs based on assumed minimum levels of flying under the capacity purchase agreements and American’s actual payments could differ materially. Excludes payments for the lease of certain aircraft under capacity purchase agreements, which are reflected in the operating lease obligations in Note 6.</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Airport Redevelopment</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Los Angeles International Airport (LAX)</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2018, we executed a lease agreement with Los Angeles World Airports (LAWA), which owns and operates LAX, in connection with a $1.6 billion modernization project related to LAX Terminals 4 and 5. Construction will occur in a phased approach, which started in October 2018 and is expected to be completed in 2028. The modernization project will include a unified departure hall to combine the entranceway of Terminals 4 and 5, reconfigured ticket counter and check-in areas with seamless access to security screening areas, 16 security screening lanes with automated technology and upgraded amenities at gate areas. The project will also include renovated break rooms, multi-use meeting rooms and team gathering spaces throughout the terminals to support our team members at LAX.</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549"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35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managing this project and have legal title to the assets during their construction. As each phase is completed, the assets will be sold and transferred to LAWA, including the site improvements and non-proprietary improvements. As we control the assets during construction, they are recognized on our balance sheet until legal title has transferred. For 2018, we incurred approximately $7 million in costs relating to the LAX modernization project, which are included within operating property and equipment on our consolidated balance sheet as of December 31, 2018.</w:t>
      </w:r>
    </w:p>
    <w:p>
      <w:pPr>
        <w:spacing w:after="0" w:line="211" w:lineRule="exact"/>
        <w:rPr>
          <w:sz w:val="20"/>
          <w:szCs w:val="20"/>
          <w:color w:val="auto"/>
        </w:rPr>
      </w:pPr>
    </w:p>
    <w:p>
      <w:pPr>
        <w:ind w:left="220" w:right="8100" w:firstLine="4"/>
        <w:spacing w:after="0" w:line="357" w:lineRule="auto"/>
        <w:tabs>
          <w:tab w:leader="none" w:pos="50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Aircraft</w:t>
      </w:r>
    </w:p>
    <w:p>
      <w:pPr>
        <w:jc w:val="both"/>
        <w:ind w:firstLine="216"/>
        <w:spacing w:after="0" w:line="252" w:lineRule="auto"/>
        <w:rPr>
          <w:sz w:val="20"/>
          <w:szCs w:val="20"/>
          <w:color w:val="auto"/>
        </w:rPr>
      </w:pPr>
      <w:r>
        <w:rPr>
          <w:rFonts w:ascii="Arial" w:cs="Arial" w:eastAsia="Arial" w:hAnsi="Arial"/>
          <w:sz w:val="18"/>
          <w:szCs w:val="18"/>
          <w:color w:val="auto"/>
        </w:rPr>
        <w:t>American currently operates 389 owned aircraft and 88 leased aircraft which were financed with EETCs issued by pass-through trusts. These trusts are off-balance sheet entities, the primary purpose of which is to finance the acquisition of flight equipment.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The trusts were also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Each trust covers a set number of aircraft scheduled to be delivered or refinanced upon the issuance of the EETC or within a specific period of time thereafter. At the time of each covered aircraft financing, the relevant trust used the proceeds of the issuance of the EETC (which may have been available at the time of issuance thereof or held in escrow until financing of the applicable aircraft following its delivery) to purchase equipment notes relating to the financed aircraft. The equipment notes are issued, at American’s election, in connection with a mortgage financing of the aircraft or, in certain cases, by a separate owner trust in connection with a leveraged lease financing of the aircraft. In the case of a leveraged lease financing, the owner trust then leases the aircraft to American. In both cases, the equipment notes are secured by a security interest in the aircraft. The pass-through trust certificates are not direct obligations of, nor are they guaranteed by, AAG or American. However, in the case of mortgage financings, the equipment notes issued to the trusts are direct obligations of American and, in certain instances, have been guaranteed by AAG. As of December 31, 2018, $11.6 billion associated with these mortgage financings is reflected as debt in the accompanying consolidated balance sheet.</w:t>
      </w:r>
    </w:p>
    <w:p>
      <w:pPr>
        <w:spacing w:after="0" w:line="15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With respect to leveraged leases, American evaluated whether the leases had characteristics of a variable interest entity. American concluded the leasing entities met the criteria for variable interest entities. American generally is not the primary beneficiary of the leasing entities if the lease terms are consistent with market terms at the inception of the lease and do not include a residual value guarantee, fixed-price purchase option or similar feature that obligates American to absorb decreases in value or entitles American to participate in increases in the value of the aircraft. American does not provide residual value guarantees to the bondholders or equity participants in the trusts. Some leases have a fair market value or a fixed price purchase option that allows American to purchase the aircraft at or near the end of the lease term. However, the option price approximates an estimate of the aircraft’s fair value at the option date. Under this feature, American does not participate in any increases in the value of the aircraft. American concluded it is not the primary beneficiary under these arrangements. Therefore, American accounts for the majority of its EETC leveraged lease financings as operating leases. American’s total future payments to the trusts of each of the relevant EETCs under these leveraged lease financings are $352 million as of December 31, 2018, which are reflected in the operating lease obligations in Note 6.</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provide financial assurance, such as letters of credit, surety bonds or restricted cash and investments, primarily to support projected workers’ compensation obligations and airport commitments. As of December 31, 2018, we had $460 million of letters of credit and surety bonds securing various obligations. The letters of credit and surety bonds that are subject to expiration will expire on various dates through 2022.</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549"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purposes of calculating earnings per share. As disputed claims are resolved, the claimants will receive distributions of shares from the Disputed Claims Reserve. However, we are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and former convertible noteholders treated as stockholders under the Plan. On February 12, 2019, in accordance with the approval granted by the Bankruptcy Court on December 6, 2018, an aggregate of approximately 17.3 million shares of AAG common stock were distributed from the Disputed Claims Reserve to former AMR shareholders and convertible noteholders. After giving effect to this distribution, the Disputed Claims Reserve holds approximately 7.2 million shares of AAG common stock.</w:t>
      </w:r>
    </w:p>
    <w:p>
      <w:pPr>
        <w:spacing w:after="0" w:line="14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(the DC Court). On June 15, 2018, we reached a preliminary settlement agreement with the plaintiffs in the amount of $45 million that, once approved, will resolve all claims in the U.S. lawsuits. That settlement received preliminary approval from the DC Court on June 18, 2018.</w:t>
      </w:r>
    </w:p>
    <w:p>
      <w:pPr>
        <w:spacing w:after="0" w:line="12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United States Bankruptcy Court for the Southern District of New York. The complaint named as defendants US Airways Group,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Court denied in part defendants' motion for summary judgment, and fully denied plaintiffs' cross-motion for summary judgment. A bench trial is presently scheduled for March 2019. We believe this lawsuit is without merit and intend to vigorously defend against the allegations.</w:t>
      </w:r>
    </w:p>
    <w:p>
      <w:pPr>
        <w:spacing w:after="0" w:line="135"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Department of Justice (DOJ) informed us of an inquiry</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American’s 2009 and 2011 contracts with the United States Postal Service for the international transportation of mail by air. In October 2015, we received a Civil Investigative Demand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3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 Item 1A. Risk Factors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otherwise, which could affect our financial position and liquidity” </w:t>
      </w:r>
      <w:r>
        <w:rPr>
          <w:rFonts w:ascii="Arial" w:cs="Arial" w:eastAsia="Arial" w:hAnsi="Arial"/>
          <w:sz w:val="18"/>
          <w:szCs w:val="18"/>
          <w:color w:val="auto"/>
        </w:rPr>
        <w:t>for additional discussion.</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 Guarantees and Indemnifications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are party to many routine contracts in which we provide general indemnities in the normal course of business to third parties for various risks. We are not able to estimate the potential amount of any liability resulting from the indemnities. These indemnities are discussed in the following paragraphs.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our aircraft financing agreements, we generally indemnify the financing parties, trustees acting on their behalf and other relevant parties against liabilities (including certain taxes) resulting from the financing, manufacture, design, ownership, operation and maintenance of the aircraft regardless of whether these liabilities (including certain taxes) relate to the negligence of the indemnified parties.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loan agreements and other LIBOR-based financing transactions (including certain leveraged aircraft leases) generally obligate us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our loan agreements and other financing arrangements typically contain a withholding tax provision that requires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549"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us to pay additional amounts to the applicable lender or other financing party, generally if withholding taxes are imposed on such lender or other financing party as a result of a change in the applicable tax law.</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we may be required to make a lump sum payment to terminate the relevant transaction.</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have general indemnity clauses in many of our airport and other real estate leases where we as lessee indemnify the lessor (and related parties) against liabilities related to our use of the leased property. Generally, these indemnifications cover liabilities resulting from the negligence of the indemnified parties, but not liabilities resulting from the gross negligence or willful misconduct of the indemnified parties. In addition, we provide environmental indemnities in many of these leases for contamination related to our use of the leased property.</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certain contracts with third parties, we indemnify the third-party against legal liability arising out of an action by the third-party, or certain other parties. The terms of these contracts vary and the potential exposure under these indemnities cannot be determined. We have liability insurance protecting us for some of the obligations we have undertaken under these indemnities.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AAG. As of December 31, 2018, the remaining lease payments through 2035 guaranteeing the principal and interest on these bonds are $588 million and the current carrying amount of the associated operating lease liability in the accompanying consolidated balance sheet is $321 million.</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2018, AAG had issued guarantees covering approximately $769 million principal amount of American’s special facility revenue bonds (and interest thereon) and $8.4 billion principal amount of American’s secured debt (and interest thereon), including the Credit Facilities and certain EETC financings.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 Credit Card Processing Agreements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Our agreements allow these credit card processing companies, under certain conditions, to hold an amount of our cash (referred to as a holdback) equal to a portion of advance ticket sales that have been processed by that company, but for which we have not yet provided the air transportation. Additional holdback requirements in the event of material adverse changes in our financial condition will reduce our liquidity in the form of unrestricted cash by the amount of the holdbacks. These credit card processing companies are not currently entitled to maintain any holdbacks pursuant to these requirements.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 Labor Negotiations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As of December 31, 2018, we employed approximately 128,900 active full-time equivalent employees, of which 26,000 were employed by our regional operations. Approximately 84% of employees are covered by collective bargaining agreements (CBAs) with various labor unions and approximately 22% of employees are covered by CBAs that will become amendable within one year. Negotiations are continuing for joint collective bargaining agreements (JCBAs) covering our mainline maintenance, fleet service, stock clerks, maintenance control technicians and maintenance training instructors as well as for CBAs covering certain employee groups at our wholly-owned regional subsidiaries. Additionally, the post-Merger JCBAs covering our pilots and flight attendants, while not yet amendable, provide the unions with the right to elect to commence negotiations for new collective bargaining agreements in advance of each JCBA’s amendable date. Each of the unions has exercised these rights and negotiations are underway for new agreements as described in Part I, Item 1. Business - “</w:t>
      </w:r>
      <w:r>
        <w:rPr>
          <w:rFonts w:ascii="Arial" w:cs="Arial" w:eastAsia="Arial" w:hAnsi="Arial"/>
          <w:sz w:val="18"/>
          <w:szCs w:val="18"/>
          <w:i w:val="1"/>
          <w:iCs w:val="1"/>
          <w:color w:val="auto"/>
        </w:rPr>
        <w:t>Employees and Labor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w:t>
      </w:r>
      <w:r>
        <w:rPr>
          <w:rFonts w:ascii="Arial" w:cs="Arial" w:eastAsia="Arial" w:hAnsi="Arial"/>
          <w:sz w:val="18"/>
          <w:szCs w:val="18"/>
          <w:color w:val="auto"/>
        </w:rPr>
        <w:t>”. There is no assurance that a successful or timely resolution of these labor negotiations will be achieved.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549"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Supplemental Cash Flow Information</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6380" w:type="dxa"/>
            <w:vAlign w:val="bottom"/>
          </w:tcPr>
          <w:p>
            <w:pPr>
              <w:ind w:left="280"/>
              <w:spacing w:after="0"/>
              <w:rPr>
                <w:sz w:val="20"/>
                <w:szCs w:val="20"/>
                <w:color w:val="auto"/>
              </w:rPr>
            </w:pPr>
            <w:r>
              <w:rPr>
                <w:rFonts w:ascii="Arial" w:cs="Arial" w:eastAsia="Arial" w:hAnsi="Arial"/>
                <w:sz w:val="18"/>
                <w:szCs w:val="18"/>
                <w:color w:val="auto"/>
              </w:rPr>
              <w:t>Equity investment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Settlement of bankruptcy obligations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Supplemental information:</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paid, net</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964</w:t>
            </w:r>
          </w:p>
        </w:tc>
      </w:tr>
      <w:tr>
        <w:trPr>
          <w:trHeight w:val="257"/>
        </w:trPr>
        <w:tc>
          <w:tcPr>
            <w:tcW w:w="638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Operating Segments and Related Disclosures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are managed as a single business unit that provides air transportation for passengers and cargo. This allows us to benefit from an integrated revenue pricing and route network that includes American and our wholly-owned and third-party regional carriers that fly under capacity purchase agreements operating as American Eagle. The flight equipment of all these carriers is combined to form one fleet that is deployed through a single route scheduling system. Financial information and annual operational plans and forecasts are prepared and reviewed by the chief operating decision maker at the consolidated level. When making operational decisions, the chief operating decision maker evaluates flight profitability data, which considers aircraft type and route economics, but is indifferent to the results of the individual wholly-owned regional carriers. The objective in making operational decisions is to maximize consolidated financial results, not the individual results of American or American Eagle.</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1(k) for our passenger revenues by geographic region. Our tangible assets consist primarily of flight equipment, which are mobile across geographic markets and, therefore, have not been allocated.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2013 AAG Incentive Award Plan (the 2013 Plan) provides that awards may be in the form of an option, restricted stock award, restricted stock unit award, performance award, dividend equivalent award, deferred stock award, deferred stock unit award, stock payment award or stock appreciation right. The 2013 Plan initially authorized the grant of awards for the issuance of up to 40 million shares. Any shares underlying awards granted under the 2013 Plan, or any pre-existing US Airways Group plan, that are forfeited, terminate or are settled in cash (in whole or in part) without the delivery of shares will again be available for grant.</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salaries, wages and benefits expense for the years ended December 31, 2018, 2017 and 2016 included $88 million, $90 million and $102 million, respectively, of share-based compensation costs.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2018, 2017 and 2016, we withheld approximately 0.8 million, 1.1 million and 1.4 million shares of AAG common stock, respectively, and paid approximately $37 million, $51 million and $56 million, respectively, in satisfaction of certain tax withholding obligations associated with employee equity awards.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 Awards (RSUs)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granted RSUs with service conditions (time vested primarily over three years) and performance conditions. The grant-date fair value of RSUs is equal to the market price of the underlying shares of AAG common stock on the date of grant. For time vested awards, the expense is recognized on a straight-line basis over the vesting period for the entire award. For awards with performance conditions, the expense is recognized based on the expected achievement at each reporting period. Stock-settled RSUs are classified as equity awards as the vesting results in the issuance of shares of AAG common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549"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Stock-settled RSU award activity for all plans for the years ended December 31, 2018, 2017 and 2016 is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right"/>
              <w:ind w:right="112"/>
              <w:spacing w:after="0"/>
              <w:rPr>
                <w:sz w:val="20"/>
                <w:szCs w:val="20"/>
                <w:color w:val="auto"/>
              </w:rPr>
            </w:pPr>
            <w:r>
              <w:rPr>
                <w:rFonts w:ascii="Arial" w:cs="Arial" w:eastAsia="Arial" w:hAnsi="Arial"/>
                <w:sz w:val="14"/>
                <w:szCs w:val="14"/>
                <w:b w:val="1"/>
                <w:bCs w:val="1"/>
                <w:color w:val="auto"/>
              </w:rPr>
              <w:t>Weighted Average Grant</w:t>
            </w:r>
          </w:p>
        </w:tc>
      </w:tr>
      <w:tr>
        <w:trPr>
          <w:trHeight w:val="196"/>
        </w:trPr>
        <w:tc>
          <w:tcPr>
            <w:tcW w:w="7200" w:type="dxa"/>
            <w:vAlign w:val="bottom"/>
          </w:tcPr>
          <w:p>
            <w:pPr>
              <w:spacing w:after="0"/>
              <w:rPr>
                <w:sz w:val="17"/>
                <w:szCs w:val="17"/>
                <w:color w:val="auto"/>
              </w:rPr>
            </w:pPr>
          </w:p>
        </w:tc>
        <w:tc>
          <w:tcPr>
            <w:tcW w:w="2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7200" w:type="dxa"/>
            <w:vAlign w:val="bottom"/>
          </w:tcPr>
          <w:p>
            <w:pPr>
              <w:spacing w:after="0"/>
              <w:rPr>
                <w:sz w:val="21"/>
                <w:szCs w:val="21"/>
                <w:color w:val="auto"/>
              </w:rPr>
            </w:pPr>
          </w:p>
        </w:tc>
        <w:tc>
          <w:tcPr>
            <w:tcW w:w="2040" w:type="dxa"/>
            <w:vAlign w:val="bottom"/>
          </w:tcPr>
          <w:p>
            <w:pPr>
              <w:jc w:val="right"/>
              <w:ind w:right="43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38.08</w:t>
            </w:r>
          </w:p>
        </w:tc>
      </w:tr>
      <w:tr>
        <w:trPr>
          <w:trHeight w:val="26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41.34</w:t>
            </w:r>
          </w:p>
        </w:tc>
      </w:tr>
      <w:tr>
        <w:trPr>
          <w:trHeight w:val="27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34.83</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40.15</w:t>
            </w: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5,187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41.48</w:t>
            </w:r>
          </w:p>
        </w:tc>
      </w:tr>
      <w:tr>
        <w:trPr>
          <w:trHeight w:val="26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2,309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48.58</w:t>
            </w:r>
          </w:p>
        </w:tc>
      </w:tr>
      <w:tr>
        <w:trPr>
          <w:trHeight w:val="27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39.63</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44.48</w:t>
            </w: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4,324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46.94</w:t>
            </w:r>
          </w:p>
        </w:tc>
      </w:tr>
      <w:tr>
        <w:trPr>
          <w:trHeight w:val="26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47.65</w:t>
            </w:r>
          </w:p>
        </w:tc>
      </w:tr>
      <w:tr>
        <w:trPr>
          <w:trHeight w:val="27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44.99</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45.72</w:t>
            </w: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4,320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44.29</w:t>
            </w:r>
          </w:p>
        </w:tc>
      </w:tr>
      <w:tr>
        <w:trPr>
          <w:trHeight w:val="20"/>
        </w:trPr>
        <w:tc>
          <w:tcPr>
            <w:tcW w:w="7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2018, there was $111 million of unrecognized compensation cost related to stock-settled RSUs. These costs are expected to be recognized over a weighted average period of one year. The total fair value of stock-settled RSUs vested during the years ended December 31, 2018, 2017 and 2016 was $91 million, $123 million and $107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Valuation and Qualifying Accounts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Additions Charged to</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Statement of</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Beginning of Year</w:t>
            </w: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Operations Accounts</w:t>
            </w:r>
          </w:p>
        </w:tc>
        <w:tc>
          <w:tcPr>
            <w:tcW w:w="26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Deductions</w:t>
            </w: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End of Year</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obsolescence of spare parts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814</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2017</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2016</w:t>
            </w:r>
          </w:p>
        </w:tc>
        <w:tc>
          <w:tcPr>
            <w:tcW w:w="16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765</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uncollectible accounts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2017</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2016</w:t>
            </w:r>
          </w:p>
        </w:tc>
        <w:tc>
          <w:tcPr>
            <w:tcW w:w="16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473"/>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33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Unaudited summarized financial data by quarter for 2018 and 2017 (in millions, except share and per share amounts):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Third Quarter</w:t>
            </w:r>
          </w:p>
        </w:tc>
        <w:tc>
          <w:tcPr>
            <w:tcW w:w="200" w:type="dxa"/>
            <w:vAlign w:val="bottom"/>
          </w:tcPr>
          <w:p>
            <w:pPr>
              <w:spacing w:after="0"/>
              <w:rPr>
                <w:sz w:val="17"/>
                <w:szCs w:val="17"/>
                <w:color w:val="auto"/>
              </w:rPr>
            </w:pPr>
          </w:p>
        </w:tc>
        <w:tc>
          <w:tcPr>
            <w:tcW w:w="1400" w:type="dxa"/>
            <w:vAlign w:val="bottom"/>
          </w:tcPr>
          <w:p>
            <w:pPr>
              <w:jc w:val="right"/>
              <w:ind w:right="211"/>
              <w:spacing w:after="0"/>
              <w:rPr>
                <w:sz w:val="20"/>
                <w:szCs w:val="20"/>
                <w:color w:val="auto"/>
              </w:rPr>
            </w:pPr>
            <w:r>
              <w:rPr>
                <w:rFonts w:ascii="Arial" w:cs="Arial" w:eastAsia="Arial" w:hAnsi="Arial"/>
                <w:sz w:val="14"/>
                <w:szCs w:val="14"/>
                <w:b w:val="1"/>
                <w:bCs w:val="1"/>
                <w:color w:val="auto"/>
              </w:rPr>
              <w:t>Fourth Quarter</w:t>
            </w:r>
          </w:p>
        </w:tc>
      </w:tr>
      <w:tr>
        <w:trPr>
          <w:trHeight w:val="270"/>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1"/>
                <w:szCs w:val="21"/>
                <w:b w:val="1"/>
                <w:bCs w:val="1"/>
                <w:color w:val="auto"/>
                <w:vertAlign w:val="superscript"/>
              </w:rPr>
              <w:t>(1)</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10,401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11,643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11,559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10,938</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10,874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10,367</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571</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0.70</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for computation (in thousands):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472,297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463,533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460,526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460,589</w:t>
            </w: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474,598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464,618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461,507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461,915</w:t>
            </w:r>
          </w:p>
        </w:tc>
      </w:tr>
      <w:tr>
        <w:trPr>
          <w:trHeight w:val="297"/>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9,820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11,227</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10,965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10,611</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9,973</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638</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for computation (in thousands):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503,902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490,818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484,772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477,165</w:t>
            </w: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507,797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492,965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486,625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379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hanging="972"/>
        <w:spacing w:after="0" w:line="233" w:lineRule="auto"/>
        <w:tabs>
          <w:tab w:leader="none" w:pos="494"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In the fourth quarter of 2018, we adopted the New Lease Standard as of January 1, 2018. In accordance with the New Lease Standard, prior 2018 periods have been recast to reflect the effects of this adoption. See Note 1(b) and Note 6 for further discussion of the New Lease Standard.</w:t>
      </w:r>
    </w:p>
    <w:p>
      <w:pPr>
        <w:spacing w:after="0" w:line="163"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fourth quarter 2018 results include $225 million of total net special items that principally included $146 million of fleet restructuring expenses, $81 million of merger integration expenses, $37 million of severance costs associated with reductions of management and support staff team members, $22 million of mark-to-market net unrealized losses associated with certain equity investments, offset in part by a $37 million net credit resulting from mark-to-market adjustments on bankruptcy obligations and a $22 million income tax credit as a result of the reversal of the valuation allowance previously recognized in the first quarter of 2018 related to our estimated refund for AMT credits, which is no longer subject to sequestration.</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fourth quarter 2017 results include $1.1 billion of total net special items that principally included a $149 million charge for the $1,000 cash bonus and associated payroll taxes granted to mainline employees as of December 31, 2017 in recognition of the 2017 Tax Act, $81 million of merger integration expenses, $58 million of fleet restructuring expenses, a $20 million net charge resulting from mark-to-market adjustments on bankruptcy obligations and an $823 million special non-cash charge to reflect the impact of lower corporate income tax rates on our deferred tax asset and liabilities due to the 2017 Tax Act, which reduced the federal corporate income tax rate from 35% to 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549"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jc w:val="both"/>
        <w:ind w:left="220" w:right="9500" w:hanging="212"/>
        <w:spacing w:after="0" w:line="378" w:lineRule="auto"/>
        <w:tabs>
          <w:tab w:leader="none" w:pos="354"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 </w:t>
      </w:r>
      <w:r>
        <w:rPr>
          <w:rFonts w:ascii="Arial" w:cs="Arial" w:eastAsia="Arial" w:hAnsi="Arial"/>
          <w:sz w:val="17"/>
          <w:szCs w:val="17"/>
          <w:i w:val="1"/>
          <w:iCs w:val="1"/>
          <w:u w:val="single" w:color="auto"/>
          <w:color w:val="auto"/>
        </w:rPr>
        <w:t>Dividend Declaration</w:t>
      </w:r>
    </w:p>
    <w:p>
      <w:pPr>
        <w:jc w:val="both"/>
        <w:ind w:firstLine="216"/>
        <w:spacing w:after="0" w:line="254" w:lineRule="auto"/>
        <w:rPr>
          <w:sz w:val="20"/>
          <w:szCs w:val="20"/>
          <w:color w:val="auto"/>
        </w:rPr>
      </w:pPr>
      <w:r>
        <w:rPr>
          <w:rFonts w:ascii="Arial" w:cs="Arial" w:eastAsia="Arial" w:hAnsi="Arial"/>
          <w:sz w:val="18"/>
          <w:szCs w:val="18"/>
          <w:color w:val="auto"/>
        </w:rPr>
        <w:t>In January 2019, we announced that our Board of Directors declared a $ 0.10 per share cash dividend for stockholders of record on February 6, 2019, and payable on February 20, 2019.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549"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ITEM 8B. CONSOLIDATED FINANCIAL STATEMENTS AND SUPPLEMENTARY DATA OF AMERICAN AIRLINES, INC.</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audited the accompanying consolidated balance sheets of American Airlines, Inc. and subsidiaries (American) as of December 31, 2018 and 2017, the related consolidated statements of operations, comprehensive income, cash flows, and stockholder’s equity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and the related notes (collectively, the consolidated financial statements). In our opinion, the consolidated financial statements present fairly, in all material respects, the financial position of American as of December 31, 2018 and 2017,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in conformity with U.S. generally accepted accounting principles.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American’s internal control over financial reporting as of December 31,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25,</w:t>
      </w:r>
      <w:r>
        <w:rPr>
          <w:rFonts w:ascii="Arial" w:cs="Arial" w:eastAsia="Arial" w:hAnsi="Arial"/>
          <w:sz w:val="18"/>
          <w:szCs w:val="18"/>
          <w:i w:val="1"/>
          <w:iCs w:val="1"/>
          <w:color w:val="auto"/>
        </w:rPr>
        <w:t xml:space="preserve"> </w:t>
      </w:r>
      <w:r>
        <w:rPr>
          <w:rFonts w:ascii="Arial" w:cs="Arial" w:eastAsia="Arial" w:hAnsi="Arial"/>
          <w:sz w:val="18"/>
          <w:szCs w:val="18"/>
          <w:color w:val="auto"/>
        </w:rPr>
        <w:t>2019 expressed an unqualified opinion on the effectiveness of American’s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As discussed in Note 1 to the consolidated financial statements, American changed its method of accounting for revenue from contracts with customers and leases in 2018 due to the full retrospective adoption of Accounting Standards Update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 (Topic 606)</w:t>
      </w:r>
      <w:r>
        <w:rPr>
          <w:rFonts w:ascii="Arial" w:cs="Arial" w:eastAsia="Arial" w:hAnsi="Arial"/>
          <w:sz w:val="18"/>
          <w:szCs w:val="18"/>
          <w:color w:val="auto"/>
        </w:rPr>
        <w:t>, as amended, and the modified retrospective adoption of ASU 2016-02,</w:t>
      </w:r>
      <w:r>
        <w:rPr>
          <w:rFonts w:ascii="Arial" w:cs="Arial" w:eastAsia="Arial" w:hAnsi="Arial"/>
          <w:sz w:val="18"/>
          <w:szCs w:val="18"/>
          <w:i w:val="1"/>
          <w:iCs w:val="1"/>
          <w:color w:val="auto"/>
        </w:rPr>
        <w:t xml:space="preserve"> Leases (Topic 842)</w:t>
      </w:r>
      <w:r>
        <w:rPr>
          <w:rFonts w:ascii="Arial" w:cs="Arial" w:eastAsia="Arial" w:hAnsi="Arial"/>
          <w:sz w:val="18"/>
          <w:szCs w:val="18"/>
          <w:color w:val="auto"/>
        </w:rPr>
        <w:t>,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American’s management. Our responsibility is to express an opinion on these consolidated financial statements based on our audits.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29"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American’s auditor since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576"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40,676</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39,131</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37,045</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r>
      <w:tr>
        <w:trPr>
          <w:trHeight w:val="26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2,295</w:t>
            </w:r>
          </w:p>
        </w:tc>
      </w:tr>
      <w:tr>
        <w:trPr>
          <w:trHeight w:val="257"/>
        </w:trPr>
        <w:tc>
          <w:tcPr>
            <w:tcW w:w="6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revenues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44,530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42,610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40,125</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8,053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6,128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5,071</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Salaries, wages and benefits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12,240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11,942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10,958</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expenses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7,064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6,572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6,009</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Maintenance, materials and repairs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1,834</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rent and landing fees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1,772</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Aircraft rent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1,203</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expenses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1,323</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1,525</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items, net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r>
      <w:tr>
        <w:trPr>
          <w:trHeight w:val="26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5,090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4,910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4,641</w:t>
            </w:r>
          </w:p>
        </w:tc>
      </w:tr>
      <w:tr>
        <w:trPr>
          <w:trHeight w:val="257"/>
        </w:trPr>
        <w:tc>
          <w:tcPr>
            <w:tcW w:w="6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41,807</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38,405</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35,045</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5,080</w:t>
            </w:r>
          </w:p>
        </w:tc>
      </w:tr>
      <w:tr>
        <w:trPr>
          <w:trHeight w:val="25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6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r>
      <w:tr>
        <w:trPr>
          <w:trHeight w:val="257"/>
        </w:trPr>
        <w:tc>
          <w:tcPr>
            <w:tcW w:w="6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nonoperating expense, net</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4,296</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1,607</w:t>
            </w:r>
          </w:p>
        </w:tc>
      </w:tr>
      <w:tr>
        <w:trPr>
          <w:trHeight w:val="24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1,658</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2,689</w:t>
            </w:r>
          </w:p>
        </w:tc>
      </w:tr>
      <w:tr>
        <w:trPr>
          <w:trHeight w:val="20"/>
        </w:trPr>
        <w:tc>
          <w:tcPr>
            <w:tcW w:w="6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576"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6"/>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1,658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2,689</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retiree medical and other postretirement benefits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64"/>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Investments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r>
      <w:tr>
        <w:trPr>
          <w:trHeight w:val="257"/>
        </w:trPr>
        <w:tc>
          <w:tcPr>
            <w:tcW w:w="66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other comprehensive loss, net of tax</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44"/>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9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1,539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2,338</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576"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76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80" w:type="dxa"/>
            <w:vAlign w:val="bottom"/>
            <w:shd w:val="clear" w:color="auto" w:fill="CCEEFF"/>
          </w:tcPr>
          <w:p>
            <w:pPr>
              <w:spacing w:after="0"/>
              <w:rPr>
                <w:sz w:val="5"/>
                <w:szCs w:val="5"/>
                <w:color w:val="auto"/>
              </w:rPr>
            </w:pPr>
          </w:p>
        </w:tc>
        <w:tc>
          <w:tcPr>
            <w:tcW w:w="76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7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80" w:type="dxa"/>
            <w:vAlign w:val="bottom"/>
            <w:shd w:val="clear" w:color="auto" w:fill="CCEEFF"/>
          </w:tcPr>
          <w:p>
            <w:pPr>
              <w:spacing w:after="0"/>
              <w:rPr>
                <w:sz w:val="23"/>
                <w:szCs w:val="23"/>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104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Short-term investments</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4,482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4,768</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and short-term investments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1,755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1,755</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Receivables from related parties, net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10,666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8,822</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Aircraft fuel, spare parts and supplies, net</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1,294</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w:t>
            </w:r>
          </w:p>
        </w:tc>
        <w:tc>
          <w:tcPr>
            <w:tcW w:w="10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40"/>
        </w:trPr>
        <w:tc>
          <w:tcPr>
            <w:tcW w:w="280" w:type="dxa"/>
            <w:vAlign w:val="bottom"/>
          </w:tcPr>
          <w:p>
            <w:pPr>
              <w:spacing w:after="0"/>
              <w:rPr>
                <w:sz w:val="20"/>
                <w:szCs w:val="20"/>
                <w:color w:val="auto"/>
              </w:rPr>
            </w:pPr>
          </w:p>
        </w:tc>
        <w:tc>
          <w:tcPr>
            <w:tcW w:w="762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19,257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17,891</w:t>
            </w:r>
          </w:p>
        </w:tc>
        <w:tc>
          <w:tcPr>
            <w:tcW w:w="0" w:type="dxa"/>
            <w:vAlign w:val="bottom"/>
          </w:tcPr>
          <w:p>
            <w:pPr>
              <w:spacing w:after="0"/>
              <w:rPr>
                <w:sz w:val="1"/>
                <w:szCs w:val="1"/>
                <w:color w:val="auto"/>
              </w:rPr>
            </w:pPr>
          </w:p>
        </w:tc>
      </w:tr>
      <w:tr>
        <w:trPr>
          <w:trHeight w:val="26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property and equipment</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Flight equipment</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41,180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39,993</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Ground property and equipment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8,466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8,006</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Equipment purchase deposits</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57"/>
        </w:trPr>
        <w:tc>
          <w:tcPr>
            <w:tcW w:w="280" w:type="dxa"/>
            <w:vAlign w:val="bottom"/>
            <w:shd w:val="clear" w:color="auto" w:fill="CCEEFF"/>
          </w:tcPr>
          <w:p>
            <w:pPr>
              <w:spacing w:after="0"/>
              <w:rPr>
                <w:sz w:val="22"/>
                <w:szCs w:val="22"/>
                <w:color w:val="auto"/>
              </w:rPr>
            </w:pPr>
          </w:p>
        </w:tc>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property and equipment, at cost</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50,923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49,216</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accumulated depreciation and amortization</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(15,354)</w:t>
            </w:r>
          </w:p>
        </w:tc>
        <w:tc>
          <w:tcPr>
            <w:tcW w:w="0" w:type="dxa"/>
            <w:vAlign w:val="bottom"/>
          </w:tcPr>
          <w:p>
            <w:pPr>
              <w:spacing w:after="0"/>
              <w:rPr>
                <w:sz w:val="1"/>
                <w:szCs w:val="1"/>
                <w:color w:val="auto"/>
              </w:rPr>
            </w:pPr>
          </w:p>
        </w:tc>
      </w:tr>
      <w:tr>
        <w:trPr>
          <w:trHeight w:val="257"/>
        </w:trPr>
        <w:tc>
          <w:tcPr>
            <w:tcW w:w="280" w:type="dxa"/>
            <w:vAlign w:val="bottom"/>
            <w:shd w:val="clear" w:color="auto" w:fill="CCEEFF"/>
          </w:tcPr>
          <w:p>
            <w:pPr>
              <w:spacing w:after="0"/>
              <w:rPr>
                <w:sz w:val="22"/>
                <w:szCs w:val="22"/>
                <w:color w:val="auto"/>
              </w:rPr>
            </w:pPr>
          </w:p>
        </w:tc>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33,800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33,862</w:t>
            </w:r>
          </w:p>
        </w:tc>
        <w:tc>
          <w:tcPr>
            <w:tcW w:w="0" w:type="dxa"/>
            <w:vAlign w:val="bottom"/>
          </w:tcPr>
          <w:p>
            <w:pPr>
              <w:spacing w:after="0"/>
              <w:rPr>
                <w:sz w:val="1"/>
                <w:szCs w:val="1"/>
                <w:color w:val="auto"/>
              </w:rPr>
            </w:pPr>
          </w:p>
        </w:tc>
      </w:tr>
      <w:tr>
        <w:trPr>
          <w:trHeight w:val="260"/>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lease right-of-use assets</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9,094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Goodwill</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4,091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4,091</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Intangibles, net of accumulated amortization of $663 and $622, respectively</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2,203</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Deferred tax asset</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0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1,219</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244"/>
        </w:trPr>
        <w:tc>
          <w:tcPr>
            <w:tcW w:w="280" w:type="dxa"/>
            <w:vAlign w:val="bottom"/>
            <w:tcBorders>
              <w:bottom w:val="single" w:sz="8" w:color="CCEEFF"/>
            </w:tcBorders>
          </w:tcPr>
          <w:p>
            <w:pPr>
              <w:spacing w:after="0"/>
              <w:rPr>
                <w:sz w:val="21"/>
                <w:szCs w:val="21"/>
                <w:color w:val="auto"/>
              </w:rPr>
            </w:pPr>
          </w:p>
        </w:tc>
        <w:tc>
          <w:tcPr>
            <w:tcW w:w="7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assets</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8,727</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9,648</w:t>
            </w: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b w:val="1"/>
                <w:bCs w:val="1"/>
                <w:color w:val="auto"/>
              </w:rPr>
              <w:t>Total assets</w:t>
            </w:r>
          </w:p>
        </w:tc>
        <w:tc>
          <w:tcPr>
            <w:tcW w:w="104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70,878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61,401</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9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7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Current maturities of long-term debt and finance leases</w:t>
            </w:r>
          </w:p>
        </w:tc>
        <w:tc>
          <w:tcPr>
            <w:tcW w:w="104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2,547</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2,058</w:t>
            </w:r>
          </w:p>
        </w:tc>
        <w:tc>
          <w:tcPr>
            <w:tcW w:w="0" w:type="dxa"/>
            <w:vAlign w:val="bottom"/>
          </w:tcPr>
          <w:p>
            <w:pPr>
              <w:spacing w:after="0"/>
              <w:rPr>
                <w:sz w:val="1"/>
                <w:szCs w:val="1"/>
                <w:color w:val="auto"/>
              </w:rPr>
            </w:pPr>
          </w:p>
        </w:tc>
      </w:tr>
      <w:tr>
        <w:trPr>
          <w:trHeight w:val="260"/>
        </w:trPr>
        <w:tc>
          <w:tcPr>
            <w:tcW w:w="28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Accounts payable</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Accrued salaries and wages</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1,613</w:t>
            </w:r>
          </w:p>
        </w:tc>
        <w:tc>
          <w:tcPr>
            <w:tcW w:w="0" w:type="dxa"/>
            <w:vAlign w:val="bottom"/>
          </w:tcPr>
          <w:p>
            <w:pPr>
              <w:spacing w:after="0"/>
              <w:rPr>
                <w:sz w:val="1"/>
                <w:szCs w:val="1"/>
                <w:color w:val="auto"/>
              </w:rPr>
            </w:pPr>
          </w:p>
        </w:tc>
      </w:tr>
      <w:tr>
        <w:trPr>
          <w:trHeight w:val="260"/>
        </w:trPr>
        <w:tc>
          <w:tcPr>
            <w:tcW w:w="28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Air traffic liability</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4,042</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Loyalty program liability</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3,267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accrued liabilities</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2,259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shd w:val="clear" w:color="auto" w:fill="CCEEFF"/>
              </w:rPr>
              <w:t>Total current liabilities</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17,121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14,668</w:t>
            </w: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7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Long-term debt and finance leases, net of current maturities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21,236</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Pension and postretirement benefits</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6,863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7,452</w:t>
            </w:r>
          </w:p>
        </w:tc>
        <w:tc>
          <w:tcPr>
            <w:tcW w:w="0" w:type="dxa"/>
            <w:vAlign w:val="bottom"/>
          </w:tcPr>
          <w:p>
            <w:pPr>
              <w:spacing w:after="0"/>
              <w:rPr>
                <w:sz w:val="1"/>
                <w:szCs w:val="1"/>
                <w:color w:val="auto"/>
              </w:rPr>
            </w:pPr>
          </w:p>
        </w:tc>
      </w:tr>
      <w:tr>
        <w:trPr>
          <w:trHeight w:val="260"/>
        </w:trPr>
        <w:tc>
          <w:tcPr>
            <w:tcW w:w="28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Loyalty program liability</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5,701</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7,857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280" w:type="dxa"/>
            <w:vAlign w:val="bottom"/>
            <w:tcBorders>
              <w:bottom w:val="single" w:sz="8" w:color="CCEEFF"/>
            </w:tcBorders>
            <w:shd w:val="clear" w:color="auto" w:fill="CCEEFF"/>
          </w:tcPr>
          <w:p>
            <w:pPr>
              <w:spacing w:after="0"/>
              <w:rPr>
                <w:sz w:val="24"/>
                <w:szCs w:val="24"/>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Other liabilities</w:t>
            </w:r>
          </w:p>
        </w:tc>
        <w:tc>
          <w:tcPr>
            <w:tcW w:w="10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2,456</w:t>
            </w:r>
          </w:p>
        </w:tc>
        <w:tc>
          <w:tcPr>
            <w:tcW w:w="0" w:type="dxa"/>
            <w:vAlign w:val="bottom"/>
          </w:tcPr>
          <w:p>
            <w:pPr>
              <w:spacing w:after="0"/>
              <w:rPr>
                <w:sz w:val="1"/>
                <w:szCs w:val="1"/>
                <w:color w:val="auto"/>
              </w:rPr>
            </w:pPr>
          </w:p>
        </w:tc>
      </w:tr>
      <w:tr>
        <w:trPr>
          <w:trHeight w:val="240"/>
        </w:trPr>
        <w:tc>
          <w:tcPr>
            <w:tcW w:w="280" w:type="dxa"/>
            <w:vAlign w:val="bottom"/>
          </w:tcPr>
          <w:p>
            <w:pPr>
              <w:spacing w:after="0"/>
              <w:rPr>
                <w:sz w:val="20"/>
                <w:szCs w:val="20"/>
                <w:color w:val="auto"/>
              </w:rPr>
            </w:pPr>
          </w:p>
        </w:tc>
        <w:tc>
          <w:tcPr>
            <w:tcW w:w="7620" w:type="dxa"/>
            <w:vAlign w:val="bottom"/>
          </w:tcPr>
          <w:p>
            <w:pPr>
              <w:ind w:left="220"/>
              <w:spacing w:after="0"/>
              <w:rPr>
                <w:sz w:val="20"/>
                <w:szCs w:val="20"/>
                <w:color w:val="auto"/>
              </w:rPr>
            </w:pPr>
            <w:r>
              <w:rPr>
                <w:rFonts w:ascii="Arial" w:cs="Arial" w:eastAsia="Arial" w:hAnsi="Arial"/>
                <w:sz w:val="16"/>
                <w:szCs w:val="16"/>
                <w:color w:val="auto"/>
              </w:rPr>
              <w:t>Total noncurrent liabilities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41,987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36,845</w:t>
            </w:r>
          </w:p>
        </w:tc>
        <w:tc>
          <w:tcPr>
            <w:tcW w:w="0" w:type="dxa"/>
            <w:vAlign w:val="bottom"/>
          </w:tcPr>
          <w:p>
            <w:pPr>
              <w:spacing w:after="0"/>
              <w:rPr>
                <w:sz w:val="1"/>
                <w:szCs w:val="1"/>
                <w:color w:val="auto"/>
              </w:rPr>
            </w:pPr>
          </w:p>
        </w:tc>
      </w:tr>
      <w:tr>
        <w:trPr>
          <w:trHeight w:val="26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Commitments and contingencies (Note 10)</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7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Common stock, $1.00 par value; 1,000 shares authorized, issued and outstanding</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16,802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16,716</w:t>
            </w:r>
          </w:p>
        </w:tc>
        <w:tc>
          <w:tcPr>
            <w:tcW w:w="0" w:type="dxa"/>
            <w:vAlign w:val="bottom"/>
          </w:tcPr>
          <w:p>
            <w:pPr>
              <w:spacing w:after="0"/>
              <w:rPr>
                <w:sz w:val="1"/>
                <w:szCs w:val="1"/>
                <w:color w:val="auto"/>
              </w:rPr>
            </w:pPr>
          </w:p>
        </w:tc>
      </w:tr>
      <w:tr>
        <w:trPr>
          <w:trHeight w:val="260"/>
        </w:trPr>
        <w:tc>
          <w:tcPr>
            <w:tcW w:w="28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Accumulated other comprehensive loss</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(5,251)</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Retained earnings (deficit)</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257"/>
        </w:trPr>
        <w:tc>
          <w:tcPr>
            <w:tcW w:w="28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shd w:val="clear" w:color="auto" w:fill="CCEEFF"/>
              </w:rPr>
              <w:t>Total stockholder’s equity</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11,770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9,888</w:t>
            </w: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7620" w:type="dxa"/>
            <w:vAlign w:val="bottom"/>
          </w:tcPr>
          <w:p>
            <w:pPr>
              <w:ind w:left="440"/>
              <w:spacing w:after="0"/>
              <w:rPr>
                <w:sz w:val="20"/>
                <w:szCs w:val="20"/>
                <w:color w:val="auto"/>
              </w:rPr>
            </w:pPr>
            <w:r>
              <w:rPr>
                <w:rFonts w:ascii="Arial" w:cs="Arial" w:eastAsia="Arial" w:hAnsi="Arial"/>
                <w:sz w:val="16"/>
                <w:szCs w:val="16"/>
                <w:b w:val="1"/>
                <w:bCs w:val="1"/>
                <w:color w:val="auto"/>
              </w:rPr>
              <w:t>Total liabilities and stockholder’s equity</w:t>
            </w:r>
          </w:p>
        </w:tc>
        <w:tc>
          <w:tcPr>
            <w:tcW w:w="104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70,878</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12700</wp:posOffset>
            </wp:positionV>
            <wp:extent cx="223837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76" w:right="239" w:bottom="4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20"/>
          </w:cols>
          <w:pgMar w:left="240" w:top="576" w:right="239" w:bottom="44"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4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4"/>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120" w:type="dxa"/>
            <w:vAlign w:val="bottom"/>
            <w:shd w:val="clear" w:color="auto" w:fill="CCEEFF"/>
          </w:tcPr>
          <w:p>
            <w:pPr>
              <w:spacing w:after="0"/>
              <w:rPr>
                <w:sz w:val="6"/>
                <w:szCs w:val="6"/>
                <w:color w:val="auto"/>
              </w:rPr>
            </w:pPr>
          </w:p>
        </w:tc>
        <w:tc>
          <w:tcPr>
            <w:tcW w:w="46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40"/>
              <w:spacing w:after="0"/>
              <w:rPr>
                <w:sz w:val="20"/>
                <w:szCs w:val="20"/>
                <w:color w:val="auto"/>
              </w:rPr>
            </w:pPr>
            <w:r>
              <w:rPr>
                <w:rFonts w:ascii="Arial" w:cs="Arial" w:eastAsia="Arial" w:hAnsi="Arial"/>
                <w:sz w:val="15"/>
                <w:szCs w:val="15"/>
                <w:color w:val="auto"/>
              </w:rPr>
              <w:t>Net income</w:t>
            </w:r>
          </w:p>
        </w:tc>
        <w:tc>
          <w:tcPr>
            <w:tcW w:w="360" w:type="dxa"/>
            <w:vAlign w:val="bottom"/>
            <w:vMerge w:val="restart"/>
          </w:tcPr>
          <w:p>
            <w:pPr>
              <w:jc w:val="right"/>
              <w:ind w:right="163"/>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44"/>
              <w:spacing w:after="0"/>
              <w:rPr>
                <w:sz w:val="20"/>
                <w:szCs w:val="20"/>
                <w:color w:val="auto"/>
              </w:rPr>
            </w:pPr>
            <w:r>
              <w:rPr>
                <w:rFonts w:ascii="Arial" w:cs="Arial" w:eastAsia="Arial" w:hAnsi="Arial"/>
                <w:sz w:val="15"/>
                <w:szCs w:val="15"/>
                <w:color w:val="auto"/>
              </w:rPr>
              <w:t>1,658</w:t>
            </w:r>
          </w:p>
        </w:tc>
        <w:tc>
          <w:tcPr>
            <w:tcW w:w="100" w:type="dxa"/>
            <w:vAlign w:val="bottom"/>
          </w:tcPr>
          <w:p>
            <w:pPr>
              <w:spacing w:after="0"/>
              <w:rPr>
                <w:sz w:val="18"/>
                <w:szCs w:val="18"/>
                <w:color w:val="auto"/>
              </w:rPr>
            </w:pPr>
          </w:p>
        </w:tc>
        <w:tc>
          <w:tcPr>
            <w:tcW w:w="2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color w:val="auto"/>
              </w:rPr>
              <w:t>1,285</w:t>
            </w:r>
          </w:p>
        </w:tc>
        <w:tc>
          <w:tcPr>
            <w:tcW w:w="100" w:type="dxa"/>
            <w:vAlign w:val="bottom"/>
          </w:tcPr>
          <w:p>
            <w:pPr>
              <w:spacing w:after="0"/>
              <w:rPr>
                <w:sz w:val="18"/>
                <w:szCs w:val="18"/>
                <w:color w:val="auto"/>
              </w:rPr>
            </w:pPr>
          </w:p>
        </w:tc>
        <w:tc>
          <w:tcPr>
            <w:tcW w:w="360" w:type="dxa"/>
            <w:vAlign w:val="bottom"/>
            <w:vMerge w:val="restart"/>
          </w:tcPr>
          <w:p>
            <w:pPr>
              <w:jc w:val="right"/>
              <w:ind w:right="163"/>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right"/>
              <w:ind w:right="24"/>
              <w:spacing w:after="0"/>
              <w:rPr>
                <w:sz w:val="20"/>
                <w:szCs w:val="20"/>
                <w:color w:val="auto"/>
              </w:rPr>
            </w:pPr>
            <w:r>
              <w:rPr>
                <w:rFonts w:ascii="Arial" w:cs="Arial" w:eastAsia="Arial" w:hAnsi="Arial"/>
                <w:sz w:val="15"/>
                <w:szCs w:val="15"/>
                <w:color w:val="auto"/>
              </w:rPr>
              <w:t>2,689</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28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8"/>
                <w:szCs w:val="18"/>
                <w:color w:val="auto"/>
              </w:rPr>
            </w:pPr>
          </w:p>
        </w:tc>
        <w:tc>
          <w:tcPr>
            <w:tcW w:w="1160" w:type="dxa"/>
            <w:vAlign w:val="bottom"/>
            <w:vMerge w:val="restart"/>
          </w:tcPr>
          <w:p>
            <w:pPr>
              <w:jc w:val="right"/>
              <w:ind w:right="44"/>
              <w:spacing w:after="0"/>
              <w:rPr>
                <w:sz w:val="20"/>
                <w:szCs w:val="20"/>
                <w:color w:val="auto"/>
              </w:rPr>
            </w:pPr>
            <w:r>
              <w:rPr>
                <w:rFonts w:ascii="Arial" w:cs="Arial" w:eastAsia="Arial" w:hAnsi="Arial"/>
                <w:sz w:val="15"/>
                <w:szCs w:val="15"/>
                <w:color w:val="auto"/>
              </w:rPr>
              <w:t>2,108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color w:val="auto"/>
              </w:rPr>
              <w:t>1,964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ind w:right="24"/>
              <w:spacing w:after="0"/>
              <w:rPr>
                <w:sz w:val="20"/>
                <w:szCs w:val="20"/>
                <w:color w:val="auto"/>
              </w:rPr>
            </w:pPr>
            <w:r>
              <w:rPr>
                <w:rFonts w:ascii="Arial" w:cs="Arial" w:eastAsia="Arial" w:hAnsi="Arial"/>
                <w:sz w:val="15"/>
                <w:szCs w:val="15"/>
                <w:color w:val="auto"/>
              </w:rPr>
              <w:t>1,762</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Debt discount and lease amortization</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280"/>
              <w:spacing w:after="0"/>
              <w:rPr>
                <w:sz w:val="20"/>
                <w:szCs w:val="20"/>
                <w:color w:val="auto"/>
              </w:rPr>
            </w:pPr>
            <w:r>
              <w:rPr>
                <w:rFonts w:ascii="Arial" w:cs="Arial" w:eastAsia="Arial" w:hAnsi="Arial"/>
                <w:sz w:val="15"/>
                <w:szCs w:val="15"/>
                <w:color w:val="auto"/>
              </w:rPr>
              <w:t>Special items, non-cash</w:t>
            </w:r>
          </w:p>
        </w:tc>
        <w:tc>
          <w:tcPr>
            <w:tcW w:w="360" w:type="dxa"/>
            <w:vAlign w:val="bottom"/>
          </w:tcPr>
          <w:p>
            <w:pPr>
              <w:spacing w:after="0"/>
              <w:rPr>
                <w:sz w:val="18"/>
                <w:szCs w:val="18"/>
                <w:color w:val="auto"/>
              </w:rPr>
            </w:pPr>
          </w:p>
        </w:tc>
        <w:tc>
          <w:tcPr>
            <w:tcW w:w="1160" w:type="dxa"/>
            <w:vAlign w:val="bottom"/>
            <w:vMerge w:val="restart"/>
          </w:tcPr>
          <w:p>
            <w:pPr>
              <w:jc w:val="right"/>
              <w:ind w:right="44"/>
              <w:spacing w:after="0"/>
              <w:rPr>
                <w:sz w:val="20"/>
                <w:szCs w:val="20"/>
                <w:color w:val="auto"/>
              </w:rPr>
            </w:pPr>
            <w:r>
              <w:rPr>
                <w:rFonts w:ascii="Arial" w:cs="Arial" w:eastAsia="Arial" w:hAnsi="Arial"/>
                <w:sz w:val="15"/>
                <w:szCs w:val="15"/>
                <w:color w:val="auto"/>
              </w:rPr>
              <w:t>458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color w:val="auto"/>
              </w:rPr>
              <w:t>272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ind w:right="24"/>
              <w:spacing w:after="0"/>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Pension and postretirement</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280"/>
              <w:spacing w:after="0"/>
              <w:rPr>
                <w:sz w:val="20"/>
                <w:szCs w:val="20"/>
                <w:color w:val="auto"/>
              </w:rPr>
            </w:pPr>
            <w:r>
              <w:rPr>
                <w:rFonts w:ascii="Arial" w:cs="Arial" w:eastAsia="Arial" w:hAnsi="Arial"/>
                <w:sz w:val="15"/>
                <w:szCs w:val="15"/>
                <w:color w:val="auto"/>
              </w:rPr>
              <w:t>Deferred income tax provision</w:t>
            </w:r>
          </w:p>
        </w:tc>
        <w:tc>
          <w:tcPr>
            <w:tcW w:w="360" w:type="dxa"/>
            <w:vAlign w:val="bottom"/>
          </w:tcPr>
          <w:p>
            <w:pPr>
              <w:spacing w:after="0"/>
              <w:rPr>
                <w:sz w:val="18"/>
                <w:szCs w:val="18"/>
                <w:color w:val="auto"/>
              </w:rPr>
            </w:pPr>
          </w:p>
        </w:tc>
        <w:tc>
          <w:tcPr>
            <w:tcW w:w="1160" w:type="dxa"/>
            <w:vAlign w:val="bottom"/>
            <w:vMerge w:val="restart"/>
          </w:tcPr>
          <w:p>
            <w:pPr>
              <w:jc w:val="right"/>
              <w:ind w:right="44"/>
              <w:spacing w:after="0"/>
              <w:rPr>
                <w:sz w:val="20"/>
                <w:szCs w:val="20"/>
                <w:color w:val="auto"/>
              </w:rPr>
            </w:pPr>
            <w:r>
              <w:rPr>
                <w:rFonts w:ascii="Arial" w:cs="Arial" w:eastAsia="Arial" w:hAnsi="Arial"/>
                <w:sz w:val="15"/>
                <w:szCs w:val="15"/>
                <w:color w:val="auto"/>
              </w:rPr>
              <w:t>503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color w:val="auto"/>
              </w:rPr>
              <w:t>2,246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ind w:right="24"/>
              <w:spacing w:after="0"/>
              <w:rPr>
                <w:sz w:val="20"/>
                <w:szCs w:val="20"/>
                <w:color w:val="auto"/>
              </w:rPr>
            </w:pPr>
            <w:r>
              <w:rPr>
                <w:rFonts w:ascii="Arial" w:cs="Arial" w:eastAsia="Arial" w:hAnsi="Arial"/>
                <w:sz w:val="15"/>
                <w:szCs w:val="15"/>
                <w:color w:val="auto"/>
              </w:rPr>
              <w:t>1,597</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Share-based compensation</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280"/>
              <w:spacing w:after="0"/>
              <w:rPr>
                <w:sz w:val="20"/>
                <w:szCs w:val="20"/>
                <w:color w:val="auto"/>
              </w:rPr>
            </w:pPr>
            <w:r>
              <w:rPr>
                <w:rFonts w:ascii="Arial" w:cs="Arial" w:eastAsia="Arial" w:hAnsi="Arial"/>
                <w:sz w:val="15"/>
                <w:szCs w:val="15"/>
                <w:color w:val="auto"/>
              </w:rPr>
              <w:t>Other, net</w:t>
            </w:r>
          </w:p>
        </w:tc>
        <w:tc>
          <w:tcPr>
            <w:tcW w:w="360" w:type="dxa"/>
            <w:vAlign w:val="bottom"/>
          </w:tcPr>
          <w:p>
            <w:pPr>
              <w:spacing w:after="0"/>
              <w:rPr>
                <w:sz w:val="18"/>
                <w:szCs w:val="18"/>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5"/>
                <w:szCs w:val="15"/>
                <w:b w:val="1"/>
                <w:bCs w:val="1"/>
                <w:color w:val="auto"/>
              </w:rPr>
              <w:t>Changes in operating assets and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380"/>
              <w:spacing w:after="0"/>
              <w:rPr>
                <w:sz w:val="20"/>
                <w:szCs w:val="20"/>
                <w:color w:val="auto"/>
              </w:rPr>
            </w:pPr>
            <w:r>
              <w:rPr>
                <w:rFonts w:ascii="Arial" w:cs="Arial" w:eastAsia="Arial" w:hAnsi="Arial"/>
                <w:sz w:val="15"/>
                <w:szCs w:val="15"/>
                <w:color w:val="auto"/>
              </w:rPr>
              <w:t>Decrease (increase) in accounts receivable</w:t>
            </w:r>
          </w:p>
        </w:tc>
        <w:tc>
          <w:tcPr>
            <w:tcW w:w="360" w:type="dxa"/>
            <w:vAlign w:val="bottom"/>
          </w:tcPr>
          <w:p>
            <w:pPr>
              <w:spacing w:after="0"/>
              <w:rPr>
                <w:sz w:val="18"/>
                <w:szCs w:val="18"/>
                <w:color w:val="auto"/>
              </w:rPr>
            </w:pPr>
          </w:p>
        </w:tc>
        <w:tc>
          <w:tcPr>
            <w:tcW w:w="1160" w:type="dxa"/>
            <w:vAlign w:val="bottom"/>
            <w:vMerge w:val="restart"/>
          </w:tcPr>
          <w:p>
            <w:pPr>
              <w:jc w:val="right"/>
              <w:ind w:right="44"/>
              <w:spacing w:after="0"/>
              <w:rPr>
                <w:sz w:val="20"/>
                <w:szCs w:val="20"/>
                <w:color w:val="auto"/>
              </w:rPr>
            </w:pPr>
            <w:r>
              <w:rPr>
                <w:rFonts w:ascii="Arial" w:cs="Arial" w:eastAsia="Arial" w:hAnsi="Arial"/>
                <w:sz w:val="15"/>
                <w:szCs w:val="15"/>
                <w:color w:val="auto"/>
              </w:rPr>
              <w:t>232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Increase in other assets</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380"/>
              <w:spacing w:after="0"/>
              <w:rPr>
                <w:sz w:val="20"/>
                <w:szCs w:val="20"/>
                <w:color w:val="auto"/>
              </w:rPr>
            </w:pPr>
            <w:r>
              <w:rPr>
                <w:rFonts w:ascii="Arial" w:cs="Arial" w:eastAsia="Arial" w:hAnsi="Arial"/>
                <w:sz w:val="15"/>
                <w:szCs w:val="15"/>
                <w:color w:val="auto"/>
              </w:rPr>
              <w:t>Increase (decrease) in accounts payable and accrued liabilities</w:t>
            </w:r>
          </w:p>
        </w:tc>
        <w:tc>
          <w:tcPr>
            <w:tcW w:w="360" w:type="dxa"/>
            <w:vAlign w:val="bottom"/>
          </w:tcPr>
          <w:p>
            <w:pPr>
              <w:spacing w:after="0"/>
              <w:rPr>
                <w:sz w:val="18"/>
                <w:szCs w:val="18"/>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color w:val="auto"/>
              </w:rPr>
              <w:t>266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ind w:right="24"/>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Increase in air traffic liability</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380"/>
              <w:spacing w:after="0"/>
              <w:rPr>
                <w:sz w:val="20"/>
                <w:szCs w:val="20"/>
                <w:color w:val="auto"/>
              </w:rPr>
            </w:pPr>
            <w:r>
              <w:rPr>
                <w:rFonts w:ascii="Arial" w:cs="Arial" w:eastAsia="Arial" w:hAnsi="Arial"/>
                <w:sz w:val="15"/>
                <w:szCs w:val="15"/>
                <w:color w:val="auto"/>
              </w:rPr>
              <w:t>Increase in receivables from related parties, net</w:t>
            </w:r>
          </w:p>
        </w:tc>
        <w:tc>
          <w:tcPr>
            <w:tcW w:w="360" w:type="dxa"/>
            <w:vAlign w:val="bottom"/>
          </w:tcPr>
          <w:p>
            <w:pPr>
              <w:spacing w:after="0"/>
              <w:rPr>
                <w:sz w:val="18"/>
                <w:szCs w:val="18"/>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(1,849)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(1,994)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(4,862)</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Increase (decrease) in loyalty program liability</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417</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380"/>
              <w:spacing w:after="0"/>
              <w:rPr>
                <w:sz w:val="20"/>
                <w:szCs w:val="20"/>
                <w:color w:val="auto"/>
              </w:rPr>
            </w:pPr>
            <w:r>
              <w:rPr>
                <w:rFonts w:ascii="Arial" w:cs="Arial" w:eastAsia="Arial" w:hAnsi="Arial"/>
                <w:sz w:val="15"/>
                <w:szCs w:val="15"/>
                <w:color w:val="auto"/>
              </w:rPr>
              <w:t>Contributions to pension plans</w:t>
            </w:r>
          </w:p>
        </w:tc>
        <w:tc>
          <w:tcPr>
            <w:tcW w:w="360" w:type="dxa"/>
            <w:vAlign w:val="bottom"/>
          </w:tcPr>
          <w:p>
            <w:pPr>
              <w:spacing w:after="0"/>
              <w:rPr>
                <w:sz w:val="18"/>
                <w:szCs w:val="18"/>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(472)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(286)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Increase (decrease) in other liabilities</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740" w:type="dxa"/>
            <w:vAlign w:val="bottom"/>
            <w:gridSpan w:val="2"/>
          </w:tcPr>
          <w:p>
            <w:pPr>
              <w:ind w:left="50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tcPr>
          <w:p>
            <w:pPr>
              <w:spacing w:after="0"/>
              <w:rPr>
                <w:sz w:val="16"/>
                <w:szCs w:val="16"/>
                <w:color w:val="auto"/>
              </w:rPr>
            </w:pPr>
          </w:p>
        </w:tc>
        <w:tc>
          <w:tcPr>
            <w:tcW w:w="1160" w:type="dxa"/>
            <w:vAlign w:val="bottom"/>
            <w:vMerge w:val="restart"/>
          </w:tcPr>
          <w:p>
            <w:pPr>
              <w:jc w:val="right"/>
              <w:ind w:right="44"/>
              <w:spacing w:after="0"/>
              <w:rPr>
                <w:sz w:val="20"/>
                <w:szCs w:val="20"/>
                <w:color w:val="auto"/>
              </w:rPr>
            </w:pPr>
            <w:r>
              <w:rPr>
                <w:rFonts w:ascii="Arial" w:cs="Arial" w:eastAsia="Arial" w:hAnsi="Arial"/>
                <w:sz w:val="15"/>
                <w:szCs w:val="15"/>
                <w:color w:val="auto"/>
              </w:rPr>
              <w:t>1,943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color w:val="auto"/>
              </w:rPr>
              <w:t>2,870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24"/>
              <w:spacing w:after="0"/>
              <w:rPr>
                <w:sz w:val="20"/>
                <w:szCs w:val="20"/>
                <w:color w:val="auto"/>
              </w:rPr>
            </w:pPr>
            <w:r>
              <w:rPr>
                <w:rFonts w:ascii="Arial" w:cs="Arial" w:eastAsia="Arial" w:hAnsi="Arial"/>
                <w:sz w:val="15"/>
                <w:szCs w:val="15"/>
                <w:color w:val="auto"/>
              </w:rPr>
              <w:t>1,750</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280"/>
              <w:spacing w:after="0"/>
              <w:rPr>
                <w:sz w:val="20"/>
                <w:szCs w:val="20"/>
                <w:color w:val="auto"/>
              </w:rPr>
            </w:pPr>
            <w:r>
              <w:rPr>
                <w:rFonts w:ascii="Arial" w:cs="Arial" w:eastAsia="Arial" w:hAnsi="Arial"/>
                <w:sz w:val="15"/>
                <w:szCs w:val="15"/>
                <w:color w:val="auto"/>
              </w:rPr>
              <w:t>Capital expenditures and aircraft purchase deposits</w:t>
            </w:r>
          </w:p>
        </w:tc>
        <w:tc>
          <w:tcPr>
            <w:tcW w:w="360" w:type="dxa"/>
            <w:vAlign w:val="bottom"/>
          </w:tcPr>
          <w:p>
            <w:pPr>
              <w:spacing w:after="0"/>
              <w:rPr>
                <w:sz w:val="18"/>
                <w:szCs w:val="18"/>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(3,677)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(5,881)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(5,657)</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Proceeds from sale of property and equipment and sale-leaseback transactions</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1,202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922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280"/>
              <w:spacing w:after="0"/>
              <w:rPr>
                <w:sz w:val="20"/>
                <w:szCs w:val="20"/>
                <w:color w:val="auto"/>
              </w:rPr>
            </w:pPr>
            <w:r>
              <w:rPr>
                <w:rFonts w:ascii="Arial" w:cs="Arial" w:eastAsia="Arial" w:hAnsi="Arial"/>
                <w:sz w:val="15"/>
                <w:szCs w:val="15"/>
                <w:color w:val="auto"/>
              </w:rPr>
              <w:t>Purchases of short-term investments</w:t>
            </w:r>
          </w:p>
        </w:tc>
        <w:tc>
          <w:tcPr>
            <w:tcW w:w="360" w:type="dxa"/>
            <w:vAlign w:val="bottom"/>
          </w:tcPr>
          <w:p>
            <w:pPr>
              <w:spacing w:after="0"/>
              <w:rPr>
                <w:sz w:val="18"/>
                <w:szCs w:val="18"/>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(3,412)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(4,633)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(6,241)</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Sales of short-term investments</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3,705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5,915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6,092</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280"/>
              <w:spacing w:after="0"/>
              <w:rPr>
                <w:sz w:val="20"/>
                <w:szCs w:val="20"/>
                <w:color w:val="auto"/>
              </w:rPr>
            </w:pPr>
            <w:r>
              <w:rPr>
                <w:rFonts w:ascii="Arial" w:cs="Arial" w:eastAsia="Arial" w:hAnsi="Arial"/>
                <w:sz w:val="15"/>
                <w:szCs w:val="15"/>
                <w:color w:val="auto"/>
              </w:rPr>
              <w:t>Proceeds from sale of investments</w:t>
            </w:r>
          </w:p>
        </w:tc>
        <w:tc>
          <w:tcPr>
            <w:tcW w:w="360" w:type="dxa"/>
            <w:vAlign w:val="bottom"/>
          </w:tcPr>
          <w:p>
            <w:pPr>
              <w:spacing w:after="0"/>
              <w:rPr>
                <w:sz w:val="18"/>
                <w:szCs w:val="18"/>
                <w:color w:val="auto"/>
              </w:rPr>
            </w:pPr>
          </w:p>
        </w:tc>
        <w:tc>
          <w:tcPr>
            <w:tcW w:w="1160" w:type="dxa"/>
            <w:vAlign w:val="bottom"/>
            <w:vMerge w:val="restart"/>
          </w:tcPr>
          <w:p>
            <w:pPr>
              <w:jc w:val="right"/>
              <w:ind w:right="44"/>
              <w:spacing w:after="0"/>
              <w:rPr>
                <w:sz w:val="20"/>
                <w:szCs w:val="20"/>
                <w:color w:val="auto"/>
              </w:rPr>
            </w:pPr>
            <w:r>
              <w:rPr>
                <w:rFonts w:ascii="Arial" w:cs="Arial" w:eastAsia="Arial" w:hAnsi="Arial"/>
                <w:sz w:val="15"/>
                <w:szCs w:val="15"/>
                <w:color w:val="auto"/>
              </w:rPr>
              <w:t>207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Decrease in restricted short-term investments</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280"/>
              <w:spacing w:after="0"/>
              <w:rPr>
                <w:sz w:val="20"/>
                <w:szCs w:val="20"/>
                <w:color w:val="auto"/>
              </w:rPr>
            </w:pPr>
            <w:r>
              <w:rPr>
                <w:rFonts w:ascii="Arial" w:cs="Arial" w:eastAsia="Arial" w:hAnsi="Arial"/>
                <w:sz w:val="15"/>
                <w:szCs w:val="15"/>
                <w:color w:val="auto"/>
              </w:rPr>
              <w:t>Purchase of equity investment</w:t>
            </w:r>
          </w:p>
        </w:tc>
        <w:tc>
          <w:tcPr>
            <w:tcW w:w="360" w:type="dxa"/>
            <w:vAlign w:val="bottom"/>
          </w:tcPr>
          <w:p>
            <w:pPr>
              <w:spacing w:after="0"/>
              <w:rPr>
                <w:sz w:val="18"/>
                <w:szCs w:val="18"/>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(203)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Other investing activities</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740" w:type="dxa"/>
            <w:vAlign w:val="bottom"/>
            <w:gridSpan w:val="2"/>
          </w:tcPr>
          <w:p>
            <w:pPr>
              <w:ind w:left="500"/>
              <w:spacing w:after="0"/>
              <w:rPr>
                <w:sz w:val="20"/>
                <w:szCs w:val="20"/>
                <w:color w:val="auto"/>
              </w:rPr>
            </w:pPr>
            <w:r>
              <w:rPr>
                <w:rFonts w:ascii="Arial" w:cs="Arial" w:eastAsia="Arial" w:hAnsi="Arial"/>
                <w:sz w:val="15"/>
                <w:szCs w:val="15"/>
                <w:color w:val="auto"/>
              </w:rPr>
              <w:t>Net cash used in investing activities</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(1,910)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(3,571)</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(5,638)</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280"/>
              <w:spacing w:after="0"/>
              <w:rPr>
                <w:sz w:val="20"/>
                <w:szCs w:val="20"/>
                <w:color w:val="auto"/>
              </w:rPr>
            </w:pPr>
            <w:r>
              <w:rPr>
                <w:rFonts w:ascii="Arial" w:cs="Arial" w:eastAsia="Arial" w:hAnsi="Arial"/>
                <w:sz w:val="15"/>
                <w:szCs w:val="15"/>
                <w:color w:val="auto"/>
              </w:rPr>
              <w:t>Proceeds from issuance of long-term debt</w:t>
            </w:r>
          </w:p>
        </w:tc>
        <w:tc>
          <w:tcPr>
            <w:tcW w:w="360" w:type="dxa"/>
            <w:vAlign w:val="bottom"/>
          </w:tcPr>
          <w:p>
            <w:pPr>
              <w:spacing w:after="0"/>
              <w:rPr>
                <w:sz w:val="18"/>
                <w:szCs w:val="18"/>
                <w:color w:val="auto"/>
              </w:rPr>
            </w:pPr>
          </w:p>
        </w:tc>
        <w:tc>
          <w:tcPr>
            <w:tcW w:w="1160" w:type="dxa"/>
            <w:vAlign w:val="bottom"/>
            <w:vMerge w:val="restart"/>
          </w:tcPr>
          <w:p>
            <w:pPr>
              <w:jc w:val="right"/>
              <w:ind w:right="44"/>
              <w:spacing w:after="0"/>
              <w:rPr>
                <w:sz w:val="20"/>
                <w:szCs w:val="20"/>
                <w:color w:val="auto"/>
              </w:rPr>
            </w:pPr>
            <w:r>
              <w:rPr>
                <w:rFonts w:ascii="Arial" w:cs="Arial" w:eastAsia="Arial" w:hAnsi="Arial"/>
                <w:sz w:val="15"/>
                <w:szCs w:val="15"/>
                <w:color w:val="auto"/>
              </w:rPr>
              <w:t>2,354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color w:val="auto"/>
              </w:rPr>
              <w:t>3,058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ind w:right="24"/>
              <w:spacing w:after="0"/>
              <w:rPr>
                <w:sz w:val="20"/>
                <w:szCs w:val="20"/>
                <w:color w:val="auto"/>
              </w:rPr>
            </w:pPr>
            <w:r>
              <w:rPr>
                <w:rFonts w:ascii="Arial" w:cs="Arial" w:eastAsia="Arial" w:hAnsi="Arial"/>
                <w:sz w:val="15"/>
                <w:szCs w:val="15"/>
                <w:color w:val="auto"/>
              </w:rPr>
              <w:t>7,701</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Payments on long-term debt and finance leases</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(2,442)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(3,827)</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280"/>
              <w:spacing w:after="0"/>
              <w:rPr>
                <w:sz w:val="20"/>
                <w:szCs w:val="20"/>
                <w:color w:val="auto"/>
              </w:rPr>
            </w:pPr>
            <w:r>
              <w:rPr>
                <w:rFonts w:ascii="Arial" w:cs="Arial" w:eastAsia="Arial" w:hAnsi="Arial"/>
                <w:sz w:val="15"/>
                <w:szCs w:val="15"/>
                <w:color w:val="auto"/>
              </w:rPr>
              <w:t>Deferred financing costs</w:t>
            </w:r>
          </w:p>
        </w:tc>
        <w:tc>
          <w:tcPr>
            <w:tcW w:w="360" w:type="dxa"/>
            <w:vAlign w:val="bottom"/>
          </w:tcPr>
          <w:p>
            <w:pPr>
              <w:spacing w:after="0"/>
              <w:rPr>
                <w:sz w:val="18"/>
                <w:szCs w:val="18"/>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Other financing activities</w:t>
            </w:r>
          </w:p>
        </w:tc>
        <w:tc>
          <w:tcPr>
            <w:tcW w:w="36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740" w:type="dxa"/>
            <w:vAlign w:val="bottom"/>
            <w:gridSpan w:val="2"/>
          </w:tcPr>
          <w:p>
            <w:pPr>
              <w:ind w:left="500"/>
              <w:spacing w:after="0"/>
              <w:rPr>
                <w:sz w:val="20"/>
                <w:szCs w:val="20"/>
                <w:color w:val="auto"/>
              </w:rPr>
            </w:pPr>
            <w:r>
              <w:rPr>
                <w:rFonts w:ascii="Arial" w:cs="Arial" w:eastAsia="Arial" w:hAnsi="Arial"/>
                <w:sz w:val="15"/>
                <w:szCs w:val="15"/>
                <w:color w:val="auto"/>
              </w:rPr>
              <w:t>Net cash provided by (used in) financing activities</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668</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3,830</w:t>
            </w:r>
          </w:p>
        </w:tc>
        <w:tc>
          <w:tcPr>
            <w:tcW w:w="0" w:type="dxa"/>
            <w:vAlign w:val="bottom"/>
          </w:tcPr>
          <w:p>
            <w:pPr>
              <w:spacing w:after="0"/>
              <w:rPr>
                <w:sz w:val="1"/>
                <w:szCs w:val="1"/>
                <w:color w:val="auto"/>
              </w:rPr>
            </w:pPr>
          </w:p>
        </w:tc>
      </w:tr>
      <w:tr>
        <w:trPr>
          <w:trHeight w:val="58"/>
        </w:trPr>
        <w:tc>
          <w:tcPr>
            <w:tcW w:w="2120" w:type="dxa"/>
            <w:vAlign w:val="bottom"/>
            <w:tcBorders>
              <w:bottom w:val="single" w:sz="8" w:color="CCEEFF"/>
            </w:tcBorders>
          </w:tcPr>
          <w:p>
            <w:pPr>
              <w:spacing w:after="0"/>
              <w:rPr>
                <w:sz w:val="5"/>
                <w:szCs w:val="5"/>
                <w:color w:val="auto"/>
              </w:rPr>
            </w:pPr>
          </w:p>
        </w:tc>
        <w:tc>
          <w:tcPr>
            <w:tcW w:w="46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decrease in cash and restricted cash</w:t>
            </w:r>
          </w:p>
        </w:tc>
        <w:tc>
          <w:tcPr>
            <w:tcW w:w="3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40"/>
              <w:spacing w:after="0"/>
              <w:rPr>
                <w:sz w:val="20"/>
                <w:szCs w:val="20"/>
                <w:color w:val="auto"/>
              </w:rPr>
            </w:pPr>
            <w:r>
              <w:rPr>
                <w:rFonts w:ascii="Arial" w:cs="Arial" w:eastAsia="Arial" w:hAnsi="Arial"/>
                <w:sz w:val="15"/>
                <w:szCs w:val="15"/>
                <w:color w:val="auto"/>
              </w:rPr>
              <w:t>Cash and restricted cash at beginning of year</w:t>
            </w:r>
          </w:p>
        </w:tc>
        <w:tc>
          <w:tcPr>
            <w:tcW w:w="360" w:type="dxa"/>
            <w:vAlign w:val="bottom"/>
          </w:tcPr>
          <w:p>
            <w:pPr>
              <w:spacing w:after="0"/>
              <w:rPr>
                <w:sz w:val="18"/>
                <w:szCs w:val="18"/>
                <w:color w:val="auto"/>
              </w:rPr>
            </w:pPr>
          </w:p>
        </w:tc>
        <w:tc>
          <w:tcPr>
            <w:tcW w:w="1160" w:type="dxa"/>
            <w:vAlign w:val="bottom"/>
            <w:vMerge w:val="restart"/>
          </w:tcPr>
          <w:p>
            <w:pPr>
              <w:jc w:val="right"/>
              <w:ind w:right="44"/>
              <w:spacing w:after="0"/>
              <w:rPr>
                <w:sz w:val="20"/>
                <w:szCs w:val="20"/>
                <w:color w:val="auto"/>
              </w:rPr>
            </w:pPr>
            <w:r>
              <w:rPr>
                <w:rFonts w:ascii="Arial" w:cs="Arial" w:eastAsia="Arial" w:hAnsi="Arial"/>
                <w:sz w:val="15"/>
                <w:szCs w:val="15"/>
                <w:color w:val="auto"/>
              </w:rPr>
              <w:t>390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color w:val="auto"/>
              </w:rPr>
              <w:t>423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ind w:right="24"/>
              <w:spacing w:after="0"/>
              <w:rPr>
                <w:sz w:val="20"/>
                <w:szCs w:val="20"/>
                <w:color w:val="auto"/>
              </w:rPr>
            </w:pPr>
            <w:r>
              <w:rPr>
                <w:rFonts w:ascii="Arial" w:cs="Arial" w:eastAsia="Arial" w:hAnsi="Arial"/>
                <w:sz w:val="15"/>
                <w:szCs w:val="15"/>
                <w:color w:val="auto"/>
              </w:rPr>
              <w:t>481</w:t>
            </w:r>
          </w:p>
        </w:tc>
        <w:tc>
          <w:tcPr>
            <w:tcW w:w="0" w:type="dxa"/>
            <w:vAlign w:val="bottom"/>
          </w:tcPr>
          <w:p>
            <w:pPr>
              <w:spacing w:after="0"/>
              <w:rPr>
                <w:sz w:val="1"/>
                <w:szCs w:val="1"/>
                <w:color w:val="auto"/>
              </w:rPr>
            </w:pPr>
          </w:p>
        </w:tc>
      </w:tr>
      <w:tr>
        <w:trPr>
          <w:trHeight w:val="58"/>
        </w:trPr>
        <w:tc>
          <w:tcPr>
            <w:tcW w:w="2120" w:type="dxa"/>
            <w:vAlign w:val="bottom"/>
            <w:tcBorders>
              <w:bottom w:val="single" w:sz="8" w:color="CCEEFF"/>
            </w:tcBorders>
          </w:tcPr>
          <w:p>
            <w:pPr>
              <w:spacing w:after="0"/>
              <w:rPr>
                <w:sz w:val="5"/>
                <w:szCs w:val="5"/>
                <w:color w:val="auto"/>
              </w:rPr>
            </w:pPr>
          </w:p>
        </w:tc>
        <w:tc>
          <w:tcPr>
            <w:tcW w:w="46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 xml:space="preserve">Cash and restricted cash at end of year </w:t>
            </w:r>
            <w:r>
              <w:rPr>
                <w:rFonts w:ascii="Arial" w:cs="Arial" w:eastAsia="Arial" w:hAnsi="Arial"/>
                <w:sz w:val="12"/>
                <w:szCs w:val="12"/>
                <w:color w:val="auto"/>
              </w:rPr>
              <w:t>(a)</w:t>
            </w:r>
          </w:p>
        </w:tc>
        <w:tc>
          <w:tcPr>
            <w:tcW w:w="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423</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120" w:type="dxa"/>
            <w:vAlign w:val="bottom"/>
            <w:tcBorders>
              <w:bottom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21"/>
          <w:szCs w:val="21"/>
          <w:color w:val="auto"/>
          <w:vertAlign w:val="superscript"/>
        </w:rPr>
      </w:pPr>
      <w:r>
        <w:rPr>
          <w:rFonts w:ascii="Arial" w:cs="Arial" w:eastAsia="Arial" w:hAnsi="Arial"/>
          <w:sz w:val="15"/>
          <w:szCs w:val="15"/>
          <w:color w:val="auto"/>
        </w:rPr>
        <w:t>The following table provides a reconciliation of cash and restricted cash to amounts reported within the consolidated balance sheets: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w:t>
            </w:r>
          </w:p>
        </w:tc>
        <w:tc>
          <w:tcPr>
            <w:tcW w:w="64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265</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287</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310</w:t>
            </w:r>
          </w:p>
        </w:tc>
      </w:tr>
      <w:tr>
        <w:trPr>
          <w:trHeight w:val="26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Restricted cash included in restricted cash and short-term investments</w:t>
            </w:r>
          </w:p>
        </w:tc>
        <w:tc>
          <w:tcPr>
            <w:tcW w:w="6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103</w:t>
            </w: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113</w:t>
            </w:r>
          </w:p>
        </w:tc>
      </w:tr>
      <w:tr>
        <w:trPr>
          <w:trHeight w:val="241"/>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cash and restricted cash</w:t>
            </w:r>
          </w:p>
        </w:tc>
        <w:tc>
          <w:tcPr>
            <w:tcW w:w="64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423</w:t>
            </w:r>
          </w:p>
        </w:tc>
      </w:tr>
      <w:tr>
        <w:trPr>
          <w:trHeight w:val="20"/>
        </w:trPr>
        <w:tc>
          <w:tcPr>
            <w:tcW w:w="6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76" w:right="239" w:bottom="100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420"/>
          </w:cols>
          <w:pgMar w:left="240" w:top="576" w:right="239" w:bottom="1003"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55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25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9,698</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2,689</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3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 Accounting Standards Update (ASU) 2016-09</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share-based compensation</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Impact of adoption of ASU 2014-09 related to revenue recognition</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5580" w:type="dxa"/>
            <w:vAlign w:val="bottom"/>
          </w:tcPr>
          <w:p>
            <w:pPr>
              <w:ind w:left="200"/>
              <w:spacing w:after="0"/>
              <w:rPr>
                <w:sz w:val="20"/>
                <w:szCs w:val="20"/>
                <w:color w:val="auto"/>
              </w:rPr>
            </w:pPr>
            <w:r>
              <w:rPr>
                <w:rFonts w:ascii="Arial" w:cs="Arial" w:eastAsia="Arial" w:hAnsi="Arial"/>
                <w:sz w:val="18"/>
                <w:szCs w:val="18"/>
                <w:color w:val="auto"/>
              </w:rPr>
              <w:t>(See Note 1(b))</w:t>
            </w:r>
          </w:p>
        </w:tc>
        <w:tc>
          <w:tcPr>
            <w:tcW w:w="120" w:type="dxa"/>
            <w:vAlign w:val="bottom"/>
          </w:tcPr>
          <w:p>
            <w:pPr>
              <w:spacing w:after="0"/>
              <w:rPr>
                <w:sz w:val="19"/>
                <w:szCs w:val="19"/>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(3,977)</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Intercompany equity transfer</w:t>
            </w:r>
          </w:p>
        </w:tc>
        <w:tc>
          <w:tcPr>
            <w:tcW w:w="1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16,624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8,580</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1,285</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Intercompany equity transfer</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9,888</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1,658</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3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 ASU 2016-01 related to financial instruments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 1(b))</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Impact of adoption of ASU 2016-02 related to leases (See Note 1(b))</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197</w:t>
            </w: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11,770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576" w:right="239" w:bottom="1440" w:gutter="0" w:footer="0" w:header="0"/>
        </w:sectPr>
      </w:pPr>
    </w:p>
    <w:bookmarkStart w:id="134" w:name="page135"/>
    <w:bookmarkEnd w:id="134"/>
    <w:p>
      <w:pPr>
        <w:ind w:left="206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Airlines, Inc. (American) is a Delaware corporation whose primary business activity is the operation of a major network air carrier. American is the principal wholly-owned subsidiary of American Airlines Group Inc. (AAG), which owns all of American’s outstanding common stock, par value $1.00 per share. 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All significant intercompany transactions have been eliminated.</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211" w:lineRule="exact"/>
        <w:rPr>
          <w:sz w:val="20"/>
          <w:szCs w:val="20"/>
          <w:color w:val="auto"/>
        </w:rPr>
      </w:pPr>
    </w:p>
    <w:p>
      <w:pPr>
        <w:ind w:left="220" w:right="7760" w:firstLine="4"/>
        <w:spacing w:after="0" w:line="378" w:lineRule="auto"/>
        <w:tabs>
          <w:tab w:leader="none" w:pos="500" w:val="left"/>
        </w:tabs>
        <w:numPr>
          <w:ilvl w:val="0"/>
          <w:numId w:val="5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i w:val="1"/>
          <w:iCs w:val="1"/>
          <w:u w:val="single" w:color="auto"/>
          <w:color w:val="auto"/>
        </w:rPr>
        <w:t>Standards Adopted in 2018</w:t>
      </w:r>
    </w:p>
    <w:p>
      <w:pPr>
        <w:ind w:left="220"/>
        <w:spacing w:after="0"/>
        <w:rPr>
          <w:rFonts w:ascii="Arial" w:cs="Arial" w:eastAsia="Arial" w:hAnsi="Arial"/>
          <w:sz w:val="17"/>
          <w:szCs w:val="17"/>
          <w:b w:val="1"/>
          <w:bCs w:val="1"/>
          <w:i w:val="1"/>
          <w:iCs w:val="1"/>
          <w:color w:val="auto"/>
        </w:rPr>
      </w:pPr>
      <w:r>
        <w:rPr>
          <w:rFonts w:ascii="Arial" w:cs="Arial" w:eastAsia="Arial" w:hAnsi="Arial"/>
          <w:sz w:val="18"/>
          <w:szCs w:val="18"/>
          <w:color w:val="auto"/>
        </w:rPr>
        <w:t>Effective January 1, 2018, American adopted the accounting pronouncements described below.</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2014-09: Revenue from Contracts with Customers (Topic 606) (the New Revenue Standard)</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New Revenue Standard applies to all companies that enter into contracts with customers to transfer goods or services. American adopted the New Revenue Standard using the full retrospective method, which resulted in the recast of prior reporting periods.</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adoption of the New Revenue Standard impacted American’s accounting for outstanding mileage credits earned through travel by AAdvantage loyalty program members. There was no change in accounting for sales of mileage credits to co-branded credit card or other partners. Prior to the adoption of the New Revenue Standard, American used the incremental cost method to account for the portion of its loyalty program liability related to mileage credits earned through travel, which were valued based on the estimated incremental cost of carrying one additional passenger. The New Revenue Standard required American to change its policy to the deferred revenue method and apply a relative selling price approach whereby a portion of each passenger ticket sale attributable to mileage credits earned is deferred and recognized in passenger revenue upon future mileage redemption. The value of the earned mileage credits is materially greater under the deferred revenue method than the value attributed to these mileage credits under the incremental cost method.</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New Revenue Standard also required certain reclassifications, principally the reclassification of certain ancillary revenues previously classified and reported as other revenue to passenger revenue and as applicable to cargo revenue. Additionally, the New Revenue Standard required a gross presentation on the face of American’s consolidated statements of operations for certain revenues and expenses that had previously been presented on a net basis.</w:t>
      </w:r>
    </w:p>
    <w:p>
      <w:pPr>
        <w:spacing w:after="0" w:line="132"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“Impacts to 2017 Results”</w:t>
      </w:r>
      <w:r>
        <w:rPr>
          <w:rFonts w:ascii="Arial" w:cs="Arial" w:eastAsia="Arial" w:hAnsi="Arial"/>
          <w:sz w:val="18"/>
          <w:szCs w:val="18"/>
          <w:color w:val="auto"/>
        </w:rPr>
        <w:t xml:space="preserve"> and </w:t>
      </w:r>
      <w:r>
        <w:rPr>
          <w:rFonts w:ascii="Arial" w:cs="Arial" w:eastAsia="Arial" w:hAnsi="Arial"/>
          <w:sz w:val="18"/>
          <w:szCs w:val="18"/>
          <w:i w:val="1"/>
          <w:iCs w:val="1"/>
          <w:color w:val="auto"/>
        </w:rPr>
        <w:t>“Impacts to 2016 Results”</w:t>
      </w:r>
      <w:r>
        <w:rPr>
          <w:rFonts w:ascii="Arial" w:cs="Arial" w:eastAsia="Arial" w:hAnsi="Arial"/>
          <w:sz w:val="18"/>
          <w:szCs w:val="18"/>
          <w:color w:val="auto"/>
        </w:rPr>
        <w:t xml:space="preserve"> below for the impact to American’s consolidated statements of operations data for 2017 and 2016, respectively, and American’s consolidated balance sheet as of December 31, 2017 related to the adoption of the New Revenue Standard.</w:t>
      </w:r>
    </w:p>
    <w:p>
      <w:pPr>
        <w:spacing w:after="0" w:line="199"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ASU 2017-07: Compensation - Retirement Benefits (Topic 715): Improving the Presentation of Net Periodic Pension Cost and Net Periodic Postretirement Benefit Cost (the New Retirement Standard)</w:t>
      </w:r>
    </w:p>
    <w:p>
      <w:pPr>
        <w:spacing w:after="0" w:line="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New Retirement Standard required all components of American’s net periodic benefit cost (income), with the exception of service cost, previously reported within operating expenses as salaries, wages and benefits, to be reclassified and reported within nonoperating income (expense). The New Retirement Standard was applied retrospectively, which resulted in the recast of each prior reporting period presented. The adoption of the New Retirement Standard had no impact on pre-tax income or net income reported.</w:t>
      </w:r>
    </w:p>
    <w:p>
      <w:pPr>
        <w:spacing w:after="0" w:line="51"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Impacts to 2017 Results</w:t>
      </w:r>
      <w:r>
        <w:rPr>
          <w:rFonts w:ascii="Arial" w:cs="Arial" w:eastAsia="Arial" w:hAnsi="Arial"/>
          <w:sz w:val="18"/>
          <w:szCs w:val="18"/>
          <w:color w:val="auto"/>
        </w:rPr>
        <w:t>” and “</w:t>
      </w:r>
      <w:r>
        <w:rPr>
          <w:rFonts w:ascii="Arial" w:cs="Arial" w:eastAsia="Arial" w:hAnsi="Arial"/>
          <w:sz w:val="18"/>
          <w:szCs w:val="18"/>
          <w:i w:val="1"/>
          <w:iCs w:val="1"/>
          <w:color w:val="auto"/>
        </w:rPr>
        <w:t>Impacts to 2016 Results</w:t>
      </w:r>
      <w:r>
        <w:rPr>
          <w:rFonts w:ascii="Arial" w:cs="Arial" w:eastAsia="Arial" w:hAnsi="Arial"/>
          <w:sz w:val="18"/>
          <w:szCs w:val="18"/>
          <w:color w:val="auto"/>
        </w:rPr>
        <w:t>” below for the impact to American’s consolidated statements of operations data for 2017 and 2016, respectively, related to the adoption of the New Retirement Standard.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576"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2016-02: Leases (Topic 842) (the New Lease Standard)</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New Lease Standard requires lessees to recognize a lease liability and a right-of-use (ROU) asset on the balance sheet for operating leases. Accounting for finance leases is substantially unchanged. The New Lease Standard is effective for fiscal years beginning after December 15, 2018, including interim periods within those fiscal years. Early adoption is permitted.</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fourth quarter of 2018, American elected to early adopt the New Lease Standard as of January 1, 2018 using a modified retrospective transition, with the cumulative-effect adjustment to the opening balance of retained earnings as of the effective date (the effective date method). Under the effective date method, financial results reported in periods prior to 2018 are unchanged. American also elected the package of practical expedients, which among other things, does not require reassessment of lease classification.</w:t>
      </w:r>
    </w:p>
    <w:p>
      <w:pPr>
        <w:spacing w:after="0" w:line="15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adoption of the New Lease Standard had a significant impact on American’s consolidated balance sheet due to the recognition of approximately $10 billion of lease liabilities with corresponding right-of-use assets for operating leases.</w:t>
      </w:r>
    </w:p>
    <w:p>
      <w:pPr>
        <w:spacing w:after="0" w:line="14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Additionally, American recognized a $197 million cumulative effect adjustment credit, net of tax, to retained earnings. The adjustment to retained earnings was driven principally by sale-leaseback transactions including the recognition of unamortized deferred aircraft sale-leaseback gains. Prior to the adoption of the New Lease Standard, gains on sale-leaseback transactions were generally deferred and recognized in the income statement over the lease term. Under the New Lease Standard, gains on sale-leaseback transactions (subject to adjustment for off-market terms) are recognized immediately.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2016-01: Financial Instruments - Overall (Subtopic 825-10)</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This ASU made several modifications to Subtopic 825-10, including the elimination of the available-for-sale classification of equity investments, and it required equity investments with readily determinable fair values to be measured at fair value with changes in fair value recognized in net income. This standard was adopted prospectively as of January 1, 2018 and resulted in a $60 million cumulative effect adjustment credit to retained earnings, net of tax, related to American's investment in China Southern Airlines Company Limited (China Southern Airlines), which was previously accounted for under the cost method.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2016-18: Statement of Cash Flows (Topic 230): Restricted Cash</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This ASU required that the change in the total cash balance, cash at the beginning of the period and cash at the end of the period on the statement of cash flows include restricted cash, and also required companies that report cash and restricted cash separately on the balance sheet to reconcile those amounts to the statement of cash flows. This standard was applied retrospectively, which resulted in the recast of prior reporting periods in the statement of cash flows. For the years ended December 31, 2018, 2017 and 2016, $11 million, $ 103 million and $113 million, respectively, of restricted cash is included in the total cash and restricted cash balance at the end of the period. A reconciliation of cash and restricted cash reported on American's consolidated statements of cash flows to the amounts reported on its consolidated balance sheets is provided in a table below the Consolidated Statements of Cash Flows.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549"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Impacts to 2017 Results</w:t>
      </w:r>
    </w:p>
    <w:p>
      <w:pPr>
        <w:spacing w:after="0" w:line="112"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The effects of the adoption of the New Revenue Standard and New Retirement Standard to American’s consolidated statement of operations for the twelve months ended December 31, 2017 were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New Retirement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New Revenue Standard</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Standard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Ancillary Revenue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Versus Net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 Method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Presentation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As Recast</w:t>
            </w:r>
          </w:p>
        </w:tc>
      </w:tr>
      <w:tr>
        <w:trPr>
          <w:trHeight w:val="25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63"/>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36,133</w:t>
            </w:r>
          </w:p>
        </w:tc>
        <w:tc>
          <w:tcPr>
            <w:tcW w:w="100" w:type="dxa"/>
            <w:vAlign w:val="bottom"/>
          </w:tcPr>
          <w:p>
            <w:pPr>
              <w:spacing w:after="0"/>
              <w:rPr>
                <w:sz w:val="22"/>
                <w:szCs w:val="22"/>
                <w:color w:val="auto"/>
              </w:rPr>
            </w:pPr>
          </w:p>
        </w:tc>
        <w:tc>
          <w:tcPr>
            <w:tcW w:w="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39,131</w:t>
            </w:r>
          </w:p>
        </w:tc>
      </w:tr>
      <w:tr>
        <w:trPr>
          <w:trHeight w:val="27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890</w:t>
            </w:r>
          </w:p>
        </w:tc>
      </w:tr>
      <w:tr>
        <w:trPr>
          <w:trHeight w:val="26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2,589</w:t>
            </w:r>
          </w:p>
        </w:tc>
      </w:tr>
      <w:tr>
        <w:trPr>
          <w:trHeight w:val="257"/>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42,195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42,610</w:t>
            </w:r>
          </w:p>
        </w:tc>
      </w:tr>
      <w:tr>
        <w:trPr>
          <w:trHeight w:val="264"/>
        </w:trPr>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38,163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38,405</w:t>
            </w: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4,032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4,205</w:t>
            </w:r>
          </w:p>
        </w:tc>
      </w:tr>
      <w:tr>
        <w:trPr>
          <w:trHeight w:val="229"/>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Total nonoperating expense,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3,555</w:t>
            </w:r>
          </w:p>
        </w:tc>
      </w:tr>
      <w:tr>
        <w:trPr>
          <w:trHeight w:val="270"/>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Income tax provision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2,270</w:t>
            </w:r>
          </w:p>
        </w:tc>
      </w:tr>
      <w:tr>
        <w:trPr>
          <w:trHeight w:val="244"/>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1,285</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jc w:val="both"/>
        <w:ind w:left="340" w:hanging="332"/>
        <w:spacing w:after="0" w:line="233" w:lineRule="auto"/>
        <w:tabs>
          <w:tab w:leader="none" w:pos="340" w:val="left"/>
        </w:tabs>
        <w:numPr>
          <w:ilvl w:val="0"/>
          <w:numId w:val="56"/>
        </w:numPr>
        <w:rPr>
          <w:rFonts w:ascii="Arial" w:cs="Arial" w:eastAsia="Arial" w:hAnsi="Arial"/>
          <w:sz w:val="22"/>
          <w:szCs w:val="22"/>
          <w:color w:val="auto"/>
          <w:vertAlign w:val="superscript"/>
        </w:rPr>
      </w:pPr>
      <w:r>
        <w:rPr>
          <w:rFonts w:ascii="Arial" w:cs="Arial" w:eastAsia="Arial" w:hAnsi="Arial"/>
          <w:sz w:val="18"/>
          <w:szCs w:val="18"/>
          <w:color w:val="auto"/>
        </w:rPr>
        <w:t>The adjustment to the 2017 income tax provision includes a $924 million special charge to reduce American’s deferred tax asset associated with loyalty program liabilities as a result of H.R. 1, the 2017 Tax Cuts and Jobs Act (the 2017 Tax Act), enacted in December 2017 that reduced the federal corporate income tax rate from 35% to 21%.</w:t>
      </w:r>
    </w:p>
    <w:p>
      <w:pPr>
        <w:spacing w:after="0" w:line="163"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effects of the adoption of the New Revenue Standard to American’s December 31, 2017 consolidated balance sheet were as follows (in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New Revenue Standard</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As Recast</w:t>
            </w:r>
          </w:p>
        </w:tc>
      </w:tr>
      <w:tr>
        <w:trPr>
          <w:trHeight w:val="256"/>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2,071</w:t>
            </w:r>
          </w:p>
        </w:tc>
      </w:tr>
      <w:tr>
        <w:trPr>
          <w:trHeight w:val="263"/>
        </w:trPr>
        <w:tc>
          <w:tcPr>
            <w:tcW w:w="4180" w:type="dxa"/>
            <w:vAlign w:val="bottom"/>
          </w:tcPr>
          <w:p>
            <w:pPr>
              <w:ind w:left="40"/>
              <w:spacing w:after="0"/>
              <w:rPr>
                <w:sz w:val="20"/>
                <w:szCs w:val="20"/>
                <w:color w:val="auto"/>
              </w:rPr>
            </w:pPr>
            <w:r>
              <w:rPr>
                <w:rFonts w:ascii="Arial" w:cs="Arial" w:eastAsia="Arial" w:hAnsi="Arial"/>
                <w:sz w:val="18"/>
                <w:szCs w:val="18"/>
                <w:color w:val="auto"/>
              </w:rPr>
              <w:t>Air traffic liability</w:t>
            </w:r>
          </w:p>
        </w:tc>
        <w:tc>
          <w:tcPr>
            <w:tcW w:w="1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4,042</w:t>
            </w:r>
          </w:p>
        </w:tc>
      </w:tr>
      <w:tr>
        <w:trPr>
          <w:trHeight w:val="277"/>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loyalty program liability</w:t>
            </w:r>
          </w:p>
        </w:tc>
        <w:tc>
          <w:tcPr>
            <w:tcW w:w="1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3,121</w:t>
            </w:r>
          </w:p>
        </w:tc>
      </w:tr>
      <w:tr>
        <w:trPr>
          <w:trHeight w:val="263"/>
        </w:trPr>
        <w:tc>
          <w:tcPr>
            <w:tcW w:w="4180" w:type="dxa"/>
            <w:vAlign w:val="bottom"/>
          </w:tcPr>
          <w:p>
            <w:pPr>
              <w:ind w:left="40"/>
              <w:spacing w:after="0"/>
              <w:rPr>
                <w:sz w:val="20"/>
                <w:szCs w:val="20"/>
                <w:color w:val="auto"/>
              </w:rPr>
            </w:pPr>
            <w:r>
              <w:rPr>
                <w:rFonts w:ascii="Arial" w:cs="Arial" w:eastAsia="Arial" w:hAnsi="Arial"/>
                <w:sz w:val="18"/>
                <w:szCs w:val="18"/>
                <w:color w:val="auto"/>
              </w:rPr>
              <w:t>Noncurrent loyalty program liability</w:t>
            </w:r>
          </w:p>
        </w:tc>
        <w:tc>
          <w:tcPr>
            <w:tcW w:w="1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5,701</w:t>
            </w:r>
          </w:p>
        </w:tc>
      </w:tr>
      <w:tr>
        <w:trPr>
          <w:trHeight w:val="277"/>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1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9,888</w:t>
            </w:r>
          </w:p>
        </w:tc>
      </w:tr>
      <w:tr>
        <w:trPr>
          <w:trHeight w:val="621"/>
        </w:trPr>
        <w:tc>
          <w:tcPr>
            <w:tcW w:w="4180" w:type="dxa"/>
            <w:vAlign w:val="bottom"/>
          </w:tcPr>
          <w:p>
            <w:pPr>
              <w:spacing w:after="0"/>
              <w:rPr>
                <w:sz w:val="24"/>
                <w:szCs w:val="24"/>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Impacts to 2016 Results</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effects of the adoption of the New Revenue Standard and New Retirement Standard to American’s consolidated statement of operations for the twelve months ended December 31, 2016 were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New Retirement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New Revenue Standard</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Standard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Ancillary Revenue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Versus Net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 Method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Presentation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As Recast</w:t>
            </w:r>
          </w:p>
        </w:tc>
      </w:tr>
      <w:tr>
        <w:trPr>
          <w:trHeight w:val="25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63"/>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34,579</w:t>
            </w:r>
          </w:p>
        </w:tc>
        <w:tc>
          <w:tcPr>
            <w:tcW w:w="100" w:type="dxa"/>
            <w:vAlign w:val="bottom"/>
          </w:tcPr>
          <w:p>
            <w:pPr>
              <w:spacing w:after="0"/>
              <w:rPr>
                <w:sz w:val="22"/>
                <w:szCs w:val="22"/>
                <w:color w:val="auto"/>
              </w:rPr>
            </w:pPr>
          </w:p>
        </w:tc>
        <w:tc>
          <w:tcPr>
            <w:tcW w:w="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37,045</w:t>
            </w:r>
          </w:p>
        </w:tc>
      </w:tr>
      <w:tr>
        <w:trPr>
          <w:trHeight w:val="27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785</w:t>
            </w:r>
          </w:p>
        </w:tc>
      </w:tr>
      <w:tr>
        <w:trPr>
          <w:trHeight w:val="26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4,884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2,295</w:t>
            </w:r>
          </w:p>
        </w:tc>
      </w:tr>
      <w:tr>
        <w:trPr>
          <w:trHeight w:val="257"/>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40,163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40,125</w:t>
            </w:r>
          </w:p>
        </w:tc>
      </w:tr>
      <w:tr>
        <w:trPr>
          <w:trHeight w:val="264"/>
        </w:trPr>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34,859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35,045</w:t>
            </w: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5,080</w:t>
            </w:r>
          </w:p>
        </w:tc>
      </w:tr>
      <w:tr>
        <w:trPr>
          <w:trHeight w:val="229"/>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Total nonoperating expense,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4,296</w:t>
            </w:r>
          </w:p>
        </w:tc>
      </w:tr>
      <w:tr>
        <w:trPr>
          <w:trHeight w:val="26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1,607</w:t>
            </w:r>
          </w:p>
        </w:tc>
      </w:tr>
      <w:tr>
        <w:trPr>
          <w:trHeight w:val="250"/>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2,689</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Standards Effective for 2019 Reporting Periods</w:t>
      </w:r>
    </w:p>
    <w:p>
      <w:pPr>
        <w:spacing w:after="0" w:line="86" w:lineRule="exact"/>
        <w:rPr>
          <w:sz w:val="20"/>
          <w:szCs w:val="20"/>
          <w:color w:val="auto"/>
        </w:rPr>
      </w:pPr>
    </w:p>
    <w:p>
      <w:pPr>
        <w:ind w:right="540" w:firstLine="216"/>
        <w:spacing w:after="0" w:line="28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This ASU provides financial statement preparers with an option to reclassify stranded tax effects within accumulated other comprehensive income to retained earnings due to the U.S. federal corporate income tax rate change as a result of the 2017 Tax Act. The amount of the reclassification is the difference between the amount initially charged or credited directly to other comprehensive income at the previously enacted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and early adoption is permitted. American will adopt this standard effective January 1, 2019. The adoption of the standard may impact tax amounts stranded in accumulated other comprehensive income related to American's pension and retiree medical and other postretirement benefit plans.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Short-term Investments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Short-term investments are classified as available-for-sale and stated at fair value. Realized gains and losses are recorded in nonoperating expense on American’s consolidated statements of operations. Unrealized gains and losses are recorded in accumulated other comprehensive loss on American’s consolidated balance sheets.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Restricted Cash and Short-term Investments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has restricted cash and short-term investments related primarily to collateral held to support workers’ compensation obligations.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Aircraft Fuel, Spare Parts and Supplies, Net</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Aircraft fuel is recorded on a first-in, first-out basis. Spare parts and supplies are recorded at average costs less an allowance for obsolescence. These items are expensed when used.</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 Operating Property and Equipment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Operating property and equipment is recorded at cost and depreciated or amortized to residual values over the asset’s estimated useful life or the lease term, whichever is less, using the straight-line method. Residual values for aircraft, engines and related rotable parts are generally 5% to 10% of original cost. Costs of major improvements that enhance the usefulness</w:t>
      </w:r>
    </w:p>
    <w:p>
      <w:pPr>
        <w:sectPr>
          <w:pgSz w:w="11900" w:h="16838" w:orient="portrait"/>
          <w:cols w:equalWidth="0" w:num="1">
            <w:col w:w="11420"/>
          </w:cols>
          <w:pgMar w:left="240" w:top="549"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20"/>
          </w:cols>
          <w:pgMar w:left="240" w:top="549" w:right="239" w:bottom="144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asset are capitalized and depreciated or amortized over the estimated useful life of the asset or the lease term, whichever is less. The estimated useful lives for the principal property and equipment classifications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1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1"/>
        </w:trPr>
        <w:tc>
          <w:tcPr>
            <w:tcW w:w="40" w:type="dxa"/>
            <w:vAlign w:val="bottom"/>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Aircraft, engines and related rotable parts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30 years</w:t>
            </w:r>
          </w:p>
        </w:tc>
      </w:tr>
      <w:tr>
        <w:trPr>
          <w:trHeight w:val="250"/>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Buildings and improvements</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30 years</w:t>
            </w:r>
          </w:p>
        </w:tc>
      </w:tr>
      <w:tr>
        <w:trPr>
          <w:trHeight w:val="263"/>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10 years</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Capitalized software</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10 years</w:t>
            </w:r>
          </w:p>
        </w:tc>
      </w:tr>
    </w:tbl>
    <w:p>
      <w:pPr>
        <w:spacing w:after="0" w:line="17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assesses impairment on operating property and equipment when events and circumstances indicate that the assets may be impaired. An asset or group of assets is considered impaired when the undiscounted cash flows estimated to be generated by the assets are less than the carrying amount of the assets and the net book value of the assets exceeds their estimated fair value. If such assets are considered to be impaired, the impairment to be recognized is measured by the amount by which the carrying amount of the assets exceeds the fair value of the assets. Assets to be disposed of are reported at the lower of the carrying amount or fair value less the cost to sell.</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depreciation and amortization expense was $2.4 billion, $2.1 billion and $1.8 billion for the years ended December 31, 2018, 2017 and 2016, respectively.</w:t>
      </w:r>
    </w:p>
    <w:p>
      <w:pPr>
        <w:spacing w:after="0" w:line="2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 Leases</w:t>
      </w:r>
    </w:p>
    <w:p>
      <w:pPr>
        <w:spacing w:after="0" w:line="15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determines if an arrangement is a lease at inception. Operating leases are included in operating lease ROU assets, current operating lease liabilities and noncurrent operating lease liabilities in American’s consolidated balance sheet. Finance leases are included in property and equipment, current maturities of long-term debt and finance leases and long-term debt and finance leases, net of current maturities, in American’s consolidated balance sheet.</w:t>
      </w:r>
    </w:p>
    <w:p>
      <w:pPr>
        <w:spacing w:after="0" w:line="15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ROU assets represent American’s right to use an underlying asset for the lease term and lease liabilities represent its obligation to make lease payments arising from the lease. ROU assets and liabilities are recognized at the lease commencement date based on the estimated present value of lease payments over the lease term.</w:t>
      </w:r>
    </w:p>
    <w:p>
      <w:pPr>
        <w:spacing w:after="0" w:line="13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American uses its estimated incremental borrowing rate, which is derived from information available at the lease commencement date, in determining the present value of lease payments. American gives consideration to its recent debt issuances as well as publicly available data for instruments with similar characteristics when calculating its incremental borrowing rates.</w:t>
      </w:r>
    </w:p>
    <w:p>
      <w:pPr>
        <w:spacing w:after="0" w:line="195"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American’s lease term includes options to extend the lease when it is reasonably certain that it will exercise that option. Leases with a term of 12 months or less are not recorded on the balance sheet. American’s lease agreements do not contain any residual value guarantees.</w:t>
      </w:r>
    </w:p>
    <w:p>
      <w:pPr>
        <w:spacing w:after="0" w:line="14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Under certain of American’s capacity purchase agreements with third-party regional carriers, American does not own the underlying aircraft. However, since American controls the marketing, scheduling, ticketing, pricing and seat inventories of these aircraft and therefore control the asset, the aircraft is deemed to be leased for accounting purposes. For these capacity purchase agreements, American accounts for the lease and non-lease components separately. The lease component consists of the aircraft and the non-lease components consist of services, such as the crew and maintenance. American allocates the consideration in the capacity purchase agreements to the lease and non-lease components using their estimated relative standalone prices. See Note 10(b) for additional information on its capacity purchase agreements.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real estate, American accounts for the lease and non-lease components as a single lease component.</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 Income Taxes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deferred income taxes.</w:t>
      </w:r>
    </w:p>
    <w:p>
      <w:pPr>
        <w:spacing w:after="0" w:line="150"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American provides a valuation allowance for its deferred tax assets when it is more likely than not that some portion, or all of its deferred tax assets, will not be realized. The ultimate realization of deferred tax assets is dependent upon the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549"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generation of future taxable income. American considers all available positive and negative evidence and makes certain assumptions in evaluating the realizability of its deferred tax assets. Many factors are considered that impact American’s assessment of future profitability, including conditions which are beyond American’s control, such as the health of the economy, the level and volatility of fuel prices and travel demand.</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Goodwill</w:t>
      </w:r>
    </w:p>
    <w:p>
      <w:pPr>
        <w:spacing w:after="0" w:line="112" w:lineRule="exact"/>
        <w:rPr>
          <w:sz w:val="20"/>
          <w:szCs w:val="20"/>
          <w:color w:val="auto"/>
        </w:rPr>
      </w:pPr>
    </w:p>
    <w:p>
      <w:pPr>
        <w:jc w:val="both"/>
        <w:ind w:firstLine="216"/>
        <w:spacing w:after="0" w:line="237"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and liabilities assumed. Goodwill is not amortized but assessed for impairment annually on October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or more frequently if events or circumstances indicate that goodwill may be impaired. American has one consolidated reporting unit.</w:t>
      </w:r>
    </w:p>
    <w:p>
      <w:pPr>
        <w:spacing w:after="0" w:line="16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Goodwill is assessed for impairment by initially performing a qualitative assessment and, if necessary, then comparing the fair value of the reporting unit to its carrying value, including goodwill. If the fair value of the reporting unit is less than the carrying value, a second step is performed to determine the implied fair value of goodwill. If the implied fair value of goodwill is lower than its carrying value, an impairment charge equal to the difference is recorded. Based upon American’s annual assessment, there was no goodwill impairment in 2018. The carrying value of the goodwill on American’s consolidated balance sheets was $4.1 billion as of December 31, 2018 and 2017.</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 Other Intangibles, Net</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Intangible assets consist primarily of domestic airport slots, customer relationships, marketing agreements, international slots and route authorities, airport gate leasehold rights and tradenames.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Finite-Lived Intangible Assets</w:t>
      </w:r>
    </w:p>
    <w:p>
      <w:pPr>
        <w:spacing w:after="0" w:line="10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Finite-lived intangible assets are amortized over their respective estimated useful lives and reviewed for impairment whenever events or changes in circumstances indicate that the carrying value may not be recoverable.</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following table provides information relating to American’s amortizable intangible assets as of December 31, 2018 and 2017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r>
      <w:tr>
        <w:trPr>
          <w:trHeight w:val="25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 airport slots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880" w:type="dxa"/>
            <w:vAlign w:val="bottom"/>
          </w:tcPr>
          <w:p>
            <w:pPr>
              <w:spacing w:after="0"/>
              <w:rPr>
                <w:sz w:val="22"/>
                <w:szCs w:val="22"/>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Marketing agreements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880" w:type="dxa"/>
            <w:vAlign w:val="bottom"/>
          </w:tcPr>
          <w:p>
            <w:pPr>
              <w:spacing w:after="0"/>
              <w:rPr>
                <w:sz w:val="22"/>
                <w:szCs w:val="22"/>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Airport gate leasehold rights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(663)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r>
      <w:tr>
        <w:trPr>
          <w:trHeight w:val="20"/>
        </w:trPr>
        <w:tc>
          <w:tcPr>
            <w:tcW w:w="8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domestic airport slots and airport gate leasehold rights are amortized on a straight-line basis over 25 years. The customer relationships and marketing agreements were identified as intangible assets subject to amortization and are amortized on a straight-line basis over approximately nine years and 30 years, respectively. Tradenames are fully amortized.</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 recorded amortization expense related to these intangible assets of $41 million, $44 million and $76 million for the years ended December 31, 2018, 2017 and 2016, respectively. American expects to record annual amortization expense for these intangible assets as follows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2022</w:t>
            </w:r>
          </w:p>
        </w:tc>
        <w:tc>
          <w:tcPr>
            <w:tcW w:w="7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0"/>
        </w:trPr>
        <w:tc>
          <w:tcPr>
            <w:tcW w:w="9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2024 and thereafter</w:t>
            </w:r>
          </w:p>
        </w:tc>
        <w:tc>
          <w:tcPr>
            <w:tcW w:w="7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r>
      <w:tr>
        <w:trPr>
          <w:trHeight w:val="250"/>
        </w:trPr>
        <w:tc>
          <w:tcPr>
            <w:tcW w:w="9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0"/>
        </w:trPr>
        <w:tc>
          <w:tcPr>
            <w:tcW w:w="9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420"/>
          </w:cols>
          <w:pgMar w:left="240" w:top="549" w:right="239" w:bottom="144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108" w:lineRule="exact"/>
        <w:rPr>
          <w:sz w:val="20"/>
          <w:szCs w:val="20"/>
          <w:color w:val="auto"/>
        </w:rPr>
      </w:pPr>
    </w:p>
    <w:p>
      <w:pPr>
        <w:jc w:val="both"/>
        <w:ind w:firstLine="216"/>
        <w:spacing w:after="0" w:line="241" w:lineRule="auto"/>
        <w:rPr>
          <w:sz w:val="20"/>
          <w:szCs w:val="20"/>
          <w:color w:val="auto"/>
        </w:rPr>
      </w:pPr>
      <w:r>
        <w:rPr>
          <w:rFonts w:ascii="Arial" w:cs="Arial" w:eastAsia="Arial" w:hAnsi="Arial"/>
          <w:sz w:val="18"/>
          <w:szCs w:val="18"/>
          <w:color w:val="auto"/>
        </w:rPr>
        <w:t>Indefinite-lived intangible assets include certain domestic airport slots at American’s hubs and international slots and route authorities. Indefinite-lived intangible assets are not amortized but instead are assessed for impairment annually on October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or more frequently if events or circumstances indicate that the asset may be impaired. For both periods as of December 31, 2018 and 2017, American had $1.9 billion of indefinite-lived intangible assets on its consolidated balance sheets.</w:t>
      </w:r>
    </w:p>
    <w:p>
      <w:pPr>
        <w:spacing w:after="0" w:line="16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second quarter of 2018, American recorded a $26 million impairment charge on a Brazil route authority as a result of the U.S.-Brazil open skies agreement, which is included within special items, net on its consolidated statement of operations.</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Indefinite-lived intangible assets are assessed for impairment by initially performing a qualitative assessment to determine whether American believes it is more likely than not that an asset has been impaired. If American believes impairment has occurred, American then evaluates for impairment by comparing the estimated fair value of assets to the carrying value. An impairment charge is recognized if the asset’s estimated fair value is less than its carrying value. Based upon American’s annual assessment, there were no additional indefinite-lived intangible asset impairments in 2018 other than the Brazil route authority described above.</w:t>
      </w:r>
    </w:p>
    <w:p>
      <w:pPr>
        <w:spacing w:after="0" w:line="211" w:lineRule="exact"/>
        <w:rPr>
          <w:sz w:val="20"/>
          <w:szCs w:val="20"/>
          <w:color w:val="auto"/>
        </w:rPr>
      </w:pPr>
    </w:p>
    <w:p>
      <w:pPr>
        <w:ind w:left="240" w:right="9060" w:firstLine="11"/>
        <w:spacing w:after="0" w:line="357" w:lineRule="auto"/>
        <w:tabs>
          <w:tab w:leader="none" w:pos="524"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i w:val="1"/>
          <w:iCs w:val="1"/>
          <w:u w:val="single" w:color="auto"/>
          <w:color w:val="auto"/>
        </w:rPr>
        <w:t>Revenue</w:t>
      </w:r>
    </w:p>
    <w:p>
      <w:pPr>
        <w:jc w:val="both"/>
        <w:ind w:firstLine="230"/>
        <w:spacing w:after="0" w:line="253" w:lineRule="auto"/>
        <w:rPr>
          <w:sz w:val="20"/>
          <w:szCs w:val="20"/>
          <w:color w:val="auto"/>
        </w:rPr>
      </w:pPr>
      <w:r>
        <w:rPr>
          <w:rFonts w:ascii="Arial" w:cs="Arial" w:eastAsia="Arial" w:hAnsi="Arial"/>
          <w:sz w:val="18"/>
          <w:szCs w:val="18"/>
          <w:color w:val="auto"/>
        </w:rPr>
        <w:t>Effective January 1, 2018, American adopted the New Revenue Standard using the full retrospective method, which resulted in the recast of prior reporting periods. Refer to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Note 1(b) for the effects of the adoption on American’s consolidated statements of operations for the years ended December 31, 2017 and 2016 and on American’s consolidated balance sheet as of December 31, 2017. Under the New Revenue Standard, revenue is recognized upon the transfer of control of promised products or services to American’s customers in an amount that reflects the consideration it expects to receive in exchange for those products or services.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the significant categories comprising American’s reported operating revenues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Borders>
              <w:bottom w:val="single" w:sz="8" w:color="CCEEFF"/>
            </w:tcBorders>
          </w:tcPr>
          <w:p>
            <w:pPr>
              <w:spacing w:after="0"/>
              <w:rPr>
                <w:sz w:val="17"/>
                <w:szCs w:val="17"/>
                <w:color w:val="auto"/>
              </w:rPr>
            </w:pPr>
          </w:p>
        </w:tc>
        <w:tc>
          <w:tcPr>
            <w:tcW w:w="46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37,457</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36,152</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34,278</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2,979</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2,767</w:t>
            </w: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39,131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37,045</w:t>
            </w:r>
          </w:p>
        </w:tc>
      </w:tr>
      <w:tr>
        <w:trPr>
          <w:trHeight w:val="277"/>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785</w:t>
            </w:r>
          </w:p>
        </w:tc>
      </w:tr>
      <w:tr>
        <w:trPr>
          <w:trHeight w:val="26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1,872</w:t>
            </w:r>
          </w:p>
        </w:tc>
      </w:tr>
      <w:tr>
        <w:trPr>
          <w:trHeight w:val="264"/>
        </w:trPr>
        <w:tc>
          <w:tcPr>
            <w:tcW w:w="6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423</w:t>
            </w:r>
          </w:p>
        </w:tc>
      </w:tr>
      <w:tr>
        <w:trPr>
          <w:trHeight w:val="250"/>
        </w:trPr>
        <w:tc>
          <w:tcPr>
            <w:tcW w:w="6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2,589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2,295</w:t>
            </w:r>
          </w:p>
        </w:tc>
      </w:tr>
      <w:tr>
        <w:trPr>
          <w:trHeight w:val="25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44,530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42,610</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40,125</w:t>
            </w:r>
          </w:p>
        </w:tc>
      </w:tr>
      <w:tr>
        <w:trPr>
          <w:trHeight w:val="20"/>
        </w:trPr>
        <w:tc>
          <w:tcPr>
            <w:tcW w:w="2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96" w:lineRule="exact"/>
        <w:rPr>
          <w:sz w:val="20"/>
          <w:szCs w:val="20"/>
          <w:color w:val="auto"/>
        </w:rPr>
      </w:pPr>
    </w:p>
    <w:p>
      <w:pPr>
        <w:ind w:left="500" w:right="20" w:hanging="330"/>
        <w:spacing w:after="0" w:line="225" w:lineRule="auto"/>
        <w:tabs>
          <w:tab w:leader="none" w:pos="500"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earned through travel and mileage credits sold to co-branded credit card and other partners. See “</w:t>
      </w:r>
      <w:r>
        <w:rPr>
          <w:rFonts w:ascii="Arial" w:cs="Arial" w:eastAsia="Arial" w:hAnsi="Arial"/>
          <w:sz w:val="18"/>
          <w:szCs w:val="18"/>
          <w:i w:val="1"/>
          <w:iCs w:val="1"/>
          <w:color w:val="auto"/>
        </w:rPr>
        <w:t>Loyalty Revenue”</w:t>
      </w:r>
      <w:r>
        <w:rPr>
          <w:rFonts w:ascii="Arial" w:cs="Arial" w:eastAsia="Arial" w:hAnsi="Arial"/>
          <w:sz w:val="18"/>
          <w:szCs w:val="18"/>
          <w:color w:val="auto"/>
        </w:rPr>
        <w:t xml:space="preserve"> below for further discussion on these mileage credits.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29,573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28,749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27,202</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4,676</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4,376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3,873</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1,294</w:t>
            </w: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39,131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37,045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420"/>
          </w:cols>
          <w:pgMar w:left="240" w:top="549" w:right="239" w:bottom="144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3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Passenger Revenue</w:t>
      </w:r>
    </w:p>
    <w:p>
      <w:pPr>
        <w:spacing w:after="0" w:line="112"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American recognizes all revenues generated from transportation on American and its regional flights operated under the brand name American Eagle, including associated baggage fees, ticketing change fees and other inflight services, as passenger revenue when transportation is provided. Ticket and other related sales for transportation that has not yet been provided are initially deferred and recorded as air traffic liability on American’s consolidated balance sheets. The air traffic liability principally represents tickets sold for future travel on American and partner airlines, as well as estimated future refunds and exchanges of tickets sold for past travel.</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 and the amount of revenue to be recognized. These estimates are generally based on the analysis of American’s historical data. American has consistently applied this accounting method to estimate revenue from forfeited tickets at the date of travel. Estimated future refunds and exchanges included in the air traffic liability are routinely evaluated based on subsequent activity to validate the accuracy of American’s estimates. Any adjustments resulting from periodic evaluations of the estimated air traffic liability are included in passenger revenue during the period in which the evaluations are completed.</w:t>
      </w:r>
    </w:p>
    <w:p>
      <w:pPr>
        <w:spacing w:after="0" w:line="153"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Various taxes and fees assessed on the sale of tickets to end customers are collected by American as an agent and remitted to taxing authorities. These taxes and fees have been presented on a net basis in the accompanying consolidated statements of operations and recorded as a liability until remitted to the appropriate taxing authority.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Loyalty Revenue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American currently operates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the Citi and Barclaycard US co-branded credit cards, hotels and car rental companies. Mileage credits can be redeemed for travel on American and other participating partner airlines, as well as other non-air travel awards such as hotels and rental cars. For mileage credits earned by AAdvantage loyalty program members, American applies the deferred revenue method in accordance with the New Revenue Standard.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Mileage credits earned through travel</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mileage credits earned through travel, American applies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miles is adjusted for an estimate of miles that will not be redeemed based on historical redemption patterns.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Mileage credits sold to co-branded credit cards and other partners</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sells mileage credits to participating airline partners and non-airline business partners including American’s co-branded credit card partners, under contracts with terms extending generally for one to nine years. Consideration received from the sale of mileage credits is variable and payment terms typically are within 30 days subsequent to the month of mileage sale. Sales of mileage credits to non-airline business partners are comprised of two components, transportation and marketing. American allocates the consideration received from these sales of mileage credits based on the relative selling price of each product or service delivered.</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American’s most significant partner agreements are its co-branded credit card agreements with Citi and Barclaycard US that American entered into in 2016. American identified the following revenue elements in these co-branded credit card agreements: the transportation component; and the use of intellectual property, including the American brand and access to loyalty program member lists, which is the predominant element in the agreements, as well as advertising (collectively, the marketing component). Accordingly, American recognizes the marketing component in other revenue in the period of the mileage sale following the sales-based royalty method.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549"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For the portion of American’s outstanding mileage credits that it estimates will not be redeemed, American recognizes the associated value proportionally as the remaining mileage credits are redeemed. American’s estimates are based on analysis of historical redemptions.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Cargo Revenue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is recognized when American provides the transportation.</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Revenue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Other revenue includes revenue associated with American’s loyalty program, which is comprised principally of the marketing component of mileage sales to co-branded credit card and other partners and other marketing related payments. For the years ended December 31, 2018, 2017 and 2016, loyalty revenue included in other revenue was $2.4 billion, $2.1 billion and $ 1.9 billion, respectively. The accounting and recognition for the loyalty program marketing services are discussed above in “</w:t>
      </w:r>
      <w:r>
        <w:rPr>
          <w:rFonts w:ascii="Arial" w:cs="Arial" w:eastAsia="Arial" w:hAnsi="Arial"/>
          <w:sz w:val="18"/>
          <w:szCs w:val="18"/>
          <w:i w:val="1"/>
          <w:iCs w:val="1"/>
          <w:color w:val="auto"/>
        </w:rPr>
        <w:t>Loyalty Revenue</w:t>
      </w:r>
      <w:r>
        <w:rPr>
          <w:rFonts w:ascii="Arial" w:cs="Arial" w:eastAsia="Arial" w:hAnsi="Arial"/>
          <w:sz w:val="18"/>
          <w:szCs w:val="18"/>
          <w:color w:val="auto"/>
        </w:rPr>
        <w:t>.” The remaining amounts included within other revenue relate to airport clubs, advertising and vacation-related services.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American’s consolidated balance sheet and (2) ticket sales for transportation that has not yet been provided, reported as air traffic liability on American’s consolidated balance sheet.</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0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8,539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8,822</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4,339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4,042</w:t>
            </w:r>
          </w:p>
        </w:tc>
      </w:tr>
      <w:tr>
        <w:trPr>
          <w:trHeight w:val="257"/>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12,878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12,864</w:t>
            </w: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-711200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8,822</w:t>
            </w:r>
          </w:p>
        </w:tc>
      </w:tr>
      <w:tr>
        <w:trPr>
          <w:trHeight w:val="250"/>
        </w:trPr>
        <w:tc>
          <w:tcPr>
            <w:tcW w:w="9700" w:type="dxa"/>
            <w:vAlign w:val="bottom"/>
          </w:tcPr>
          <w:p>
            <w:pPr>
              <w:ind w:left="28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3,083</w:t>
            </w:r>
          </w:p>
        </w:tc>
      </w:tr>
      <w:tr>
        <w:trPr>
          <w:trHeight w:val="263"/>
        </w:trPr>
        <w:tc>
          <w:tcPr>
            <w:tcW w:w="9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50"/>
        </w:trPr>
        <w:tc>
          <w:tcPr>
            <w:tcW w:w="9700" w:type="dxa"/>
            <w:vAlign w:val="bottom"/>
          </w:tcPr>
          <w:p>
            <w:pPr>
              <w:ind w:left="40"/>
              <w:spacing w:after="0"/>
              <w:rPr>
                <w:sz w:val="20"/>
                <w:szCs w:val="20"/>
                <w:color w:val="auto"/>
              </w:rPr>
            </w:pPr>
            <w:r>
              <w:rPr>
                <w:rFonts w:ascii="Arial" w:cs="Arial" w:eastAsia="Arial" w:hAnsi="Arial"/>
                <w:sz w:val="18"/>
                <w:szCs w:val="18"/>
                <w:color w:val="auto"/>
              </w:rPr>
              <w:t xml:space="preserve">Balance at December 31, 2018 </w:t>
            </w:r>
            <w:r>
              <w:rPr>
                <w:rFonts w:ascii="Arial" w:cs="Arial" w:eastAsia="Arial" w:hAnsi="Arial"/>
                <w:sz w:val="21"/>
                <w:szCs w:val="21"/>
                <w:color w:val="auto"/>
                <w:vertAlign w:val="superscript"/>
              </w:rPr>
              <w:t>(2)</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8,539</w:t>
            </w:r>
          </w:p>
        </w:tc>
      </w:tr>
      <w:tr>
        <w:trPr>
          <w:trHeight w:val="20"/>
        </w:trPr>
        <w:tc>
          <w:tcPr>
            <w:tcW w:w="9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jc w:val="both"/>
        <w:ind w:left="500" w:hanging="330"/>
        <w:spacing w:after="0" w:line="233" w:lineRule="auto"/>
        <w:tabs>
          <w:tab w:leader="none" w:pos="50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2"/>
          <w:szCs w:val="22"/>
          <w:color w:val="auto"/>
          <w:vertAlign w:val="superscript"/>
        </w:rPr>
      </w:pPr>
    </w:p>
    <w:p>
      <w:pPr>
        <w:jc w:val="both"/>
        <w:ind w:left="500" w:hanging="330"/>
        <w:spacing w:after="0" w:line="237" w:lineRule="auto"/>
        <w:tabs>
          <w:tab w:leader="none" w:pos="50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December 31, 2018, American’s current loyalty program liability was $3.3 billion and represents American’s current estimate of revenue expected to be recognized in the next twelve months based on historical trends, with the balance reflected in long-term loyalty program liability expected to be recognized as revenue in periods thereafter.</w:t>
      </w:r>
    </w:p>
    <w:p>
      <w:pPr>
        <w:spacing w:after="0" w:line="163"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American’s air traffic liability also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549"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fluctuates with seasonal travel patterns. The contract duration of passenger tickets is one year. Accordingly, any revenue associated with tickets sold for future travel will be recognized within twelve months. For 2018, $3.1 billion of revenue was recognized in passenger revenue that was included in American’s air traffic liability at December 31, 2017.</w:t>
      </w:r>
    </w:p>
    <w:p>
      <w:pPr>
        <w:spacing w:after="0" w:line="14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With respect to contract receivables, reflected as accounts receivable, net on the accompanying consolidated balance sheet, these primarily include receivables for tickets sold to individual passengers through the use of major credit cards. These receivables are short-term, mostly settled within seven days after sale. Bad debt losses, which have been minimal in the past, have been considered in establishing allowances for doubtful accounts.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 Maintenance, Materials and Repairs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Maintenance and repair costs for owned and leased flight equipment are charged to operating expense as incurred, except costs incurred for maintenance and repair under flight hour maintenance contract agreements, which are accrued based on contractual terms when an obligation exists.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 Selling Expenses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Selling expenses include credit card fees, commissions, computerized reservations systems fees and advertising. Advertising costs are expensed as incurred. Advertising expense was $128 million, $135 million and $116 million for the years ended December 31, 2018, 2017 and 2016, respectively.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 Share-based Compensation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accounts for its share-based compensation expense based on the fair value of the stock award at the time of grant, which is recognized ratably over the vesting period of the stock award. Certain awards have performance conditions that must be achieved prior to vesting and are expensed based on the expected achievement at each reporting period. The fair value of stock appreciation rights is estimated using a Black-Scholes option pricing model. The fair value of restricted stock units is based on the market price of the underlying shares of AAG common stock on the date of grant. See Note 13 for further discussion of share-based compensation.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 Foreign Currency Gains and Losses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Foreign currency gains and losses are recorded as part of other income, net within total nonoperating expense, net in American’s consolidated statements of operations. Foreign currency losses for 2018 and 2017 were $54 million and $4 million, respectively, and for 2016, foreign currency gains were $1 million.</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 Other Operating Expenses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Other operating expenses includes costs associated with ground and cargo handling, crew travel, aircraft food and catering, passenger accommodation, airport security, international navigation fees and certain general and administrative expenses.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549"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 Regional Expenses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Expenses associated with American Eagle operations are classified as regional expenses on American’s consolidated statements of operations. Regional expenses consist of the following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6"/>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1,843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327</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3,267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3,186</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237</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64"/>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271</w:t>
            </w:r>
          </w:p>
        </w:tc>
      </w:tr>
      <w:tr>
        <w:trPr>
          <w:trHeight w:val="250"/>
        </w:trPr>
        <w:tc>
          <w:tcPr>
            <w:tcW w:w="6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7,064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6,572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540" w:right="20" w:hanging="532"/>
        <w:spacing w:after="0" w:line="225" w:lineRule="auto"/>
        <w:tabs>
          <w:tab w:leader="none" w:pos="540" w:val="left"/>
        </w:tabs>
        <w:numPr>
          <w:ilvl w:val="0"/>
          <w:numId w:val="60"/>
        </w:numPr>
        <w:rPr>
          <w:rFonts w:ascii="Arial" w:cs="Arial" w:eastAsia="Arial" w:hAnsi="Arial"/>
          <w:sz w:val="22"/>
          <w:szCs w:val="22"/>
          <w:color w:val="auto"/>
          <w:vertAlign w:val="superscript"/>
        </w:rPr>
      </w:pPr>
      <w:r>
        <w:rPr>
          <w:rFonts w:ascii="Arial" w:cs="Arial" w:eastAsia="Arial" w:hAnsi="Arial"/>
          <w:sz w:val="18"/>
          <w:szCs w:val="18"/>
          <w:color w:val="auto"/>
        </w:rPr>
        <w:t>In 2018, American recognized $565 million of expense under its capacity purchase agreement with Republic Airline Inc. (Republic). American holds a 25% equity interest in Republic Airways Holdings Inc. (Republic Holdings), the parent company of Republic.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Special items, net on American’s consolidated statements of operations consisted of the following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46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0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514</w:t>
            </w: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1"/>
                <w:szCs w:val="21"/>
                <w:color w:val="auto"/>
                <w:vertAlign w:val="superscript"/>
              </w:rPr>
              <w:t>(4)</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(5)</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Labor contract expenses</w:t>
            </w: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(6)</w:t>
            </w: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(7)</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charges (credits), net</w:t>
            </w:r>
          </w:p>
        </w:tc>
        <w:tc>
          <w:tcPr>
            <w:tcW w:w="10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Mainline operating special items, net</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709</w:t>
            </w:r>
          </w:p>
        </w:tc>
      </w:tr>
      <w:tr>
        <w:trPr>
          <w:trHeight w:val="27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Regional operating special items, net</w:t>
            </w:r>
          </w:p>
        </w:tc>
        <w:tc>
          <w:tcPr>
            <w:tcW w:w="10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50"/>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Operating special items, net</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722</w:t>
            </w:r>
          </w:p>
        </w:tc>
      </w:tr>
      <w:tr>
        <w:trPr>
          <w:trHeight w:val="304"/>
        </w:trPr>
        <w:tc>
          <w:tcPr>
            <w:tcW w:w="2120" w:type="dxa"/>
            <w:vAlign w:val="bottom"/>
            <w:shd w:val="clear" w:color="auto" w:fill="CCEEFF"/>
          </w:tcPr>
          <w:p>
            <w:pPr>
              <w:spacing w:after="0"/>
              <w:rPr>
                <w:sz w:val="24"/>
                <w:szCs w:val="24"/>
                <w:color w:val="auto"/>
              </w:rPr>
            </w:pPr>
          </w:p>
        </w:tc>
        <w:tc>
          <w:tcPr>
            <w:tcW w:w="4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1"/>
                <w:szCs w:val="21"/>
                <w:color w:val="auto"/>
                <w:vertAlign w:val="superscript"/>
              </w:rPr>
              <w:t>(8)</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64"/>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nonoperating credits, net</w:t>
            </w: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Nonoperating special items, net</w:t>
            </w:r>
          </w:p>
        </w:tc>
        <w:tc>
          <w:tcPr>
            <w:tcW w:w="100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97"/>
        </w:trPr>
        <w:tc>
          <w:tcPr>
            <w:tcW w:w="21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Income tax special items </w:t>
            </w:r>
            <w:r>
              <w:rPr>
                <w:rFonts w:ascii="Arial" w:cs="Arial" w:eastAsia="Arial" w:hAnsi="Arial"/>
                <w:sz w:val="21"/>
                <w:szCs w:val="21"/>
                <w:color w:val="auto"/>
                <w:vertAlign w:val="superscript"/>
              </w:rPr>
              <w:t>(9)</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Impact of the 2017 Tax Act </w:t>
            </w:r>
            <w:r>
              <w:rPr>
                <w:rFonts w:ascii="Arial" w:cs="Arial" w:eastAsia="Arial" w:hAnsi="Arial"/>
                <w:sz w:val="21"/>
                <w:szCs w:val="21"/>
                <w:color w:val="auto"/>
                <w:vertAlign w:val="superscript"/>
              </w:rPr>
              <w:t>(10)</w:t>
            </w:r>
          </w:p>
        </w:tc>
        <w:tc>
          <w:tcPr>
            <w:tcW w:w="10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6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Income tax special items, net</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2120" w:type="dxa"/>
            <w:vAlign w:val="bottom"/>
            <w:tcBorders>
              <w:bottom w:val="single" w:sz="8" w:color="auto"/>
            </w:tcBorders>
          </w:tcPr>
          <w:p>
            <w:pPr>
              <w:spacing w:after="0"/>
              <w:rPr>
                <w:sz w:val="22"/>
                <w:szCs w:val="22"/>
                <w:color w:val="auto"/>
              </w:rPr>
            </w:pPr>
          </w:p>
        </w:tc>
        <w:tc>
          <w:tcPr>
            <w:tcW w:w="4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420"/>
          </w:cols>
          <w:pgMar w:left="240" w:top="549" w:right="239" w:bottom="144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left="980" w:right="20" w:hanging="972"/>
        <w:spacing w:after="0" w:line="225" w:lineRule="auto"/>
        <w:tabs>
          <w:tab w:leader="none" w:pos="494"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09"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American's flight attendant, human resources and payroll, and technical operations systems.</w:t>
      </w:r>
    </w:p>
    <w:p>
      <w:pPr>
        <w:spacing w:after="0" w:line="72"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Severance expenses primarily included costs associated with reductions of management and support staff team members.</w:t>
      </w:r>
    </w:p>
    <w:p>
      <w:pPr>
        <w:spacing w:after="0" w:line="89" w:lineRule="exact"/>
        <w:rPr>
          <w:rFonts w:ascii="Arial" w:cs="Arial" w:eastAsia="Arial" w:hAnsi="Arial"/>
          <w:sz w:val="22"/>
          <w:szCs w:val="22"/>
          <w:color w:val="auto"/>
          <w:vertAlign w:val="superscript"/>
        </w:rPr>
      </w:pPr>
    </w:p>
    <w:p>
      <w:pPr>
        <w:ind w:left="980" w:hanging="972"/>
        <w:spacing w:after="0" w:line="235" w:lineRule="auto"/>
        <w:tabs>
          <w:tab w:leader="none" w:pos="494"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Settlement of a private party antitrust lawsuit. See Note 10(e) - “</w:t>
      </w:r>
      <w:r>
        <w:rPr>
          <w:rFonts w:ascii="Arial" w:cs="Arial" w:eastAsia="Arial" w:hAnsi="Arial"/>
          <w:sz w:val="18"/>
          <w:szCs w:val="18"/>
          <w:i w:val="1"/>
          <w:iCs w:val="1"/>
          <w:color w:val="auto"/>
        </w:rPr>
        <w:t>Private Party Antitrust Action Related to Passenger Capacity</w:t>
      </w:r>
      <w:r>
        <w:rPr>
          <w:rFonts w:ascii="Arial" w:cs="Arial" w:eastAsia="Arial" w:hAnsi="Arial"/>
          <w:sz w:val="18"/>
          <w:szCs w:val="18"/>
          <w:color w:val="auto"/>
        </w:rPr>
        <w:t>” for further discussion.</w:t>
      </w:r>
    </w:p>
    <w:p>
      <w:pPr>
        <w:spacing w:after="0" w:line="107"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American’s Brazil route authority as a result of the U.S.-Brazil open skies agreement.</w:t>
      </w:r>
    </w:p>
    <w:p>
      <w:pPr>
        <w:spacing w:after="0" w:line="72"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07"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Employee bonus expense included costs related to the $1,000 cash bonus and associated payroll taxes granted to mainline employees as of December 31, 2017 in recognition of the 2017 Tax Act.</w:t>
      </w:r>
    </w:p>
    <w:p>
      <w:pPr>
        <w:spacing w:after="0" w:line="109"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investments relate to net unrealized losses primarily associated with American’s equity investments in China Southern Airlines and Mesa Air Group, Inc.</w:t>
      </w:r>
    </w:p>
    <w:p>
      <w:pPr>
        <w:spacing w:after="0" w:line="72"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Income tax special items for 2018 included an $18 million charge related to an international income tax matter.</w:t>
      </w:r>
    </w:p>
    <w:p>
      <w:pPr>
        <w:spacing w:after="0" w:line="107" w:lineRule="exact"/>
        <w:rPr>
          <w:rFonts w:ascii="Arial" w:cs="Arial" w:eastAsia="Arial" w:hAnsi="Arial"/>
          <w:sz w:val="22"/>
          <w:szCs w:val="22"/>
          <w:color w:val="auto"/>
          <w:vertAlign w:val="superscript"/>
        </w:rPr>
      </w:pPr>
    </w:p>
    <w:p>
      <w:pPr>
        <w:ind w:left="980" w:hanging="972"/>
        <w:spacing w:after="0" w:line="233" w:lineRule="auto"/>
        <w:tabs>
          <w:tab w:leader="none" w:pos="494"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Impact of the 2017 Tax Act includes a $924 million non-cash charge to income tax expense to reflect the impact of lower corporate income tax rates on the Company’s deferred tax asset and liabilities resulting from the 2017 Tax Act, which reduced the federal corporate income tax rate from 35% to 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Long-term debt included in the consolidated balance sheets consisted of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r>
      <w:tr>
        <w:trPr>
          <w:trHeight w:val="264"/>
        </w:trPr>
        <w:tc>
          <w:tcPr>
            <w:tcW w:w="8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70"/>
        </w:trPr>
        <w:tc>
          <w:tcPr>
            <w:tcW w:w="8780" w:type="dxa"/>
            <w:vAlign w:val="bottom"/>
          </w:tcPr>
          <w:p>
            <w:pPr>
              <w:ind w:left="280"/>
              <w:spacing w:after="0"/>
              <w:rPr>
                <w:sz w:val="20"/>
                <w:szCs w:val="20"/>
                <w:color w:val="auto"/>
              </w:rPr>
            </w:pPr>
            <w:r>
              <w:rPr>
                <w:rFonts w:ascii="Arial" w:cs="Arial" w:eastAsia="Arial" w:hAnsi="Arial"/>
                <w:sz w:val="18"/>
                <w:szCs w:val="18"/>
                <w:color w:val="auto"/>
              </w:rPr>
              <w:t xml:space="preserve">2013 Credit Facilities, variable interest rate of 4.26%, installments through 2025 </w:t>
            </w:r>
            <w:r>
              <w:rPr>
                <w:rFonts w:ascii="Arial" w:cs="Arial" w:eastAsia="Arial" w:hAnsi="Arial"/>
                <w:sz w:val="21"/>
                <w:szCs w:val="21"/>
                <w:color w:val="auto"/>
                <w:vertAlign w:val="superscript"/>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1,825</w:t>
            </w:r>
          </w:p>
        </w:tc>
      </w:tr>
      <w:tr>
        <w:trPr>
          <w:trHeight w:val="270"/>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2014 Credit Facilities, variable interest rate of 4.39%, installments through 2021 </w:t>
            </w:r>
            <w:r>
              <w:rPr>
                <w:rFonts w:ascii="Arial" w:cs="Arial" w:eastAsia="Arial" w:hAnsi="Arial"/>
                <w:sz w:val="21"/>
                <w:szCs w:val="21"/>
                <w:color w:val="auto"/>
                <w:vertAlign w:val="superscript"/>
              </w:rPr>
              <w:t>(a)</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r>
      <w:tr>
        <w:trPr>
          <w:trHeight w:val="270"/>
        </w:trPr>
        <w:tc>
          <w:tcPr>
            <w:tcW w:w="8780" w:type="dxa"/>
            <w:vAlign w:val="bottom"/>
          </w:tcPr>
          <w:p>
            <w:pPr>
              <w:ind w:left="280"/>
              <w:spacing w:after="0"/>
              <w:rPr>
                <w:sz w:val="20"/>
                <w:szCs w:val="20"/>
                <w:color w:val="auto"/>
              </w:rPr>
            </w:pPr>
            <w:r>
              <w:rPr>
                <w:rFonts w:ascii="Arial" w:cs="Arial" w:eastAsia="Arial" w:hAnsi="Arial"/>
                <w:sz w:val="18"/>
                <w:szCs w:val="18"/>
                <w:color w:val="auto"/>
              </w:rPr>
              <w:t xml:space="preserve">April 2016 Credit Facilities, variable interest rate of 4.52%, installments through 2023 </w:t>
            </w:r>
            <w:r>
              <w:rPr>
                <w:rFonts w:ascii="Arial" w:cs="Arial" w:eastAsia="Arial" w:hAnsi="Arial"/>
                <w:sz w:val="21"/>
                <w:szCs w:val="21"/>
                <w:color w:val="auto"/>
                <w:vertAlign w:val="superscript"/>
              </w:rPr>
              <w:t>(a)</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990</w:t>
            </w:r>
          </w:p>
        </w:tc>
      </w:tr>
      <w:tr>
        <w:trPr>
          <w:trHeight w:val="270"/>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December 2016 Credit Facilities, variable interest rate of 4.46%, installments through 2023 </w:t>
            </w:r>
            <w:r>
              <w:rPr>
                <w:rFonts w:ascii="Arial" w:cs="Arial" w:eastAsia="Arial" w:hAnsi="Arial"/>
                <w:sz w:val="21"/>
                <w:szCs w:val="21"/>
                <w:color w:val="auto"/>
                <w:vertAlign w:val="superscript"/>
              </w:rPr>
              <w:t>(a)</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1,238</w:t>
            </w:r>
          </w:p>
        </w:tc>
      </w:tr>
      <w:tr>
        <w:trPr>
          <w:trHeight w:val="226"/>
        </w:trPr>
        <w:tc>
          <w:tcPr>
            <w:tcW w:w="8780" w:type="dxa"/>
            <w:vAlign w:val="bottom"/>
          </w:tcPr>
          <w:p>
            <w:pPr>
              <w:ind w:left="280"/>
              <w:spacing w:after="0"/>
              <w:rPr>
                <w:sz w:val="20"/>
                <w:szCs w:val="20"/>
                <w:color w:val="auto"/>
              </w:rPr>
            </w:pPr>
            <w:r>
              <w:rPr>
                <w:rFonts w:ascii="Arial" w:cs="Arial" w:eastAsia="Arial" w:hAnsi="Arial"/>
                <w:sz w:val="18"/>
                <w:szCs w:val="18"/>
                <w:color w:val="auto"/>
              </w:rPr>
              <w:t>Aircraft enhanced equipment trust certificates (EETCs), fixed interest rates ranging from 3.00% to 9.01%,</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3"/>
        </w:trPr>
        <w:tc>
          <w:tcPr>
            <w:tcW w:w="8780" w:type="dxa"/>
            <w:vAlign w:val="bottom"/>
          </w:tcPr>
          <w:p>
            <w:pPr>
              <w:ind w:left="440"/>
              <w:spacing w:after="0" w:line="233" w:lineRule="exact"/>
              <w:rPr>
                <w:sz w:val="20"/>
                <w:szCs w:val="20"/>
                <w:color w:val="auto"/>
              </w:rPr>
            </w:pPr>
            <w:r>
              <w:rPr>
                <w:rFonts w:ascii="Arial" w:cs="Arial" w:eastAsia="Arial" w:hAnsi="Arial"/>
                <w:sz w:val="18"/>
                <w:szCs w:val="18"/>
                <w:color w:val="auto"/>
              </w:rPr>
              <w:t xml:space="preserve">averaging 4.21%, maturing from 2019 to 2029 </w:t>
            </w:r>
            <w:r>
              <w:rPr>
                <w:rFonts w:ascii="Arial" w:cs="Arial" w:eastAsia="Arial" w:hAnsi="Arial"/>
                <w:sz w:val="21"/>
                <w:szCs w:val="21"/>
                <w:color w:val="auto"/>
                <w:vertAlign w:val="superscript"/>
              </w:rPr>
              <w:t>(b)</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11,648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11,881</w:t>
            </w:r>
          </w:p>
        </w:tc>
      </w:tr>
      <w:tr>
        <w:trPr>
          <w:trHeight w:val="226"/>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Equipment loans and other notes payable, fixed and variable interest rates ranging from 2.34% to 8.48%,</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3"/>
        </w:trPr>
        <w:tc>
          <w:tcPr>
            <w:tcW w:w="8780" w:type="dxa"/>
            <w:vAlign w:val="bottom"/>
            <w:shd w:val="clear" w:color="auto" w:fill="CCEEFF"/>
          </w:tcPr>
          <w:p>
            <w:pPr>
              <w:ind w:left="440"/>
              <w:spacing w:after="0" w:line="233" w:lineRule="exact"/>
              <w:rPr>
                <w:sz w:val="20"/>
                <w:szCs w:val="20"/>
                <w:color w:val="auto"/>
              </w:rPr>
            </w:pPr>
            <w:r>
              <w:rPr>
                <w:rFonts w:ascii="Arial" w:cs="Arial" w:eastAsia="Arial" w:hAnsi="Arial"/>
                <w:sz w:val="18"/>
                <w:szCs w:val="18"/>
                <w:color w:val="auto"/>
              </w:rPr>
              <w:t xml:space="preserve">averaging 4.26%, maturing from 2019 to 2030 </w:t>
            </w:r>
            <w:r>
              <w:rPr>
                <w:rFonts w:ascii="Arial" w:cs="Arial" w:eastAsia="Arial" w:hAnsi="Arial"/>
                <w:sz w:val="21"/>
                <w:szCs w:val="21"/>
                <w:color w:val="auto"/>
                <w:vertAlign w:val="superscript"/>
              </w:rPr>
              <w:t>(c)</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5,060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5,259</w:t>
            </w:r>
          </w:p>
        </w:tc>
      </w:tr>
      <w:tr>
        <w:trPr>
          <w:trHeight w:val="263"/>
        </w:trPr>
        <w:tc>
          <w:tcPr>
            <w:tcW w:w="8780" w:type="dxa"/>
            <w:vAlign w:val="bottom"/>
          </w:tcPr>
          <w:p>
            <w:pPr>
              <w:ind w:left="280"/>
              <w:spacing w:after="0"/>
              <w:rPr>
                <w:sz w:val="20"/>
                <w:szCs w:val="20"/>
                <w:color w:val="auto"/>
              </w:rPr>
            </w:pPr>
            <w:r>
              <w:rPr>
                <w:rFonts w:ascii="Arial" w:cs="Arial" w:eastAsia="Arial" w:hAnsi="Arial"/>
                <w:sz w:val="18"/>
                <w:szCs w:val="18"/>
                <w:color w:val="auto"/>
              </w:rPr>
              <w:t>Special facility revenue bonds, fixed interest rates of 5.00%, maturing from 2019 to 2031</w:t>
            </w: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828</w:t>
            </w:r>
          </w:p>
        </w:tc>
      </w:tr>
      <w:tr>
        <w:trPr>
          <w:trHeight w:val="277"/>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secured obligations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long-term debt</w:t>
            </w: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22,722</w:t>
            </w: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22,750</w:t>
            </w:r>
          </w:p>
        </w:tc>
      </w:tr>
      <w:tr>
        <w:trPr>
          <w:trHeight w:val="257"/>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Total unamortized debt discount, premium and issuance costs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64"/>
        </w:trPr>
        <w:tc>
          <w:tcPr>
            <w:tcW w:w="8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2,466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1,980</w:t>
            </w:r>
          </w:p>
        </w:tc>
      </w:tr>
      <w:tr>
        <w:trPr>
          <w:trHeight w:val="250"/>
        </w:trPr>
        <w:tc>
          <w:tcPr>
            <w:tcW w:w="8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debt, net of current maturities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20,037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20,543</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December 31, 2018 (in millions):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549"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9"/>
        </w:trPr>
        <w:tc>
          <w:tcPr>
            <w:tcW w:w="10040" w:type="dxa"/>
            <w:vAlign w:val="bottom"/>
          </w:tcPr>
          <w:p>
            <w:pPr>
              <w:ind w:left="206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10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1,543</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4"/>
        </w:trPr>
        <w:tc>
          <w:tcPr>
            <w:tcW w:w="10040" w:type="dxa"/>
            <w:vAlign w:val="bottom"/>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2,843</w:t>
            </w:r>
          </w:p>
        </w:tc>
      </w:tr>
      <w:tr>
        <w:trPr>
          <w:trHeight w:val="20"/>
        </w:trPr>
        <w:tc>
          <w:tcPr>
            <w:tcW w:w="10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airport slots and pre-delivery payments.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2018, the maturities of long-term debt are as follows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2,508</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1,815</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3,409</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1,344</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3,892</w:t>
            </w:r>
          </w:p>
        </w:tc>
      </w:tr>
      <w:tr>
        <w:trPr>
          <w:trHeight w:val="250"/>
        </w:trPr>
        <w:tc>
          <w:tcPr>
            <w:tcW w:w="10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2024 and thereafter</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9,754</w:t>
            </w:r>
          </w:p>
        </w:tc>
      </w:tr>
      <w:tr>
        <w:trPr>
          <w:trHeight w:val="250"/>
        </w:trPr>
        <w:tc>
          <w:tcPr>
            <w:tcW w:w="10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22,722</w:t>
            </w:r>
          </w:p>
        </w:tc>
      </w:tr>
      <w:tr>
        <w:trPr>
          <w:trHeight w:val="20"/>
        </w:trPr>
        <w:tc>
          <w:tcPr>
            <w:tcW w:w="10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40" w:right="5940" w:hanging="16"/>
        <w:spacing w:after="0" w:line="357" w:lineRule="auto"/>
        <w:tabs>
          <w:tab w:leader="none" w:pos="497"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2013, 2014, April 2016 and December 2016 Credit Facilities </w:t>
      </w:r>
      <w:r>
        <w:rPr>
          <w:rFonts w:ascii="Arial" w:cs="Arial" w:eastAsia="Arial" w:hAnsi="Arial"/>
          <w:sz w:val="18"/>
          <w:szCs w:val="18"/>
          <w:i w:val="1"/>
          <w:iCs w:val="1"/>
          <w:u w:val="single" w:color="auto"/>
          <w:color w:val="auto"/>
        </w:rPr>
        <w:t>2013 Credit Facilities</w:t>
      </w:r>
    </w:p>
    <w:p>
      <w:pPr>
        <w:jc w:val="both"/>
        <w:ind w:firstLine="230"/>
        <w:spacing w:after="0" w:line="251" w:lineRule="auto"/>
        <w:rPr>
          <w:sz w:val="20"/>
          <w:szCs w:val="20"/>
          <w:color w:val="auto"/>
        </w:rPr>
      </w:pPr>
      <w:r>
        <w:rPr>
          <w:rFonts w:ascii="Arial" w:cs="Arial" w:eastAsia="Arial" w:hAnsi="Arial"/>
          <w:sz w:val="18"/>
          <w:szCs w:val="18"/>
          <w:color w:val="auto"/>
        </w:rPr>
        <w:t>In May 2018, American and AAG entered into a Fourth Amendment (the Fourth Amendment to the 2013 Credit Agreement) to the Amended and Restated Credit and Guaranty Agreement, amending the Amended and Restated Credit and Guaranty Agreement dated as of May 21, 2015, which amended and restated the Credit and Guaranty Agreement dated as of June 27, 2013 (as previously amended, the 2013 Credit Agreement, the revolving facility established thereunder, the 2013 Revolving Facility, the term loan facility established thereunder, the 2013 Term Loan Facility, and the 2013 Revolving Facility together with the 2013 Term Loan Facility, the 2013 Credit Facilities), pursuant to which American refinanced $1.8 billion of the existing term loans outstanding under the 2013 Credit Facilities with proceeds of term loans incurred under the Fourth Amendment to the 2013 Credit Agreement (the 2013 Replacement Term Loans). The LIBOR margin on the 2013 Replacement Term Loans was reduced from 2.00% to 1.75% and the base rate margin on the 2013 Replacement Term Loans was reduced from 1.00% to 0.75%. Additionally, the maturity date of the 2013 Replacement Term Loans was extended to June 2025 pursuant to the Fourth Amendment to the 2013 Credit Agreement.</w:t>
      </w:r>
    </w:p>
    <w:p>
      <w:pPr>
        <w:spacing w:after="0" w:line="77" w:lineRule="exact"/>
        <w:rPr>
          <w:sz w:val="20"/>
          <w:szCs w:val="20"/>
          <w:color w:val="auto"/>
        </w:rPr>
      </w:pPr>
    </w:p>
    <w:p>
      <w:pPr>
        <w:jc w:val="both"/>
        <w:ind w:firstLine="230"/>
        <w:spacing w:after="0" w:line="252" w:lineRule="auto"/>
        <w:rPr>
          <w:sz w:val="20"/>
          <w:szCs w:val="20"/>
          <w:color w:val="auto"/>
        </w:rPr>
      </w:pPr>
      <w:r>
        <w:rPr>
          <w:rFonts w:ascii="Arial" w:cs="Arial" w:eastAsia="Arial" w:hAnsi="Arial"/>
          <w:sz w:val="18"/>
          <w:szCs w:val="18"/>
          <w:color w:val="auto"/>
        </w:rPr>
        <w:t>In December 2018, American and AAG entered into a Fifth Amendment (the Fifth Amendment to the 2013 Credit Agreement) to the 2013 Credit Agreement, as previously amended by the Fourth Amendment to the 2013 Credit Agreement. Pursuant to the Fifth Amendment to the 2013 Credit Agreement, adjustments to the 2013 Revolving Facility were made, including reducing the total aggregate commitments under the 2013 Revolving Facility by $200 million, extending the maturity date for the revolver loans thereunder from October 2022 to October 2023 and reducing the LIBOR margin from 2.25% to 2.00% and the base rate margin from 1.25% to 1.00% for certain of the lenders of the revolver loans thereunder. As of December 31, 2018, there were no borrowings or letters of credit outstanding under the 2013 Revolving Facility.</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189"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September 2018, American and AAG entered into a Fifth Amendment (the Fifth Amendment to the 2014 Credit Agreement) to the Amended and Restated Credit and Guaranty Agreement, amending the Amended and Restated Credit and Guaranty Agreement dated as of April 20, 2015, which amended and restated the Credit and Guaranty Agreement dated as of October 10, 2014 (as previously amended, the 2014 Credit Agreement, the revolving credit facility established thereunder, the 2014 Revolving Facility, the term loan facility established thereunder, the 2014 Term Loan Facility, and the 2014 Revolving Facility together with the 2014 Term Loan Facility, the 2014 Credit Facilities). The Fifth Amendment to the 2014 Credit Agreement provides for incremental term loans in the amount of $ 500 million under the 2014 Term Loan Facility. The terms of such incremental term loans are substantially similar to the terms of the existing term loans under the 2014 Term Loan Facility, including those with regard to maturity and interest rate margins. As of December 31, 2018, approximately $1.2 billion was outstanding under the 2014 Term Loan Facility.</w:t>
      </w:r>
    </w:p>
    <w:p>
      <w:pPr>
        <w:spacing w:after="0" w:line="159"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In December 2018, American and AAG entered into a Sixth Amendment (the Sixth Amendment to the 2014 Credit Agreement) to the 2014 Credit Agreement, as previously amended by the Fifth Amendment to the 2014 Credit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549"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Sixth Amendment to the 2014 Credit Agreement, adjustments to the 2014 Revolving Facility were made, including increasing the total aggregate commitments under the 2014 Revolving Facility by approximately $543 million, extending the maturity date for the revolver loans thereunder from October 2022 to October 2023 and reducing the LIBOR margin from 2.25% to 2.00% and the base rate margin from 1.25% to 1.00% for certain of the lenders of the revolver loans thereunder. In addition to the slots, gates and routes (SGR) between airports in the United States and LHR previously pledged as collateral for the 2014 Credit Facilities, SGR between airports in the United States and other countries in the European Union were added as collateral under the 2014 Credit Facilities pursuant to the Sixth Amendment to the 2014 Credit Agreement. As of December 31, 2018, there were no borrowings or letters of credit outstanding under the 2014 Revolving Facility.</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April 2016 Credit Facilities</w:t>
      </w:r>
    </w:p>
    <w:p>
      <w:pPr>
        <w:spacing w:after="0" w:line="3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December 2018, American and AAG entered into a Fourth Amendment (the Fourth Amendment to the April 2016 Credit Agreement) to the Credit and Guaranty Agreement, amending the Credit and Guaranty Agreement dated as of April 29, 2016 (as previously amended, the April 2016 Credit Agreement, and the revolving credit facility established thereunder, the April 2016 Revolving Facility, the term loan facility established thereunder, the 2016 Term Loan Facility and the 2016 April Revolving Facility together with the 2016 Term Loan Facility, the April 2016 Credit Facilities). Pursuant to the Fourth Amendment to the April 2016 Credit Agreement, adjustments to the April 2016 Revolving Facility were made, including extending the maturity date from October 2022 to October 2023 for the revolver loans established thereunder and reducing the LIBOR margin from 2.25% to 2.00% and the base rate margin from 1.25% to 1.00% for certain of the lenders of the revolver loans thereunder. As of December 31, 2018, there were no borrowings or letters of credit outstanding under the April 2016 Revolving Facility.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December 2016 Credit Facilities</w:t>
      </w:r>
    </w:p>
    <w:p>
      <w:pPr>
        <w:spacing w:after="0" w:line="189"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November 2017, American and AAG entered into the First Amendment to the Amended and Restated Credit and Guaranty Agreement, amending the Amended and Restated Credit and Guaranty Agreement, dated as of December 15, 2016, pursuant to which American refinanced the $ 1.3 billion term loan facility due December 2023 established thereunder (the December 2016 Term Loan Facility, and together with a revolving credit facility that may be established thereunder in the future, the December 2016 Credit Facilities), to reduce the LIBOR margin from 2.50% to 2.00% and the base rate margin from 1.50% to 1.00%.</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Certain details of American’s 2013 Credit Facilities, 2014 Credit Facilities, April 2016 Credit Facilities and December 2016 Credit Facilities (collectively referred to as the Credit Facilities) are shown in the table below as of December 31, 2018:</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right="100"/>
        <w:spacing w:after="0"/>
        <w:rPr>
          <w:sz w:val="20"/>
          <w:szCs w:val="20"/>
          <w:color w:val="auto"/>
        </w:rPr>
      </w:pPr>
      <w:r>
        <w:rPr>
          <w:rFonts w:ascii="Arial" w:cs="Arial" w:eastAsia="Arial" w:hAnsi="Arial"/>
          <w:sz w:val="18"/>
          <w:szCs w:val="18"/>
          <w:color w:val="auto"/>
        </w:rPr>
        <w:t>Aggregate principal issued or credit facility availability (in millions)</w:t>
      </w:r>
    </w:p>
    <w:p>
      <w:pPr>
        <w:spacing w:after="0" w:line="41"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Principal outstanding or drawn (in millions)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Maturity date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LIBOR margin</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2013 Credit Facilities</w:t>
            </w:r>
          </w:p>
        </w:tc>
        <w:tc>
          <w:tcPr>
            <w:tcW w:w="120" w:type="dxa"/>
            <w:vAlign w:val="bottom"/>
          </w:tcPr>
          <w:p>
            <w:pPr>
              <w:spacing w:after="0"/>
              <w:rPr>
                <w:sz w:val="17"/>
                <w:szCs w:val="17"/>
                <w:color w:val="auto"/>
              </w:rPr>
            </w:pPr>
          </w:p>
        </w:tc>
        <w:tc>
          <w:tcPr>
            <w:tcW w:w="24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2014 Credit Facilities</w:t>
            </w:r>
          </w:p>
        </w:tc>
        <w:tc>
          <w:tcPr>
            <w:tcW w:w="100" w:type="dxa"/>
            <w:vAlign w:val="bottom"/>
          </w:tcPr>
          <w:p>
            <w:pPr>
              <w:spacing w:after="0"/>
              <w:rPr>
                <w:sz w:val="17"/>
                <w:szCs w:val="17"/>
                <w:color w:val="auto"/>
              </w:rPr>
            </w:pPr>
          </w:p>
        </w:tc>
        <w:tc>
          <w:tcPr>
            <w:tcW w:w="23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April 2016 Credit Facilities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0" w:type="dxa"/>
            <w:vAlign w:val="bottom"/>
          </w:tcPr>
          <w:p>
            <w:pPr>
              <w:spacing w:after="0"/>
              <w:rPr>
                <w:sz w:val="1"/>
                <w:szCs w:val="1"/>
                <w:color w:val="auto"/>
              </w:rPr>
            </w:pPr>
          </w:p>
        </w:tc>
      </w:tr>
      <w:tr>
        <w:trPr>
          <w:trHeight w:val="175"/>
        </w:trPr>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Replacement</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Revolving</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2014 Term</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Revolving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Revolving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 Loan</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Facility</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Loan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Loan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432"/>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$1,900</w:t>
            </w:r>
          </w:p>
        </w:tc>
        <w:tc>
          <w:tcPr>
            <w:tcW w:w="12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$1,543</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$300</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$1,250</w:t>
            </w:r>
          </w:p>
        </w:tc>
        <w:tc>
          <w:tcPr>
            <w:tcW w:w="0" w:type="dxa"/>
            <w:vAlign w:val="bottom"/>
          </w:tcPr>
          <w:p>
            <w:pPr>
              <w:spacing w:after="0"/>
              <w:rPr>
                <w:sz w:val="1"/>
                <w:szCs w:val="1"/>
                <w:color w:val="auto"/>
              </w:rPr>
            </w:pPr>
          </w:p>
        </w:tc>
      </w:tr>
      <w:tr>
        <w:trPr>
          <w:trHeight w:val="554"/>
        </w:trPr>
        <w:tc>
          <w:tcPr>
            <w:tcW w:w="1260" w:type="dxa"/>
            <w:vAlign w:val="bottom"/>
          </w:tcPr>
          <w:p>
            <w:pPr>
              <w:jc w:val="center"/>
              <w:spacing w:after="0"/>
              <w:rPr>
                <w:sz w:val="20"/>
                <w:szCs w:val="20"/>
                <w:color w:val="auto"/>
              </w:rPr>
            </w:pPr>
            <w:r>
              <w:rPr>
                <w:rFonts w:ascii="Arial" w:cs="Arial" w:eastAsia="Arial" w:hAnsi="Arial"/>
                <w:sz w:val="18"/>
                <w:szCs w:val="18"/>
                <w:color w:val="auto"/>
                <w:w w:val="98"/>
              </w:rPr>
              <w:t>$1,825</w:t>
            </w:r>
          </w:p>
        </w:tc>
        <w:tc>
          <w:tcPr>
            <w:tcW w:w="12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$980</w:t>
            </w:r>
          </w:p>
        </w:tc>
        <w:tc>
          <w:tcPr>
            <w:tcW w:w="100" w:type="dxa"/>
            <w:vAlign w:val="bottom"/>
          </w:tcPr>
          <w:p>
            <w:pPr>
              <w:spacing w:after="0"/>
              <w:rPr>
                <w:sz w:val="24"/>
                <w:szCs w:val="2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$1,225</w:t>
            </w:r>
          </w:p>
        </w:tc>
        <w:tc>
          <w:tcPr>
            <w:tcW w:w="0" w:type="dxa"/>
            <w:vAlign w:val="bottom"/>
          </w:tcPr>
          <w:p>
            <w:pPr>
              <w:spacing w:after="0"/>
              <w:rPr>
                <w:sz w:val="1"/>
                <w:szCs w:val="1"/>
                <w:color w:val="auto"/>
              </w:rPr>
            </w:pPr>
          </w:p>
        </w:tc>
      </w:tr>
      <w:tr>
        <w:trPr>
          <w:trHeight w:val="350"/>
        </w:trPr>
        <w:tc>
          <w:tcPr>
            <w:tcW w:w="13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rPr>
              <w:t>June 2025</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rPr>
              <w:t>October 2023</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8"/>
              </w:rPr>
              <w:t>October 2021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October</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April 2023</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October</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December</w:t>
            </w:r>
          </w:p>
        </w:tc>
        <w:tc>
          <w:tcPr>
            <w:tcW w:w="0" w:type="dxa"/>
            <w:vAlign w:val="bottom"/>
          </w:tcPr>
          <w:p>
            <w:pPr>
              <w:spacing w:after="0"/>
              <w:rPr>
                <w:sz w:val="1"/>
                <w:szCs w:val="1"/>
                <w:color w:val="auto"/>
              </w:rPr>
            </w:pPr>
          </w:p>
        </w:tc>
      </w:tr>
      <w:tr>
        <w:trPr>
          <w:trHeight w:val="109"/>
        </w:trPr>
        <w:tc>
          <w:tcPr>
            <w:tcW w:w="138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260" w:type="dxa"/>
            <w:vAlign w:val="bottom"/>
          </w:tcPr>
          <w:p>
            <w:pPr>
              <w:jc w:val="center"/>
              <w:spacing w:after="0"/>
              <w:rPr>
                <w:sz w:val="20"/>
                <w:szCs w:val="20"/>
                <w:color w:val="auto"/>
              </w:rPr>
            </w:pPr>
            <w:r>
              <w:rPr>
                <w:rFonts w:ascii="Arial" w:cs="Arial" w:eastAsia="Arial" w:hAnsi="Arial"/>
                <w:sz w:val="18"/>
                <w:szCs w:val="18"/>
                <w:color w:val="auto"/>
                <w:w w:val="97"/>
              </w:rPr>
              <w:t>1.75%</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2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-1156970</wp:posOffset>
            </wp:positionV>
            <wp:extent cx="7246620" cy="420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-445135</wp:posOffset>
            </wp:positionV>
            <wp:extent cx="7246620" cy="291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2460" w:space="180"/>
            <w:col w:w="8780"/>
          </w:cols>
          <w:pgMar w:left="240" w:top="549" w:right="239" w:bottom="1440" w:gutter="0" w:footer="0" w:header="0"/>
          <w:type w:val="continuous"/>
        </w:sectPr>
      </w:pPr>
    </w:p>
    <w:p>
      <w:pPr>
        <w:jc w:val="both"/>
        <w:ind w:firstLine="216"/>
        <w:spacing w:after="0" w:line="256" w:lineRule="auto"/>
        <w:rPr>
          <w:sz w:val="20"/>
          <w:szCs w:val="20"/>
          <w:color w:val="auto"/>
        </w:rPr>
      </w:pPr>
      <w:r>
        <w:rPr>
          <w:rFonts w:ascii="Arial" w:cs="Arial" w:eastAsia="Arial" w:hAnsi="Arial"/>
          <w:sz w:val="18"/>
          <w:szCs w:val="18"/>
          <w:color w:val="auto"/>
        </w:rPr>
        <w:t>The term loans under each of the Credit Facilities are repayable in annual installments in an amount equal to 1.00% of the aggregate principal amount issued, with any unpaid balance due on the respective maturity dates. Voluntary prepayments may be made by American at any time.</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2013 Revolving Facility, 2014 Revolving Facility and April 2016 Revolving Facility provide that American may from time to time borrow, repay and reborrow loans thereunder. The 2013 Revolving Facility and 2014 Revolving Facility have the ability to issue letters of credit thereunder in an aggregate amount outstanding at any time up to $100 million and $200 million, respectively. The 2013 Revolving Facility, 2014 Revolving Facility and April 2016 Revolving Facility are each subject to an undrawn annual fee of 0.63%. As of December 31, 2018, there were no borrowings or letters of credit outstanding under the 2013 Revolving Facility, 2014 Revolving Facility or April 2016 Revolving Facility. The December 2016 Credit Facilities provide for a revolving credit facility that may be established thereunder in the future.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549" w:right="239" w:bottom="1440"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Subject to certain limitations and exceptions, the Credit Facilities are secured by collateral, including certain spare parts, certain slots, certain route authorities, certain simulators and certain leasehold rights. American has the ability to make future modifications to the collateral pledged, subject to certain restrictions. American’s obligations under the Credit Facilities are guaranteed by AAG. American is required to maintain a certain minimum ratio of appraised value of the collateral to the outstanding loans as further described below in </w:t>
      </w:r>
      <w:r>
        <w:rPr>
          <w:rFonts w:ascii="Arial" w:cs="Arial" w:eastAsia="Arial" w:hAnsi="Arial"/>
          <w:sz w:val="18"/>
          <w:szCs w:val="18"/>
          <w:i w:val="1"/>
          <w:iCs w:val="1"/>
          <w:color w:val="auto"/>
        </w:rPr>
        <w:t>“Collateral-Related Covenants.”</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Credit Facilities contain events of default customary for similar financings, including cross default to other material indebtedness. Upon the occurrence of an event of default, the outstanding obligations may be accelerated and become due and payable immediately. In addition, if a “change of control” occurs, American will (absent an amendment or waiver) be required to repay at par the loans outstanding under the Credit Facilities and terminate the 2013 Revolving Facility, 2014 Revolving Facility and April 2016 Revolving Facility and any revolving credit facility established under the December 2016 Credit Facilities. The Credit Facilities also include covenants that, among other things, require AAG to maintain a minimum aggregate liquidity (as defined in the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EETCs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Below is a discussion of the 2018 aircraft financing activities resulting from EETC issuances.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2017-2 EETCs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August and October 2017, American created three pass-through trusts which issued approximately $1.0 billion aggregate face amount of Series 2017-2 Class AA, Class A and Class B EETCs (the 2017-2 EETCs) in connection with the financing of 30 aircraft delivered to American through May 2018 (the 2017-2 Aircraft). In 2017, approximately $735 million of the net proceeds were used to purchase equipment notes issued by American in connection with the financing of 24 aircraft financed under the 2017-2 EETC. During the first six months of 2018, the remaining $283 million of net proceeds was used to purchase equipment notes issued by American in connection with the financing of the remaining six aircraft financed under the 2017-2 EETCs. Interest and principal payments on equipment notes issued in connection with the 2017-2 EETCs are payable semi-annually in April and October of each year, with interest payments that began in April 2018 and principal payments that began in October 2018. These equipment notes are secured by liens on the 2017-2 Aircraft.</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information regarding the 2017-2 EETC equipment notes, as of December 31, 2018, is set forth in the table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2017-2 EETCs</w:t>
            </w:r>
          </w:p>
        </w:tc>
        <w:tc>
          <w:tcPr>
            <w:tcW w:w="16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Series 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$545 million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$252 million</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$221 million</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3.35%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3.70%</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October 2029</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2029</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October 2025</w:t>
            </w:r>
          </w:p>
        </w:tc>
      </w:tr>
      <w:tr>
        <w:trPr>
          <w:trHeight w:val="27"/>
        </w:trPr>
        <w:tc>
          <w:tcPr>
            <w:tcW w:w="64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2012-2C(R) EETCs</w:t>
      </w:r>
    </w:p>
    <w:p>
      <w:pPr>
        <w:spacing w:after="0" w:line="108" w:lineRule="exact"/>
        <w:rPr>
          <w:sz w:val="20"/>
          <w:szCs w:val="20"/>
          <w:color w:val="auto"/>
        </w:rPr>
      </w:pPr>
    </w:p>
    <w:p>
      <w:pPr>
        <w:jc w:val="both"/>
        <w:ind w:firstLine="230"/>
        <w:spacing w:after="0" w:line="256" w:lineRule="auto"/>
        <w:rPr>
          <w:sz w:val="20"/>
          <w:szCs w:val="20"/>
          <w:color w:val="auto"/>
        </w:rPr>
      </w:pPr>
      <w:r>
        <w:rPr>
          <w:rFonts w:ascii="Arial" w:cs="Arial" w:eastAsia="Arial" w:hAnsi="Arial"/>
          <w:sz w:val="18"/>
          <w:szCs w:val="18"/>
          <w:color w:val="auto"/>
        </w:rPr>
        <w:t>On May 15, 2018, American created a pass-through trust which issued $100 million aggregate face amount of the Series 2012-2 Class C(R) EETCs (the 2012-2C(R) EETCs). Interest and principal payments on equipment notes issued in connection with the 2012-2C(R) EETCs are payable semi-annually in June and December of each year, which began in December 2018.</w:t>
      </w:r>
    </w:p>
    <w:p>
      <w:pPr>
        <w:spacing w:after="0" w:line="148"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American had previously issued $100 million aggregate face amount of Series 2012-2 Class C Certificates on June 6, 2013 (the 2012-2C Certificates) in connection with the financing of 11 aircraft previously delivered to American between May 2013 and October 2013. On June 1, 2018, American redeemed the Series C Equipment Notes relating to such 2012-2C Certificates (the 2012-2C Equipment Notes), which were scheduled to mature on June 3, 2018. The proceeds received from the 2012-2C(R) EETCs were used for the redemption of the 2012-2 Series C Equipment Notes and the repayment of the 2012-2C Certificates.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2012-2 Class C(R) EETC equipment notes, as of December 31, 2018, is set forth in the table below.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549"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2012-2C(R) EETCs</w:t>
            </w:r>
          </w:p>
        </w:tc>
      </w:tr>
      <w:tr>
        <w:trPr>
          <w:trHeight w:val="210"/>
        </w:trPr>
        <w:tc>
          <w:tcPr>
            <w:tcW w:w="936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C(R)</w:t>
            </w: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 million</w:t>
            </w:r>
          </w:p>
        </w:tc>
      </w:tr>
      <w:tr>
        <w:trPr>
          <w:trHeight w:val="250"/>
        </w:trPr>
        <w:tc>
          <w:tcPr>
            <w:tcW w:w="936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4.70%</w:t>
            </w:r>
          </w:p>
        </w:tc>
      </w:tr>
      <w:tr>
        <w:trPr>
          <w:trHeight w:val="26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June 2021</w:t>
            </w:r>
          </w:p>
        </w:tc>
      </w:tr>
    </w:tbl>
    <w:p>
      <w:pPr>
        <w:spacing w:after="0" w:line="3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Equipment Loans and Other Notes Payable Issued in 2018</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2018, American entered into agreements under which it borrowed $1.5 billion in connection with the financing of certain aircraft and certain pre-delivery purchase deposits. Debt incurred under these agreements matures in 2021 through 2030 and bears interest at fixed and variable rates of LIBOR plus an applicable margin averaging 4.28% at December 31, 2018.</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Guarantees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2018, American had issued guarantees covering AAG’s $750 million aggregate principal amount of 5.50% senior notes due 2019 and $500 million aggregate principal amount of 4.625% senior notes due 2020.</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Collateral-Related Covenants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of American’s debt financing agreements contain loan to value (LTV) ratio covenants and require American to annually appraise the related collateral. Pursuant to such agreements, if the LTV ratio exceeds a specified threshold, American is required, as applicable, to pledge additional qualifying collateral (which in some cases may include cash collateral), or pay down such financing, in whole or in part.</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Specifically, American is required to meet certain collateral coverage tests on an annual basis for its Credit Facilities, as described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 Credit</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 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 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0" w:type="dxa"/>
            <w:vAlign w:val="bottom"/>
          </w:tcPr>
          <w:p>
            <w:pPr>
              <w:spacing w:after="0"/>
              <w:rPr>
                <w:sz w:val="1"/>
                <w:szCs w:val="1"/>
                <w:color w:val="auto"/>
              </w:rPr>
            </w:pPr>
          </w:p>
        </w:tc>
      </w:tr>
      <w:tr>
        <w:trPr>
          <w:trHeight w:val="21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Frequency of Appraisals</w:t>
            </w:r>
          </w:p>
        </w:tc>
        <w:tc>
          <w:tcPr>
            <w:tcW w:w="2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Annual</w:t>
            </w: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Annual</w:t>
            </w: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Annual</w:t>
            </w: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Annual</w:t>
            </w:r>
          </w:p>
        </w:tc>
        <w:tc>
          <w:tcPr>
            <w:tcW w:w="0" w:type="dxa"/>
            <w:vAlign w:val="bottom"/>
          </w:tcPr>
          <w:p>
            <w:pPr>
              <w:spacing w:after="0"/>
              <w:rPr>
                <w:sz w:val="1"/>
                <w:szCs w:val="1"/>
                <w:color w:val="auto"/>
              </w:rPr>
            </w:pPr>
          </w:p>
        </w:tc>
      </w:tr>
      <w:tr>
        <w:trPr>
          <w:trHeight w:val="122"/>
        </w:trPr>
        <w:tc>
          <w:tcPr>
            <w:tcW w:w="28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of Appraised Collateral</w:t>
            </w:r>
          </w:p>
        </w:tc>
        <w:tc>
          <w:tcPr>
            <w:tcW w:w="216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2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80" w:type="dxa"/>
            <w:vAlign w:val="bottom"/>
            <w:vMerge w:val="continue"/>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1.6x Collateral valuation</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1.6x Collateral valuation</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1.6x Collateral valuation</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1.6x Collateral valuation</w:t>
            </w:r>
          </w:p>
        </w:tc>
        <w:tc>
          <w:tcPr>
            <w:tcW w:w="0" w:type="dxa"/>
            <w:vAlign w:val="bottom"/>
          </w:tcPr>
          <w:p>
            <w:pPr>
              <w:spacing w:after="0"/>
              <w:rPr>
                <w:sz w:val="1"/>
                <w:szCs w:val="1"/>
                <w:color w:val="auto"/>
              </w:rPr>
            </w:pPr>
          </w:p>
        </w:tc>
      </w:tr>
      <w:tr>
        <w:trPr>
          <w:trHeight w:val="203"/>
        </w:trPr>
        <w:tc>
          <w:tcPr>
            <w:tcW w:w="2880" w:type="dxa"/>
            <w:vAlign w:val="bottom"/>
          </w:tcPr>
          <w:p>
            <w:pPr>
              <w:ind w:left="40"/>
              <w:spacing w:after="0" w:line="202" w:lineRule="exact"/>
              <w:rPr>
                <w:sz w:val="20"/>
                <w:szCs w:val="20"/>
                <w:color w:val="auto"/>
              </w:rPr>
            </w:pPr>
            <w:r>
              <w:rPr>
                <w:rFonts w:ascii="Arial" w:cs="Arial" w:eastAsia="Arial" w:hAnsi="Arial"/>
                <w:sz w:val="18"/>
                <w:szCs w:val="18"/>
                <w:color w:val="auto"/>
              </w:rPr>
              <w:t>LTV Requirement</w:t>
            </w:r>
          </w:p>
        </w:tc>
        <w:tc>
          <w:tcPr>
            <w:tcW w:w="21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to amount of debt</w:t>
            </w:r>
          </w:p>
        </w:tc>
        <w:tc>
          <w:tcPr>
            <w:tcW w:w="216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to amount of debt</w:t>
            </w:r>
          </w:p>
        </w:tc>
        <w:tc>
          <w:tcPr>
            <w:tcW w:w="216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to amount of debt</w:t>
            </w: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9"/>
              </w:rPr>
              <w:t>to amount of debt</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outstanding (62.5% LTV)</w:t>
            </w:r>
          </w:p>
        </w:tc>
        <w:tc>
          <w:tcPr>
            <w:tcW w:w="0" w:type="dxa"/>
            <w:vAlign w:val="bottom"/>
          </w:tcPr>
          <w:p>
            <w:pPr>
              <w:spacing w:after="0"/>
              <w:rPr>
                <w:sz w:val="1"/>
                <w:szCs w:val="1"/>
                <w:color w:val="auto"/>
              </w:rPr>
            </w:pPr>
          </w:p>
        </w:tc>
      </w:tr>
      <w:tr>
        <w:trPr>
          <w:trHeight w:val="23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LTV as of Last</w:t>
            </w: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20"/>
                <w:szCs w:val="20"/>
                <w:color w:val="auto"/>
              </w:rPr>
            </w:pP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18.8%</w:t>
            </w:r>
          </w:p>
        </w:tc>
        <w:tc>
          <w:tcPr>
            <w:tcW w:w="100" w:type="dxa"/>
            <w:vAlign w:val="bottom"/>
            <w:shd w:val="clear" w:color="auto" w:fill="CCEEFF"/>
          </w:tcPr>
          <w:p>
            <w:pPr>
              <w:spacing w:after="0"/>
              <w:rPr>
                <w:sz w:val="20"/>
                <w:szCs w:val="20"/>
                <w:color w:val="auto"/>
              </w:rPr>
            </w:pP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40.9%</w:t>
            </w:r>
          </w:p>
        </w:tc>
        <w:tc>
          <w:tcPr>
            <w:tcW w:w="100" w:type="dxa"/>
            <w:vAlign w:val="bottom"/>
            <w:shd w:val="clear" w:color="auto" w:fill="CCEEFF"/>
          </w:tcPr>
          <w:p>
            <w:pPr>
              <w:spacing w:after="0"/>
              <w:rPr>
                <w:sz w:val="20"/>
                <w:szCs w:val="20"/>
                <w:color w:val="auto"/>
              </w:rPr>
            </w:pP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57.5%</w:t>
            </w:r>
          </w:p>
        </w:tc>
        <w:tc>
          <w:tcPr>
            <w:tcW w:w="0" w:type="dxa"/>
            <w:vAlign w:val="bottom"/>
          </w:tcPr>
          <w:p>
            <w:pPr>
              <w:spacing w:after="0"/>
              <w:rPr>
                <w:sz w:val="1"/>
                <w:szCs w:val="1"/>
                <w:color w:val="auto"/>
              </w:rPr>
            </w:pPr>
          </w:p>
        </w:tc>
      </w:tr>
      <w:tr>
        <w:trPr>
          <w:trHeight w:val="109"/>
        </w:trPr>
        <w:tc>
          <w:tcPr>
            <w:tcW w:w="28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Measurement Date</w:t>
            </w:r>
          </w:p>
        </w:tc>
        <w:tc>
          <w:tcPr>
            <w:tcW w:w="2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80" w:type="dxa"/>
            <w:vAlign w:val="bottom"/>
            <w:vMerge w:val="continue"/>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Generally, certain slots,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Generally, certain</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8"/>
              </w:rPr>
              <w:t>Generally, certain slots,</w:t>
            </w: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route authorities and</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Ronald Reagan</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route authorities and</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airport gate leasehold</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Washington National</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airport gate leasehold</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rights used by American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Generally, certain spare</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Airport (DCA) slots,</w:t>
            </w:r>
          </w:p>
        </w:tc>
        <w:tc>
          <w:tcPr>
            <w:tcW w:w="0" w:type="dxa"/>
            <w:vAlign w:val="bottom"/>
          </w:tcPr>
          <w:p>
            <w:pPr>
              <w:spacing w:after="0"/>
              <w:rPr>
                <w:sz w:val="1"/>
                <w:szCs w:val="1"/>
                <w:color w:val="auto"/>
              </w:rPr>
            </w:pPr>
          </w:p>
        </w:tc>
      </w:tr>
      <w:tr>
        <w:trPr>
          <w:trHeight w:val="95"/>
        </w:trPr>
        <w:tc>
          <w:tcPr>
            <w:tcW w:w="288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Collateral Description</w:t>
            </w: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rights used by American</w:t>
            </w: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to operate certain</w:t>
            </w: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parts</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certain La Guardia</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rPr>
              <w:t>to operate all services</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services between the</w:t>
            </w: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Airport (LGA) slots,</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between the U.S. and</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U.S. and European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certain simulators and</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South America</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Union (including London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rPr>
              <w:t>certain leasehold rights</w:t>
            </w: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Heathrow)</w:t>
            </w: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2018, American was in compliance with the applicable collateral coverage tests as of the most recent measurement dates.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leases certain aircraft and engines, including aircraft under capacity purchase agreements. As of December 31, 2018, American had 660 leased aircraft, with remaining terms ranging from less than one year to 12 years.</w:t>
      </w:r>
    </w:p>
    <w:p>
      <w:pPr>
        <w:spacing w:after="0" w:line="6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At each airport where American conducts flight operations, American has agreements, generally with a governmental unit or authority, for the use of passenger, operations and baggage handling space as well as runways and taxiways. These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549"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35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agreements, particularly in the U.S., often contain provisions for periodic adjustments to rates and charges applicable under such agreements. These rates and charges also vary with American’s level of operations and the operations of the airport. Additionally, at American’s hub locations and in certain other cities it serves, American leases administrative offices, catering, cargo, training, maintenance and other facilities.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jc w:val="right"/>
              <w:ind w:right="615"/>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9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1,889</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28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63"/>
        </w:trPr>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assets</w:t>
            </w: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r>
      <w:tr>
        <w:trPr>
          <w:trHeight w:val="250"/>
        </w:trPr>
        <w:tc>
          <w:tcPr>
            <w:tcW w:w="924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280" w:type="dxa"/>
            <w:vAlign w:val="bottom"/>
          </w:tcPr>
          <w:p>
            <w:pPr>
              <w:spacing w:after="0"/>
              <w:rPr>
                <w:sz w:val="21"/>
                <w:szCs w:val="21"/>
                <w:color w:val="auto"/>
              </w:rPr>
            </w:pPr>
          </w:p>
        </w:tc>
        <w:tc>
          <w:tcPr>
            <w:tcW w:w="1900" w:type="dxa"/>
            <w:vAlign w:val="bottom"/>
          </w:tcPr>
          <w:p>
            <w:pPr>
              <w:jc w:val="right"/>
              <w:ind w:right="15"/>
              <w:spacing w:after="0"/>
              <w:rPr>
                <w:sz w:val="20"/>
                <w:szCs w:val="20"/>
                <w:color w:val="auto"/>
              </w:rPr>
            </w:pPr>
            <w:r>
              <w:rPr>
                <w:rFonts w:ascii="Arial" w:cs="Arial" w:eastAsia="Arial" w:hAnsi="Arial"/>
                <w:sz w:val="18"/>
                <w:szCs w:val="18"/>
                <w:color w:val="auto"/>
              </w:rPr>
              <w:t>48</w:t>
            </w:r>
          </w:p>
        </w:tc>
      </w:tr>
      <w:tr>
        <w:trPr>
          <w:trHeight w:val="25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2,353</w:t>
            </w:r>
          </w:p>
        </w:tc>
      </w:tr>
      <w:tr>
        <w:trPr>
          <w:trHeight w:val="257"/>
        </w:trPr>
        <w:tc>
          <w:tcPr>
            <w:tcW w:w="9240" w:type="dxa"/>
            <w:vAlign w:val="bottom"/>
          </w:tcPr>
          <w:p>
            <w:pPr>
              <w:ind w:left="40"/>
              <w:spacing w:after="0"/>
              <w:rPr>
                <w:sz w:val="20"/>
                <w:szCs w:val="20"/>
                <w:color w:val="auto"/>
              </w:rPr>
            </w:pPr>
            <w:r>
              <w:rPr>
                <w:rFonts w:ascii="Arial" w:cs="Arial" w:eastAsia="Arial" w:hAnsi="Arial"/>
                <w:sz w:val="18"/>
                <w:szCs w:val="18"/>
                <w:color w:val="auto"/>
              </w:rPr>
              <w:t>Total net lease cost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4,368</w:t>
            </w: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Included in the table above is $226 million of operating lease cost under American’s capacity purchase agreement with Republic. American holds a 25% equity interest in Republic Holdings, the parent company of Republic.</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balance sheet information related to leases was as follows (in millions, except lease term and discount rate):</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Borders>
              <w:bottom w:val="single" w:sz="8" w:color="CCEEFF"/>
            </w:tcBorders>
          </w:tcPr>
          <w:p>
            <w:pPr>
              <w:spacing w:after="0"/>
              <w:rPr>
                <w:sz w:val="17"/>
                <w:szCs w:val="17"/>
                <w:color w:val="auto"/>
              </w:rPr>
            </w:pPr>
          </w:p>
        </w:tc>
        <w:tc>
          <w:tcPr>
            <w:tcW w:w="4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4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50"/>
        </w:trPr>
        <w:tc>
          <w:tcPr>
            <w:tcW w:w="4820" w:type="dxa"/>
            <w:vAlign w:val="bottom"/>
          </w:tcPr>
          <w:p>
            <w:pPr>
              <w:ind w:left="180"/>
              <w:spacing w:after="0"/>
              <w:rPr>
                <w:sz w:val="20"/>
                <w:szCs w:val="20"/>
                <w:color w:val="auto"/>
              </w:rPr>
            </w:pPr>
            <w:r>
              <w:rPr>
                <w:rFonts w:ascii="Arial" w:cs="Arial" w:eastAsia="Arial" w:hAnsi="Arial"/>
                <w:sz w:val="18"/>
                <w:szCs w:val="18"/>
                <w:color w:val="auto"/>
              </w:rPr>
              <w:t>Operating lease ROU assets</w:t>
            </w:r>
          </w:p>
        </w:tc>
        <w:tc>
          <w:tcPr>
            <w:tcW w:w="4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1"/>
              <w:spacing w:after="0"/>
              <w:rPr>
                <w:sz w:val="20"/>
                <w:szCs w:val="20"/>
                <w:color w:val="auto"/>
              </w:rPr>
            </w:pPr>
            <w:r>
              <w:rPr>
                <w:rFonts w:ascii="Arial" w:cs="Arial" w:eastAsia="Arial" w:hAnsi="Arial"/>
                <w:sz w:val="18"/>
                <w:szCs w:val="18"/>
                <w:color w:val="auto"/>
              </w:rPr>
              <w:t>9,094</w:t>
            </w:r>
          </w:p>
        </w:tc>
      </w:tr>
      <w:tr>
        <w:trPr>
          <w:trHeight w:val="331"/>
        </w:trPr>
        <w:tc>
          <w:tcPr>
            <w:tcW w:w="4820" w:type="dxa"/>
            <w:vAlign w:val="bottom"/>
            <w:shd w:val="clear" w:color="auto" w:fill="CCEEFF"/>
          </w:tcPr>
          <w:p>
            <w:pPr>
              <w:spacing w:after="0"/>
              <w:rPr>
                <w:sz w:val="24"/>
                <w:szCs w:val="24"/>
                <w:color w:val="auto"/>
              </w:rPr>
            </w:pPr>
          </w:p>
        </w:tc>
        <w:tc>
          <w:tcPr>
            <w:tcW w:w="4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50"/>
        </w:trPr>
        <w:tc>
          <w:tcPr>
            <w:tcW w:w="482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4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right"/>
              <w:ind w:right="91"/>
              <w:spacing w:after="0"/>
              <w:rPr>
                <w:sz w:val="20"/>
                <w:szCs w:val="20"/>
                <w:color w:val="auto"/>
              </w:rPr>
            </w:pPr>
            <w:r>
              <w:rPr>
                <w:rFonts w:ascii="Arial" w:cs="Arial" w:eastAsia="Arial" w:hAnsi="Arial"/>
                <w:sz w:val="18"/>
                <w:szCs w:val="18"/>
                <w:color w:val="auto"/>
              </w:rPr>
              <w:t>1,639</w:t>
            </w:r>
          </w:p>
        </w:tc>
      </w:tr>
      <w:tr>
        <w:trPr>
          <w:trHeight w:val="257"/>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43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7,857</w:t>
            </w:r>
          </w:p>
        </w:tc>
      </w:tr>
      <w:tr>
        <w:trPr>
          <w:trHeight w:val="297"/>
        </w:trPr>
        <w:tc>
          <w:tcPr>
            <w:tcW w:w="4820" w:type="dxa"/>
            <w:vAlign w:val="bottom"/>
          </w:tcPr>
          <w:p>
            <w:pPr>
              <w:ind w:left="280"/>
              <w:spacing w:after="0"/>
              <w:rPr>
                <w:sz w:val="20"/>
                <w:szCs w:val="20"/>
                <w:color w:val="auto"/>
              </w:rPr>
            </w:pPr>
            <w:r>
              <w:rPr>
                <w:rFonts w:ascii="Arial" w:cs="Arial" w:eastAsia="Arial" w:hAnsi="Arial"/>
                <w:sz w:val="18"/>
                <w:szCs w:val="18"/>
                <w:color w:val="auto"/>
              </w:rPr>
              <w:t>Total operating lease liabilities</w:t>
            </w:r>
          </w:p>
        </w:tc>
        <w:tc>
          <w:tcPr>
            <w:tcW w:w="4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1"/>
              <w:spacing w:after="0"/>
              <w:rPr>
                <w:sz w:val="20"/>
                <w:szCs w:val="20"/>
                <w:color w:val="auto"/>
              </w:rPr>
            </w:pPr>
            <w:r>
              <w:rPr>
                <w:rFonts w:ascii="Arial" w:cs="Arial" w:eastAsia="Arial" w:hAnsi="Arial"/>
                <w:sz w:val="18"/>
                <w:szCs w:val="18"/>
                <w:color w:val="auto"/>
              </w:rPr>
              <w:t>9,496</w:t>
            </w:r>
          </w:p>
        </w:tc>
      </w:tr>
      <w:tr>
        <w:trPr>
          <w:trHeight w:val="305"/>
        </w:trPr>
        <w:tc>
          <w:tcPr>
            <w:tcW w:w="4820" w:type="dxa"/>
            <w:vAlign w:val="bottom"/>
            <w:tcBorders>
              <w:top w:val="single" w:sz="8" w:color="CCEEFF"/>
            </w:tcBorders>
            <w:shd w:val="clear" w:color="auto" w:fill="CCEEFF"/>
          </w:tcPr>
          <w:p>
            <w:pPr>
              <w:spacing w:after="0"/>
              <w:rPr>
                <w:sz w:val="24"/>
                <w:szCs w:val="24"/>
                <w:color w:val="auto"/>
              </w:rPr>
            </w:pPr>
          </w:p>
        </w:tc>
        <w:tc>
          <w:tcPr>
            <w:tcW w:w="434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960" w:type="dxa"/>
            <w:vAlign w:val="bottom"/>
            <w:tcBorders>
              <w:top w:val="single" w:sz="8" w:color="auto"/>
            </w:tcBorders>
            <w:shd w:val="clear" w:color="auto" w:fill="CCEEFF"/>
          </w:tcPr>
          <w:p>
            <w:pPr>
              <w:spacing w:after="0"/>
              <w:rPr>
                <w:sz w:val="24"/>
                <w:szCs w:val="24"/>
                <w:color w:val="auto"/>
              </w:rPr>
            </w:pPr>
          </w:p>
        </w:tc>
      </w:tr>
      <w:tr>
        <w:trPr>
          <w:trHeight w:val="263"/>
        </w:trPr>
        <w:tc>
          <w:tcPr>
            <w:tcW w:w="482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4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at cost</w:t>
            </w:r>
          </w:p>
        </w:tc>
        <w:tc>
          <w:tcPr>
            <w:tcW w:w="4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936</w:t>
            </w:r>
          </w:p>
        </w:tc>
      </w:tr>
      <w:tr>
        <w:trPr>
          <w:trHeight w:val="250"/>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amortization</w:t>
            </w:r>
          </w:p>
        </w:tc>
        <w:tc>
          <w:tcPr>
            <w:tcW w:w="43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(391)</w:t>
            </w:r>
          </w:p>
        </w:tc>
      </w:tr>
      <w:tr>
        <w:trPr>
          <w:trHeight w:val="257"/>
        </w:trPr>
        <w:tc>
          <w:tcPr>
            <w:tcW w:w="4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4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545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8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7"/>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obligations of finance leases</w:t>
            </w:r>
          </w:p>
        </w:tc>
        <w:tc>
          <w:tcPr>
            <w:tcW w:w="4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81</w:t>
            </w:r>
          </w:p>
        </w:tc>
      </w:tr>
      <w:tr>
        <w:trPr>
          <w:trHeight w:val="250"/>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Finance leases, net of current obligations</w:t>
            </w:r>
          </w:p>
        </w:tc>
        <w:tc>
          <w:tcPr>
            <w:tcW w:w="43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613</w:t>
            </w:r>
          </w:p>
        </w:tc>
      </w:tr>
      <w:tr>
        <w:trPr>
          <w:trHeight w:val="257"/>
        </w:trPr>
        <w:tc>
          <w:tcPr>
            <w:tcW w:w="4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finance lease liabilities</w:t>
            </w:r>
          </w:p>
        </w:tc>
        <w:tc>
          <w:tcPr>
            <w:tcW w:w="4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694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8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4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50"/>
        </w:trPr>
        <w:tc>
          <w:tcPr>
            <w:tcW w:w="482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4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right"/>
              <w:ind w:right="91"/>
              <w:spacing w:after="0"/>
              <w:rPr>
                <w:sz w:val="20"/>
                <w:szCs w:val="20"/>
                <w:color w:val="auto"/>
              </w:rPr>
            </w:pPr>
            <w:r>
              <w:rPr>
                <w:rFonts w:ascii="Arial" w:cs="Arial" w:eastAsia="Arial" w:hAnsi="Arial"/>
                <w:sz w:val="18"/>
                <w:szCs w:val="18"/>
                <w:color w:val="auto"/>
              </w:rPr>
              <w:t>7.6</w:t>
            </w:r>
          </w:p>
        </w:tc>
      </w:tr>
      <w:tr>
        <w:trPr>
          <w:trHeight w:val="263"/>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43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7.4</w:t>
            </w:r>
          </w:p>
        </w:tc>
      </w:tr>
      <w:tr>
        <w:trPr>
          <w:trHeight w:val="324"/>
        </w:trPr>
        <w:tc>
          <w:tcPr>
            <w:tcW w:w="48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4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50"/>
        </w:trPr>
        <w:tc>
          <w:tcPr>
            <w:tcW w:w="482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4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3"/>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43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459"/>
        </w:trPr>
        <w:tc>
          <w:tcPr>
            <w:tcW w:w="4820" w:type="dxa"/>
            <w:vAlign w:val="bottom"/>
          </w:tcPr>
          <w:p>
            <w:pPr>
              <w:spacing w:after="0"/>
              <w:rPr>
                <w:sz w:val="24"/>
                <w:szCs w:val="24"/>
                <w:color w:val="auto"/>
              </w:rPr>
            </w:pPr>
          </w:p>
        </w:tc>
        <w:tc>
          <w:tcPr>
            <w:tcW w:w="4340" w:type="dxa"/>
            <w:vAlign w:val="bottom"/>
          </w:tcPr>
          <w:p>
            <w:pPr>
              <w:jc w:val="right"/>
              <w:ind w:right="3210"/>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cash flow and other information related to leases was as follows (in millions):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jc w:val="right"/>
              <w:ind w:right="553"/>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69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50"/>
        </w:trPr>
        <w:tc>
          <w:tcPr>
            <w:tcW w:w="696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1,914</w:t>
            </w:r>
          </w:p>
        </w:tc>
      </w:tr>
      <w:tr>
        <w:trPr>
          <w:trHeight w:val="263"/>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30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r>
      <w:tr>
        <w:trPr>
          <w:trHeight w:val="250"/>
        </w:trPr>
        <w:tc>
          <w:tcPr>
            <w:tcW w:w="696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331"/>
        </w:trPr>
        <w:tc>
          <w:tcPr>
            <w:tcW w:w="6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ROU assets obtained in exchange for lease liabilities:</w:t>
            </w:r>
          </w:p>
        </w:tc>
        <w:tc>
          <w:tcPr>
            <w:tcW w:w="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63"/>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1,258</w:t>
            </w:r>
          </w:p>
        </w:tc>
      </w:tr>
      <w:tr>
        <w:trPr>
          <w:trHeight w:val="324"/>
        </w:trPr>
        <w:tc>
          <w:tcPr>
            <w:tcW w:w="6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sale leaseback transactions, net</w:t>
            </w:r>
          </w:p>
        </w:tc>
        <w:tc>
          <w:tcPr>
            <w:tcW w:w="30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r>
      <w:tr>
        <w:trPr>
          <w:trHeight w:val="378"/>
        </w:trPr>
        <w:tc>
          <w:tcPr>
            <w:tcW w:w="6960" w:type="dxa"/>
            <w:vAlign w:val="bottom"/>
          </w:tcPr>
          <w:p>
            <w:pPr>
              <w:ind w:left="260"/>
              <w:spacing w:after="0"/>
              <w:rPr>
                <w:sz w:val="20"/>
                <w:szCs w:val="20"/>
                <w:color w:val="auto"/>
              </w:rPr>
            </w:pPr>
            <w:r>
              <w:rPr>
                <w:rFonts w:ascii="Arial" w:cs="Arial" w:eastAsia="Arial" w:hAnsi="Arial"/>
                <w:sz w:val="18"/>
                <w:szCs w:val="18"/>
                <w:color w:val="auto"/>
              </w:rPr>
              <w:t>Maturities of lease liabilities were as follows (in millions):</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723"/>
        </w:trPr>
        <w:tc>
          <w:tcPr>
            <w:tcW w:w="6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6"/>
          </w:tcPr>
          <w:p>
            <w:pPr>
              <w:jc w:val="right"/>
              <w:ind w:right="1473"/>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6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80" w:type="dxa"/>
            <w:vAlign w:val="bottom"/>
            <w:gridSpan w:val="2"/>
          </w:tcPr>
          <w:p>
            <w:pPr>
              <w:ind w:left="18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jc w:val="right"/>
              <w:ind w:right="473"/>
              <w:spacing w:after="0"/>
              <w:rPr>
                <w:sz w:val="20"/>
                <w:szCs w:val="20"/>
                <w:color w:val="auto"/>
              </w:rPr>
            </w:pPr>
            <w:r>
              <w:rPr>
                <w:rFonts w:ascii="Arial" w:cs="Arial" w:eastAsia="Arial" w:hAnsi="Arial"/>
                <w:sz w:val="14"/>
                <w:szCs w:val="14"/>
                <w:b w:val="1"/>
                <w:bCs w:val="1"/>
                <w:color w:val="auto"/>
              </w:rPr>
              <w:t>Finance Leases</w:t>
            </w:r>
          </w:p>
        </w:tc>
      </w:tr>
      <w:tr>
        <w:trPr>
          <w:trHeight w:val="256"/>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2"/>
                <w:szCs w:val="22"/>
                <w:color w:val="auto"/>
              </w:rPr>
            </w:pPr>
          </w:p>
        </w:tc>
        <w:tc>
          <w:tcPr>
            <w:tcW w:w="1880" w:type="dxa"/>
            <w:vAlign w:val="bottom"/>
          </w:tcPr>
          <w:p>
            <w:pPr>
              <w:jc w:val="right"/>
              <w:ind w:right="33"/>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120</w:t>
            </w:r>
          </w:p>
        </w:tc>
      </w:tr>
      <w:tr>
        <w:trPr>
          <w:trHeight w:val="27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2"/>
                <w:szCs w:val="22"/>
                <w:color w:val="auto"/>
              </w:rPr>
            </w:pPr>
          </w:p>
        </w:tc>
        <w:tc>
          <w:tcPr>
            <w:tcW w:w="1880" w:type="dxa"/>
            <w:vAlign w:val="bottom"/>
          </w:tcPr>
          <w:p>
            <w:pPr>
              <w:jc w:val="right"/>
              <w:ind w:right="33"/>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122</w:t>
            </w:r>
          </w:p>
        </w:tc>
      </w:tr>
      <w:tr>
        <w:trPr>
          <w:trHeight w:val="27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2024 and thereafter</w:t>
            </w: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3,611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282</w:t>
            </w:r>
          </w:p>
        </w:tc>
      </w:tr>
      <w:tr>
        <w:trPr>
          <w:trHeight w:val="25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871</w:t>
            </w: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5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obligations</w:t>
            </w:r>
          </w:p>
        </w:tc>
        <w:tc>
          <w:tcPr>
            <w:tcW w:w="30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9,496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694</w:t>
            </w: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obligations</w:t>
            </w: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57"/>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613</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As of December 31, 2018, American has additional operating lease commitments that have not yet commenced of approximately $1.9 billion for 22 787-8 aircraft to be delivered in 2020 and 2021 with lease terms of 10 years.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549"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Disclosures related to periods prior to adoption of the New Lease Standard</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Operating lease rent expense, excluding landing fees, was approximately $3.2 billion and $3.1 billion in 2017 and 2016, respectively, which includes the lease of certain aircraft under capacity purchase agreements. As of December 31, 2017, future minimum lease payment obligations under noncancellable operating leases, including payments for the lease of certain aircraft under capacity purchase agreements, as well as payments under capital lease obligations were as follows (in millions):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December 31, 2017</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2,555</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gridSpan w:val="3"/>
          </w:tcPr>
          <w:p>
            <w:pPr>
              <w:jc w:val="right"/>
              <w:ind w:right="28"/>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2,096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gridSpan w:val="3"/>
          </w:tcPr>
          <w:p>
            <w:pPr>
              <w:jc w:val="right"/>
              <w:ind w:right="28"/>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1,394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2023 and thereafter</w:t>
            </w:r>
          </w:p>
        </w:tc>
        <w:tc>
          <w:tcPr>
            <w:tcW w:w="4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3,952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13,931</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Imputed interest</w:t>
            </w:r>
          </w:p>
        </w:tc>
        <w:tc>
          <w:tcPr>
            <w:tcW w:w="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line="20" w:lineRule="exact"/>
              <w:rPr>
                <w:sz w:val="1"/>
                <w:szCs w:val="1"/>
                <w:color w:val="auto"/>
              </w:rPr>
            </w:pPr>
          </w:p>
        </w:tc>
      </w:tr>
      <w:tr>
        <w:trPr>
          <w:trHeight w:val="244"/>
        </w:trPr>
        <w:tc>
          <w:tcPr>
            <w:tcW w:w="6740" w:type="dxa"/>
            <w:vAlign w:val="bottom"/>
            <w:tcBorders>
              <w:bottom w:val="single" w:sz="8" w:color="CCEEFF"/>
            </w:tcBorders>
            <w:vMerge w:val="continue"/>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obligations</w:t>
            </w:r>
          </w:p>
        </w:tc>
        <w:tc>
          <w:tcPr>
            <w:tcW w:w="4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Less: Current obligations</w:t>
            </w: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6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4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Income Taxes</w:t>
            </w:r>
          </w:p>
        </w:tc>
        <w:tc>
          <w:tcPr>
            <w:tcW w:w="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tcPr>
          <w:p>
            <w:pPr>
              <w:ind w:left="220"/>
              <w:spacing w:after="0"/>
              <w:rPr>
                <w:sz w:val="20"/>
                <w:szCs w:val="20"/>
                <w:color w:val="auto"/>
              </w:rPr>
            </w:pPr>
            <w:r>
              <w:rPr>
                <w:rFonts w:ascii="Arial" w:cs="Arial" w:eastAsia="Arial" w:hAnsi="Arial"/>
                <w:sz w:val="18"/>
                <w:szCs w:val="18"/>
                <w:color w:val="auto"/>
              </w:rPr>
              <w:t>The significant components of the income tax provision were (in millions):</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7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provision:</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4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60" w:type="dxa"/>
            <w:vAlign w:val="bottom"/>
            <w:gridSpan w:val="3"/>
          </w:tcPr>
          <w:p>
            <w:pPr>
              <w:jc w:val="right"/>
              <w:ind w:right="70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4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Current income tax provision</w:t>
            </w: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w:t>
            </w: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Local</w:t>
            </w:r>
          </w:p>
        </w:tc>
        <w:tc>
          <w:tcPr>
            <w:tcW w:w="4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income tax provision</w:t>
            </w: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2,246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provision</w:t>
            </w:r>
          </w:p>
        </w:tc>
        <w:tc>
          <w:tcPr>
            <w:tcW w:w="4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60" w:type="dxa"/>
            <w:vAlign w:val="bottom"/>
            <w:gridSpan w:val="3"/>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5560"/>
              <w:spacing w:after="0"/>
              <w:rPr>
                <w:sz w:val="20"/>
                <w:szCs w:val="20"/>
                <w:color w:val="auto"/>
              </w:rPr>
            </w:pPr>
            <w:r>
              <w:rPr>
                <w:rFonts w:ascii="Arial" w:cs="Arial" w:eastAsia="Arial" w:hAnsi="Arial"/>
                <w:sz w:val="18"/>
                <w:szCs w:val="18"/>
                <w:color w:val="auto"/>
              </w:rPr>
              <w:t>153</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7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income tax provision differed from amounts computed at the statutory federal income tax rate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income tax provision</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1,504</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tax effect</w:t>
            </w:r>
          </w:p>
        </w:tc>
        <w:tc>
          <w:tcPr>
            <w:tcW w:w="1000" w:type="dxa"/>
            <w:vAlign w:val="bottom"/>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61</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income taxes, net of federal tax effect</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Book expenses not deductible for tax purposes</w:t>
            </w:r>
          </w:p>
        </w:tc>
        <w:tc>
          <w:tcPr>
            <w:tcW w:w="1000" w:type="dxa"/>
            <w:vAlign w:val="bottom"/>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Bankruptcy administration expenses</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2017 Tax Act</w:t>
            </w:r>
          </w:p>
        </w:tc>
        <w:tc>
          <w:tcPr>
            <w:tcW w:w="1000" w:type="dxa"/>
            <w:vAlign w:val="bottom"/>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r>
      <w:tr>
        <w:trPr>
          <w:trHeight w:val="25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provides a valuation allowance for its deferred tax assets, which include the net operating losses (NOLs),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level and volatility of fuel prices and travel demand.</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total decrease to the valuation allowance was $6 million in 2018. In 2017, the total increase to the valuation allowance was $12 million, $8 million of which is included in the 2017 Tax Act amount in the table above. In 2016, the total decrease to the valuation allowance was $1 million.</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American’s deferred tax assets and liabilities were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Operating loss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2,409</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Pensions</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1,549</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Loyalty program liability</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1,809</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Alternative minimum tax (AMT) credit carryforwards</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457</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Postretirement benefits other than pensions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Rent expense</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160</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Reorganization items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64"/>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638</w:t>
            </w:r>
          </w:p>
        </w:tc>
      </w:tr>
      <w:tr>
        <w:trPr>
          <w:trHeight w:val="257"/>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8,920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7,334</w:t>
            </w:r>
          </w:p>
        </w:tc>
      </w:tr>
      <w:tr>
        <w:trPr>
          <w:trHeight w:val="264"/>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5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8,901</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7,309</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4"/>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2,036</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420"/>
          </w:cols>
          <w:pgMar w:left="240" w:top="549" w:right="239" w:bottom="1440"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67" w:lineRule="auto"/>
        <w:rPr>
          <w:sz w:val="20"/>
          <w:szCs w:val="20"/>
          <w:color w:val="auto"/>
        </w:rPr>
      </w:pPr>
      <w:r>
        <w:rPr>
          <w:rFonts w:ascii="Arial" w:cs="Arial" w:eastAsia="Arial" w:hAnsi="Arial"/>
          <w:sz w:val="17"/>
          <w:szCs w:val="17"/>
          <w:color w:val="auto"/>
        </w:rPr>
        <w:t xml:space="preserve">At December 31, 2018, American had approximately $ 10.6 billion of federal NOLs carried over from prior taxable years (NOL Carryforwards) to reduce future federal taxable income, substantially all of which American expects to be available for use in 2019. American is a member of AAG’s consolidated federal and certain state income tax returns. The amount of federal NOL Carryforwards available in those returns is $10.2 billion, substantially all of which is expected to be available for use in 2019. The federal NOL Carryforwards will expire beginning in 2022 if unused. American also had approximately $ 3.1 billion of NOL Carryforwards to reduce future state taxable income at December 31, 2018, which will expire in years 2019 through 2038 if unused. American’s ability to deduct its NOL Carryforwards and to utilize certain other available tax attributes can be substantially constrained under the general annual limitation rules of Section 382 where an “ownership change” has occurred. Substantially all of American’s remaining federal NOL Carryforwards attributable to US Airways Group are subject to limitation under Section 382; however, American’s ability to utilize such NOL Carryforwards is not anticipated to be effectively constrained as a result of such limitation. American elected to be covered by certain special rules for federal income tax purposes that permitted approximately $9.5 billion (with $8.6 billion of unlimited NOL still remaining at December 31, 2018) of its federal NOL Carryforwards to be utilized without regard to the annual limitation generally imposed by Section 382. Similar limitations may apply for state income tax purposes. American’s ability to utilize any new NOL Carryforwards arising after the ownership changes is not affected by the annual limitation rules imposed by Section 382 unless another future ownership change occurs. Under the Section 382 limitation, cumulative stock ownership changes among material stockholders exceeding 50% during a rolling three-year period can potentially limit a company’s future use of NOLs and tax credits. See Part I, Item 1A. Risk Factors – </w:t>
      </w:r>
      <w:r>
        <w:rPr>
          <w:rFonts w:ascii="Arial" w:cs="Arial" w:eastAsia="Arial" w:hAnsi="Arial"/>
          <w:sz w:val="17"/>
          <w:szCs w:val="17"/>
          <w:i w:val="1"/>
          <w:iCs w:val="1"/>
          <w:color w:val="auto"/>
        </w:rPr>
        <w:t>“Our ability to utilize our NOL Carryforwards may be limited”</w:t>
      </w:r>
      <w:r>
        <w:rPr>
          <w:rFonts w:ascii="Arial" w:cs="Arial" w:eastAsia="Arial" w:hAnsi="Arial"/>
          <w:sz w:val="17"/>
          <w:szCs w:val="17"/>
          <w:color w:val="auto"/>
        </w:rPr>
        <w:t xml:space="preserve"> for unaudited additional discussion of this risk.</w:t>
      </w:r>
    </w:p>
    <w:p>
      <w:pPr>
        <w:spacing w:after="0" w:line="357"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At December 31, 2018, American had an AMT credit carryforward of approximately $452 million available for federal income tax purposes, which is now expected to be fully refundable over the next several years as a result of the repeal of corporate AMT.</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2018, American recorded an income tax provision of $534 million, with an effective rate of approximately 24%, which was substantially non-cash. American’s income tax provision included an $18 million special income tax charge related to an international income tax matter. Substantially all of American’s income before income taxes is attributable to the United States.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is part of the AAG consolidated income tax return. American files its tax returns as prescribed by the tax laws of the jurisdictions in which it operates. American’s 2015 through 2017 tax years are still subject to examination by the Internal Revenue Service. Various state and foreign jurisdiction tax years remain open to examination and American is under examination, in administrative appeals, or engaged in tax litigation in certain jurisdictions. American believes that the effect of any assessments will not be material to its consolidated financial statements.</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amount of, and changes to, American’s uncertain tax positions were not material in any of the years presented. American accrues interest and penalties related to unrecognized tax benefits in interest expense and operating expense, respectively.</w:t>
      </w:r>
    </w:p>
    <w:p>
      <w:pPr>
        <w:spacing w:after="0" w:line="14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2017 Tax Act was enacted on December 22, 2017. The 2017 Tax Act is the most comprehensive tax change in more than 30 years. American has completed its evaluation of the 2017 Tax Act and American has reflected the impact of its effects, including the impact of lower corporate income tax rates (21% vs. 35%) on its deferred tax assets and liabilities and the one-time transition tax on earnings of certain foreign subsidiaries that were previously tax deferred. For the year ended December 31, 2017, American recognized a special income tax provision of $924 million to reflect these impacts of the 2017 Tax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Risk Management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economic prospects are heavily dependent upon two variables it cannot control: the health of the economy and the price of fuel.</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American’s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American’s competitors, all of which in turn have had, and may have in the future, a negative effect on American’s business. In addition, during challenging economic times, actions by its competitors to increase their revenues can have an adverse impact on American’s revenues.</w:t>
      </w:r>
    </w:p>
    <w:p>
      <w:pPr>
        <w:spacing w:after="0" w:line="15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operating results are materially impacted by changes in the availability, price volatility and cost of aircraft fuel, which represents one of the largest single cost items in American’s business. Market prices for jet fuel have fluctuated substantially over the past several years and prices continue to be highly volatile. Because of the amount of fuel needed 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549"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operate American’s business, even a relatively small increase or decrease in the price of fuel can have a material effect on American’s operating results and liquidity.</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These additional factors could impact American’s results of operations, financial performance and liquidity:</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Credit Risk</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Most of American’s receivables relate to tickets sold to individual passengers through the use of major credit cards or to tickets sold by other airlines and used by passengers on American. These receivables are short-term, mostly settled within seven days after sale. Bad debt losses, which have been minimal in the past, have been considered in establishing allowances for doubtful accounts. American does not believe it is subject to any significant concentration of credit risk.</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Interest Rate Risk</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has exposure to market risk associated with changes in interest rates related primarily to its variable rate debt obligations. Interest rates on $9.9 billion principal amount of long-term debt as of December 31, 2018 are subject to adjustment to reflect changes in floating interest rates. The weighted average effective interest rate on American’s variable rate debt was 4.3% at December 31, 2018. American does not currently have an interest rate hedge program.</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Foreign Currency Risk</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American is exposed to the effect of foreign exchange rate fluctuations on the U.S. dollar value of foreign currency-denominated operating revenues and expenses. American’s largest exposure comes from the British pound, Euro, Canadian dollar and various Latin American currencies, primarily the Brazilian real. American does not currently have a foreign currency hedge program. See Part 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unaudited additional discussion of this risk.</w:t>
      </w:r>
    </w:p>
    <w:p>
      <w:pPr>
        <w:spacing w:after="0" w:line="214" w:lineRule="exact"/>
        <w:rPr>
          <w:sz w:val="20"/>
          <w:szCs w:val="20"/>
          <w:color w:val="auto"/>
        </w:rPr>
      </w:pPr>
    </w:p>
    <w:p>
      <w:pPr>
        <w:ind w:left="220" w:right="6760" w:hanging="212"/>
        <w:spacing w:after="0" w:line="378" w:lineRule="auto"/>
        <w:tabs>
          <w:tab w:leader="none" w:pos="254"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16"/>
        <w:spacing w:after="0" w:line="253"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97"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11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3 – Unobservable inputs in which there is little or no market data, which require the reporting entity to develop its own assumptions.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When available, American uses quoted market prices to determine the fair value of its financial assets. If quoted market prices are not available, American measures fair value using valuation techniques that use, when possible, current market-based or independently-sourced market parameters, such as interest rates and currency rates.</w:t>
      </w:r>
    </w:p>
    <w:p>
      <w:pPr>
        <w:spacing w:after="0" w:line="6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year ended December 31, 2018.</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549"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21"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Fair Value Measurements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26035</wp:posOffset>
            </wp:positionV>
            <wp:extent cx="39789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44"/>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25"/>
        </w:trPr>
        <w:tc>
          <w:tcPr>
            <w:tcW w:w="2120" w:type="dxa"/>
            <w:vAlign w:val="bottom"/>
            <w:tcBorders>
              <w:bottom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Unrealized gains or losses on short-term investments are recorded in accumulated other comprehensive loss at each measurement date.</w:t>
      </w:r>
    </w:p>
    <w:p>
      <w:pPr>
        <w:spacing w:after="0" w:line="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All short-term investments are classified as available-for-sale and stated at fair value. American’s short-term investments mature in one year or less except for $877 million of bank notes/certificates of deposit/time deposits and $101 million of corporate obligations.</w:t>
      </w:r>
    </w:p>
    <w:p>
      <w:pPr>
        <w:spacing w:after="0" w:line="6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Long-term investments primarily include American's equity investment in China Southern Airlines, in which American presently owns a 2.2% equity interest, and are classified in other assets on the consolidated balance sheets.</w:t>
      </w:r>
    </w:p>
    <w:p>
      <w:pPr>
        <w:spacing w:after="0" w:line="130" w:lineRule="exact"/>
        <w:rPr>
          <w:sz w:val="20"/>
          <w:szCs w:val="20"/>
          <w:color w:val="auto"/>
        </w:rPr>
      </w:pPr>
    </w:p>
    <w:p>
      <w:pPr>
        <w:sectPr>
          <w:pgSz w:w="11900" w:h="16838" w:orient="portrait"/>
          <w:cols w:equalWidth="0" w:num="2">
            <w:col w:w="140" w:space="400"/>
            <w:col w:w="10880"/>
          </w:cols>
          <w:pgMar w:left="240" w:top="549" w:right="239" w:bottom="1440" w:gutter="0" w:footer="0" w:header="0"/>
          <w:type w:val="continuous"/>
        </w:sectPr>
      </w:pPr>
    </w:p>
    <w:p>
      <w:pPr>
        <w:ind w:left="6580"/>
        <w:spacing w:after="0"/>
        <w:rPr>
          <w:sz w:val="20"/>
          <w:szCs w:val="20"/>
          <w:color w:val="auto"/>
        </w:rPr>
      </w:pPr>
      <w:r>
        <w:rPr>
          <w:rFonts w:ascii="Arial" w:cs="Arial" w:eastAsia="Arial" w:hAnsi="Arial"/>
          <w:sz w:val="14"/>
          <w:szCs w:val="14"/>
          <w:b w:val="1"/>
          <w:bCs w:val="1"/>
          <w:color w:val="auto"/>
        </w:rPr>
        <w:t>Fair Value Measurements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26035</wp:posOffset>
            </wp:positionV>
            <wp:extent cx="39789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Repurchase agreements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4,582</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4,792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25"/>
        </w:trPr>
        <w:tc>
          <w:tcPr>
            <w:tcW w:w="2120" w:type="dxa"/>
            <w:vAlign w:val="bottom"/>
            <w:tcBorders>
              <w:bottom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42" w:lineRule="exact"/>
        <w:rPr>
          <w:sz w:val="20"/>
          <w:szCs w:val="20"/>
          <w:color w:val="auto"/>
        </w:rPr>
      </w:pPr>
    </w:p>
    <w:p>
      <w:pPr>
        <w:ind w:left="660" w:hanging="652"/>
        <w:spacing w:after="0" w:line="225" w:lineRule="auto"/>
        <w:tabs>
          <w:tab w:leader="none" w:pos="66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are recorded in accumulated other comprehensive loss at each measurement date.</w:t>
      </w:r>
    </w:p>
    <w:p>
      <w:pPr>
        <w:spacing w:after="0" w:line="81" w:lineRule="exact"/>
        <w:rPr>
          <w:rFonts w:ascii="Arial" w:cs="Arial" w:eastAsia="Arial" w:hAnsi="Arial"/>
          <w:sz w:val="22"/>
          <w:szCs w:val="22"/>
          <w:color w:val="auto"/>
          <w:vertAlign w:val="superscript"/>
        </w:rPr>
      </w:pPr>
    </w:p>
    <w:p>
      <w:pPr>
        <w:ind w:left="660" w:hanging="652"/>
        <w:spacing w:after="0" w:line="225" w:lineRule="auto"/>
        <w:tabs>
          <w:tab w:leader="none" w:pos="66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American’s short-term investments mature in one year or less except for $700 million of bank notes/certificates of deposit/time deposits and $341 million of corporate obligations.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549" w:right="239" w:bottom="1440" w:gutter="0" w:footer="0" w:header="0"/>
          <w:type w:val="continuous"/>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2017</w:t>
            </w:r>
          </w:p>
        </w:tc>
      </w:tr>
      <w:tr>
        <w:trPr>
          <w:trHeight w:val="175"/>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Fair</w:t>
            </w:r>
          </w:p>
        </w:tc>
      </w:tr>
      <w:tr>
        <w:trPr>
          <w:trHeight w:val="196"/>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Value</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22,497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23,165</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American sponsors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American’s defined benefit pension plans were frozen and American began providing enhanced benefits under its defined contribution pension plans for certain employee groups. American uses a December 31 measurement date for all of its defined benefit pension plans. American also provides certain retiree medical and other postretirement benefits, including health care and life insurance benefits, to retired employees. Effective November 1, 2012, American modified its retiree medical and other postretirement benefits plans to eliminate the company subsidy for employees who retire on or after November 1, 2012. As a result of modifications to its retiree medical and other postretirement benefits plans in 2012, American recognized a negative plan amendment of $ 1.9 billion, which is included as a component of prior service benefit in accumulated other comprehensive income (loss) (AOCI) and will be amortized over the future service life of the active plan participants for whom the benefit was eliminated, or approximately eight years. As of December 31, 2018, $390 million of prior service benefit remains to be amortized.</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Obligations, Fair Value of Plan Assets and Funded Status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following tables provide a reconciliation of the changes in the pension and retiree medical and other postretirement benefits obligations, fair value of plan assets and a statement of funded status as of December 31, 2018 and 2017:</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18,175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17,148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8"/>
                <w:szCs w:val="18"/>
                <w:color w:val="auto"/>
              </w:rPr>
              <w:t xml:space="preserve">Actuarial (gain) loss </w:t>
            </w:r>
            <w:r>
              <w:rPr>
                <w:rFonts w:ascii="Arial" w:cs="Arial" w:eastAsia="Arial" w:hAnsi="Arial"/>
                <w:sz w:val="21"/>
                <w:szCs w:val="21"/>
                <w:color w:val="auto"/>
                <w:vertAlign w:val="superscript"/>
              </w:rPr>
              <w:t>(1) (2)</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Benefit payments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Benefit obligation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16,282</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18,175</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11,340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9,968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Employer contributions </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Benefit payments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period</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Funded status at end of period</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(6,281)</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December 31, 2018 and 2017 pension actuarial (gain) loss primarily relates to changes in American’s weighted average discount rate and mortality assumptions and, in 2018, changes to American’s retirement rate assumptions.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December 31, 2018 and 2017 retiree medical and other postretirement benefits actuarial (gain) loss primarily</w:t>
      </w:r>
    </w:p>
    <w:p>
      <w:pPr>
        <w:spacing w:after="0" w:line="200" w:lineRule="exact"/>
        <w:rPr>
          <w:sz w:val="20"/>
          <w:szCs w:val="20"/>
          <w:color w:val="auto"/>
        </w:rPr>
      </w:pPr>
    </w:p>
    <w:p>
      <w:pPr>
        <w:sectPr>
          <w:pgSz w:w="11900" w:h="16838" w:orient="portrait"/>
          <w:cols w:equalWidth="0" w:num="2">
            <w:col w:w="140" w:space="400"/>
            <w:col w:w="10880"/>
          </w:cols>
          <w:pgMar w:left="240" w:top="549" w:right="2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420"/>
          </w:cols>
          <w:pgMar w:left="240" w:top="549" w:right="239" w:bottom="1440" w:gutter="0" w:footer="0" w:header="0"/>
          <w:type w:val="continuous"/>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ind w:left="540"/>
        <w:spacing w:after="0" w:line="309" w:lineRule="auto"/>
        <w:rPr>
          <w:sz w:val="20"/>
          <w:szCs w:val="20"/>
          <w:color w:val="auto"/>
        </w:rPr>
      </w:pPr>
      <w:r>
        <w:rPr>
          <w:rFonts w:ascii="Arial" w:cs="Arial" w:eastAsia="Arial" w:hAnsi="Arial"/>
          <w:sz w:val="18"/>
          <w:szCs w:val="18"/>
          <w:color w:val="auto"/>
        </w:rPr>
        <w:t>relates to weighted average discount rate assumption changes and, in 2018, changes to American’s medical trend and per capita claim assumptions.</w:t>
      </w:r>
    </w:p>
    <w:p>
      <w:pPr>
        <w:spacing w:after="0" w:line="61" w:lineRule="exact"/>
        <w:rPr>
          <w:sz w:val="20"/>
          <w:szCs w:val="20"/>
          <w:color w:val="auto"/>
        </w:rPr>
      </w:pPr>
    </w:p>
    <w:p>
      <w:pPr>
        <w:jc w:val="both"/>
        <w:ind w:left="540" w:hanging="532"/>
        <w:spacing w:after="0" w:line="233" w:lineRule="auto"/>
        <w:tabs>
          <w:tab w:leader="none" w:pos="540" w:val="left"/>
        </w:tabs>
        <w:numPr>
          <w:ilvl w:val="0"/>
          <w:numId w:val="66"/>
        </w:numPr>
        <w:rPr>
          <w:rFonts w:ascii="Arial" w:cs="Arial" w:eastAsia="Arial" w:hAnsi="Arial"/>
          <w:sz w:val="22"/>
          <w:szCs w:val="22"/>
          <w:color w:val="auto"/>
          <w:vertAlign w:val="superscript"/>
        </w:rPr>
      </w:pPr>
      <w:r>
        <w:rPr>
          <w:rFonts w:ascii="Arial" w:cs="Arial" w:eastAsia="Arial" w:hAnsi="Arial"/>
          <w:sz w:val="18"/>
          <w:szCs w:val="18"/>
          <w:color w:val="auto"/>
        </w:rPr>
        <w:t>During 2018, American contributed $472 million to its defined benefit pension plans, including supplemental contributions of $433 million in addition to a $39 million minimum required contribution. During 2017, American contributed $286 million to its defined benefit pension plans, including supplemental contributions of $261 million in addition to a $25 million minimum required contribution.</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Balance Sheet Position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8"/>
          </w:tcPr>
          <w:p>
            <w:pPr>
              <w:jc w:val="center"/>
              <w:ind w:right="713"/>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7"/>
          </w:tcPr>
          <w:p>
            <w:pPr>
              <w:jc w:val="right"/>
              <w:ind w:right="137"/>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11"/>
          </w:tcPr>
          <w:p>
            <w:pPr>
              <w:jc w:val="center"/>
              <w:ind w:right="393"/>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4"/>
          </w:tcPr>
          <w:p>
            <w:pPr>
              <w:jc w:val="center"/>
              <w:ind w:right="39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 of December 31,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Current liability</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2"/>
                <w:szCs w:val="22"/>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700" w:type="dxa"/>
            <w:vAlign w:val="bottom"/>
            <w:gridSpan w:val="3"/>
          </w:tcPr>
          <w:p>
            <w:pPr>
              <w:jc w:val="right"/>
              <w:ind w:right="29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7"/>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liability</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6,274</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4"/>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6,281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actuarial loss (gain)</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5,341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3"/>
                <w:szCs w:val="23"/>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700" w:type="dxa"/>
            <w:vAlign w:val="bottom"/>
            <w:gridSpan w:val="3"/>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Prior service cost (benefit)</w:t>
            </w:r>
          </w:p>
        </w:tc>
        <w:tc>
          <w:tcPr>
            <w:tcW w:w="2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5"/>
        </w:trPr>
        <w:tc>
          <w:tcPr>
            <w:tcW w:w="500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 (income), pre-</w:t>
            </w: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5,472</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8"/>
                <w:szCs w:val="18"/>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0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18"/>
                <w:szCs w:val="18"/>
                <w:color w:val="auto"/>
              </w:rPr>
            </w:pPr>
          </w:p>
        </w:tc>
        <w:tc>
          <w:tcPr>
            <w:tcW w:w="500" w:type="dxa"/>
            <w:vAlign w:val="bottom"/>
            <w:vMerge w:val="restart"/>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4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7"/>
        </w:trPr>
        <w:tc>
          <w:tcPr>
            <w:tcW w:w="4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tax</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vMerge w:val="continue"/>
            <w:shd w:val="clear" w:color="auto" w:fill="CCEEFF"/>
          </w:tcPr>
          <w:p>
            <w:pPr>
              <w:spacing w:after="0"/>
              <w:rPr>
                <w:sz w:val="18"/>
                <w:szCs w:val="18"/>
                <w:color w:val="auto"/>
              </w:rPr>
            </w:pPr>
          </w:p>
        </w:tc>
        <w:tc>
          <w:tcPr>
            <w:tcW w:w="1120" w:type="dxa"/>
            <w:vAlign w:val="bottom"/>
            <w:tcBorders>
              <w:bottom w:val="single" w:sz="8" w:color="auto"/>
            </w:tcBorders>
            <w:gridSpan w:val="4"/>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7300" w:type="dxa"/>
            <w:vAlign w:val="bottom"/>
            <w:gridSpan w:val="14"/>
          </w:tcPr>
          <w:p>
            <w:pPr>
              <w:ind w:left="180"/>
              <w:spacing w:after="0"/>
              <w:rPr>
                <w:sz w:val="20"/>
                <w:szCs w:val="20"/>
                <w:color w:val="auto"/>
              </w:rPr>
            </w:pPr>
            <w:r>
              <w:rPr>
                <w:rFonts w:ascii="Arial" w:cs="Arial" w:eastAsia="Arial" w:hAnsi="Arial"/>
                <w:sz w:val="18"/>
                <w:szCs w:val="18"/>
                <w:b w:val="1"/>
                <w:bCs w:val="1"/>
                <w:i w:val="1"/>
                <w:iCs w:val="1"/>
                <w:color w:val="auto"/>
              </w:rPr>
              <w:t>Plans with Accumulated Benefit Obligations Exceeding Fair Value of Plan Assets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8"/>
          </w:tcPr>
          <w:p>
            <w:pPr>
              <w:jc w:val="center"/>
              <w:ind w:right="713"/>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7"/>
          </w:tcPr>
          <w:p>
            <w:pPr>
              <w:jc w:val="right"/>
              <w:ind w:right="137"/>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11"/>
          </w:tcPr>
          <w:p>
            <w:pPr>
              <w:jc w:val="center"/>
              <w:ind w:right="393"/>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4"/>
          </w:tcPr>
          <w:p>
            <w:pPr>
              <w:jc w:val="center"/>
              <w:ind w:right="39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16,254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18,144</w:t>
            </w:r>
          </w:p>
        </w:tc>
        <w:tc>
          <w:tcPr>
            <w:tcW w:w="700" w:type="dxa"/>
            <w:vAlign w:val="bottom"/>
            <w:gridSpan w:val="3"/>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Accumulated benefit obligation (ABO)</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16,246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18,135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Accumulated postretirement benefit obligation</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6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Fair value of plan assets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9,971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11,307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7"/>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ABO less fair value of plan assets</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6,275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1"/>
        </w:trPr>
        <w:tc>
          <w:tcPr>
            <w:tcW w:w="40" w:type="dxa"/>
            <w:vAlign w:val="bottom"/>
          </w:tcPr>
          <w:p>
            <w:pPr>
              <w:spacing w:after="0"/>
              <w:rPr>
                <w:sz w:val="24"/>
                <w:szCs w:val="24"/>
                <w:color w:val="auto"/>
              </w:rPr>
            </w:pPr>
          </w:p>
        </w:tc>
        <w:tc>
          <w:tcPr>
            <w:tcW w:w="380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Net Periodic Benefit Cost (Income)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8"/>
          </w:tcPr>
          <w:p>
            <w:pPr>
              <w:jc w:val="center"/>
              <w:spacing w:after="0"/>
              <w:rPr>
                <w:sz w:val="20"/>
                <w:szCs w:val="20"/>
                <w:color w:val="auto"/>
              </w:rPr>
            </w:pPr>
            <w:r>
              <w:rPr>
                <w:rFonts w:ascii="Arial" w:cs="Arial" w:eastAsia="Arial" w:hAnsi="Arial"/>
                <w:sz w:val="14"/>
                <w:szCs w:val="14"/>
                <w:b w:val="1"/>
                <w:bCs w:val="1"/>
                <w:color w:val="auto"/>
              </w:rPr>
              <w:t>Retiree Medical and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12"/>
          </w:tcPr>
          <w:p>
            <w:pPr>
              <w:jc w:val="center"/>
              <w:ind w:right="473"/>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center"/>
              <w:ind w:left="11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600" w:type="dxa"/>
            <w:vAlign w:val="bottom"/>
            <w:gridSpan w:val="3"/>
          </w:tcPr>
          <w:p>
            <w:pPr>
              <w:jc w:val="right"/>
              <w:ind w:right="182"/>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320" w:type="dxa"/>
            <w:vAlign w:val="bottom"/>
            <w:gridSpan w:val="3"/>
          </w:tcPr>
          <w:p>
            <w:pPr>
              <w:jc w:val="center"/>
              <w:ind w:left="62"/>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22"/>
                <w:szCs w:val="22"/>
                <w:color w:val="auto"/>
              </w:rPr>
            </w:pP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3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Expected return on assets</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3"/>
              </w:rPr>
              <w:t>(21)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3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Settlements</w:t>
            </w:r>
          </w:p>
        </w:tc>
        <w:tc>
          <w:tcPr>
            <w:tcW w:w="2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Prior service cost (benefit)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Unrecognized net loss (gain)</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140</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(23)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20" w:type="dxa"/>
            <w:vAlign w:val="bottom"/>
            <w:gridSpan w:val="3"/>
            <w:shd w:val="clear" w:color="auto" w:fill="CCEEFF"/>
          </w:tcPr>
          <w:p>
            <w:pPr>
              <w:jc w:val="center"/>
              <w:ind w:left="62"/>
              <w:spacing w:after="0"/>
              <w:rPr>
                <w:sz w:val="20"/>
                <w:szCs w:val="20"/>
                <w:color w:val="auto"/>
              </w:rPr>
            </w:pPr>
            <w:r>
              <w:rPr>
                <w:rFonts w:ascii="Arial" w:cs="Arial" w:eastAsia="Arial" w:hAnsi="Arial"/>
                <w:sz w:val="18"/>
                <w:szCs w:val="18"/>
                <w:color w:val="auto"/>
                <w:w w:val="99"/>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The components of net periodic benefit income other than the service cost component are included in nonoperating other income, net in American’s consolidated statements of operations.</w:t>
      </w:r>
    </w:p>
    <w:p>
      <w:pPr>
        <w:sectPr>
          <w:pgSz w:w="11900" w:h="16838" w:orient="portrait"/>
          <w:cols w:equalWidth="0" w:num="1">
            <w:col w:w="11420"/>
          </w:cols>
          <w:pgMar w:left="240" w:top="549"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420"/>
          </w:cols>
          <w:pgMar w:left="240" w:top="549" w:right="239" w:bottom="1440" w:gutter="0" w:footer="0" w:header="0"/>
          <w:type w:val="continuous"/>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estimated amount of unrecognized actuarial net loss and prior service cost for the defined benefit pension plans that will be amortized from AOCI into net periodic benefit cost over the next fiscal year is $181 million.</w:t>
      </w:r>
    </w:p>
    <w:p>
      <w:pPr>
        <w:spacing w:after="0" w:line="14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The estimated amount of unrecognized actuarial net gain and prior service benefit for the retiree medical and other postretirement benefits plans that will be amortized from AOCI into net periodic benefit cost over the next fiscal year is $269 million.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Assumptions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following actuarial assumptions were used to determine American’s benefit obligations and net periodic benefit cost for the periods presented:</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Benefit obligations: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Net periodic benefit cost: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Weighted average expected rate of return on plan assets</w:t>
      </w:r>
    </w:p>
    <w:p>
      <w:pPr>
        <w:spacing w:after="0" w:line="75" w:lineRule="exact"/>
        <w:rPr>
          <w:sz w:val="20"/>
          <w:szCs w:val="20"/>
          <w:color w:val="auto"/>
        </w:rPr>
      </w:pPr>
    </w:p>
    <w:p>
      <w:pPr>
        <w:ind w:left="200" w:right="140" w:hanging="161"/>
        <w:spacing w:after="0" w:line="268" w:lineRule="auto"/>
        <w:rPr>
          <w:sz w:val="20"/>
          <w:szCs w:val="20"/>
          <w:color w:val="auto"/>
        </w:rPr>
      </w:pPr>
      <w:r>
        <w:rPr>
          <w:rFonts w:ascii="Arial" w:cs="Arial" w:eastAsia="Arial" w:hAnsi="Arial"/>
          <w:sz w:val="18"/>
          <w:szCs w:val="18"/>
          <w:color w:val="auto"/>
        </w:rPr>
        <w:t xml:space="preserve">Weighted average health care cost trend rate assumed for next year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379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26035</wp:posOffset>
            </wp:positionV>
            <wp:extent cx="2109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380"/>
        <w:spacing w:after="0"/>
        <w:tabs>
          <w:tab w:leader="none" w:pos="20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26035</wp:posOffset>
            </wp:positionV>
            <wp:extent cx="7246620"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5" w:lineRule="exact"/>
        <w:rPr>
          <w:sz w:val="20"/>
          <w:szCs w:val="20"/>
          <w:color w:val="auto"/>
        </w:rPr>
      </w:pPr>
    </w:p>
    <w:p>
      <w:pPr>
        <w:ind w:left="280"/>
        <w:spacing w:after="0"/>
        <w:tabs>
          <w:tab w:leader="none" w:pos="1980"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8"/>
          <w:szCs w:val="18"/>
          <w:color w:val="auto"/>
        </w:rPr>
        <w:t>3.80%</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26035</wp:posOffset>
            </wp:positionV>
            <wp:extent cx="2109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100"/>
        <w:spacing w:after="0"/>
        <w:tabs>
          <w:tab w:leader="none" w:pos="1220" w:val="left"/>
          <w:tab w:leader="none" w:pos="23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26035</wp:posOffset>
            </wp:positionV>
            <wp:extent cx="7246620"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5" w:lineRule="exact"/>
        <w:rPr>
          <w:sz w:val="20"/>
          <w:szCs w:val="20"/>
          <w:color w:val="auto"/>
        </w:rPr>
      </w:pPr>
    </w:p>
    <w:p>
      <w:pPr>
        <w:spacing w:after="0"/>
        <w:tabs>
          <w:tab w:leader="none" w:pos="1140" w:val="left"/>
          <w:tab w:leader="none" w:pos="2260" w:val="left"/>
        </w:tabs>
        <w:rPr>
          <w:sz w:val="20"/>
          <w:szCs w:val="20"/>
          <w:color w:val="auto"/>
        </w:rPr>
      </w:pPr>
      <w:r>
        <w:rPr>
          <w:rFonts w:ascii="Arial" w:cs="Arial" w:eastAsia="Arial" w:hAnsi="Arial"/>
          <w:sz w:val="18"/>
          <w:szCs w:val="18"/>
          <w:color w:val="auto"/>
        </w:rPr>
        <w:t>3.80%</w:t>
      </w:r>
      <w:r>
        <w:rPr>
          <w:sz w:val="20"/>
          <w:szCs w:val="20"/>
          <w:color w:val="auto"/>
        </w:rPr>
        <w:tab/>
      </w: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14605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140" w:val="left"/>
          <w:tab w:leader="none" w:pos="2260" w:val="left"/>
        </w:tabs>
        <w:rPr>
          <w:sz w:val="20"/>
          <w:szCs w:val="20"/>
          <w:color w:val="auto"/>
        </w:rPr>
      </w:pPr>
      <w:r>
        <w:rPr>
          <w:rFonts w:ascii="Arial" w:cs="Arial" w:eastAsia="Arial" w:hAnsi="Arial"/>
          <w:sz w:val="18"/>
          <w:szCs w:val="18"/>
          <w:color w:val="auto"/>
        </w:rPr>
        <w:t>8.00%</w:t>
      </w:r>
      <w:r>
        <w:rPr>
          <w:sz w:val="20"/>
          <w:szCs w:val="20"/>
          <w:color w:val="auto"/>
        </w:rPr>
        <w:tab/>
      </w:r>
      <w:r>
        <w:rPr>
          <w:rFonts w:ascii="Arial" w:cs="Arial" w:eastAsia="Arial" w:hAnsi="Arial"/>
          <w:sz w:val="18"/>
          <w:szCs w:val="18"/>
          <w:color w:val="auto"/>
        </w:rPr>
        <w:t>8.00%</w:t>
      </w:r>
      <w:r>
        <w:rPr>
          <w:sz w:val="20"/>
          <w:szCs w:val="20"/>
          <w:color w:val="auto"/>
        </w:rPr>
        <w:tab/>
      </w:r>
      <w:r>
        <w:rPr>
          <w:rFonts w:ascii="Arial" w:cs="Arial" w:eastAsia="Arial" w:hAnsi="Arial"/>
          <w:sz w:val="18"/>
          <w:szCs w:val="18"/>
          <w:color w:val="auto"/>
        </w:rPr>
        <w:t>8.00%</w:t>
      </w:r>
    </w:p>
    <w:p>
      <w:pPr>
        <w:spacing w:after="0" w:line="252" w:lineRule="exact"/>
        <w:rPr>
          <w:sz w:val="20"/>
          <w:szCs w:val="20"/>
          <w:color w:val="auto"/>
        </w:rPr>
      </w:pPr>
    </w:p>
    <w:p>
      <w:pPr>
        <w:ind w:left="100"/>
        <w:spacing w:after="0"/>
        <w:tabs>
          <w:tab w:leader="none" w:pos="1240" w:val="left"/>
          <w:tab w:leader="none" w:pos="2380" w:val="left"/>
        </w:tabs>
        <w:rPr>
          <w:sz w:val="20"/>
          <w:szCs w:val="20"/>
          <w:color w:val="auto"/>
        </w:rPr>
      </w:pP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Retiree Medical and</w:t>
      </w:r>
    </w:p>
    <w:p>
      <w:pPr>
        <w:spacing w:after="0" w:line="1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14605</wp:posOffset>
            </wp:positionV>
            <wp:extent cx="2092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p>
      <w:pPr>
        <w:ind w:left="380"/>
        <w:spacing w:after="0"/>
        <w:tabs>
          <w:tab w:leader="none" w:pos="20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365" w:lineRule="exact"/>
        <w:rPr>
          <w:sz w:val="20"/>
          <w:szCs w:val="20"/>
          <w:color w:val="auto"/>
        </w:rPr>
      </w:pPr>
    </w:p>
    <w:p>
      <w:pPr>
        <w:ind w:left="280"/>
        <w:spacing w:after="0"/>
        <w:tabs>
          <w:tab w:leader="none" w:pos="196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3.60%</w:t>
      </w:r>
    </w:p>
    <w:p>
      <w:pPr>
        <w:spacing w:after="0" w:line="172"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Retiree Medical and</w:t>
      </w:r>
    </w:p>
    <w:p>
      <w:pPr>
        <w:spacing w:after="0" w:line="1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14605</wp:posOffset>
            </wp:positionV>
            <wp:extent cx="2092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p>
      <w:pPr>
        <w:ind w:left="100"/>
        <w:spacing w:after="0"/>
        <w:tabs>
          <w:tab w:leader="none" w:pos="1220" w:val="left"/>
          <w:tab w:leader="none" w:pos="23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365"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18"/>
          <w:szCs w:val="18"/>
          <w:color w:val="auto"/>
        </w:rPr>
        <w:t>3.60%</w:t>
      </w:r>
      <w:r>
        <w:rPr>
          <w:sz w:val="20"/>
          <w:szCs w:val="20"/>
          <w:color w:val="auto"/>
        </w:rPr>
        <w:tab/>
      </w: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4.42%</w:t>
      </w:r>
    </w:p>
    <w:p>
      <w:pPr>
        <w:spacing w:after="0" w:line="63"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18"/>
          <w:szCs w:val="18"/>
          <w:color w:val="auto"/>
        </w:rPr>
        <w:t>8.00%</w:t>
      </w:r>
      <w:r>
        <w:rPr>
          <w:sz w:val="20"/>
          <w:szCs w:val="20"/>
          <w:color w:val="auto"/>
        </w:rPr>
        <w:tab/>
      </w:r>
      <w:r>
        <w:rPr>
          <w:rFonts w:ascii="Arial" w:cs="Arial" w:eastAsia="Arial" w:hAnsi="Arial"/>
          <w:sz w:val="18"/>
          <w:szCs w:val="18"/>
          <w:color w:val="auto"/>
        </w:rPr>
        <w:t>8.00%</w:t>
      </w:r>
      <w:r>
        <w:rPr>
          <w:sz w:val="20"/>
          <w:szCs w:val="20"/>
          <w:color w:val="auto"/>
        </w:rPr>
        <w:tab/>
      </w:r>
      <w:r>
        <w:rPr>
          <w:rFonts w:ascii="Arial" w:cs="Arial" w:eastAsia="Arial" w:hAnsi="Arial"/>
          <w:sz w:val="17"/>
          <w:szCs w:val="17"/>
          <w:color w:val="auto"/>
        </w:rPr>
        <w:t>8.00%</w:t>
      </w:r>
    </w:p>
    <w:p>
      <w:pPr>
        <w:spacing w:after="0" w:line="252"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8"/>
          <w:szCs w:val="18"/>
          <w:color w:val="auto"/>
        </w:rPr>
        <w:t>4.19%</w:t>
      </w:r>
      <w:r>
        <w:rPr>
          <w:sz w:val="20"/>
          <w:szCs w:val="20"/>
          <w:color w:val="auto"/>
        </w:rPr>
        <w:tab/>
      </w:r>
      <w:r>
        <w:rPr>
          <w:rFonts w:ascii="Arial" w:cs="Arial" w:eastAsia="Arial" w:hAnsi="Arial"/>
          <w:sz w:val="17"/>
          <w:szCs w:val="17"/>
          <w:color w:val="auto"/>
        </w:rPr>
        <w:t>4.25%</w:t>
      </w:r>
    </w:p>
    <w:p>
      <w:pPr>
        <w:spacing w:after="0" w:line="291" w:lineRule="exact"/>
        <w:rPr>
          <w:sz w:val="20"/>
          <w:szCs w:val="20"/>
          <w:color w:val="auto"/>
        </w:rPr>
      </w:pPr>
    </w:p>
    <w:p>
      <w:pPr>
        <w:sectPr>
          <w:pgSz w:w="11900" w:h="16838" w:orient="portrait"/>
          <w:cols w:equalWidth="0" w:num="3">
            <w:col w:w="4560" w:space="400"/>
            <w:col w:w="2800" w:space="620"/>
            <w:col w:w="3040"/>
          </w:cols>
          <w:pgMar w:left="240" w:top="549" w:right="239" w:bottom="1440" w:gutter="0" w:footer="0" w:header="0"/>
          <w:type w:val="continuous"/>
        </w:sectPr>
      </w:pPr>
    </w:p>
    <w:p>
      <w:pPr>
        <w:spacing w:after="0" w:line="245" w:lineRule="exact"/>
        <w:rPr>
          <w:sz w:val="20"/>
          <w:szCs w:val="20"/>
          <w:color w:val="auto"/>
        </w:rPr>
      </w:pPr>
    </w:p>
    <w:p>
      <w:pPr>
        <w:ind w:left="660" w:hanging="652"/>
        <w:spacing w:after="0" w:line="225" w:lineRule="auto"/>
        <w:tabs>
          <w:tab w:leader="none" w:pos="660" w:val="left"/>
        </w:tabs>
        <w:numPr>
          <w:ilvl w:val="0"/>
          <w:numId w:val="67"/>
        </w:numPr>
        <w:rPr>
          <w:rFonts w:ascii="Arial" w:cs="Arial" w:eastAsia="Arial" w:hAnsi="Arial"/>
          <w:sz w:val="22"/>
          <w:szCs w:val="22"/>
          <w:color w:val="auto"/>
          <w:vertAlign w:val="superscript"/>
        </w:rPr>
      </w:pPr>
      <w:r>
        <w:rPr>
          <w:rFonts w:ascii="Arial" w:cs="Arial" w:eastAsia="Arial" w:hAnsi="Arial"/>
          <w:sz w:val="18"/>
          <w:szCs w:val="18"/>
          <w:color w:val="auto"/>
        </w:rPr>
        <w:t>The weighted average health care cost trend rate at December 31, 2018 is assumed to decline gradually to 3.45% by 2026 and remain level thereafter.</w:t>
      </w:r>
    </w:p>
    <w:p>
      <w:pPr>
        <w:spacing w:after="0" w:line="16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December 31, 2018, American’s estimate of the long-term rate of return on plan assets was 8%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ten years, current and expected market conditions, and expected value to be generated through active management and securities lending programs.</w:t>
      </w:r>
    </w:p>
    <w:p>
      <w:pPr>
        <w:spacing w:after="0" w:line="150"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 one percentage point change in the assumed health care cost trend rates would have the following effects on American’s retiree medical and other postretirement benefits plans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1% Increase</w:t>
            </w:r>
          </w:p>
        </w:tc>
        <w:tc>
          <w:tcPr>
            <w:tcW w:w="180" w:type="dxa"/>
            <w:vAlign w:val="bottom"/>
          </w:tcPr>
          <w:p>
            <w:pPr>
              <w:spacing w:after="0"/>
              <w:rPr>
                <w:sz w:val="17"/>
                <w:szCs w:val="17"/>
                <w:color w:val="auto"/>
              </w:rPr>
            </w:pPr>
          </w:p>
        </w:tc>
        <w:tc>
          <w:tcPr>
            <w:tcW w:w="1200" w:type="dxa"/>
            <w:vAlign w:val="bottom"/>
          </w:tcPr>
          <w:p>
            <w:pPr>
              <w:jc w:val="right"/>
              <w:ind w:right="156"/>
              <w:spacing w:after="0"/>
              <w:rPr>
                <w:sz w:val="20"/>
                <w:szCs w:val="20"/>
                <w:color w:val="auto"/>
              </w:rPr>
            </w:pPr>
            <w:r>
              <w:rPr>
                <w:rFonts w:ascii="Arial" w:cs="Arial" w:eastAsia="Arial" w:hAnsi="Arial"/>
                <w:sz w:val="14"/>
                <w:szCs w:val="14"/>
                <w:b w:val="1"/>
                <w:bCs w:val="1"/>
                <w:color w:val="auto"/>
              </w:rPr>
              <w:t>1% Decrease</w:t>
            </w:r>
          </w:p>
        </w:tc>
      </w:tr>
      <w:tr>
        <w:trPr>
          <w:trHeight w:val="256"/>
        </w:trPr>
        <w:tc>
          <w:tcPr>
            <w:tcW w:w="8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on 2018 service and interest cost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Increase (decrease) on benefit obligation as of December 31, 2018</w:t>
            </w:r>
          </w:p>
        </w:tc>
        <w:tc>
          <w:tcPr>
            <w:tcW w:w="200" w:type="dxa"/>
            <w:vAlign w:val="bottom"/>
          </w:tcPr>
          <w:p>
            <w:pPr>
              <w:spacing w:after="0"/>
              <w:rPr>
                <w:sz w:val="22"/>
                <w:szCs w:val="22"/>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3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Minimum Contributions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is required to make minimum contributions to its defined benefit pension plans under the minimum funding requirements of the Employee Retirement Income Security Act of 1974 (ERISA) and various other laws for U.S. based plans as well as underfunding rules specific to countries where American maintains defined benefit plans. Based on current funding assumptions, American has minimum required contributions of $780 million for 2019. American expects to make supplemental contributions of $21 million to its U.S. based defined benefit pension plans in 2019. American’s funding obligations will depend on the performance of American’s investments held in trust by the pension plans, interest rates for determining liabilities, the amount of and timing of any supplemental contributions and American’s actuarial experience.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549" w:right="239" w:bottom="144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(approximately,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2024-2028</w:t>
            </w:r>
          </w:p>
        </w:tc>
      </w:tr>
      <w:tr>
        <w:trPr>
          <w:trHeight w:val="256"/>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benefits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4,891</w:t>
            </w: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280</w:t>
            </w:r>
          </w:p>
        </w:tc>
      </w:tr>
    </w:tbl>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Plan Assets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objectives of American’s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Based on these investment objectives, a long-term strategic asset allocation has been established. This strategic allocation seeks to balance the potential benefit of improving funded position with the potential risk that the funded position would decline. The current strategic target asset allocation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Class/Sub-Class</w:t>
            </w:r>
          </w:p>
        </w:tc>
        <w:tc>
          <w:tcPr>
            <w:tcW w:w="19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Allowed Range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0"/>
        </w:trPr>
        <w:tc>
          <w:tcPr>
            <w:tcW w:w="9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- 85%</w:t>
            </w:r>
          </w:p>
        </w:tc>
      </w:tr>
      <w:tr>
        <w:trPr>
          <w:trHeight w:val="243"/>
        </w:trPr>
        <w:tc>
          <w:tcPr>
            <w:tcW w:w="40" w:type="dxa"/>
            <w:vAlign w:val="bottom"/>
          </w:tcPr>
          <w:p>
            <w:pPr>
              <w:spacing w:after="0"/>
              <w:rPr>
                <w:sz w:val="21"/>
                <w:szCs w:val="21"/>
                <w:color w:val="auto"/>
              </w:rPr>
            </w:pPr>
          </w:p>
        </w:tc>
        <w:tc>
          <w:tcPr>
            <w:tcW w:w="9440" w:type="dxa"/>
            <w:vAlign w:val="bottom"/>
            <w:gridSpan w:val="2"/>
          </w:tcPr>
          <w:p>
            <w:pPr>
              <w:ind w:left="140"/>
              <w:spacing w:after="0"/>
              <w:rPr>
                <w:sz w:val="20"/>
                <w:szCs w:val="20"/>
                <w:color w:val="auto"/>
              </w:rPr>
            </w:pPr>
            <w:r>
              <w:rPr>
                <w:rFonts w:ascii="Arial" w:cs="Arial" w:eastAsia="Arial" w:hAnsi="Arial"/>
                <w:sz w:val="18"/>
                <w:szCs w:val="18"/>
                <w:color w:val="auto"/>
              </w:rPr>
              <w:t>Public:</w:t>
            </w:r>
          </w:p>
        </w:tc>
        <w:tc>
          <w:tcPr>
            <w:tcW w:w="14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Large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w:t>
            </w:r>
          </w:p>
        </w:tc>
      </w:tr>
      <w:tr>
        <w:trPr>
          <w:trHeight w:val="250"/>
        </w:trPr>
        <w:tc>
          <w:tcPr>
            <w:tcW w:w="40" w:type="dxa"/>
            <w:vAlign w:val="bottom"/>
          </w:tcPr>
          <w:p>
            <w:pPr>
              <w:spacing w:after="0"/>
              <w:rPr>
                <w:sz w:val="21"/>
                <w:szCs w:val="21"/>
                <w:color w:val="auto"/>
              </w:rPr>
            </w:pPr>
          </w:p>
        </w:tc>
        <w:tc>
          <w:tcPr>
            <w:tcW w:w="9440" w:type="dxa"/>
            <w:vAlign w:val="bottom"/>
            <w:gridSpan w:val="2"/>
          </w:tcPr>
          <w:p>
            <w:pPr>
              <w:ind w:left="240"/>
              <w:spacing w:after="0"/>
              <w:rPr>
                <w:sz w:val="20"/>
                <w:szCs w:val="20"/>
                <w:color w:val="auto"/>
              </w:rPr>
            </w:pPr>
            <w:r>
              <w:rPr>
                <w:rFonts w:ascii="Arial" w:cs="Arial" w:eastAsia="Arial" w:hAnsi="Arial"/>
                <w:sz w:val="18"/>
                <w:szCs w:val="18"/>
                <w:color w:val="auto"/>
              </w:rPr>
              <w:t>U.S. Small/Mid</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63"/>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w:t>
            </w:r>
          </w:p>
        </w:tc>
      </w:tr>
      <w:tr>
        <w:trPr>
          <w:trHeight w:val="250"/>
        </w:trPr>
        <w:tc>
          <w:tcPr>
            <w:tcW w:w="40" w:type="dxa"/>
            <w:vAlign w:val="bottom"/>
          </w:tcPr>
          <w:p>
            <w:pPr>
              <w:spacing w:after="0"/>
              <w:rPr>
                <w:sz w:val="21"/>
                <w:szCs w:val="21"/>
                <w:color w:val="auto"/>
              </w:rPr>
            </w:pPr>
          </w:p>
        </w:tc>
        <w:tc>
          <w:tcPr>
            <w:tcW w:w="9440" w:type="dxa"/>
            <w:vAlign w:val="bottom"/>
            <w:gridSpan w:val="2"/>
          </w:tcPr>
          <w:p>
            <w:pPr>
              <w:ind w:left="240"/>
              <w:spacing w:after="0"/>
              <w:rPr>
                <w:sz w:val="20"/>
                <w:szCs w:val="20"/>
                <w:color w:val="auto"/>
              </w:rPr>
            </w:pPr>
            <w:r>
              <w:rPr>
                <w:rFonts w:ascii="Arial" w:cs="Arial" w:eastAsia="Arial" w:hAnsi="Arial"/>
                <w:sz w:val="18"/>
                <w:szCs w:val="18"/>
                <w:color w:val="auto"/>
              </w:rPr>
              <w:t>Emerging Markets</w:t>
            </w: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- 11%</w:t>
            </w:r>
          </w:p>
        </w:tc>
      </w:tr>
      <w:tr>
        <w:trPr>
          <w:trHeight w:val="263"/>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Alternative Investments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r>
      <w:tr>
        <w:trPr>
          <w:trHeight w:val="250"/>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Fixed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jc w:val="right"/>
              <w:spacing w:after="0"/>
              <w:rPr>
                <w:sz w:val="20"/>
                <w:szCs w:val="20"/>
                <w:color w:val="auto"/>
              </w:rPr>
            </w:pPr>
            <w:r>
              <w:rPr>
                <w:rFonts w:ascii="Arial" w:cs="Arial" w:eastAsia="Arial" w:hAnsi="Arial"/>
                <w:sz w:val="18"/>
                <w:szCs w:val="18"/>
                <w:color w:val="auto"/>
              </w:rPr>
              <w:t>- 40%</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Public:</w:t>
            </w:r>
          </w:p>
        </w:tc>
        <w:tc>
          <w:tcPr>
            <w:tcW w:w="14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9440" w:type="dxa"/>
            <w:vAlign w:val="bottom"/>
            <w:gridSpan w:val="2"/>
          </w:tcPr>
          <w:p>
            <w:pPr>
              <w:ind w:left="240"/>
              <w:spacing w:after="0"/>
              <w:rPr>
                <w:sz w:val="20"/>
                <w:szCs w:val="20"/>
                <w:color w:val="auto"/>
              </w:rPr>
            </w:pPr>
            <w:r>
              <w:rPr>
                <w:rFonts w:ascii="Arial" w:cs="Arial" w:eastAsia="Arial" w:hAnsi="Arial"/>
                <w:sz w:val="18"/>
                <w:szCs w:val="18"/>
                <w:color w:val="auto"/>
              </w:rPr>
              <w:t>U.S. Long Duration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jc w:val="right"/>
              <w:spacing w:after="0"/>
              <w:rPr>
                <w:sz w:val="20"/>
                <w:szCs w:val="20"/>
                <w:color w:val="auto"/>
              </w:rPr>
            </w:pPr>
            <w:r>
              <w:rPr>
                <w:rFonts w:ascii="Arial" w:cs="Arial" w:eastAsia="Arial" w:hAnsi="Arial"/>
                <w:sz w:val="18"/>
                <w:szCs w:val="18"/>
                <w:color w:val="auto"/>
              </w:rPr>
              <w:t>- 30%</w:t>
            </w:r>
          </w:p>
        </w:tc>
      </w:tr>
      <w:tr>
        <w:trPr>
          <w:trHeight w:val="263"/>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High Yield and Emerging Markets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w:t>
            </w:r>
          </w:p>
        </w:tc>
      </w:tr>
      <w:tr>
        <w:trPr>
          <w:trHeight w:val="250"/>
        </w:trPr>
        <w:tc>
          <w:tcPr>
            <w:tcW w:w="40" w:type="dxa"/>
            <w:vAlign w:val="bottom"/>
          </w:tcPr>
          <w:p>
            <w:pPr>
              <w:spacing w:after="0"/>
              <w:rPr>
                <w:sz w:val="21"/>
                <w:szCs w:val="21"/>
                <w:color w:val="auto"/>
              </w:rPr>
            </w:pPr>
          </w:p>
        </w:tc>
        <w:tc>
          <w:tcPr>
            <w:tcW w:w="9440" w:type="dxa"/>
            <w:vAlign w:val="bottom"/>
            <w:gridSpan w:val="2"/>
          </w:tcPr>
          <w:p>
            <w:pPr>
              <w:ind w:left="140"/>
              <w:spacing w:after="0"/>
              <w:rPr>
                <w:sz w:val="20"/>
                <w:szCs w:val="20"/>
                <w:color w:val="auto"/>
              </w:rPr>
            </w:pPr>
            <w:r>
              <w:rPr>
                <w:rFonts w:ascii="Arial" w:cs="Arial" w:eastAsia="Arial" w:hAnsi="Arial"/>
                <w:sz w:val="18"/>
                <w:szCs w:val="18"/>
                <w:color w:val="auto"/>
              </w:rPr>
              <w:t>Private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63"/>
        </w:trPr>
        <w:tc>
          <w:tcPr>
            <w:tcW w:w="9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w:t>
            </w:r>
          </w:p>
        </w:tc>
      </w:tr>
    </w:tbl>
    <w:p>
      <w:pPr>
        <w:spacing w:after="0" w:line="323"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Public equity as well as high yield and emerging market fixed income securities are used to provide diversification and are expected to generate higher returns over the long-term than U.S. long duration bonds. Public stocks are managed using a value investment approach in order to participate in the returns generated by stocks in the long-term, while reducing year-over-year volatility. U.S. long duration bonds are used to partially hedge the assets from declines in interest rates. Alternative (private) investments are used to provide expected returns in excess of the public markets over the long-term. The pension plan’s master trust also participates in securities lending programs to generate additional income by loaning plan assets to borrowers on a fully collateralized basis. These programs are subject to market risk.</w:t>
      </w:r>
    </w:p>
    <w:p>
      <w:pPr>
        <w:spacing w:after="0" w:line="1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Investments in securities traded on recognized securities exchanges are valued at the last reported sales price on the last business day of the year. Securities traded in the over-the-counter market are valued at the last bid price. The money market fund is valued at fair value which represents the net asset value of the shares of such fund as of the close of business at the end of the period. Investments in limited partnerships are carried at estimated net asset value as determined by and reported by the general partners of the partnerships and represent the proportionate share of the estimated fair value of the underlying assets of the limited partnerships. Common/collective trusts are valued at net asset value based on the fair values of the underlying investments of the trusts as determined by the sponsor of the trusts. The pension plan’s master trust also invests in a 103-12 investment entity (the 103-12 Investment Trust) which is designed to invest plan assets of more than one unrelated employer. The 103-12 Investment Trust is valued at net asset value which is determined by the issuer at the end of each month and is based on the aggregate fair value of trust assets less liabilities, divided by the number of units outstanding. No changes in valuation techniques or inputs occurred during the year.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549"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Plan Assets Measured at Fair Value on a Recurring Basis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fair value of American’s pension plan assets at December 31, 2018 and 2017, by asset category, are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9"/>
          </w:tcPr>
          <w:p>
            <w:pPr>
              <w:ind w:left="1140"/>
              <w:spacing w:after="0"/>
              <w:rPr>
                <w:sz w:val="20"/>
                <w:szCs w:val="20"/>
                <w:color w:val="auto"/>
              </w:rPr>
            </w:pPr>
            <w:r>
              <w:rPr>
                <w:rFonts w:ascii="Arial" w:cs="Arial" w:eastAsia="Arial" w:hAnsi="Arial"/>
                <w:sz w:val="14"/>
                <w:szCs w:val="14"/>
                <w:b w:val="1"/>
                <w:bCs w:val="1"/>
                <w:color w:val="auto"/>
              </w:rPr>
              <w:t>Fair Value Measurements as of December 31, 2018</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5"/>
                <w:szCs w:val="15"/>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Unobservable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Identical Assets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46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98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54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5460" w:type="dxa"/>
            <w:vAlign w:val="bottom"/>
            <w:gridSpan w:val="4"/>
          </w:tcPr>
          <w:p>
            <w:pPr>
              <w:ind w:left="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xml:space="preserve">International markets </w:t>
            </w:r>
            <w:r>
              <w:rPr>
                <w:rFonts w:ascii="Arial" w:cs="Arial" w:eastAsia="Arial" w:hAnsi="Arial"/>
                <w:sz w:val="21"/>
                <w:szCs w:val="21"/>
                <w:color w:val="auto"/>
                <w:vertAlign w:val="superscript"/>
              </w:rPr>
              <w:t>(a) (b)</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3,181</w:t>
            </w:r>
          </w:p>
        </w:tc>
      </w:tr>
      <w:tr>
        <w:trPr>
          <w:trHeight w:val="270"/>
        </w:trPr>
        <w:tc>
          <w:tcPr>
            <w:tcW w:w="40" w:type="dxa"/>
            <w:vAlign w:val="bottom"/>
          </w:tcPr>
          <w:p>
            <w:pPr>
              <w:spacing w:after="0"/>
              <w:rPr>
                <w:sz w:val="23"/>
                <w:szCs w:val="23"/>
                <w:color w:val="auto"/>
              </w:rPr>
            </w:pPr>
          </w:p>
        </w:tc>
        <w:tc>
          <w:tcPr>
            <w:tcW w:w="5420" w:type="dxa"/>
            <w:vAlign w:val="bottom"/>
            <w:gridSpan w:val="3"/>
          </w:tcPr>
          <w:p>
            <w:pPr>
              <w:ind w:left="340"/>
              <w:spacing w:after="0"/>
              <w:rPr>
                <w:sz w:val="20"/>
                <w:szCs w:val="20"/>
                <w:color w:val="auto"/>
              </w:rPr>
            </w:pPr>
            <w:r>
              <w:rPr>
                <w:rFonts w:ascii="Arial" w:cs="Arial" w:eastAsia="Arial" w:hAnsi="Arial"/>
                <w:sz w:val="18"/>
                <w:szCs w:val="18"/>
                <w:color w:val="auto"/>
              </w:rPr>
              <w:t xml:space="preserve">Large-cap companies </w:t>
            </w:r>
            <w:r>
              <w:rPr>
                <w:rFonts w:ascii="Arial" w:cs="Arial" w:eastAsia="Arial" w:hAnsi="Arial"/>
                <w:sz w:val="21"/>
                <w:szCs w:val="21"/>
                <w:color w:val="auto"/>
                <w:vertAlign w:val="superscript"/>
              </w:rPr>
              <w:t>(b)</w:t>
            </w:r>
          </w:p>
        </w:tc>
        <w:tc>
          <w:tcPr>
            <w:tcW w:w="140" w:type="dxa"/>
            <w:vAlign w:val="bottom"/>
          </w:tcPr>
          <w:p>
            <w:pPr>
              <w:spacing w:after="0"/>
              <w:rPr>
                <w:sz w:val="23"/>
                <w:szCs w:val="23"/>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2,021</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xml:space="preserve">Mid-cap companies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r>
      <w:tr>
        <w:trPr>
          <w:trHeight w:val="270"/>
        </w:trPr>
        <w:tc>
          <w:tcPr>
            <w:tcW w:w="40" w:type="dxa"/>
            <w:vAlign w:val="bottom"/>
          </w:tcPr>
          <w:p>
            <w:pPr>
              <w:spacing w:after="0"/>
              <w:rPr>
                <w:sz w:val="23"/>
                <w:szCs w:val="23"/>
                <w:color w:val="auto"/>
              </w:rPr>
            </w:pPr>
          </w:p>
        </w:tc>
        <w:tc>
          <w:tcPr>
            <w:tcW w:w="5420" w:type="dxa"/>
            <w:vAlign w:val="bottom"/>
            <w:gridSpan w:val="3"/>
          </w:tcPr>
          <w:p>
            <w:pPr>
              <w:ind w:left="340"/>
              <w:spacing w:after="0"/>
              <w:rPr>
                <w:sz w:val="20"/>
                <w:szCs w:val="20"/>
                <w:color w:val="auto"/>
              </w:rPr>
            </w:pPr>
            <w:r>
              <w:rPr>
                <w:rFonts w:ascii="Arial" w:cs="Arial" w:eastAsia="Arial" w:hAnsi="Arial"/>
                <w:sz w:val="18"/>
                <w:szCs w:val="18"/>
                <w:color w:val="auto"/>
              </w:rPr>
              <w:t xml:space="preserve">Small-cap companies </w:t>
            </w:r>
            <w:r>
              <w:rPr>
                <w:rFonts w:ascii="Arial" w:cs="Arial" w:eastAsia="Arial" w:hAnsi="Arial"/>
                <w:sz w:val="21"/>
                <w:szCs w:val="21"/>
                <w:color w:val="auto"/>
                <w:vertAlign w:val="superscript"/>
              </w:rPr>
              <w:t>(b)</w:t>
            </w:r>
          </w:p>
        </w:tc>
        <w:tc>
          <w:tcPr>
            <w:tcW w:w="140" w:type="dxa"/>
            <w:vAlign w:val="bottom"/>
          </w:tcPr>
          <w:p>
            <w:pPr>
              <w:spacing w:after="0"/>
              <w:rPr>
                <w:sz w:val="23"/>
                <w:szCs w:val="23"/>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50"/>
        </w:trPr>
        <w:tc>
          <w:tcPr>
            <w:tcW w:w="5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420" w:type="dxa"/>
            <w:vAlign w:val="bottom"/>
            <w:gridSpan w:val="3"/>
          </w:tcPr>
          <w:p>
            <w:pPr>
              <w:ind w:left="34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21"/>
                <w:szCs w:val="21"/>
                <w:color w:val="auto"/>
                <w:vertAlign w:val="superscript"/>
              </w:rPr>
              <w:t>(c)</w:t>
            </w:r>
          </w:p>
        </w:tc>
        <w:tc>
          <w:tcPr>
            <w:tcW w:w="1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2,116</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xml:space="preserve">Government securities </w:t>
            </w:r>
            <w:r>
              <w:rPr>
                <w:rFonts w:ascii="Arial" w:cs="Arial" w:eastAsia="Arial" w:hAnsi="Arial"/>
                <w:sz w:val="21"/>
                <w:szCs w:val="21"/>
                <w:color w:val="auto"/>
                <w:vertAlign w:val="superscript"/>
              </w:rPr>
              <w:t>(d)</w:t>
            </w:r>
          </w:p>
        </w:tc>
        <w:tc>
          <w:tcPr>
            <w:tcW w:w="1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63"/>
        </w:trPr>
        <w:tc>
          <w:tcPr>
            <w:tcW w:w="40" w:type="dxa"/>
            <w:vAlign w:val="bottom"/>
          </w:tcPr>
          <w:p>
            <w:pPr>
              <w:spacing w:after="0"/>
              <w:rPr>
                <w:sz w:val="22"/>
                <w:szCs w:val="22"/>
                <w:color w:val="auto"/>
              </w:rPr>
            </w:pPr>
          </w:p>
        </w:tc>
        <w:tc>
          <w:tcPr>
            <w:tcW w:w="5420" w:type="dxa"/>
            <w:vAlign w:val="bottom"/>
            <w:gridSpan w:val="3"/>
          </w:tcPr>
          <w:p>
            <w:pPr>
              <w:ind w:left="340"/>
              <w:spacing w:after="0"/>
              <w:rPr>
                <w:sz w:val="20"/>
                <w:szCs w:val="20"/>
                <w:color w:val="auto"/>
              </w:rPr>
            </w:pPr>
            <w:r>
              <w:rPr>
                <w:rFonts w:ascii="Arial" w:cs="Arial" w:eastAsia="Arial" w:hAnsi="Arial"/>
                <w:sz w:val="18"/>
                <w:szCs w:val="18"/>
                <w:color w:val="auto"/>
              </w:rPr>
              <w:t>U.S. municipal securities</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57"/>
        </w:trPr>
        <w:tc>
          <w:tcPr>
            <w:tcW w:w="5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Alternative instruments:</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420" w:type="dxa"/>
            <w:vAlign w:val="bottom"/>
            <w:gridSpan w:val="3"/>
          </w:tcPr>
          <w:p>
            <w:pPr>
              <w:ind w:left="340"/>
              <w:spacing w:after="0"/>
              <w:rPr>
                <w:sz w:val="20"/>
                <w:szCs w:val="20"/>
                <w:color w:val="auto"/>
              </w:rPr>
            </w:pPr>
            <w:r>
              <w:rPr>
                <w:rFonts w:ascii="Arial" w:cs="Arial" w:eastAsia="Arial" w:hAnsi="Arial"/>
                <w:sz w:val="18"/>
                <w:szCs w:val="18"/>
                <w:color w:val="auto"/>
              </w:rPr>
              <w:t xml:space="preserve">Private market partnerships </w:t>
            </w:r>
            <w:r>
              <w:rPr>
                <w:rFonts w:ascii="Arial" w:cs="Arial" w:eastAsia="Arial" w:hAnsi="Arial"/>
                <w:sz w:val="21"/>
                <w:szCs w:val="21"/>
                <w:color w:val="auto"/>
                <w:vertAlign w:val="superscript"/>
              </w:rPr>
              <w:t>(e)</w:t>
            </w:r>
          </w:p>
        </w:tc>
        <w:tc>
          <w:tcPr>
            <w:tcW w:w="1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xml:space="preserve">Private market partnerships measured at net asset value </w:t>
            </w:r>
            <w:r>
              <w:rPr>
                <w:rFonts w:ascii="Arial" w:cs="Arial" w:eastAsia="Arial" w:hAnsi="Arial"/>
                <w:sz w:val="21"/>
                <w:szCs w:val="21"/>
                <w:color w:val="auto"/>
                <w:vertAlign w:val="superscript"/>
              </w:rPr>
              <w:t>(e) (g)</w:t>
            </w:r>
          </w:p>
        </w:tc>
        <w:tc>
          <w:tcPr>
            <w:tcW w:w="1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1,188</w:t>
            </w:r>
          </w:p>
        </w:tc>
      </w:tr>
      <w:tr>
        <w:trPr>
          <w:trHeight w:val="270"/>
        </w:trPr>
        <w:tc>
          <w:tcPr>
            <w:tcW w:w="40" w:type="dxa"/>
            <w:vAlign w:val="bottom"/>
          </w:tcPr>
          <w:p>
            <w:pPr>
              <w:spacing w:after="0"/>
              <w:rPr>
                <w:sz w:val="23"/>
                <w:szCs w:val="23"/>
                <w:color w:val="auto"/>
              </w:rPr>
            </w:pPr>
          </w:p>
        </w:tc>
        <w:tc>
          <w:tcPr>
            <w:tcW w:w="5420" w:type="dxa"/>
            <w:vAlign w:val="bottom"/>
            <w:gridSpan w:val="3"/>
          </w:tcPr>
          <w:p>
            <w:pPr>
              <w:ind w:left="340"/>
              <w:spacing w:after="0"/>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1"/>
                <w:szCs w:val="21"/>
                <w:color w:val="auto"/>
                <w:vertAlign w:val="superscript"/>
              </w:rPr>
              <w:t>(f)</w:t>
            </w:r>
          </w:p>
        </w:tc>
        <w:tc>
          <w:tcPr>
            <w:tcW w:w="1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218</w:t>
            </w:r>
          </w:p>
        </w:tc>
      </w:tr>
      <w:tr>
        <w:trPr>
          <w:trHeight w:val="226"/>
        </w:trPr>
        <w:tc>
          <w:tcPr>
            <w:tcW w:w="40" w:type="dxa"/>
            <w:vAlign w:val="bottom"/>
            <w:shd w:val="clear" w:color="auto" w:fill="CCEEFF"/>
          </w:tcPr>
          <w:p>
            <w:pPr>
              <w:spacing w:after="0"/>
              <w:rPr>
                <w:sz w:val="19"/>
                <w:szCs w:val="19"/>
                <w:color w:val="auto"/>
              </w:rPr>
            </w:pPr>
          </w:p>
        </w:tc>
        <w:tc>
          <w:tcPr>
            <w:tcW w:w="5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Common/collective trusts and 103-12 Investment Trust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3"/>
        </w:trPr>
        <w:tc>
          <w:tcPr>
            <w:tcW w:w="40" w:type="dxa"/>
            <w:vAlign w:val="bottom"/>
            <w:shd w:val="clear" w:color="auto" w:fill="CCEEFF"/>
          </w:tcPr>
          <w:p>
            <w:pPr>
              <w:spacing w:after="0"/>
              <w:rPr>
                <w:sz w:val="20"/>
                <w:szCs w:val="20"/>
                <w:color w:val="auto"/>
              </w:rPr>
            </w:pPr>
          </w:p>
        </w:tc>
        <w:tc>
          <w:tcPr>
            <w:tcW w:w="5420" w:type="dxa"/>
            <w:vAlign w:val="bottom"/>
            <w:gridSpan w:val="3"/>
            <w:shd w:val="clear" w:color="auto" w:fill="CCEEFF"/>
          </w:tcPr>
          <w:p>
            <w:pPr>
              <w:ind w:left="500"/>
              <w:spacing w:after="0" w:line="233" w:lineRule="exact"/>
              <w:rPr>
                <w:sz w:val="20"/>
                <w:szCs w:val="20"/>
                <w:color w:val="auto"/>
              </w:rPr>
            </w:pPr>
            <w:r>
              <w:rPr>
                <w:rFonts w:ascii="Arial" w:cs="Arial" w:eastAsia="Arial" w:hAnsi="Arial"/>
                <w:sz w:val="18"/>
                <w:szCs w:val="18"/>
                <w:color w:val="auto"/>
              </w:rPr>
              <w:t xml:space="preserve">measured at net asset value </w:t>
            </w:r>
            <w:r>
              <w:rPr>
                <w:rFonts w:ascii="Arial" w:cs="Arial" w:eastAsia="Arial" w:hAnsi="Arial"/>
                <w:sz w:val="21"/>
                <w:szCs w:val="21"/>
                <w:color w:val="auto"/>
                <w:vertAlign w:val="superscript"/>
              </w:rPr>
              <w:t>(f) (g)</w:t>
            </w: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63"/>
        </w:trPr>
        <w:tc>
          <w:tcPr>
            <w:tcW w:w="40" w:type="dxa"/>
            <w:vAlign w:val="bottom"/>
          </w:tcPr>
          <w:p>
            <w:pPr>
              <w:spacing w:after="0"/>
              <w:rPr>
                <w:sz w:val="22"/>
                <w:szCs w:val="22"/>
                <w:color w:val="auto"/>
              </w:rPr>
            </w:pPr>
          </w:p>
        </w:tc>
        <w:tc>
          <w:tcPr>
            <w:tcW w:w="5420" w:type="dxa"/>
            <w:vAlign w:val="bottom"/>
            <w:gridSpan w:val="3"/>
          </w:tcPr>
          <w:p>
            <w:pPr>
              <w:ind w:left="340"/>
              <w:spacing w:after="0"/>
              <w:rPr>
                <w:sz w:val="20"/>
                <w:szCs w:val="20"/>
                <w:color w:val="auto"/>
              </w:rPr>
            </w:pPr>
            <w:r>
              <w:rPr>
                <w:rFonts w:ascii="Arial" w:cs="Arial" w:eastAsia="Arial" w:hAnsi="Arial"/>
                <w:sz w:val="18"/>
                <w:szCs w:val="18"/>
                <w:color w:val="auto"/>
              </w:rPr>
              <w:t>Insurance group annuity contracts</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7"/>
        </w:trPr>
        <w:tc>
          <w:tcPr>
            <w:tcW w:w="54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Dividend and interest receivable</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63"/>
        </w:trPr>
        <w:tc>
          <w:tcPr>
            <w:tcW w:w="5460" w:type="dxa"/>
            <w:vAlign w:val="bottom"/>
            <w:gridSpan w:val="4"/>
          </w:tcPr>
          <w:p>
            <w:pPr>
              <w:ind w:left="40"/>
              <w:spacing w:after="0"/>
              <w:rPr>
                <w:sz w:val="20"/>
                <w:szCs w:val="20"/>
                <w:color w:val="auto"/>
              </w:rPr>
            </w:pPr>
            <w:r>
              <w:rPr>
                <w:rFonts w:ascii="Arial" w:cs="Arial" w:eastAsia="Arial" w:hAnsi="Arial"/>
                <w:sz w:val="18"/>
                <w:szCs w:val="18"/>
                <w:color w:val="auto"/>
              </w:rPr>
              <w:t>Due to/from brokers for sale of securities – net</w:t>
            </w:r>
          </w:p>
        </w:tc>
        <w:tc>
          <w:tcPr>
            <w:tcW w:w="14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7"/>
        </w:trPr>
        <w:tc>
          <w:tcPr>
            <w:tcW w:w="54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liabilities – net</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4"/>
        </w:trPr>
        <w:tc>
          <w:tcPr>
            <w:tcW w:w="40" w:type="dxa"/>
            <w:vAlign w:val="bottom"/>
          </w:tcPr>
          <w:p>
            <w:pPr>
              <w:spacing w:after="0"/>
              <w:rPr>
                <w:sz w:val="21"/>
                <w:szCs w:val="21"/>
                <w:color w:val="auto"/>
              </w:rPr>
            </w:pPr>
          </w:p>
        </w:tc>
        <w:tc>
          <w:tcPr>
            <w:tcW w:w="542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5,975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10,001</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Holdings are diversified as follows: 17% United Kingdom, 10% Japan, 8% France, 7% Switzerland, 6% Ireland, 17% emerging markets and the remaining 35% with no concentration greater than 5% in any one country.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concentrations of holdings by company or industry.</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Includes approximately 77% investments in corporate debt with a S&amp;P rating lower than A and 23% investments in corporate debt with a S&amp;P rating A or higher. Holdings include 85% U.S. companies, 12% international companies and 3% emerging market companies.</w:t>
      </w:r>
    </w:p>
    <w:p>
      <w:pPr>
        <w:spacing w:after="0" w:line="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Includes approximately 32% investments in U.S. domestic government securities, 37% in emerging market government securities and 31% in international government securities. There are no significant foreign currency risks within this classification.</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Includes limited partnerships that invest primarily in U.S. (94%) and European (6%) buyout opportunities of a range of privately held companies.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$1.0 billion over the next ten years.</w:t>
      </w:r>
    </w:p>
    <w:p>
      <w:pPr>
        <w:spacing w:after="0" w:line="23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162</w:t>
      </w:r>
    </w:p>
    <w:p>
      <w:pPr>
        <w:sectPr>
          <w:pgSz w:w="11900" w:h="16838" w:orient="portrait"/>
          <w:cols w:equalWidth="0" w:num="2">
            <w:col w:w="140" w:space="520"/>
            <w:col w:w="10760"/>
          </w:cols>
          <w:pgMar w:left="240" w:top="549" w:right="239" w:bottom="1440" w:gutter="0" w:footer="0" w:header="0"/>
          <w:type w:val="continuous"/>
        </w:sectPr>
      </w:pPr>
    </w:p>
    <w:bookmarkStart w:id="162" w:name="page163"/>
    <w:bookmarkEnd w:id="162"/>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(g)</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Investment includes 45% in an emerging market 103-12 Investment Trust with investments in emerging country equity securities, 37% in a collective interest trust investing primarily in short-term securities, 12% in Canadian segregated balanced value, income growth and diversified pooled funds and 6% in a common/collective trust investing in securities of smaller companies located outside the U.S., including developing markets. For some trusts, requests for withdrawals must meet specific requirements with advance notice of redemption preferred.</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investments that are measured using net asset value per share (or its equivalent) as a practical expedient for fair value have not been classified in the fair value hierarchy. The fair value amounts presented in this table are intended to permit reconciliation of the fair value hierarchy to the amounts presented in the notes to the consolidated financial statements.</w:t>
      </w:r>
    </w:p>
    <w:p>
      <w:pPr>
        <w:spacing w:after="0" w:line="200" w:lineRule="exact"/>
        <w:rPr>
          <w:sz w:val="20"/>
          <w:szCs w:val="20"/>
          <w:color w:val="auto"/>
        </w:rPr>
      </w:pPr>
    </w:p>
    <w:p>
      <w:pPr>
        <w:sectPr>
          <w:pgSz w:w="11900" w:h="16838" w:orient="portrait"/>
          <w:cols w:equalWidth="0" w:num="2">
            <w:col w:w="140" w:space="520"/>
            <w:col w:w="10760"/>
          </w:cols>
          <w:pgMar w:left="240" w:top="549" w:right="239" w:bottom="1440" w:gutter="0" w:footer="0" w:header="0"/>
        </w:sectPr>
      </w:pP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9"/>
          </w:tcPr>
          <w:p>
            <w:pPr>
              <w:ind w:left="1140"/>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5"/>
                <w:szCs w:val="15"/>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Unobservable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Identical Assets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46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98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International markets </w:t>
            </w:r>
            <w:r>
              <w:rPr>
                <w:rFonts w:ascii="Arial" w:cs="Arial" w:eastAsia="Arial" w:hAnsi="Arial"/>
                <w:sz w:val="21"/>
                <w:szCs w:val="21"/>
                <w:color w:val="auto"/>
                <w:vertAlign w:val="superscript"/>
              </w:rPr>
              <w:t>(a) (b)</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3,837</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Large-cap companies </w:t>
            </w:r>
            <w:r>
              <w:rPr>
                <w:rFonts w:ascii="Arial" w:cs="Arial" w:eastAsia="Arial" w:hAnsi="Arial"/>
                <w:sz w:val="21"/>
                <w:szCs w:val="21"/>
                <w:color w:val="auto"/>
                <w:vertAlign w:val="superscript"/>
              </w:rPr>
              <w:t>(b)</w:t>
            </w:r>
          </w:p>
        </w:tc>
        <w:tc>
          <w:tcPr>
            <w:tcW w:w="140" w:type="dxa"/>
            <w:vAlign w:val="bottom"/>
          </w:tcPr>
          <w:p>
            <w:pPr>
              <w:spacing w:after="0"/>
              <w:rPr>
                <w:sz w:val="23"/>
                <w:szCs w:val="23"/>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2,451</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Mid-cap companies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Small-cap companies </w:t>
            </w:r>
            <w:r>
              <w:rPr>
                <w:rFonts w:ascii="Arial" w:cs="Arial" w:eastAsia="Arial" w:hAnsi="Arial"/>
                <w:sz w:val="21"/>
                <w:szCs w:val="21"/>
                <w:color w:val="auto"/>
                <w:vertAlign w:val="superscript"/>
              </w:rPr>
              <w:t>(b)</w:t>
            </w:r>
          </w:p>
        </w:tc>
        <w:tc>
          <w:tcPr>
            <w:tcW w:w="140" w:type="dxa"/>
            <w:vAlign w:val="bottom"/>
          </w:tcPr>
          <w:p>
            <w:pPr>
              <w:spacing w:after="0"/>
              <w:rPr>
                <w:sz w:val="23"/>
                <w:szCs w:val="23"/>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50"/>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21"/>
                <w:szCs w:val="21"/>
                <w:color w:val="auto"/>
                <w:vertAlign w:val="superscript"/>
              </w:rPr>
              <w:t>(c)</w:t>
            </w:r>
          </w:p>
        </w:tc>
        <w:tc>
          <w:tcPr>
            <w:tcW w:w="1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2,344</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Government securities </w:t>
            </w:r>
            <w:r>
              <w:rPr>
                <w:rFonts w:ascii="Arial" w:cs="Arial" w:eastAsia="Arial" w:hAnsi="Arial"/>
                <w:sz w:val="21"/>
                <w:szCs w:val="21"/>
                <w:color w:val="auto"/>
                <w:vertAlign w:val="superscript"/>
              </w:rPr>
              <w:t>(d)</w:t>
            </w:r>
          </w:p>
        </w:tc>
        <w:tc>
          <w:tcPr>
            <w:tcW w:w="1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r>
      <w:tr>
        <w:trPr>
          <w:trHeight w:val="263"/>
        </w:trPr>
        <w:tc>
          <w:tcPr>
            <w:tcW w:w="40" w:type="dxa"/>
            <w:vAlign w:val="bottom"/>
          </w:tcPr>
          <w:p>
            <w:pPr>
              <w:spacing w:after="0"/>
              <w:rPr>
                <w:sz w:val="22"/>
                <w:szCs w:val="22"/>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U.S. municipal securities</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57"/>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Alternative instruments:</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Private market partnerships </w:t>
            </w:r>
            <w:r>
              <w:rPr>
                <w:rFonts w:ascii="Arial" w:cs="Arial" w:eastAsia="Arial" w:hAnsi="Arial"/>
                <w:sz w:val="21"/>
                <w:szCs w:val="21"/>
                <w:color w:val="auto"/>
                <w:vertAlign w:val="superscript"/>
              </w:rPr>
              <w:t>(e)</w:t>
            </w:r>
          </w:p>
        </w:tc>
        <w:tc>
          <w:tcPr>
            <w:tcW w:w="1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Private market partnerships measured at net asset value </w:t>
            </w:r>
            <w:r>
              <w:rPr>
                <w:rFonts w:ascii="Arial" w:cs="Arial" w:eastAsia="Arial" w:hAnsi="Arial"/>
                <w:sz w:val="21"/>
                <w:szCs w:val="21"/>
                <w:color w:val="auto"/>
                <w:vertAlign w:val="superscript"/>
              </w:rPr>
              <w:t>(e) (g)</w:t>
            </w:r>
          </w:p>
        </w:tc>
        <w:tc>
          <w:tcPr>
            <w:tcW w:w="1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879</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1"/>
                <w:szCs w:val="21"/>
                <w:color w:val="auto"/>
                <w:vertAlign w:val="superscript"/>
              </w:rPr>
              <w:t>(f)</w:t>
            </w:r>
          </w:p>
        </w:tc>
        <w:tc>
          <w:tcPr>
            <w:tcW w:w="1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26"/>
        </w:trPr>
        <w:tc>
          <w:tcPr>
            <w:tcW w:w="4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Common/collective trusts and 103-12 Investment Trust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3"/>
        </w:trPr>
        <w:tc>
          <w:tcPr>
            <w:tcW w:w="40" w:type="dxa"/>
            <w:vAlign w:val="bottom"/>
            <w:shd w:val="clear" w:color="auto" w:fill="CCEEFF"/>
          </w:tcPr>
          <w:p>
            <w:pPr>
              <w:spacing w:after="0"/>
              <w:rPr>
                <w:sz w:val="20"/>
                <w:szCs w:val="20"/>
                <w:color w:val="auto"/>
              </w:rPr>
            </w:pPr>
          </w:p>
        </w:tc>
        <w:tc>
          <w:tcPr>
            <w:tcW w:w="5420" w:type="dxa"/>
            <w:vAlign w:val="bottom"/>
            <w:gridSpan w:val="2"/>
            <w:shd w:val="clear" w:color="auto" w:fill="CCEEFF"/>
          </w:tcPr>
          <w:p>
            <w:pPr>
              <w:ind w:left="500"/>
              <w:spacing w:after="0" w:line="233" w:lineRule="exact"/>
              <w:rPr>
                <w:sz w:val="20"/>
                <w:szCs w:val="20"/>
                <w:color w:val="auto"/>
              </w:rPr>
            </w:pPr>
            <w:r>
              <w:rPr>
                <w:rFonts w:ascii="Arial" w:cs="Arial" w:eastAsia="Arial" w:hAnsi="Arial"/>
                <w:sz w:val="18"/>
                <w:szCs w:val="18"/>
                <w:color w:val="auto"/>
              </w:rPr>
              <w:t xml:space="preserve">measured at net asset value </w:t>
            </w:r>
            <w:r>
              <w:rPr>
                <w:rFonts w:ascii="Arial" w:cs="Arial" w:eastAsia="Arial" w:hAnsi="Arial"/>
                <w:sz w:val="21"/>
                <w:szCs w:val="21"/>
                <w:color w:val="auto"/>
                <w:vertAlign w:val="superscript"/>
              </w:rPr>
              <w:t>(f) (g)</w:t>
            </w: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263"/>
        </w:trPr>
        <w:tc>
          <w:tcPr>
            <w:tcW w:w="40" w:type="dxa"/>
            <w:vAlign w:val="bottom"/>
          </w:tcPr>
          <w:p>
            <w:pPr>
              <w:spacing w:after="0"/>
              <w:rPr>
                <w:sz w:val="22"/>
                <w:szCs w:val="22"/>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Insurance group annuity contracts</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7"/>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Dividend and interest receivable</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6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Due to/from brokers for sale of securities – net</w:t>
            </w:r>
          </w:p>
        </w:tc>
        <w:tc>
          <w:tcPr>
            <w:tcW w:w="14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7"/>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 – net</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4"/>
        </w:trPr>
        <w:tc>
          <w:tcPr>
            <w:tcW w:w="40" w:type="dxa"/>
            <w:vAlign w:val="bottom"/>
          </w:tcPr>
          <w:p>
            <w:pPr>
              <w:spacing w:after="0"/>
              <w:rPr>
                <w:sz w:val="21"/>
                <w:szCs w:val="21"/>
                <w:color w:val="auto"/>
              </w:rPr>
            </w:pPr>
          </w:p>
        </w:tc>
        <w:tc>
          <w:tcPr>
            <w:tcW w:w="54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11,340</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Holdings are diversified as follows: 17% United Kingdom, 11% Japan, 9% France, 6% Switzerland, 16% emerging markets and the remaining 41% with no concentration greater than 5% in any one country.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concentrations of holdings by company or industry.</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Includes approximately 76% investments in corporate debt with a S&amp;P rating lower than A and 24% investments in corporate debt with a S&amp;P rating A or higher. Holdings include 85% U.S. companies, 12% international companies and 3% emerging market companies.</w:t>
      </w:r>
    </w:p>
    <w:p>
      <w:pPr>
        <w:spacing w:after="0" w:line="8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Includes approximately 27% investments in U.S. domestic government securities, 43% in emerging market government securities and 30% in international government securities. There are no significant foreign currency risks within this classification.</w:t>
      </w:r>
    </w:p>
    <w:p>
      <w:pPr>
        <w:spacing w:after="0" w:line="2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163</w:t>
      </w:r>
    </w:p>
    <w:p>
      <w:pPr>
        <w:sectPr>
          <w:pgSz w:w="11900" w:h="16838" w:orient="portrait"/>
          <w:cols w:equalWidth="0" w:num="2">
            <w:col w:w="140" w:space="520"/>
            <w:col w:w="10760"/>
          </w:cols>
          <w:pgMar w:left="240" w:top="549" w:right="239" w:bottom="1440" w:gutter="0" w:footer="0" w:header="0"/>
          <w:type w:val="continuous"/>
        </w:sectPr>
      </w:pPr>
    </w:p>
    <w:bookmarkStart w:id="163" w:name="page164"/>
    <w:bookmarkEnd w:id="163"/>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Includes limited partnerships that invest primarily in U.S. (94%) and European (6%) buyout opportunities of a range of privately held companies.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$903 million over the next ten years.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Investment includes 42% in a collective interest trust investing primarily in short-term securities, 40% in an emerging market 103-12 Investment Trust with investments in emerging country equity securities, 10% in Canadian segregated balanced value, income growth and diversified pooled funds and 8% in a common/collective trust investing in securities of smaller companies located outside the U.S., including developing markets. For some trusts, requests for withdrawals must meet specific requirements with advance notice of redemption preferred.</w:t>
      </w:r>
    </w:p>
    <w:p>
      <w:pPr>
        <w:spacing w:after="0" w:line="97" w:lineRule="exact"/>
        <w:rPr>
          <w:sz w:val="20"/>
          <w:szCs w:val="20"/>
          <w:color w:val="auto"/>
        </w:rPr>
      </w:pPr>
    </w:p>
    <w:p>
      <w:pPr>
        <w:sectPr>
          <w:pgSz w:w="11900" w:h="16838" w:orient="portrait"/>
          <w:cols w:equalWidth="0" w:num="2">
            <w:col w:w="140" w:space="520"/>
            <w:col w:w="10760"/>
          </w:cols>
          <w:pgMar w:left="240" w:top="549" w:right="239" w:bottom="1440" w:gutter="0" w:footer="0" w:header="0"/>
        </w:sectPr>
      </w:pPr>
    </w:p>
    <w:p>
      <w:pPr>
        <w:jc w:val="both"/>
        <w:ind w:left="660" w:hanging="652"/>
        <w:spacing w:after="0" w:line="233" w:lineRule="auto"/>
        <w:tabs>
          <w:tab w:leader="none" w:pos="660" w:val="left"/>
        </w:tabs>
        <w:numPr>
          <w:ilvl w:val="0"/>
          <w:numId w:val="68"/>
        </w:numPr>
        <w:rPr>
          <w:rFonts w:ascii="Arial" w:cs="Arial" w:eastAsia="Arial" w:hAnsi="Arial"/>
          <w:sz w:val="22"/>
          <w:szCs w:val="22"/>
          <w:color w:val="auto"/>
          <w:vertAlign w:val="superscript"/>
        </w:rPr>
      </w:pPr>
      <w:r>
        <w:rPr>
          <w:rFonts w:ascii="Arial" w:cs="Arial" w:eastAsia="Arial" w:hAnsi="Arial"/>
          <w:sz w:val="18"/>
          <w:szCs w:val="18"/>
          <w:color w:val="auto"/>
        </w:rPr>
        <w:t>Certain investments that are measured using net asset value per share (or its equivalent) as a practical expedient for fair value have not been classified in the fair value hierarchy. The fair value amounts presented in this table are intended to permit reconciliation of the fair value hierarchy to the amounts presented in the notes to the consolidated financial statements.</w:t>
      </w:r>
    </w:p>
    <w:p>
      <w:pPr>
        <w:spacing w:after="0" w:line="3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2018,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Private Market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255"/>
              <w:spacing w:after="0"/>
              <w:rPr>
                <w:sz w:val="20"/>
                <w:szCs w:val="20"/>
                <w:color w:val="auto"/>
              </w:rPr>
            </w:pPr>
            <w:r>
              <w:rPr>
                <w:rFonts w:ascii="Arial" w:cs="Arial" w:eastAsia="Arial" w:hAnsi="Arial"/>
                <w:sz w:val="14"/>
                <w:szCs w:val="14"/>
                <w:b w:val="1"/>
                <w:bCs w:val="1"/>
                <w:color w:val="auto"/>
              </w:rPr>
              <w:t>Insurance Group</w:t>
            </w:r>
          </w:p>
        </w:tc>
      </w:tr>
      <w:tr>
        <w:trPr>
          <w:trHeight w:val="196"/>
        </w:trPr>
        <w:tc>
          <w:tcPr>
            <w:tcW w:w="76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Partnerships</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Annuity Contracts</w:t>
            </w: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2017</w:t>
            </w:r>
          </w:p>
        </w:tc>
        <w:tc>
          <w:tcPr>
            <w:tcW w:w="1460" w:type="dxa"/>
            <w:vAlign w:val="bottom"/>
            <w:shd w:val="clear" w:color="auto" w:fill="CCEEFF"/>
          </w:tcPr>
          <w:p>
            <w:pPr>
              <w:jc w:val="right"/>
              <w:ind w:right="125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Actual loss on plan assets:</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Relating to assets still held at the reporting date</w:t>
            </w:r>
          </w:p>
        </w:tc>
        <w:tc>
          <w:tcPr>
            <w:tcW w:w="14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Purchases</w:t>
            </w:r>
          </w:p>
        </w:tc>
        <w:tc>
          <w:tcPr>
            <w:tcW w:w="1460" w:type="dxa"/>
            <w:vAlign w:val="bottom"/>
          </w:tcPr>
          <w:p>
            <w:pPr>
              <w:spacing w:after="0"/>
              <w:rPr>
                <w:sz w:val="22"/>
                <w:szCs w:val="22"/>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46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Ending balance at December 31, 2018</w:t>
            </w:r>
          </w:p>
        </w:tc>
        <w:tc>
          <w:tcPr>
            <w:tcW w:w="1460" w:type="dxa"/>
            <w:vAlign w:val="bottom"/>
            <w:tcBorders>
              <w:bottom w:val="single" w:sz="8" w:color="auto"/>
            </w:tcBorders>
          </w:tcPr>
          <w:p>
            <w:pPr>
              <w:jc w:val="right"/>
              <w:ind w:right="12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r>
      <w:tr>
        <w:trPr>
          <w:trHeight w:val="20"/>
        </w:trPr>
        <w:tc>
          <w:tcPr>
            <w:tcW w:w="7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2017,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Private Market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254"/>
              <w:spacing w:after="0"/>
              <w:rPr>
                <w:sz w:val="20"/>
                <w:szCs w:val="20"/>
                <w:color w:val="auto"/>
              </w:rPr>
            </w:pPr>
            <w:r>
              <w:rPr>
                <w:rFonts w:ascii="Arial" w:cs="Arial" w:eastAsia="Arial" w:hAnsi="Arial"/>
                <w:sz w:val="14"/>
                <w:szCs w:val="14"/>
                <w:b w:val="1"/>
                <w:bCs w:val="1"/>
                <w:color w:val="auto"/>
              </w:rPr>
              <w:t>Insurance Group</w:t>
            </w:r>
          </w:p>
        </w:tc>
      </w:tr>
      <w:tr>
        <w:trPr>
          <w:trHeight w:val="196"/>
        </w:trPr>
        <w:tc>
          <w:tcPr>
            <w:tcW w:w="76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Partnerships</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Annuity Contracts</w:t>
            </w: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2016</w:t>
            </w:r>
          </w:p>
        </w:tc>
        <w:tc>
          <w:tcPr>
            <w:tcW w:w="1460" w:type="dxa"/>
            <w:vAlign w:val="bottom"/>
            <w:shd w:val="clear" w:color="auto" w:fill="CCEEFF"/>
          </w:tcPr>
          <w:p>
            <w:pPr>
              <w:jc w:val="right"/>
              <w:ind w:right="125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Actual loss on plan assets:</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Relating to assets still held at the reporting date</w:t>
            </w:r>
          </w:p>
        </w:tc>
        <w:tc>
          <w:tcPr>
            <w:tcW w:w="14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Purchases</w:t>
            </w:r>
          </w:p>
        </w:tc>
        <w:tc>
          <w:tcPr>
            <w:tcW w:w="1460" w:type="dxa"/>
            <w:vAlign w:val="bottom"/>
          </w:tcPr>
          <w:p>
            <w:pPr>
              <w:spacing w:after="0"/>
              <w:rPr>
                <w:sz w:val="22"/>
                <w:szCs w:val="22"/>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4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Transfers out</w:t>
            </w:r>
          </w:p>
        </w:tc>
        <w:tc>
          <w:tcPr>
            <w:tcW w:w="14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2017</w:t>
            </w:r>
          </w:p>
        </w:tc>
        <w:tc>
          <w:tcPr>
            <w:tcW w:w="146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0"/>
        </w:trPr>
        <w:tc>
          <w:tcPr>
            <w:tcW w:w="7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fair value of American’s retiree medical and other postretirement benefits plans assets at December 31, 2018 by asset category, were as follows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gridSpan w:val="9"/>
          </w:tcPr>
          <w:p>
            <w:pPr>
              <w:ind w:left="1340"/>
              <w:spacing w:after="0"/>
              <w:rPr>
                <w:sz w:val="20"/>
                <w:szCs w:val="20"/>
                <w:color w:val="auto"/>
              </w:rPr>
            </w:pPr>
            <w:r>
              <w:rPr>
                <w:rFonts w:ascii="Arial" w:cs="Arial" w:eastAsia="Arial" w:hAnsi="Arial"/>
                <w:sz w:val="14"/>
                <w:szCs w:val="14"/>
                <w:b w:val="1"/>
                <w:bCs w:val="1"/>
                <w:color w:val="auto"/>
              </w:rPr>
              <w:t>Fair Value Measurements as of December 31, 2018</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5"/>
                <w:szCs w:val="15"/>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Active Markets for</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Identical Assets</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market fund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6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Mutual funds – AAL Class</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221</w:t>
            </w:r>
          </w:p>
        </w:tc>
      </w:tr>
      <w:tr>
        <w:trPr>
          <w:trHeight w:val="250"/>
        </w:trPr>
        <w:tc>
          <w:tcPr>
            <w:tcW w:w="4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7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type w:val="continuous"/>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fair value of American’s retiree medical and other postretirement benefits plans assets at December 31, 2017 by asset category, were as follows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gridSpan w:val="9"/>
          </w:tcPr>
          <w:p>
            <w:pPr>
              <w:ind w:left="1340"/>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5"/>
                <w:szCs w:val="15"/>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Active Markets for</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Identical Assets</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market fund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6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Mutual funds – AAL Class</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290</w:t>
            </w:r>
          </w:p>
        </w:tc>
      </w:tr>
      <w:tr>
        <w:trPr>
          <w:trHeight w:val="250"/>
        </w:trPr>
        <w:tc>
          <w:tcPr>
            <w:tcW w:w="4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Investments in the retiree medical and other postretirement benefits plans’ mutual funds are valued by quoted prices on the active market, which is fair value and represents the net asset value of the shares of such funds as of the close of business at the end of the period. The AAL Class mutual fund restricts trading only to American, resulting in a fair value classification of Level 2. Investments included approximately 30% of investments in non-U.S. common stocks in both 2018 and 2017. Net asset value is based on the fair market value of the funds’ underlying assets and liabilities at the date of determination.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contributed $856 million, $844 million and $761 million to its defined contribution plans for the years ended December 31, 2018, 2017 and 2016, respectively.</w:t>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Profit Sharing Program</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American accrues 5% of its pre-tax income excluding special items for its profit sharing program. For the year ended December 31, 2018, American accrued $175 million for this program, which will be distributed to employees in the first quarter of 2019.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Retiree</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Medical and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34"/>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 Loss on</w:t>
            </w:r>
          </w:p>
        </w:tc>
        <w:tc>
          <w:tcPr>
            <w:tcW w:w="180" w:type="dxa"/>
            <w:vAlign w:val="bottom"/>
          </w:tcPr>
          <w:p>
            <w:pPr>
              <w:spacing w:after="0"/>
              <w:rPr>
                <w:sz w:val="14"/>
                <w:szCs w:val="14"/>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2"/>
        </w:trPr>
        <w:tc>
          <w:tcPr>
            <w:tcW w:w="55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 xml:space="preserve">(Provision) </w:t>
            </w:r>
            <w:r>
              <w:rPr>
                <w:rFonts w:ascii="Arial" w:cs="Arial" w:eastAsia="Arial" w:hAnsi="Arial"/>
                <w:sz w:val="17"/>
                <w:szCs w:val="17"/>
                <w:b w:val="1"/>
                <w:bCs w:val="1"/>
                <w:color w:val="auto"/>
                <w:w w:val="96"/>
                <w:vertAlign w:val="superscript"/>
              </w:rPr>
              <w:t>(1)</w:t>
            </w:r>
          </w:p>
        </w:tc>
        <w:tc>
          <w:tcPr>
            <w:tcW w:w="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(2)</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(2)</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Relates to pension, retiree medical and other postretirement benefits obligations and is recognized within the income tax provision on American’s consolidated statements of operations.</w:t>
      </w:r>
    </w:p>
    <w:p>
      <w:pPr>
        <w:spacing w:after="0" w:line="2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165</w:t>
      </w:r>
    </w:p>
    <w:p>
      <w:pPr>
        <w:sectPr>
          <w:pgSz w:w="11900" w:h="16838" w:orient="portrait"/>
          <w:cols w:equalWidth="0" w:num="2">
            <w:col w:w="140" w:space="520"/>
            <w:col w:w="10760"/>
          </w:cols>
          <w:pgMar w:left="240" w:top="549" w:right="239" w:bottom="144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Reclassifications out of AOCI for the years ended December 31, 2018 and 2017 are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88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rPr>
              <w:t>Amounts reclassified from AOCI</w:t>
            </w: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0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360" w:type="dxa"/>
            <w:vAlign w:val="bottom"/>
            <w:gridSpan w:val="3"/>
          </w:tcPr>
          <w:p>
            <w:pPr>
              <w:ind w:left="40"/>
              <w:spacing w:after="0"/>
              <w:rPr>
                <w:sz w:val="20"/>
                <w:szCs w:val="20"/>
                <w:color w:val="auto"/>
              </w:rPr>
            </w:pPr>
            <w:r>
              <w:rPr>
                <w:rFonts w:ascii="Arial" w:cs="Arial" w:eastAsia="Arial" w:hAnsi="Arial"/>
                <w:sz w:val="14"/>
                <w:szCs w:val="14"/>
                <w:b w:val="1"/>
                <w:bCs w:val="1"/>
                <w:color w:val="auto"/>
              </w:rPr>
              <w:t>AOCI Components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pension, retiree medical and other postretirement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benefits:</w:t>
            </w: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Prior service benefit</w:t>
            </w:r>
          </w:p>
        </w:tc>
        <w:tc>
          <w:tcPr>
            <w:tcW w:w="880" w:type="dxa"/>
            <w:vAlign w:val="bottom"/>
          </w:tcPr>
          <w:p>
            <w:pPr>
              <w:jc w:val="right"/>
              <w:ind w:right="661"/>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2"/>
                <w:szCs w:val="22"/>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(132)</w:t>
            </w:r>
          </w:p>
        </w:tc>
        <w:tc>
          <w:tcPr>
            <w:tcW w:w="100" w:type="dxa"/>
            <w:vAlign w:val="bottom"/>
          </w:tcPr>
          <w:p>
            <w:pPr>
              <w:spacing w:after="0"/>
              <w:rPr>
                <w:sz w:val="22"/>
                <w:szCs w:val="22"/>
                <w:color w:val="auto"/>
              </w:rPr>
            </w:pPr>
          </w:p>
        </w:tc>
        <w:tc>
          <w:tcPr>
            <w:tcW w:w="3080" w:type="dxa"/>
            <w:vAlign w:val="bottom"/>
          </w:tcPr>
          <w:p>
            <w:pPr>
              <w:jc w:val="right"/>
              <w:ind w:right="464"/>
              <w:spacing w:after="0"/>
              <w:rPr>
                <w:sz w:val="20"/>
                <w:szCs w:val="20"/>
                <w:color w:val="auto"/>
              </w:rPr>
            </w:pPr>
            <w:r>
              <w:rPr>
                <w:rFonts w:ascii="Arial" w:cs="Arial" w:eastAsia="Arial" w:hAnsi="Arial"/>
                <w:sz w:val="18"/>
                <w:szCs w:val="18"/>
                <w:color w:val="auto"/>
                <w:w w:val="99"/>
              </w:rPr>
              <w:t>Nonoperating other income, net</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Actuarial loss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80" w:type="dxa"/>
            <w:vAlign w:val="bottom"/>
            <w:gridSpan w:val="3"/>
            <w:shd w:val="clear" w:color="auto" w:fill="CCEEFF"/>
          </w:tcPr>
          <w:p>
            <w:pPr>
              <w:jc w:val="right"/>
              <w:ind w:right="464"/>
              <w:spacing w:after="0"/>
              <w:rPr>
                <w:sz w:val="20"/>
                <w:szCs w:val="20"/>
                <w:color w:val="auto"/>
              </w:rPr>
            </w:pPr>
            <w:r>
              <w:rPr>
                <w:rFonts w:ascii="Arial" w:cs="Arial" w:eastAsia="Arial" w:hAnsi="Arial"/>
                <w:sz w:val="18"/>
                <w:szCs w:val="18"/>
                <w:color w:val="auto"/>
              </w:rPr>
              <w:t>77   Nonoperating other income, net</w:t>
            </w:r>
          </w:p>
        </w:tc>
        <w:tc>
          <w:tcPr>
            <w:tcW w:w="0" w:type="dxa"/>
            <w:vAlign w:val="bottom"/>
          </w:tcPr>
          <w:p>
            <w:pPr>
              <w:spacing w:after="0"/>
              <w:rPr>
                <w:sz w:val="1"/>
                <w:szCs w:val="1"/>
                <w:color w:val="auto"/>
              </w:rPr>
            </w:pPr>
          </w:p>
        </w:tc>
      </w:tr>
      <w:tr>
        <w:trPr>
          <w:trHeight w:val="244"/>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88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Amounts allocated to other comprehensive income (OCI) for income taxes as further described in Note 5 will remain in AOCI until American ceases all related activities, such as termination of the pension plan.</w:t>
      </w:r>
    </w:p>
    <w:p>
      <w:pPr>
        <w:spacing w:after="0" w:line="201" w:lineRule="exact"/>
        <w:rPr>
          <w:sz w:val="20"/>
          <w:szCs w:val="20"/>
          <w:color w:val="auto"/>
        </w:rPr>
      </w:pPr>
    </w:p>
    <w:p>
      <w:pPr>
        <w:ind w:left="360" w:hanging="352"/>
        <w:spacing w:after="0"/>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90" w:lineRule="exact"/>
        <w:rPr>
          <w:rFonts w:ascii="Arial" w:cs="Arial" w:eastAsia="Arial" w:hAnsi="Arial"/>
          <w:sz w:val="18"/>
          <w:szCs w:val="18"/>
          <w:b w:val="1"/>
          <w:bCs w:val="1"/>
          <w:color w:val="auto"/>
        </w:rPr>
      </w:pPr>
    </w:p>
    <w:p>
      <w:pPr>
        <w:ind w:left="500" w:hanging="276"/>
        <w:spacing w:after="0"/>
        <w:tabs>
          <w:tab w:leader="none" w:pos="500" w:val="left"/>
        </w:tabs>
        <w:numPr>
          <w:ilvl w:val="1"/>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Aircraft, Engine and Other Purchase Commitments</w:t>
      </w:r>
    </w:p>
    <w:p>
      <w:pPr>
        <w:spacing w:after="0" w:line="11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Under all of American’s aircraft and engine purchase agreements, its total future commitments as of December 31, 2018 are expected to be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2024 and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212"/>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aircraft commitments and</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3"/>
        </w:trPr>
        <w:tc>
          <w:tcPr>
            <w:tcW w:w="3500" w:type="dxa"/>
            <w:vAlign w:val="bottom"/>
            <w:shd w:val="clear" w:color="auto" w:fill="CCEEFF"/>
          </w:tcPr>
          <w:p>
            <w:pPr>
              <w:ind w:left="200"/>
              <w:spacing w:after="0" w:line="233" w:lineRule="exact"/>
              <w:rPr>
                <w:sz w:val="20"/>
                <w:szCs w:val="20"/>
                <w:color w:val="auto"/>
              </w:rPr>
            </w:pPr>
            <w:r>
              <w:rPr>
                <w:rFonts w:ascii="Arial" w:cs="Arial" w:eastAsia="Arial" w:hAnsi="Arial"/>
                <w:sz w:val="18"/>
                <w:szCs w:val="18"/>
                <w:color w:val="auto"/>
              </w:rPr>
              <w:t xml:space="preserve">certain engines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6,047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84" w:lineRule="exact"/>
        <w:rPr>
          <w:sz w:val="20"/>
          <w:szCs w:val="20"/>
          <w:color w:val="auto"/>
        </w:rPr>
      </w:pPr>
    </w:p>
    <w:p>
      <w:pPr>
        <w:jc w:val="both"/>
        <w:ind w:left="660" w:hanging="652"/>
        <w:spacing w:after="0" w:line="233" w:lineRule="auto"/>
        <w:tabs>
          <w:tab w:leader="none" w:pos="660" w:val="left"/>
        </w:tabs>
        <w:numPr>
          <w:ilvl w:val="0"/>
          <w:numId w:val="70"/>
        </w:numPr>
        <w:rPr>
          <w:rFonts w:ascii="Arial" w:cs="Arial" w:eastAsia="Arial" w:hAnsi="Arial"/>
          <w:sz w:val="22"/>
          <w:szCs w:val="22"/>
          <w:color w:val="auto"/>
          <w:vertAlign w:val="superscript"/>
        </w:rPr>
      </w:pPr>
      <w:r>
        <w:rPr>
          <w:rFonts w:ascii="Arial" w:cs="Arial" w:eastAsia="Arial" w:hAnsi="Arial"/>
          <w:sz w:val="18"/>
          <w:szCs w:val="18"/>
          <w:color w:val="auto"/>
        </w:rPr>
        <w:t>These amounts are net of purchase deposits currently held by the manufacturers and include all commitments for regional aircraft. American has granted a security interest in certain of its purchase deposits with Boeing. American’s purchase deposits held by all manufacturers totaled $1.3 billion as of December 31, 2018.</w:t>
      </w:r>
    </w:p>
    <w:p>
      <w:pPr>
        <w:spacing w:after="0" w:line="16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Additionally, American has purchase commitments related to jet fuel, construction projects and information technology support as follows (approximately): $1.9 billion in 2019, $1.1 billion in 2020, $1.0 billion in 2021, $32 million in 2022 and $7 million in 2023.</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Capacity Purchase Agreements with Third-Party Regional Carriers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has capacity purchase agreements with third-party regional carriers. The capacity purchase agreements provide that all revenues, including passenger, in-flight, ancillary, mail and freight revenues, go to American. In return, American agrees to pay predetermined fees to these airlines for operating an agreed-upon number of aircraft, without regard to the number of passengers on board. In addition, these agreements provide that American either reimburses or pays 100% of certain variable costs, such as airport landing fees, fuel and passenger liability insurance. American controls marketing, scheduling, ticketing, pricing and seat inventories.</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2018, American’s capacity purchase agreements with third-party regional carriers had expiration dates ranging from 2019 to 2027, with rights of American to extend the respective terms of certain agreements. See Part I, Item 2. Properties for unaudited information on the aircraft operated by third-party regional carriers under such capacity purchase agreements.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549"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As of December 31, 2018, American’s minimum fixed obligations under its capacity purchase agreements with third-party regional carriers are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2024 and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0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215"/>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fixed obligations under capacity</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00"/>
        </w:trPr>
        <w:tc>
          <w:tcPr>
            <w:tcW w:w="4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purchase agreements with third-party regional</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3"/>
        </w:trPr>
        <w:tc>
          <w:tcPr>
            <w:tcW w:w="4000" w:type="dxa"/>
            <w:vAlign w:val="bottom"/>
            <w:shd w:val="clear" w:color="auto" w:fill="CCEEFF"/>
          </w:tcPr>
          <w:p>
            <w:pPr>
              <w:ind w:left="200"/>
              <w:spacing w:after="0" w:line="233" w:lineRule="exact"/>
              <w:rPr>
                <w:sz w:val="20"/>
                <w:szCs w:val="20"/>
                <w:color w:val="auto"/>
              </w:rPr>
            </w:pPr>
            <w:r>
              <w:rPr>
                <w:rFonts w:ascii="Arial" w:cs="Arial" w:eastAsia="Arial" w:hAnsi="Arial"/>
                <w:sz w:val="18"/>
                <w:szCs w:val="18"/>
                <w:color w:val="auto"/>
              </w:rPr>
              <w:t xml:space="preserve">carriers </w:t>
            </w:r>
            <w:r>
              <w:rPr>
                <w:rFonts w:ascii="Arial" w:cs="Arial" w:eastAsia="Arial" w:hAnsi="Arial"/>
                <w:sz w:val="21"/>
                <w:szCs w:val="21"/>
                <w:color w:val="auto"/>
                <w:vertAlign w:val="superscript"/>
              </w:rPr>
              <w:t>(1)</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   1,101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84" w:lineRule="exact"/>
        <w:rPr>
          <w:sz w:val="20"/>
          <w:szCs w:val="20"/>
          <w:color w:val="auto"/>
        </w:rPr>
      </w:pPr>
    </w:p>
    <w:p>
      <w:pPr>
        <w:jc w:val="both"/>
        <w:ind w:left="660" w:hanging="652"/>
        <w:spacing w:after="0" w:line="237" w:lineRule="auto"/>
        <w:tabs>
          <w:tab w:leader="none" w:pos="660"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Represents minimum payments under capacity purchase agreements with third-party regional carriers, which are estimates of costs based on assumed minimum levels of flying under the capacity purchase agreements and American’s actual payments could differ materially. Excludes payments for the lease of certain aircraft under capacity purchase agreements, which are reflected in the operating lease obligations in Note 4.</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Airport Redevelopment</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Los Angeles International Airport (LAX)</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2018, American executed a lease agreement with Los Angeles World Airports (LAWA), which owns and operates LAX, in connection with a $1.6 billion modernization project related to LAX Terminals 4 and 5. Construction will occur in a phased approach, which started in October 2018 and is expected to be completed in 2028. The modernization project will include a unified departure hall to combine the entranceway of Terminals 4 and 5, reconfigured ticket counter and check-in areas with seamless access to security screening areas, 16 security screening lanes with automated technology and upgraded amenities at gate areas. The project will also include renovated break rooms, multi-use meeting rooms and team gathering spaces throughout the terminals to support American’s team members at LAX.</w:t>
      </w:r>
    </w:p>
    <w:p>
      <w:pPr>
        <w:spacing w:after="0" w:line="15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is managing this project and has legal title to the assets during their construction. As each phase is completed, the assets will be sold and transferred to LAWA, including the site improvements and non-proprietary improvements. As American controls the assets during construction, they are recognized on its balance sheet until legal title has transferred. For 2018, American incurred approximately $7 million in costs relating to the LAX modernization project, which are included within operating property and equipment on its consolidated balance sheet as of December 31, 2018.</w:t>
      </w:r>
    </w:p>
    <w:p>
      <w:pPr>
        <w:spacing w:after="0" w:line="211" w:lineRule="exact"/>
        <w:rPr>
          <w:sz w:val="20"/>
          <w:szCs w:val="20"/>
          <w:color w:val="auto"/>
        </w:rPr>
      </w:pPr>
    </w:p>
    <w:p>
      <w:pPr>
        <w:ind w:left="220" w:right="8100" w:firstLine="4"/>
        <w:spacing w:after="0" w:line="357" w:lineRule="auto"/>
        <w:tabs>
          <w:tab w:leader="none" w:pos="50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Aircraft</w:t>
      </w:r>
    </w:p>
    <w:p>
      <w:pPr>
        <w:jc w:val="both"/>
        <w:ind w:firstLine="216"/>
        <w:spacing w:after="0" w:line="252" w:lineRule="auto"/>
        <w:rPr>
          <w:sz w:val="20"/>
          <w:szCs w:val="20"/>
          <w:color w:val="auto"/>
        </w:rPr>
      </w:pPr>
      <w:r>
        <w:rPr>
          <w:rFonts w:ascii="Arial" w:cs="Arial" w:eastAsia="Arial" w:hAnsi="Arial"/>
          <w:sz w:val="18"/>
          <w:szCs w:val="18"/>
          <w:color w:val="auto"/>
        </w:rPr>
        <w:t>American currently operates 389 owned aircraft and 88 leased aircraft which were financed with EETCs issued by pass-through trusts. These trusts are off-balance sheet entities, the primary purpose of which is to finance the acquisition of flight equipment.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The trusts were also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Each trust covers a set number of aircraft scheduled to be delivered or refinanced upon the issuance of the EETC or within a specific period of time thereafter. At the time of each covered aircraft financing, the relevant trust used the proceeds of the issuance of the EETC (which may have been available at the time of issuance thereof or held in escrow until financing of the applicable aircraft following its delivery) to purchase equipment notes relating to the financed aircraft. The equipment notes are issued, at American’s election, in connection with a mortgage financing of the aircraft or, in certain cases, by a separate owner trust in connection with a leveraged lease financing of the aircraft. In the case of a leveraged lease financing, the owner trust then leases the aircraft to American. In both cases, the equipment notes are secured by a security interest in the aircraft. The pass-through trust certificates are not direct obligations of, nor are they guaranteed by, AAG or American. However, in the case of mortgage financings, the equipment notes issued to the trusts are direct obligations of American and, in certain instances, have been guaranteed by AAG. As of December 31, 2018, $11.6 billion associated with these mortgage financings is reflected as debt in the accompanying consolidated balance sheet.</w:t>
      </w:r>
    </w:p>
    <w:p>
      <w:pPr>
        <w:spacing w:after="0" w:line="15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With respect to leveraged leases, American evaluated whether the leases had characteristics of a variable interest entity. American concluded the leasing entities met the criteria for variable interest entities. American generally is not the primary beneficiary of the leasing entities if the lease terms are consistent with market terms at the inception of the lease and do not include a residual value guarantee, fixed-price purchase option or similar feature that obligates American to absorb decreases</w:t>
      </w:r>
    </w:p>
    <w:p>
      <w:pPr>
        <w:sectPr>
          <w:pgSz w:w="11900" w:h="16838" w:orient="portrait"/>
          <w:cols w:equalWidth="0" w:num="1">
            <w:col w:w="11420"/>
          </w:cols>
          <w:pgMar w:left="240" w:top="549"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420"/>
          </w:cols>
          <w:pgMar w:left="240" w:top="549" w:right="239" w:bottom="1440" w:gutter="0" w:footer="0" w:header="0"/>
          <w:type w:val="continuous"/>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value or entitles American to participate in increases in the value of the aircraft. American does not provide residual value guarantees to the bondholders or equity participants in the trusts. Some leases have a fair market value or a fixed price purchase option that allows American to purchase the aircraft at or near the end of the lease term. However, the option price approximates an estimate of the aircraft’s fair value at the option date. Under this feature, American does not participate in any increases in the value of the aircraft. American concluded it is not the primary beneficiary under these arrangements. Therefore, American accounts for the majority of its EETC leveraged lease financings as operating leases. American’s total future payments to the trusts of each of the relevant EETCs under these leveraged lease financings are $352 million as of December 31, 2018, which are reflected in the operating lease obligations in Note 4.</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provides financial assurance, such as letters of credit, surety bonds or restricted cash and investments, primarily to support projected workers’ compensation obligations and airport commitments. As of December 31, 2018, American had $460 million of letters of credit and surety bonds securing various obligations. The letters of credit and surety bonds that are subject to expiration will expire on various dates through 2022.</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by AAG from time to time in its quarterly and annual reports, including for purposes of calculating earnings per share. As disputed claims are resolved, the claimants will receive distributions of shares from the Disputed Claims Reserve. However, American is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AAG but rather will be distributed to former AMR stockholders and former convertible noteholders treated as stockholders under the Plan. On February 12, 2019, in accordance with the approval granted by the Bankruptcy Court on December 6, 2018, an aggregate of approximately 17.3 million shares of AAG common stock were distributed from the Disputed Claims Reserve to former AMR shareholders and convertible noteholders. After giving effect to this distribution, the Disputed Claims Reserve holds approximately 7.2 million shares of AAG common stock.</w:t>
      </w:r>
    </w:p>
    <w:p>
      <w:pPr>
        <w:spacing w:after="0" w:line="139"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(the DC Court). On June 15, 2018, American reached a preliminary settlement agreement with the plaintiffs in the amount of $45 million that, once approved, will resolve all claims in the U.S. lawsuits. That settlement received preliminary approval from the DC Court on June 18, 2018.</w:t>
      </w:r>
    </w:p>
    <w:p>
      <w:pPr>
        <w:spacing w:after="0" w:line="12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United States Bankruptcy Court for the Southern District of New York. The complaint named as defendants US Airways Group,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Court denied in part defendants' motion for summary judgment, and fully denied plaintiffs' cross-motion for summary judgment. A bench trial is presently scheduled for March 2019. American believes this lawsuit is without merit and intends to vigorously defend against the allegations.</w:t>
      </w:r>
    </w:p>
    <w:p>
      <w:pPr>
        <w:spacing w:after="0" w:line="135" w:lineRule="exact"/>
        <w:rPr>
          <w:sz w:val="20"/>
          <w:szCs w:val="20"/>
          <w:color w:val="auto"/>
        </w:rPr>
      </w:pPr>
    </w:p>
    <w:p>
      <w:pPr>
        <w:jc w:val="both"/>
        <w:ind w:firstLine="216"/>
        <w:spacing w:after="0" w:line="266"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Department of Justice (DOJ) informed American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inquiry regarding American’s 2009 and 2011 contracts with the United States Postal Service for the international transportation of mail by air. In October 2015, American received a Civil Investigative Demand from the DOJ seeking certain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549"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relating to these contracts and the DOJ has also sought information concerning certain of the airlines that transport mail on a codeshare basis. The DOJ has indicated it is investigating potential violations of the False Claims Act or other statutes. American is cooperating fully with the DOJ with regard to its investigation.</w:t>
      </w:r>
    </w:p>
    <w:p>
      <w:pPr>
        <w:spacing w:after="0" w:line="13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 See Part I, Item 1A. Risk Factors –</w:t>
      </w:r>
      <w:r>
        <w:rPr>
          <w:rFonts w:ascii="Arial" w:cs="Arial" w:eastAsia="Arial" w:hAnsi="Arial"/>
          <w:sz w:val="18"/>
          <w:szCs w:val="18"/>
          <w:i w:val="1"/>
          <w:iCs w:val="1"/>
          <w:color w:val="auto"/>
        </w:rPr>
        <w:t>“We may be a party to litigation in the normal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course of business or otherwise, which could affect our financial position and liquidity” </w:t>
      </w:r>
      <w:r>
        <w:rPr>
          <w:rFonts w:ascii="Arial" w:cs="Arial" w:eastAsia="Arial" w:hAnsi="Arial"/>
          <w:sz w:val="18"/>
          <w:szCs w:val="18"/>
          <w:color w:val="auto"/>
        </w:rPr>
        <w:t>for additional discussion.</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 Guarantees and Indemnifications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 is a party to many routine contracts in which it provides general indemnities in the normal course of business to third parties for various risks. American is not able to estimate the potential amount of any liability resulting from the indemnities. These indemnities are discussed in the following paragraphs.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its aircraft financing agreements, American generally indemnifies the financing parties, trustees acting on their behalf and other relevant parties against liabilities (including certain taxes) resulting from the financing, manufacture, design, ownership, operation and maintenance of the aircraft regardless of whether these liabilities (including certain taxes) relate to the negligence of the indemnified parties.</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American’s loan agreements and other LIBOR-based financing transactions (including certain leveraged aircraft leases) generally obligate American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American’s loan agreements and other financing arrangements typically contain a withholding tax provision that requires American to pay additional amounts to the applicable lender or other financing party, generally if withholding taxes are imposed on such lender or other financing party as a result of a change in the applicable tax law.</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American may be required to make a lump sum payment to terminate the relevant transaction.</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has general indemnity clauses in many of its airport and other real estate leases where American as lessee indemnifies the lessor (and related parties) against liabilities related to American’s use of the leased property. Generally, these indemnifications cover liabilities resulting from the negligence of the indemnified parties, but not liabilities resulting from the gross negligence or willful misconduct of the indemnified parties. In addition, American provides environmental indemnities in many of these leases for contamination related to American’s use of the leased property.</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certain contracts with third parties, American indemnifies the third-party against legal liability arising out of an action by the third-party, or certain other parties. The terms of these contracts vary and the potential exposure under these indemnities cannot be determined. American has liability insurance protecting American for some of the obligations it has undertaken under these indemnities.</w:t>
      </w:r>
    </w:p>
    <w:p>
      <w:pPr>
        <w:spacing w:after="0" w:line="148"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American. As of December 31, 2018, the remaining lease payments through 2035 guaranteeing the principal and interest on these bonds are $588 million and the current carrying amount of the associated operating lease liability in the accompanying consolidated balance sheet is $321 million.</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2018, American had issued guarantees covering AAG’s $750 million aggregate principal amount of 5.50% senior notes due 2019 and $500 million aggregate principal amount of 4.625% senior notes due 2020.</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549" w:right="2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 Credit Card Processing Agreements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has agreements with companies that process customer credit card transactions for the sale of air travel and other services. American’s agreements allow these credit card processing companies, under certain conditions, to hold an amount of its cash (referred to as a holdback) equal to a portion of advance ticket sales that have been processed by that company, but for which American has not yet provided the air transportation. Additional holdback requirements in the event of material adverse changes in American’s financial condition will reduce its liquidity in the form of unrestricted cash by the amount of the holdbacks. These credit card processing companies are not currently entitled to maintain any holdbacks pursuant to these requirements.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 Labor Negotiations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As of December 31, 2018, American employed approximately 102,900 active full-time equivalent employees. Approximately 84% of employees are covered by collective bargaining agreements (CBAs) with various labor unions and approximately 24% of employees are covered by CBAs that will become amendable within one year. Negotiations are continuing for joint collective bargaining agreements (JCBAs) covering American’s maintenance, fleet service, stock clerks, maintenance control technicians and maintenance training instructors. Additionally, the post-Merger JCBAs covering American’s pilots and flight attendants, while not yet amendable, provide the unions with the right to elect to commence negotiations for new collective bargaining agreements in advance of each JCBA’s amendable date. Each of the unions has exercised these rights and negotiations are underway for new agreements as described in Part I, Item 1. Business - “</w:t>
      </w:r>
      <w:r>
        <w:rPr>
          <w:rFonts w:ascii="Arial" w:cs="Arial" w:eastAsia="Arial" w:hAnsi="Arial"/>
          <w:sz w:val="18"/>
          <w:szCs w:val="18"/>
          <w:i w:val="1"/>
          <w:iCs w:val="1"/>
          <w:color w:val="auto"/>
        </w:rPr>
        <w:t>Employees and Labor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w:t>
      </w:r>
      <w:r>
        <w:rPr>
          <w:rFonts w:ascii="Arial" w:cs="Arial" w:eastAsia="Arial" w:hAnsi="Arial"/>
          <w:sz w:val="18"/>
          <w:szCs w:val="18"/>
          <w:color w:val="auto"/>
        </w:rPr>
        <w:t>”. There is no assurance that a successful or timely resolution of these labor negotiations will be achieved.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Cash Flow Information</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321"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26035</wp:posOffset>
            </wp:positionV>
            <wp:extent cx="31984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6380" w:type="dxa"/>
            <w:vAlign w:val="bottom"/>
          </w:tcPr>
          <w:p>
            <w:pPr>
              <w:ind w:left="280"/>
              <w:spacing w:after="0"/>
              <w:rPr>
                <w:sz w:val="20"/>
                <w:szCs w:val="20"/>
                <w:color w:val="auto"/>
              </w:rPr>
            </w:pPr>
            <w:r>
              <w:rPr>
                <w:rFonts w:ascii="Arial" w:cs="Arial" w:eastAsia="Arial" w:hAnsi="Arial"/>
                <w:sz w:val="18"/>
                <w:szCs w:val="18"/>
                <w:color w:val="auto"/>
              </w:rPr>
              <w:t>Equity investment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Settlement of bankruptcy obligations</w:t>
            </w:r>
          </w:p>
        </w:tc>
        <w:tc>
          <w:tcPr>
            <w:tcW w:w="100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Supplemental information:</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paid, net</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867</w:t>
            </w:r>
          </w:p>
        </w:tc>
      </w:tr>
      <w:tr>
        <w:trPr>
          <w:trHeight w:val="257"/>
        </w:trPr>
        <w:tc>
          <w:tcPr>
            <w:tcW w:w="638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Segments and Related Disclosures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is managed as a single business unit that provides air transportation for passengers and cargo. This allows it to benefit from an integrated revenue pricing and route network that includes American and AAG’s wholly-owned and third-party regional carriers that fly under capacity purchase agreements operating as American Eagle. The flight equipment of all these carriers is combined to form one fleet that is deployed through a single route scheduling system. Financial information and annual operational plans and forecasts are prepared and reviewed by the chief operating decision maker at the consolidated level. When making operational decisions, the chief operating decision maker evaluates flight profitability data, which considers aircraft type and route economics, but is indifferent to the results of the individual regional carriers. The objective in making operational decisions is to maximize consolidated financial results, not the individual results of American or American Eagle.</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1(k) for American’s passenger revenues by geographic region. American’s tangible assets consist primarily of flight equipment, which are mobile across geographic markets and, therefore, have not been allocated.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2013 AAG Incentive Award Plan (the 2013 Plan) provides that awards may be in the form of an option, restricted stock award, restricted stock unit award, performance award, dividend equivalent award, deferred stock award, deferred stock unit award, stock payment award or stock appreciation right. The 2013 Plan initially authorized the grant of awards for the issuance of up to 40 million shares. Any shares underlying awards granted under the 2013 Plan, or any pre-existing US Airways Group plan, that are forfeited, terminate or are settled in cash (in whole or in part) without the delivery of shares will again be available for grant.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549"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American’s salaries, wages and benefits expense for the years ended December 31, 2018, 2017 and 2016 included $88 million, $90 million and $102 million, respectively, of share-based compensation costs.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2018, 2017 and 2016, AAG withheld approximately 0.8 million, 1.1 million and 1.4 million shares of AAG common stock, respectively, and paid approximately $37 million, $51 million and $56 million, respectively, in satisfaction of certain tax withholding obligations associated with employee equity awards.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 Awards (RSUs)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AAG has granted RSUs with service conditions (time vested primarily over three years) and performance conditions. The grant-date fair value of RSUs is equal to the market price of the underlying shares of AAG common stock on the date of grant. For time vested awards, the expense is recognized on a straight-line basis over the vesting period for the entire award. For awards with performance conditions, the expense is recognized based on the expected achievement at each reporting period. Stock-settled RSUs are classified as equity awards as the vesting results in the issuance of shares of AAG common stock.</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Stock-settled RSU award activity for all plans for the years ended December 31, 2018, 2017 and 2016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right"/>
              <w:ind w:right="112"/>
              <w:spacing w:after="0"/>
              <w:rPr>
                <w:sz w:val="20"/>
                <w:szCs w:val="20"/>
                <w:color w:val="auto"/>
              </w:rPr>
            </w:pPr>
            <w:r>
              <w:rPr>
                <w:rFonts w:ascii="Arial" w:cs="Arial" w:eastAsia="Arial" w:hAnsi="Arial"/>
                <w:sz w:val="14"/>
                <w:szCs w:val="14"/>
                <w:b w:val="1"/>
                <w:bCs w:val="1"/>
                <w:color w:val="auto"/>
              </w:rPr>
              <w:t>Weighted Average Grant</w:t>
            </w:r>
          </w:p>
        </w:tc>
      </w:tr>
      <w:tr>
        <w:trPr>
          <w:trHeight w:val="196"/>
        </w:trPr>
        <w:tc>
          <w:tcPr>
            <w:tcW w:w="7200" w:type="dxa"/>
            <w:vAlign w:val="bottom"/>
          </w:tcPr>
          <w:p>
            <w:pPr>
              <w:spacing w:after="0"/>
              <w:rPr>
                <w:sz w:val="17"/>
                <w:szCs w:val="17"/>
                <w:color w:val="auto"/>
              </w:rPr>
            </w:pPr>
          </w:p>
        </w:tc>
        <w:tc>
          <w:tcPr>
            <w:tcW w:w="2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7200" w:type="dxa"/>
            <w:vAlign w:val="bottom"/>
          </w:tcPr>
          <w:p>
            <w:pPr>
              <w:spacing w:after="0"/>
              <w:rPr>
                <w:sz w:val="21"/>
                <w:szCs w:val="21"/>
                <w:color w:val="auto"/>
              </w:rPr>
            </w:pPr>
          </w:p>
        </w:tc>
        <w:tc>
          <w:tcPr>
            <w:tcW w:w="2040" w:type="dxa"/>
            <w:vAlign w:val="bottom"/>
          </w:tcPr>
          <w:p>
            <w:pPr>
              <w:jc w:val="right"/>
              <w:ind w:right="43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38.08</w:t>
            </w:r>
          </w:p>
        </w:tc>
      </w:tr>
      <w:tr>
        <w:trPr>
          <w:trHeight w:val="26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41.34</w:t>
            </w:r>
          </w:p>
        </w:tc>
      </w:tr>
      <w:tr>
        <w:trPr>
          <w:trHeight w:val="27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34.83</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40.15</w:t>
            </w: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5,187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41.48</w:t>
            </w:r>
          </w:p>
        </w:tc>
      </w:tr>
      <w:tr>
        <w:trPr>
          <w:trHeight w:val="26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2,309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48.58</w:t>
            </w:r>
          </w:p>
        </w:tc>
      </w:tr>
      <w:tr>
        <w:trPr>
          <w:trHeight w:val="27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39.63</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44.48</w:t>
            </w: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4,324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46.94</w:t>
            </w:r>
          </w:p>
        </w:tc>
      </w:tr>
      <w:tr>
        <w:trPr>
          <w:trHeight w:val="26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47.65</w:t>
            </w:r>
          </w:p>
        </w:tc>
      </w:tr>
      <w:tr>
        <w:trPr>
          <w:trHeight w:val="27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44.99</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45.72</w:t>
            </w: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4,320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44.29</w:t>
            </w:r>
          </w:p>
        </w:tc>
      </w:tr>
      <w:tr>
        <w:trPr>
          <w:trHeight w:val="20"/>
        </w:trPr>
        <w:tc>
          <w:tcPr>
            <w:tcW w:w="7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2018, there was $111 million of unrecognized compensation cost related to stock-settled RSUs. These costs are expected to be recognized over a weighted average period of one year. The total fair value of stock-settled RSUs vested during the years ended December 31, 2018, 2017 and 2016 was $91 million, $123 million and $107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Additions Charged to</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Statement of</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Beginning of Year</w:t>
            </w: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Operations Accounts</w:t>
            </w:r>
          </w:p>
        </w:tc>
        <w:tc>
          <w:tcPr>
            <w:tcW w:w="26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Deductions</w:t>
            </w: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End of Year</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obsolescence of spare parts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754</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2017</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2016</w:t>
            </w:r>
          </w:p>
        </w:tc>
        <w:tc>
          <w:tcPr>
            <w:tcW w:w="16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720</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uncollectible accounts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2017</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57"/>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2016</w:t>
            </w:r>
          </w:p>
        </w:tc>
        <w:tc>
          <w:tcPr>
            <w:tcW w:w="16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473"/>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334"/>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Data (Unaudited)</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Unaudited summarized financial data by quarter for 2018 and 2017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Third Quarter</w:t>
            </w:r>
          </w:p>
        </w:tc>
        <w:tc>
          <w:tcPr>
            <w:tcW w:w="200" w:type="dxa"/>
            <w:vAlign w:val="bottom"/>
          </w:tcPr>
          <w:p>
            <w:pPr>
              <w:spacing w:after="0"/>
              <w:rPr>
                <w:sz w:val="17"/>
                <w:szCs w:val="17"/>
                <w:color w:val="auto"/>
              </w:rPr>
            </w:pPr>
          </w:p>
        </w:tc>
        <w:tc>
          <w:tcPr>
            <w:tcW w:w="1400" w:type="dxa"/>
            <w:vAlign w:val="bottom"/>
          </w:tcPr>
          <w:p>
            <w:pPr>
              <w:jc w:val="right"/>
              <w:ind w:right="212"/>
              <w:spacing w:after="0"/>
              <w:rPr>
                <w:sz w:val="20"/>
                <w:szCs w:val="20"/>
                <w:color w:val="auto"/>
              </w:rPr>
            </w:pPr>
            <w:r>
              <w:rPr>
                <w:rFonts w:ascii="Arial" w:cs="Arial" w:eastAsia="Arial" w:hAnsi="Arial"/>
                <w:sz w:val="14"/>
                <w:szCs w:val="14"/>
                <w:b w:val="1"/>
                <w:bCs w:val="1"/>
                <w:color w:val="auto"/>
              </w:rPr>
              <w:t>Fourth Quarter</w:t>
            </w:r>
          </w:p>
        </w:tc>
      </w:tr>
      <w:tr>
        <w:trPr>
          <w:trHeight w:val="270"/>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1"/>
                <w:szCs w:val="21"/>
                <w:b w:val="1"/>
                <w:bCs w:val="1"/>
                <w:color w:val="auto"/>
                <w:vertAlign w:val="superscript"/>
              </w:rPr>
              <w:t>(1)</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10,398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11,640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11,556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10,936</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10,344</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2"/>
                <w:szCs w:val="22"/>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592</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r>
      <w:tr>
        <w:trPr>
          <w:trHeight w:val="324"/>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9,817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11,224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10,962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10,607</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9,982</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2"/>
                <w:szCs w:val="22"/>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625</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379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hanging="972"/>
        <w:spacing w:after="0" w:line="233" w:lineRule="auto"/>
        <w:tabs>
          <w:tab w:leader="none" w:pos="494" w:val="left"/>
        </w:tabs>
        <w:numPr>
          <w:ilvl w:val="0"/>
          <w:numId w:val="73"/>
        </w:numPr>
        <w:rPr>
          <w:rFonts w:ascii="Arial" w:cs="Arial" w:eastAsia="Arial" w:hAnsi="Arial"/>
          <w:sz w:val="22"/>
          <w:szCs w:val="22"/>
          <w:color w:val="auto"/>
          <w:vertAlign w:val="superscript"/>
        </w:rPr>
      </w:pPr>
      <w:r>
        <w:rPr>
          <w:rFonts w:ascii="Arial" w:cs="Arial" w:eastAsia="Arial" w:hAnsi="Arial"/>
          <w:sz w:val="18"/>
          <w:szCs w:val="18"/>
          <w:color w:val="auto"/>
        </w:rPr>
        <w:t>In the fourth quarter of 2018, American adopted the New Lease Standard as of January 1, 2018. In accordance with the New Lease Standard, prior 2018 periods have been recast to reflect the effects of this adoption. See Note 1(b) and Note 4 for further discussion of the New Lease Standard.</w:t>
      </w:r>
    </w:p>
    <w:p>
      <w:pPr>
        <w:spacing w:after="0" w:line="163"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American’s fourth quarter 2018 results include $220 million of total net special items that principally included $146 million of fleet restructuring expenses, $81 million of merger integration expenses, $37 million of severance costs associated with reductions of management and support staff team members, $ 22 million of mark-to-market net unrealized losses associated with certain equity investments, offset in part by a $ 37 million net credit resulting from mark-to-market adjustments on bankruptcy obligations and a $ 22 million income tax credit as a result of the reversal of the valuation allowance previously recognized in the first quarter of 2018 related to American’s estimated refund for AMT credits, which is no longer subject to sequestration.</w:t>
      </w:r>
    </w:p>
    <w:p>
      <w:pPr>
        <w:spacing w:after="0" w:line="1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American’s fourth quarter 2017 results include $1.2 billion of total net special items that principally included a $123 million charge for the $1,000 cash bonus and associated payroll taxes granted to mainline employees as of December 31, 2017 in recognition of the 2017 Tax Act, $81 million of merger integration expenses, $ 58 million of fleet restructuring expenses, a $20 million net charge resulting from mark-to-market adjustments on bankruptcy obligations and a $924 million special non-cash charge to reflect the impact of lower corporate income tax rates on the Company’s deferred tax asset and liabilities due to the 2017 Tax Act, which reduced the federal corporate income tax rate from 35% to 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Transactions with Related Parties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7"/>
                <w:szCs w:val="17"/>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6"/>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AAG </w:t>
            </w:r>
            <w:r>
              <w:rPr>
                <w:rFonts w:ascii="Arial" w:cs="Arial" w:eastAsia="Arial" w:hAnsi="Arial"/>
                <w:sz w:val="21"/>
                <w:szCs w:val="21"/>
                <w:color w:val="auto"/>
                <w:vertAlign w:val="superscript"/>
              </w:rPr>
              <w:t>(1)</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8"/>
              </w:rPr>
              <w:t>12,808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10,968</w:t>
            </w:r>
          </w:p>
        </w:tc>
      </w:tr>
      <w:tr>
        <w:trPr>
          <w:trHeight w:val="270"/>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1"/>
                <w:szCs w:val="21"/>
                <w:color w:val="auto"/>
                <w:vertAlign w:val="superscript"/>
              </w:rPr>
              <w:t>(2)</w:t>
            </w: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r>
      <w:tr>
        <w:trPr>
          <w:trHeight w:val="244"/>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10,666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8,822</w:t>
            </w:r>
          </w:p>
        </w:tc>
      </w:tr>
      <w:tr>
        <w:trPr>
          <w:trHeight w:val="20"/>
        </w:trPr>
        <w:tc>
          <w:tcPr>
            <w:tcW w:w="7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increase in American’s net related party receivable from AAG is primarily due to American providing the cash funding for AAG’s share repurchase and dividend programs.</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00" w:lineRule="exact"/>
        <w:rPr>
          <w:sz w:val="20"/>
          <w:szCs w:val="20"/>
          <w:color w:val="auto"/>
        </w:rPr>
      </w:pPr>
    </w:p>
    <w:p>
      <w:pPr>
        <w:sectPr>
          <w:pgSz w:w="11900" w:h="16838" w:orient="portrait"/>
          <w:cols w:equalWidth="0" w:num="2">
            <w:col w:w="140" w:space="520"/>
            <w:col w:w="10760"/>
          </w:cols>
          <w:pgMar w:left="240" w:top="549" w:right="239" w:bottom="1440" w:gutter="0" w:footer="0" w:header="0"/>
          <w:type w:val="continuous"/>
        </w:sectPr>
      </w:pP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420"/>
          </w:cols>
          <w:pgMar w:left="240" w:top="549" w:right="239" w:bottom="1440" w:gutter="0" w:footer="0" w:header="0"/>
          <w:type w:val="continuous"/>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Pursuant to a capacity purchase agreement between American and AAG’s wholly-owned regional airlines operating as American Eagle, American purchases all of the capacity from these carriers and recognizes passenger revenue from flights operated by American Eagle. In 2018, 2017 and 2016, American recognized expense of approximately $1.8 billion, $1.7 billion and $1.5 billion, respectively, related to wholly-owned regional airline capacity purchase agreements.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549"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December 31, 2018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December 31, 2018 at the reasonable assurance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On December 9, 2013, AAG acquired US Airways Group and its subsidiaries. We are still in the process of integrating certain processes, technology and operations for the post-Merger combined company, and we will continue to evaluate the impact of any related changes to our internal control over financial reporting. In connection with the adoption on January 1, 2018 of the New Revenue Standard and the adoption in the fourth quarter of 2018, of the New Lease Standard as of January 1, 2018, we modified certain processes and implemented internal controls related to our loyalty program and leases, respectively. The operating effectiveness of these changes was evaluated as part of our December 31, 2018 annual assessment of internal control over financial reporting. Except as described above, for the three months ended December 31, 2018, there have been no changes in AAG’s or American’s internal control over financial reporting that has materially affected, or is reasonably likely to materially affect, AAG’s and American’s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Management of AAG and American is responsible for establishing and maintaining adequate internal control over financial reporting as defined in Rules 13a-15(f) and 15d-15(f) under the Exchange Act. AAG’s and American’s internal control over financial reporting is designed to provide reasonable assurance regarding the reliability of financial reporting and the preparation of financial statements for external purposes in accordance with GAAP. AAG’s and American’s internal control over financial reporting includes policies and procedures that:</w:t>
      </w:r>
    </w:p>
    <w:p>
      <w:pPr>
        <w:spacing w:after="0" w:line="69" w:lineRule="exact"/>
        <w:rPr>
          <w:sz w:val="20"/>
          <w:szCs w:val="20"/>
          <w:color w:val="auto"/>
        </w:rPr>
      </w:pPr>
    </w:p>
    <w:p>
      <w:pPr>
        <w:ind w:left="660" w:hanging="409"/>
        <w:spacing w:after="0" w:line="262"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AAG or American, respectively;</w:t>
      </w:r>
    </w:p>
    <w:p>
      <w:pPr>
        <w:spacing w:after="0" w:line="61" w:lineRule="exact"/>
        <w:rPr>
          <w:rFonts w:ascii="Arial" w:cs="Arial" w:eastAsia="Arial" w:hAnsi="Arial"/>
          <w:sz w:val="18"/>
          <w:szCs w:val="18"/>
          <w:color w:val="auto"/>
        </w:rPr>
      </w:pPr>
    </w:p>
    <w:p>
      <w:pPr>
        <w:jc w:val="both"/>
        <w:ind w:left="660" w:hanging="409"/>
        <w:spacing w:after="0" w:line="256"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AAG or American are being made only in accordance with authorizations of management and directors of AAG or American, respectively; and</w:t>
      </w:r>
    </w:p>
    <w:p>
      <w:pPr>
        <w:spacing w:after="0" w:line="66" w:lineRule="exact"/>
        <w:rPr>
          <w:rFonts w:ascii="Arial" w:cs="Arial" w:eastAsia="Arial" w:hAnsi="Arial"/>
          <w:sz w:val="18"/>
          <w:szCs w:val="18"/>
          <w:color w:val="auto"/>
        </w:rPr>
      </w:pPr>
    </w:p>
    <w:p>
      <w:pPr>
        <w:ind w:left="660" w:hanging="409"/>
        <w:spacing w:after="0" w:line="262"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AAG’s or American’s assets that could have a material effect on the financial statements.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819" w:right="239" w:bottom="1440" w:gutter="0" w:footer="0" w:header="0"/>
        </w:sectPr>
      </w:pPr>
    </w:p>
    <w:bookmarkStart w:id="174" w:name="page175"/>
    <w:bookmarkEnd w:id="174"/>
    <w:p>
      <w:pPr>
        <w:jc w:val="both"/>
        <w:ind w:firstLine="216"/>
        <w:spacing w:after="0" w:line="256" w:lineRule="auto"/>
        <w:rPr>
          <w:sz w:val="20"/>
          <w:szCs w:val="20"/>
          <w:color w:val="auto"/>
        </w:rPr>
      </w:pPr>
      <w:r>
        <w:rPr>
          <w:rFonts w:ascii="Arial" w:cs="Arial" w:eastAsia="Arial" w:hAnsi="Arial"/>
          <w:sz w:val="18"/>
          <w:szCs w:val="18"/>
          <w:color w:val="auto"/>
        </w:rPr>
        <w:t>Management assessed the effectiveness of AAG’s and American’s internal control over financial reporting as of December 31, 2018. In making this assessment, management used the criteria set forth by the Committee of Sponsoring Organizations of the Treadway Commission in its Internal Control – Integrated Framework (2013 Framework).</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Based on our assessment and those criteria, AAG’s and American’s management concludes that AAG and American, respectively, maintained effective internal control over financial reporting as of December 31, 2018.</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AAG’s and American’s independent registered public accounting firm has issued an attestation report on the effectiveness of AAG’s and American’s internal control over financial reporting. That report has been included herein.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760" w:right="239" w:bottom="1440" w:gutter="0" w:footer="0" w:header="0"/>
        </w:sectPr>
      </w:pPr>
    </w:p>
    <w:bookmarkStart w:id="175" w:name="page176"/>
    <w:bookmarkEnd w:id="175"/>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audited American Airlines Group Inc.’s and subsidiaries’ (the Company)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income, cash flows, and stockholders’ equity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and the related notes (collectively, the consolidated financial statements), and our report dated February 25, 2019 expressed an unqualified opinion on those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576" w:right="239" w:bottom="1440" w:gutter="0" w:footer="0" w:header="0"/>
        </w:sectPr>
      </w:pPr>
    </w:p>
    <w:bookmarkStart w:id="176" w:name="page177"/>
    <w:bookmarkEnd w:id="176"/>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audited American Airlines, Inc.’s and subsidiaries’ (American)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American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American as of December 31, 2018 and 2017, the related consolidated statements of operations, comprehensive income, cash flows, and stockholder’s equity for each of the years in the three-year period ended December 31, 2018, and the related notes (collectively, the consolidated financial statements), and our report dated February 25, 2019 expressed an unqualified opinion on those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American’s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American’s internal control over financial reporting based on our audit.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576"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Except as stated below, the information required by this Item will be set forth in the Proxy Statement under the captions “Proposal 1 – Election of Directors,” “Executive Officers,” “Section 16(a) Beneficial Ownership Reporting Compliance,” “Board Composition” and “Information About the Board of Directors and Corporate Governance” and is incorporated by reference into this Annual Report on Form 10-K.</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American Airlines Group and American have adopted Standards of Business Conduct (the Ethics Standards) within the meaning of Item 406(b) of Regulation S-K. The Ethics Standards apply to all officers and employees of American Airlines Group Inc. and its subsidiaries, including American. The Ethics Standards are available on our website at </w:t>
      </w:r>
      <w:r>
        <w:rPr>
          <w:rFonts w:ascii="Arial" w:cs="Arial" w:eastAsia="Arial" w:hAnsi="Arial"/>
          <w:sz w:val="18"/>
          <w:szCs w:val="18"/>
          <w:i w:val="1"/>
          <w:iCs w:val="1"/>
          <w:color w:val="auto"/>
        </w:rPr>
        <w:t>www.aa.com</w:t>
      </w:r>
      <w:r>
        <w:rPr>
          <w:rFonts w:ascii="Arial" w:cs="Arial" w:eastAsia="Arial" w:hAnsi="Arial"/>
          <w:sz w:val="18"/>
          <w:szCs w:val="18"/>
          <w:color w:val="auto"/>
        </w:rPr>
        <w:t>. If we make substantive amendments to the Ethics Standards or grant any waiver, including any implicit waiver, to our principal executive officer, principal financial officer, principal accounting officer or controller, or persons performing similar functions, we will disclose the nature of such amendment or waiver on our website or in a Current Report on Form 8-K in accordance with applicable rules and regulations.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information required by this Item will be set forth in the Proxy Statement under the captions “Information About the Board of Directors and Corporate Governance - Risk Assessment with Respect to Compensation Practices,” “Director Compensation,” “Compensation Discussion and Analysis,” “Executive Compensation” and “Compensation Committee Report” and is incorporated by reference into this Annual Report on Form 10-K.</w:t>
      </w:r>
    </w:p>
    <w:p>
      <w:pPr>
        <w:spacing w:after="0" w:line="209"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information required by this Item will be set forth in the Proxy Statement under the captions “Security Ownership of Certain Beneficial Owners and Management” and “Equity Compensation Plan Information” and is incorporated by reference into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information required by this Item will be set forth in the Proxy Statement under the captions “Certain Relationships and Related Party Transactions” and “Information About the Board of Directors and Corporate Governance” and is incorporated by reference into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information required by this Item will be set forth in the Proxy Statement under the caption “Proposal 2 – Ratification of Appointment of Independent Registered Public Accounting Firm” and is incorporated by reference into this Annual Report on Form 10-K.</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576" w:right="239" w:bottom="1440" w:gutter="0" w:footer="0" w:header="0"/>
        </w:sectPr>
      </w:pPr>
    </w:p>
    <w:bookmarkStart w:id="178" w:name="page179"/>
    <w:bookmarkEnd w:id="178"/>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following consolidated financial statements of American Airlines Group Inc. and Independent Auditors’ Report are filed as part of this report:</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80" w:type="dxa"/>
            <w:vAlign w:val="bottom"/>
            <w:tcBorders>
              <w:bottom w:val="single" w:sz="8" w:color="435363"/>
            </w:tcBorders>
            <w:gridSpan w:val="3"/>
          </w:tcPr>
          <w:p>
            <w:pPr>
              <w:ind w:left="180"/>
              <w:spacing w:after="0"/>
              <w:rPr>
                <w:sz w:val="20"/>
                <w:szCs w:val="20"/>
                <w:color w:val="auto"/>
              </w:rPr>
            </w:pPr>
            <w:r>
              <w:rPr>
                <w:rFonts w:ascii="Arial" w:cs="Arial" w:eastAsia="Arial" w:hAnsi="Arial"/>
                <w:sz w:val="14"/>
                <w:szCs w:val="14"/>
                <w:b w:val="1"/>
                <w:bCs w:val="1"/>
                <w:color w:val="auto"/>
              </w:rPr>
              <w:t>Page</w:t>
            </w:r>
          </w:p>
        </w:tc>
      </w:tr>
      <w:tr>
        <w:trPr>
          <w:trHeight w:val="202"/>
        </w:trPr>
        <w:tc>
          <w:tcPr>
            <w:tcW w:w="4600" w:type="dxa"/>
            <w:vAlign w:val="bottom"/>
            <w:gridSpan w:val="2"/>
          </w:tcPr>
          <w:p>
            <w:pPr>
              <w:spacing w:after="0" w:line="202" w:lineRule="exact"/>
              <w:rPr>
                <w:rFonts w:ascii="Arial" w:cs="Arial" w:eastAsia="Arial" w:hAnsi="Arial"/>
                <w:sz w:val="18"/>
                <w:szCs w:val="18"/>
                <w:color w:val="0000EE"/>
                <w:w w:val="99"/>
              </w:rPr>
            </w:pPr>
            <w:hyperlink w:anchor="page80">
              <w:r>
                <w:rPr>
                  <w:rFonts w:ascii="Arial" w:cs="Arial" w:eastAsia="Arial" w:hAnsi="Arial"/>
                  <w:sz w:val="18"/>
                  <w:szCs w:val="18"/>
                  <w:color w:val="0000EE"/>
                  <w:w w:val="99"/>
                </w:rPr>
                <w:t>Report of Independent Registered Public Accounting Firm</w:t>
              </w:r>
            </w:hyperlink>
          </w:p>
        </w:tc>
        <w:tc>
          <w:tcPr>
            <w:tcW w:w="6100" w:type="dxa"/>
            <w:vAlign w:val="bottom"/>
            <w:gridSpan w:val="6"/>
          </w:tcPr>
          <w:p>
            <w:pPr>
              <w:spacing w:after="0"/>
              <w:rPr>
                <w:sz w:val="17"/>
                <w:szCs w:val="17"/>
                <w:color w:val="auto"/>
              </w:rPr>
            </w:pPr>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700" w:type="dxa"/>
            <w:vAlign w:val="bottom"/>
            <w:gridSpan w:val="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Statements of Operations for the Years Ended December 31, 2018, 2017 and 2016</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81">
              <w:r>
                <w:rPr>
                  <w:rFonts w:ascii="Arial" w:cs="Arial" w:eastAsia="Arial" w:hAnsi="Arial"/>
                  <w:sz w:val="18"/>
                  <w:szCs w:val="18"/>
                  <w:color w:val="0000EE"/>
                </w:rPr>
                <w:t>81</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700" w:type="dxa"/>
            <w:vAlign w:val="bottom"/>
            <w:gridSpan w:val="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Comprehensive Income for the Years Ended December 31, 2018, 2017 and 2016</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82</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720" w:type="dxa"/>
            <w:vAlign w:val="bottom"/>
            <w:gridSpan w:val="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Balance Sheets at December 31, 2018 and 2017</w:t>
              </w:r>
            </w:hyperlink>
          </w:p>
        </w:tc>
        <w:tc>
          <w:tcPr>
            <w:tcW w:w="1980" w:type="dxa"/>
            <w:vAlign w:val="bottom"/>
          </w:tcPr>
          <w:p>
            <w:pPr>
              <w:spacing w:after="0"/>
              <w:rPr>
                <w:sz w:val="20"/>
                <w:szCs w:val="20"/>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83</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700" w:type="dxa"/>
            <w:vAlign w:val="bottom"/>
            <w:gridSpan w:val="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Cash Flows for the Years Ended December 31, 2018, 2017 and 2016</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84</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60" w:type="dxa"/>
            <w:vAlign w:val="bottom"/>
            <w:gridSpan w:val="6"/>
          </w:tcPr>
          <w:p>
            <w:pPr>
              <w:spacing w:after="0"/>
              <w:rPr>
                <w:rFonts w:ascii="Arial" w:cs="Arial" w:eastAsia="Arial" w:hAnsi="Arial"/>
                <w:sz w:val="18"/>
                <w:szCs w:val="18"/>
                <w:color w:val="0000EE"/>
                <w:w w:val="99"/>
              </w:rPr>
            </w:pPr>
            <w:hyperlink w:anchor="page85">
              <w:r>
                <w:rPr>
                  <w:rFonts w:ascii="Arial" w:cs="Arial" w:eastAsia="Arial" w:hAnsi="Arial"/>
                  <w:sz w:val="18"/>
                  <w:szCs w:val="18"/>
                  <w:color w:val="0000EE"/>
                  <w:w w:val="99"/>
                </w:rPr>
                <w:t>Consolidated Statements of Stockholders’ Equity for the Years Ended December 31, 2018, 2017 and 2016</w:t>
              </w:r>
            </w:hyperlink>
          </w:p>
        </w:tc>
        <w:tc>
          <w:tcPr>
            <w:tcW w:w="2240" w:type="dxa"/>
            <w:vAlign w:val="bottom"/>
            <w:gridSpan w:val="2"/>
          </w:tcPr>
          <w:p>
            <w:pPr>
              <w:spacing w:after="0"/>
              <w:rPr>
                <w:sz w:val="20"/>
                <w:szCs w:val="20"/>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4960" w:type="dxa"/>
            <w:vAlign w:val="bottom"/>
            <w:gridSpan w:val="5"/>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500" w:type="dxa"/>
            <w:vAlign w:val="bottom"/>
          </w:tcPr>
          <w:p>
            <w:pPr>
              <w:spacing w:after="0"/>
              <w:rPr>
                <w:rFonts w:ascii="Arial" w:cs="Arial" w:eastAsia="Arial" w:hAnsi="Arial"/>
                <w:sz w:val="18"/>
                <w:szCs w:val="18"/>
                <w:color w:val="0000EE"/>
                <w:w w:val="99"/>
              </w:rPr>
            </w:pPr>
            <w:hyperlink w:anchor="page86">
              <w:r>
                <w:rPr>
                  <w:rFonts w:ascii="Arial" w:cs="Arial" w:eastAsia="Arial" w:hAnsi="Arial"/>
                  <w:sz w:val="18"/>
                  <w:szCs w:val="18"/>
                  <w:color w:val="0000EE"/>
                  <w:w w:val="99"/>
                </w:rPr>
                <w:t>Notes to Consolidated Financial Statements</w:t>
              </w:r>
            </w:hyperlink>
          </w:p>
        </w:tc>
        <w:tc>
          <w:tcPr>
            <w:tcW w:w="4960" w:type="dxa"/>
            <w:vAlign w:val="bottom"/>
            <w:gridSpan w:val="5"/>
          </w:tcPr>
          <w:p>
            <w:pPr>
              <w:spacing w:after="0"/>
              <w:rPr>
                <w:sz w:val="20"/>
                <w:szCs w:val="20"/>
                <w:color w:val="auto"/>
              </w:rPr>
            </w:pPr>
          </w:p>
        </w:tc>
        <w:tc>
          <w:tcPr>
            <w:tcW w:w="2240" w:type="dxa"/>
            <w:vAlign w:val="bottom"/>
            <w:gridSpan w:val="2"/>
          </w:tcPr>
          <w:p>
            <w:pPr>
              <w:spacing w:after="0"/>
              <w:rPr>
                <w:sz w:val="20"/>
                <w:szCs w:val="20"/>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86</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consolidated financial statements of American Airlines, Inc. and Independent Auditors’ Report are filed as part of this report:</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80" w:type="dxa"/>
            <w:vAlign w:val="bottom"/>
            <w:tcBorders>
              <w:bottom w:val="single" w:sz="8" w:color="435363"/>
            </w:tcBorders>
            <w:gridSpan w:val="3"/>
          </w:tcPr>
          <w:p>
            <w:pPr>
              <w:ind w:left="180"/>
              <w:spacing w:after="0"/>
              <w:rPr>
                <w:sz w:val="20"/>
                <w:szCs w:val="20"/>
                <w:color w:val="auto"/>
              </w:rPr>
            </w:pPr>
            <w:r>
              <w:rPr>
                <w:rFonts w:ascii="Arial" w:cs="Arial" w:eastAsia="Arial" w:hAnsi="Arial"/>
                <w:sz w:val="14"/>
                <w:szCs w:val="14"/>
                <w:b w:val="1"/>
                <w:bCs w:val="1"/>
                <w:color w:val="auto"/>
              </w:rPr>
              <w:t>Page</w:t>
            </w:r>
          </w:p>
        </w:tc>
      </w:tr>
      <w:tr>
        <w:trPr>
          <w:trHeight w:val="202"/>
        </w:trPr>
        <w:tc>
          <w:tcPr>
            <w:tcW w:w="4600" w:type="dxa"/>
            <w:vAlign w:val="bottom"/>
            <w:gridSpan w:val="2"/>
          </w:tcPr>
          <w:p>
            <w:pPr>
              <w:spacing w:after="0" w:line="202" w:lineRule="exact"/>
              <w:rPr>
                <w:rFonts w:ascii="Arial" w:cs="Arial" w:eastAsia="Arial" w:hAnsi="Arial"/>
                <w:sz w:val="18"/>
                <w:szCs w:val="18"/>
                <w:color w:val="0000EE"/>
                <w:w w:val="99"/>
              </w:rPr>
            </w:pPr>
            <w:hyperlink w:anchor="page129">
              <w:r>
                <w:rPr>
                  <w:rFonts w:ascii="Arial" w:cs="Arial" w:eastAsia="Arial" w:hAnsi="Arial"/>
                  <w:sz w:val="18"/>
                  <w:szCs w:val="18"/>
                  <w:color w:val="0000EE"/>
                  <w:w w:val="99"/>
                </w:rPr>
                <w:t>Report of Independent Registered Public Accounting Firm</w:t>
              </w:r>
            </w:hyperlink>
          </w:p>
        </w:tc>
        <w:tc>
          <w:tcPr>
            <w:tcW w:w="6100" w:type="dxa"/>
            <w:vAlign w:val="bottom"/>
            <w:gridSpan w:val="6"/>
          </w:tcPr>
          <w:p>
            <w:pPr>
              <w:spacing w:after="0"/>
              <w:rPr>
                <w:sz w:val="17"/>
                <w:szCs w:val="17"/>
                <w:color w:val="auto"/>
              </w:rPr>
            </w:pPr>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129">
              <w:r>
                <w:rPr>
                  <w:rFonts w:ascii="Arial" w:cs="Arial" w:eastAsia="Arial" w:hAnsi="Arial"/>
                  <w:sz w:val="18"/>
                  <w:szCs w:val="18"/>
                  <w:color w:val="0000EE"/>
                </w:rPr>
                <w:t>129</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700" w:type="dxa"/>
            <w:vAlign w:val="bottom"/>
            <w:gridSpan w:val="8"/>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Consolidated Statements of Operations for the Years Ended December 31, 2018, 2017 and 2016</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130">
              <w:r>
                <w:rPr>
                  <w:rFonts w:ascii="Arial" w:cs="Arial" w:eastAsia="Arial" w:hAnsi="Arial"/>
                  <w:sz w:val="18"/>
                  <w:szCs w:val="18"/>
                  <w:color w:val="0000EE"/>
                </w:rPr>
                <w:t>130</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700" w:type="dxa"/>
            <w:vAlign w:val="bottom"/>
            <w:gridSpan w:val="8"/>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Consolidated Statements of Comprehensive Income for the Years Ended December 31, 2018, 2017 and 2016</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131">
              <w:r>
                <w:rPr>
                  <w:rFonts w:ascii="Arial" w:cs="Arial" w:eastAsia="Arial" w:hAnsi="Arial"/>
                  <w:sz w:val="18"/>
                  <w:szCs w:val="18"/>
                  <w:color w:val="0000EE"/>
                </w:rPr>
                <w:t>131</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720" w:type="dxa"/>
            <w:vAlign w:val="bottom"/>
            <w:gridSpan w:val="7"/>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Consolidated Balance Sheets at December 31, 2018 and 2017</w:t>
              </w:r>
            </w:hyperlink>
          </w:p>
        </w:tc>
        <w:tc>
          <w:tcPr>
            <w:tcW w:w="1980" w:type="dxa"/>
            <w:vAlign w:val="bottom"/>
          </w:tcPr>
          <w:p>
            <w:pPr>
              <w:spacing w:after="0"/>
              <w:rPr>
                <w:sz w:val="20"/>
                <w:szCs w:val="20"/>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132">
              <w:r>
                <w:rPr>
                  <w:rFonts w:ascii="Arial" w:cs="Arial" w:eastAsia="Arial" w:hAnsi="Arial"/>
                  <w:sz w:val="18"/>
                  <w:szCs w:val="18"/>
                  <w:color w:val="0000EE"/>
                </w:rPr>
                <w:t>132</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700" w:type="dxa"/>
            <w:vAlign w:val="bottom"/>
            <w:gridSpan w:val="8"/>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Consolidated Statements of Cash Flows for the Years Ended December 31, 2018, 2017 and 2016</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133">
              <w:r>
                <w:rPr>
                  <w:rFonts w:ascii="Arial" w:cs="Arial" w:eastAsia="Arial" w:hAnsi="Arial"/>
                  <w:sz w:val="18"/>
                  <w:szCs w:val="18"/>
                  <w:color w:val="0000EE"/>
                </w:rPr>
                <w:t>133</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60" w:type="dxa"/>
            <w:vAlign w:val="bottom"/>
            <w:gridSpan w:val="6"/>
          </w:tcPr>
          <w:p>
            <w:pPr>
              <w:spacing w:after="0"/>
              <w:rPr>
                <w:rFonts w:ascii="Arial" w:cs="Arial" w:eastAsia="Arial" w:hAnsi="Arial"/>
                <w:sz w:val="18"/>
                <w:szCs w:val="18"/>
                <w:color w:val="0000EE"/>
                <w:w w:val="99"/>
              </w:rPr>
            </w:pPr>
            <w:hyperlink w:anchor="page134">
              <w:r>
                <w:rPr>
                  <w:rFonts w:ascii="Arial" w:cs="Arial" w:eastAsia="Arial" w:hAnsi="Arial"/>
                  <w:sz w:val="18"/>
                  <w:szCs w:val="18"/>
                  <w:color w:val="0000EE"/>
                  <w:w w:val="99"/>
                </w:rPr>
                <w:t>Consolidated Statements of Stockholder’s Equity for the Years Ended December 31, 2018, 2017 and 2016</w:t>
              </w:r>
            </w:hyperlink>
          </w:p>
        </w:tc>
        <w:tc>
          <w:tcPr>
            <w:tcW w:w="2240" w:type="dxa"/>
            <w:vAlign w:val="bottom"/>
            <w:gridSpan w:val="2"/>
          </w:tcPr>
          <w:p>
            <w:pPr>
              <w:spacing w:after="0"/>
              <w:rPr>
                <w:sz w:val="20"/>
                <w:szCs w:val="20"/>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134">
              <w:r>
                <w:rPr>
                  <w:rFonts w:ascii="Arial" w:cs="Arial" w:eastAsia="Arial" w:hAnsi="Arial"/>
                  <w:sz w:val="18"/>
                  <w:szCs w:val="18"/>
                  <w:color w:val="0000EE"/>
                </w:rPr>
                <w:t>134</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4960" w:type="dxa"/>
            <w:vAlign w:val="bottom"/>
            <w:gridSpan w:val="5"/>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500" w:type="dxa"/>
            <w:vAlign w:val="bottom"/>
          </w:tcPr>
          <w:p>
            <w:pPr>
              <w:spacing w:after="0"/>
              <w:rPr>
                <w:rFonts w:ascii="Arial" w:cs="Arial" w:eastAsia="Arial" w:hAnsi="Arial"/>
                <w:sz w:val="18"/>
                <w:szCs w:val="18"/>
                <w:color w:val="0000EE"/>
                <w:w w:val="99"/>
              </w:rPr>
            </w:pPr>
            <w:hyperlink w:anchor="page135">
              <w:r>
                <w:rPr>
                  <w:rFonts w:ascii="Arial" w:cs="Arial" w:eastAsia="Arial" w:hAnsi="Arial"/>
                  <w:sz w:val="18"/>
                  <w:szCs w:val="18"/>
                  <w:color w:val="0000EE"/>
                  <w:w w:val="99"/>
                </w:rPr>
                <w:t>Notes to Consolidated Financial Statements</w:t>
              </w:r>
            </w:hyperlink>
          </w:p>
        </w:tc>
        <w:tc>
          <w:tcPr>
            <w:tcW w:w="4960" w:type="dxa"/>
            <w:vAlign w:val="bottom"/>
            <w:gridSpan w:val="5"/>
          </w:tcPr>
          <w:p>
            <w:pPr>
              <w:spacing w:after="0"/>
              <w:rPr>
                <w:sz w:val="20"/>
                <w:szCs w:val="20"/>
                <w:color w:val="auto"/>
              </w:rPr>
            </w:pPr>
          </w:p>
        </w:tc>
        <w:tc>
          <w:tcPr>
            <w:tcW w:w="2240" w:type="dxa"/>
            <w:vAlign w:val="bottom"/>
            <w:gridSpan w:val="2"/>
          </w:tcPr>
          <w:p>
            <w:pPr>
              <w:spacing w:after="0"/>
              <w:rPr>
                <w:sz w:val="20"/>
                <w:szCs w:val="20"/>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135">
              <w:r>
                <w:rPr>
                  <w:rFonts w:ascii="Arial" w:cs="Arial" w:eastAsia="Arial" w:hAnsi="Arial"/>
                  <w:sz w:val="18"/>
                  <w:szCs w:val="18"/>
                  <w:color w:val="0000EE"/>
                </w:rPr>
                <w:t>135</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Schedules not included have been omitted because they are not applicable or because the required information is included in the Consolidated Financial Statements or notes thereto.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576"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Exhibits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2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03">
              <w:r>
                <w:rPr>
                  <w:rFonts w:ascii="Arial" w:cs="Arial" w:eastAsia="Arial" w:hAnsi="Arial"/>
                  <w:sz w:val="18"/>
                  <w:szCs w:val="18"/>
                  <w:color w:val="0000FF"/>
                </w:rPr>
                <w:t>Confirmation Order and Plan (incorporated by reference to Exhibit 2.1 to AMR’s Current Report on Form 8-K filed on October 23,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04">
              <w:r>
                <w:rPr>
                  <w:rFonts w:ascii="Arial" w:cs="Arial" w:eastAsia="Arial" w:hAnsi="Arial"/>
                  <w:sz w:val="18"/>
                  <w:szCs w:val="18"/>
                  <w:color w:val="0000FF"/>
                </w:rPr>
                <w:t>Agreement and Plan of Merger, dated as of February 13, 2013, among AMR Corporation, AMR Merger Sub, Inc. and US Airways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Group, Inc. (incorporated by reference to Exhibit 2.1 to US Airways Group’s Current Report on Form 8-K/A filed on February 14,</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2013 (Commission File No. 1-8444)).</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w w:val="99"/>
              </w:rPr>
            </w:pPr>
            <w:hyperlink r:id="rId105">
              <w:r>
                <w:rPr>
                  <w:rFonts w:ascii="Arial" w:cs="Arial" w:eastAsia="Arial" w:hAnsi="Arial"/>
                  <w:sz w:val="18"/>
                  <w:szCs w:val="18"/>
                  <w:color w:val="0000FF"/>
                  <w:w w:val="99"/>
                </w:rPr>
                <w:t>Amendment to Agreement and Plan of Merger, dated as of May 15, 2013, among AMR Corporation, AMR Merger Sub, Inc. and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Airways Group, Inc. (incorporated by reference to Exhibit 2.1 to US Airways Group’s Current Report on Form 8-K filed on May 16,</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06">
              <w:r>
                <w:rPr>
                  <w:rFonts w:ascii="Arial" w:cs="Arial" w:eastAsia="Arial" w:hAnsi="Arial"/>
                  <w:sz w:val="18"/>
                  <w:szCs w:val="18"/>
                  <w:color w:val="0000FF"/>
                </w:rPr>
                <w:t>Second Amendment to Agreement and Plan of Merger, dated as of June 7, 2013, among AMR Corporation, AMR Merger Sub,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and US Airways Group, Inc. (incorporated by reference to Exhibit 2.1 to US Airways Group’s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June 12, 2013 (Commission File No. 1-8444)).</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w w:val="99"/>
              </w:rPr>
            </w:pPr>
            <w:hyperlink r:id="rId107">
              <w:r>
                <w:rPr>
                  <w:rFonts w:ascii="Arial" w:cs="Arial" w:eastAsia="Arial" w:hAnsi="Arial"/>
                  <w:sz w:val="18"/>
                  <w:szCs w:val="18"/>
                  <w:color w:val="0000FF"/>
                  <w:w w:val="99"/>
                </w:rPr>
                <w:t>Third Amendment to Agreement and Plan of Merger, dated as of September 20, 2013, among AMR Corporation, AMR Merger Sub,</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Inc. and US Airways Group, Inc. (incorporated by reference to Exhibit 2.1 to US Airways Group’s Current Report on Form 8-K filed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on September 23,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08">
              <w:r>
                <w:rPr>
                  <w:rFonts w:ascii="Arial" w:cs="Arial" w:eastAsia="Arial" w:hAnsi="Arial"/>
                  <w:sz w:val="18"/>
                  <w:szCs w:val="18"/>
                  <w:color w:val="0000FF"/>
                </w:rPr>
                <w:t>Agreement and Plan of Merger, dated as of December 28, 2015, between American Airlines, Inc. and US Airways,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(incorporated by reference to Exhibit 2.1 to AAG’s Current Report on Form 8-K filed on December 31, 2015 (Commission File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108">
              <w:r>
                <w:rPr>
                  <w:rFonts w:ascii="Arial" w:cs="Arial" w:eastAsia="Arial" w:hAnsi="Arial"/>
                  <w:sz w:val="18"/>
                  <w:szCs w:val="18"/>
                  <w:color w:val="0000FF"/>
                  <w:w w:val="98"/>
                </w:rPr>
                <w:t>No. 1-8400)).</w:t>
              </w:r>
            </w:hyperlink>
          </w:p>
        </w:tc>
        <w:tc>
          <w:tcPr>
            <w:tcW w:w="9380" w:type="dxa"/>
            <w:vAlign w:val="bottom"/>
            <w:gridSpan w:val="1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09">
              <w:r>
                <w:rPr>
                  <w:rFonts w:ascii="Arial" w:cs="Arial" w:eastAsia="Arial" w:hAnsi="Arial"/>
                  <w:sz w:val="18"/>
                  <w:szCs w:val="18"/>
                  <w:color w:val="0000FF"/>
                </w:rPr>
                <w:t>Restated Certificate of Incorporation of American Airlines Group Inc., including the Certificate of Designations, Powers,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Preferences and Rights of the American Airlines Group Inc. Series A Convertible Preferred Stock attached as Annex I thereto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(incorporated by reference to Exhibit 3.1 to AAG’s Current Report on Form 8-K filed on December 9, 2013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109">
              <w:r>
                <w:rPr>
                  <w:rFonts w:ascii="Arial" w:cs="Arial" w:eastAsia="Arial" w:hAnsi="Arial"/>
                  <w:sz w:val="18"/>
                  <w:szCs w:val="18"/>
                  <w:color w:val="0000FF"/>
                  <w:w w:val="94"/>
                </w:rPr>
                <w:t>8400)</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10">
              <w:r>
                <w:rPr>
                  <w:rFonts w:ascii="Arial" w:cs="Arial" w:eastAsia="Arial" w:hAnsi="Arial"/>
                  <w:sz w:val="18"/>
                  <w:szCs w:val="18"/>
                  <w:color w:val="0000FF"/>
                </w:rPr>
                <w:t>Certificate of Amendment of Restated Certificate of Incorporation of American Airlines Group Inc.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Exhibit 3.1 to American Airlines Group Inc.’s Current Report on Form 8-K filed on June 13, 2018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11">
              <w:r>
                <w:rPr>
                  <w:rFonts w:ascii="Arial" w:cs="Arial" w:eastAsia="Arial" w:hAnsi="Arial"/>
                  <w:sz w:val="18"/>
                  <w:szCs w:val="18"/>
                  <w:color w:val="0000FF"/>
                </w:rPr>
                <w:t>Third Amended and Restated Bylaws of American Airlines Group Inc. (incorporated by reference to Exhibit 3.2 to American Airlines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4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Group Inc.’s Current Report on Form 8-K filed on June 13, 2018 (Commission File No. 1-8400)).</w:t>
              </w:r>
            </w:hyperlink>
          </w:p>
        </w:tc>
        <w:tc>
          <w:tcPr>
            <w:tcW w:w="278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12">
              <w:r>
                <w:rPr>
                  <w:rFonts w:ascii="Arial" w:cs="Arial" w:eastAsia="Arial" w:hAnsi="Arial"/>
                  <w:sz w:val="18"/>
                  <w:szCs w:val="18"/>
                  <w:color w:val="0000FF"/>
                </w:rPr>
                <w:t>Amended and Restated Certificate of Incorporation of American Airlines, Inc. (incorporated by reference to Exhibit 3.3 to AAG’s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Annual Report on Form 10-K for the year ended December 31, 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13">
              <w:r>
                <w:rPr>
                  <w:rFonts w:ascii="Arial" w:cs="Arial" w:eastAsia="Arial" w:hAnsi="Arial"/>
                  <w:sz w:val="18"/>
                  <w:szCs w:val="18"/>
                  <w:color w:val="0000FF"/>
                </w:rPr>
                <w:t>Amended and Restated Bylaws of American Airlines, Inc. (incorporated by reference to Exhibit 3.4 to AAG’s Annual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4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Form 10-K for the year ended December 31, 2013 (Commission File No. 1-8400)).</w:t>
              </w:r>
            </w:hyperlink>
          </w:p>
        </w:tc>
        <w:tc>
          <w:tcPr>
            <w:tcW w:w="3900" w:type="dxa"/>
            <w:vAlign w:val="bottom"/>
            <w:gridSpan w:val="7"/>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14">
              <w:r>
                <w:rPr>
                  <w:rFonts w:ascii="Arial" w:cs="Arial" w:eastAsia="Arial" w:hAnsi="Arial"/>
                  <w:sz w:val="18"/>
                  <w:szCs w:val="18"/>
                  <w:color w:val="0000FF"/>
                </w:rPr>
                <w:t>Pass Through Trust Agreement, dated as of March 12, 2013, between American Airlines, Inc. and Wilmington Trust Company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350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14">
              <w:r>
                <w:rPr>
                  <w:rFonts w:ascii="Arial" w:cs="Arial" w:eastAsia="Arial" w:hAnsi="Arial"/>
                  <w:sz w:val="18"/>
                  <w:szCs w:val="18"/>
                  <w:color w:val="0000FF"/>
                </w:rPr>
                <w:t>(incorporated by reference to Exhibit 4.1 to AMR’s Current Report on Form 8-K filed on March 12, 2013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114">
              <w:r>
                <w:rPr>
                  <w:rFonts w:ascii="Arial" w:cs="Arial" w:eastAsia="Arial" w:hAnsi="Arial"/>
                  <w:sz w:val="18"/>
                  <w:szCs w:val="18"/>
                  <w:color w:val="0000FF"/>
                  <w:w w:val="94"/>
                </w:rPr>
                <w:t>8400)</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w w:val="99"/>
              </w:rPr>
            </w:pPr>
            <w:hyperlink r:id="rId115">
              <w:r>
                <w:rPr>
                  <w:rFonts w:ascii="Arial" w:cs="Arial" w:eastAsia="Arial" w:hAnsi="Arial"/>
                  <w:sz w:val="18"/>
                  <w:szCs w:val="18"/>
                  <w:color w:val="0000FF"/>
                  <w:w w:val="99"/>
                </w:rPr>
                <w:t>Trust Supplement No. 2013-2B, dated as of November 27, 2013, among American Airlines, Inc. and Wilmington Trust Company, as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350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15">
              <w:r>
                <w:rPr>
                  <w:rFonts w:ascii="Arial" w:cs="Arial" w:eastAsia="Arial" w:hAnsi="Arial"/>
                  <w:sz w:val="18"/>
                  <w:szCs w:val="18"/>
                  <w:color w:val="0000FF"/>
                </w:rPr>
                <w:t>Class B Trustee, to the Pass Through Trust Agreement, dated as of March 12, 2013 (incorporated by reference to Exhibit 4.2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15">
              <w:r>
                <w:rPr>
                  <w:rFonts w:ascii="Arial" w:cs="Arial" w:eastAsia="Arial" w:hAnsi="Arial"/>
                  <w:sz w:val="18"/>
                  <w:szCs w:val="18"/>
                  <w:color w:val="0000FF"/>
                </w:rPr>
                <w:t>AMR’s Current Report on Form 8-K filed on November 27, 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3500" w:type="dxa"/>
            <w:vAlign w:val="bottom"/>
            <w:gridSpan w:val="5"/>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p>
        </w:tc>
        <w:tc>
          <w:tcPr>
            <w:tcW w:w="10420" w:type="dxa"/>
            <w:vAlign w:val="bottom"/>
            <w:tcBorders>
              <w:bottom w:val="single" w:sz="8" w:color="0000FF"/>
            </w:tcBorders>
            <w:gridSpan w:val="15"/>
          </w:tcPr>
          <w:p>
            <w:pPr>
              <w:spacing w:after="0"/>
              <w:rPr>
                <w:rFonts w:ascii="Arial" w:cs="Arial" w:eastAsia="Arial" w:hAnsi="Arial"/>
                <w:sz w:val="18"/>
                <w:szCs w:val="18"/>
                <w:color w:val="0000FF"/>
              </w:rPr>
            </w:pPr>
            <w:hyperlink r:id="rId115">
              <w:r>
                <w:rPr>
                  <w:rFonts w:ascii="Arial" w:cs="Arial" w:eastAsia="Arial" w:hAnsi="Arial"/>
                  <w:sz w:val="18"/>
                  <w:szCs w:val="18"/>
                  <w:color w:val="0000FF"/>
                </w:rPr>
                <w:t>Form of Pass Through Trust Certificate, Series 2013-2B (included in Exhibit A to Exhibit 4.2) (incorporated by reference to Exhibit</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15">
              <w:r>
                <w:rPr>
                  <w:rFonts w:ascii="Arial" w:cs="Arial" w:eastAsia="Arial" w:hAnsi="Arial"/>
                  <w:sz w:val="18"/>
                  <w:szCs w:val="18"/>
                  <w:color w:val="0000FF"/>
                </w:rPr>
                <w:t>4.</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AMR’s Current Report on Form 8-K filed on November 27, 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4000" w:type="dxa"/>
            <w:vAlign w:val="bottom"/>
            <w:gridSpan w:val="8"/>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16">
              <w:r>
                <w:rPr>
                  <w:rFonts w:ascii="Arial" w:cs="Arial" w:eastAsia="Arial" w:hAnsi="Arial"/>
                  <w:sz w:val="18"/>
                  <w:szCs w:val="18"/>
                  <w:color w:val="0000FF"/>
                </w:rPr>
                <w:t>Revolving Credit Agreement (2013-2B), dated as of November 27, 2013,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Agent, as agent and trustee for Trustee of American Airlines Pass Through Trust 2013-2B and as Borrower, and Morgan Stanley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Bank, N.A., as Class B Liquidity Provider (incorporated by reference to Exhibit 4.5 to AMR’s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November 27, 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17">
              <w:r>
                <w:rPr>
                  <w:rFonts w:ascii="Arial" w:cs="Arial" w:eastAsia="Arial" w:hAnsi="Arial"/>
                  <w:sz w:val="18"/>
                  <w:szCs w:val="18"/>
                  <w:color w:val="0000FF"/>
                </w:rPr>
                <w:t>Participation Agreement (N907AN), dated as of September 9, 2013, among American Airlines, Inc., Wilmington Trust Company, as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20" w:type="dxa"/>
            <w:vAlign w:val="bottom"/>
            <w:gridSpan w:val="1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Pass Through Trustee under each of the Pass Through Trust Agreements in effect as of the date thereof, Wilmington Trust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960" w:right="20"/>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Company, as Subordination Agent, Wilmington Trust Company, as Loan Trustee, and Wilmington Trust Company, in its individual</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capacity as set forth therein (incorporated by reference to Exhibit 4.6 to AMR’s Current Report on Form 8-K filed on November 27,</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2013 (Commission File No. 1-8400)).</w:t>
        </w:r>
      </w:hyperlink>
    </w:p>
    <w:p>
      <w:pPr>
        <w:spacing w:after="0" w:line="257"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576" w:right="2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2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0420" w:type="dxa"/>
            <w:vAlign w:val="bottom"/>
            <w:tcBorders>
              <w:bottom w:val="single" w:sz="8" w:color="0000FF"/>
            </w:tcBorders>
            <w:gridSpan w:val="15"/>
          </w:tcPr>
          <w:p>
            <w:pPr>
              <w:spacing w:after="0"/>
              <w:rPr>
                <w:rFonts w:ascii="Arial" w:cs="Arial" w:eastAsia="Arial" w:hAnsi="Arial"/>
                <w:sz w:val="18"/>
                <w:szCs w:val="18"/>
                <w:color w:val="0000FF"/>
              </w:rPr>
            </w:pPr>
            <w:hyperlink r:id="rId118">
              <w:r>
                <w:rPr>
                  <w:rFonts w:ascii="Arial" w:cs="Arial" w:eastAsia="Arial" w:hAnsi="Arial"/>
                  <w:sz w:val="18"/>
                  <w:szCs w:val="18"/>
                  <w:color w:val="0000FF"/>
                </w:rPr>
                <w:t>Indenture and Security Agreement (N907AN), dated as of September 9, 2013, between American Airlines, Inc. and Wilmington</w:t>
              </w:r>
            </w:hyperlink>
          </w:p>
        </w:tc>
        <w:tc>
          <w:tcPr>
            <w:tcW w:w="20" w:type="dxa"/>
            <w:vAlign w:val="bottom"/>
          </w:tcPr>
          <w:p>
            <w:pPr>
              <w:spacing w:after="0"/>
              <w:rPr>
                <w:sz w:val="19"/>
                <w:szCs w:val="19"/>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Trust Company, as Loan Trustee (incorporated by reference to Exhibit 4.7 to AMR’s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November 27, 2013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First Amendment to Participation Agreement (N907AN), dated as of November 27, 2013, among American Airlines,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Wilmington Trust Company, as Pass Through Trustee under each of the Pass Through Trust Agreements,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Company, as Subordination Agent, Wilmington Trust Company, as Loan Trustee, and Wilmington Trust Company, in its individual</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capacity as set forth therein (incorporated by reference to Exhibit 4.8 to AMR’s Current Report on Form 8-K filed on November 27,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19">
              <w:r>
                <w:rPr>
                  <w:rFonts w:ascii="Arial" w:cs="Arial" w:eastAsia="Arial" w:hAnsi="Arial"/>
                  <w:sz w:val="18"/>
                  <w:szCs w:val="18"/>
                  <w:color w:val="0000FF"/>
                  <w:w w:val="99"/>
                </w:rPr>
                <w:t>2013 (Commission File No. 1-8400)).</w:t>
              </w:r>
            </w:hyperlink>
          </w:p>
        </w:tc>
        <w:tc>
          <w:tcPr>
            <w:tcW w:w="7480" w:type="dxa"/>
            <w:vAlign w:val="bottom"/>
            <w:gridSpan w:val="1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20">
              <w:r>
                <w:rPr>
                  <w:rFonts w:ascii="Arial" w:cs="Arial" w:eastAsia="Arial" w:hAnsi="Arial"/>
                  <w:sz w:val="18"/>
                  <w:szCs w:val="18"/>
                  <w:color w:val="0000FF"/>
                </w:rPr>
                <w:t>First Amendment to Indenture and Security Agreement (N907AN), dated as of November 27, 2013, between American Airlines,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Inc. and Wilmington Trust Company, as Loan Trustee (incorporated by reference to Exhibit 4.9 to AMR’s Current Report on Form 8-</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K filed on November 27, 2013 (Commission File No. 1-8400)).</w:t>
              </w:r>
            </w:hyperlink>
          </w:p>
        </w:tc>
        <w:tc>
          <w:tcPr>
            <w:tcW w:w="548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21">
              <w:r>
                <w:rPr>
                  <w:rFonts w:ascii="Arial" w:cs="Arial" w:eastAsia="Arial" w:hAnsi="Arial"/>
                  <w:sz w:val="18"/>
                  <w:szCs w:val="18"/>
                  <w:color w:val="0000FF"/>
                </w:rPr>
                <w:t>Series 2013-2A N907AN Equipment Note No. 1, dated as of September 9, 2013 (incorporated by reference to Exhibit 4.10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AMR’s Current Report on Form 8-K filed on November 27, 2013 (Commission File No. 1-8400)).</w:t>
              </w:r>
            </w:hyperlink>
          </w:p>
        </w:tc>
        <w:tc>
          <w:tcPr>
            <w:tcW w:w="278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22">
              <w:r>
                <w:rPr>
                  <w:rFonts w:ascii="Arial" w:cs="Arial" w:eastAsia="Arial" w:hAnsi="Arial"/>
                  <w:sz w:val="18"/>
                  <w:szCs w:val="18"/>
                  <w:color w:val="0000FF"/>
                </w:rPr>
                <w:t>Series 2013-2B N907AN Equipment Note No. 1, dated as of November 27, 2013 (incorporated by reference to Exhibit 4.11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22">
              <w:r>
                <w:rPr>
                  <w:rFonts w:ascii="Arial" w:cs="Arial" w:eastAsia="Arial" w:hAnsi="Arial"/>
                  <w:sz w:val="18"/>
                  <w:szCs w:val="18"/>
                  <w:color w:val="0000FF"/>
                </w:rPr>
                <w:t>AMR’s Current Report on Form 8-K filed on November 27, 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23">
              <w:r>
                <w:rPr>
                  <w:rFonts w:ascii="Arial" w:cs="Arial" w:eastAsia="Arial" w:hAnsi="Arial"/>
                  <w:sz w:val="18"/>
                  <w:szCs w:val="18"/>
                  <w:color w:val="0000FF"/>
                </w:rPr>
                <w:t>Schedule I (Pursuant to Instruction 2 to Item 601 of Regulation S-K, this Schedule I contains a list of documents applicable to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financing of the Aircraft in connection with the offering of the Class B Certificates, which documents are substantially identical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those filed herewith as Exhibits 4.6, 4.7, 4.8, 4.9 and 4.10. Schedule I sets forth the details by which such documents differ from</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the corresponding Exhibits) (incorporated by reference to Exhibit 99.2 to AMR’s Current Report on Form 8-K filed on November 27,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4.12</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24">
              <w:r>
                <w:rPr>
                  <w:rFonts w:ascii="Arial" w:cs="Arial" w:eastAsia="Arial" w:hAnsi="Arial"/>
                  <w:sz w:val="18"/>
                  <w:szCs w:val="18"/>
                  <w:color w:val="0000FF"/>
                </w:rPr>
                <w:t>Amended and Restated Intercreditor Agreement (2013-2), dated as of December 20, 2013, among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Trustee of American Airlines Pass Through Trust 2013-2A, American Airlines Pass Through Trust 2013-2B and American Airlines</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Pass Through Trust 2013-2C, Morgan Stanley Bank, N.A., as Class A Liquidity Provider and as Class B Liquidity Provider, and</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Wilmington Trust Company, as Subordination Agent (incorporated by reference to Exhibit 4.4 to AMR’s Current Report on Form 8-</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K filed on December 20, 2013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25">
              <w:r>
                <w:rPr>
                  <w:rFonts w:ascii="Arial" w:cs="Arial" w:eastAsia="Arial" w:hAnsi="Arial"/>
                  <w:sz w:val="18"/>
                  <w:szCs w:val="18"/>
                  <w:color w:val="0000FF"/>
                </w:rPr>
                <w:t>Second Amendment to Participation Agreement (N907AN), dated as of December 20, 2013, among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Wilmington Trust Company, as Pass Through Trustee under each of the Pass Through Trust Agreements,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Company, as Subordination Agent, Wilmington Trust Company, as Loan Trustee, and Wilmington Trust Company, in its individual</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36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capacity as set forth therein (incorporated by reference to Exhibit 4.9 to AMR’s Current Report on Form 8-K filed on December 20,</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25">
              <w:r>
                <w:rPr>
                  <w:rFonts w:ascii="Arial" w:cs="Arial" w:eastAsia="Arial" w:hAnsi="Arial"/>
                  <w:sz w:val="18"/>
                  <w:szCs w:val="18"/>
                  <w:color w:val="0000FF"/>
                  <w:w w:val="99"/>
                </w:rPr>
                <w:t>2013 (Commission File No. 1-8400)).</w:t>
              </w:r>
            </w:hyperlink>
          </w:p>
        </w:tc>
        <w:tc>
          <w:tcPr>
            <w:tcW w:w="7480" w:type="dxa"/>
            <w:vAlign w:val="bottom"/>
            <w:gridSpan w:val="1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4.14</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26">
              <w:r>
                <w:rPr>
                  <w:rFonts w:ascii="Arial" w:cs="Arial" w:eastAsia="Arial" w:hAnsi="Arial"/>
                  <w:sz w:val="18"/>
                  <w:szCs w:val="18"/>
                  <w:color w:val="0000FF"/>
                </w:rPr>
                <w:t>Second Amendment to Indenture and Security Agreement (N907AN), dated as of December 20, 2013, between American Airlines,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36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Inc. and Wilmington Trust Company, as Loan Trustee (incorporated by reference to Exhibit 4.10 to AMR’s Current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126">
              <w:r>
                <w:rPr>
                  <w:rFonts w:ascii="Arial" w:cs="Arial" w:eastAsia="Arial" w:hAnsi="Arial"/>
                  <w:sz w:val="18"/>
                  <w:szCs w:val="18"/>
                  <w:color w:val="0000FF"/>
                  <w:w w:val="99"/>
                </w:rPr>
                <w:t>Form 8-K filed on December 20, 2013 (Commission File No. 1-8400)).</w:t>
              </w:r>
            </w:hyperlink>
          </w:p>
        </w:tc>
        <w:tc>
          <w:tcPr>
            <w:tcW w:w="482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4.15</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27">
              <w:r>
                <w:rPr>
                  <w:rFonts w:ascii="Arial" w:cs="Arial" w:eastAsia="Arial" w:hAnsi="Arial"/>
                  <w:sz w:val="18"/>
                  <w:szCs w:val="18"/>
                  <w:color w:val="0000FF"/>
                </w:rPr>
                <w:t>Indenture, dated as of May 24, 2013, between American Airlines Group Inc. (as successor in interest to US Airways Group,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660" w:type="dxa"/>
            <w:vAlign w:val="bottom"/>
            <w:gridSpan w:val="6"/>
            <w:shd w:val="clear" w:color="auto" w:fill="0000FF"/>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and Wilmington Trust, National Association, as Trustee (incorporated by reference to Exhibit 4.1 to US Airways Group’s Current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Report on Form 8-K filed on May 24,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660" w:type="dxa"/>
            <w:vAlign w:val="bottom"/>
            <w:gridSpan w:val="6"/>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28">
              <w:r>
                <w:rPr>
                  <w:rFonts w:ascii="Arial" w:cs="Arial" w:eastAsia="Arial" w:hAnsi="Arial"/>
                  <w:sz w:val="18"/>
                  <w:szCs w:val="18"/>
                  <w:color w:val="0000FF"/>
                </w:rPr>
                <w:t>First Supplemental Indenture, dated as of May 24, 2013, among American Airlines Group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Airways Group, Inc.), American Airlines, Inc. (as successor in interest to US Airways, Inc.) and Wilmington Trust, National</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860" w:type="dxa"/>
            <w:vAlign w:val="bottom"/>
            <w:tcBorders>
              <w:right w:val="single" w:sz="8" w:color="0000FF"/>
            </w:tcBorders>
            <w:gridSpan w:val="9"/>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Association, as Trustee (incorporated by reference to Exhibit 4.2 to US Airways Group’s Current Report on Form 8-K filed on May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24, 2013 (Commission File No. 1-8444)).</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4.17</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29">
              <w:r>
                <w:rPr>
                  <w:rFonts w:ascii="Arial" w:cs="Arial" w:eastAsia="Arial" w:hAnsi="Arial"/>
                  <w:sz w:val="18"/>
                  <w:szCs w:val="18"/>
                  <w:color w:val="0000FF"/>
                </w:rPr>
                <w:t>Second Supplemental Indenture dated as of December 9, 2013, among American Airlines Group Inc. (as successor in interest to</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600" w:type="dxa"/>
            <w:vAlign w:val="bottom"/>
            <w:tcBorders>
              <w:right w:val="single" w:sz="8" w:color="0000FF"/>
            </w:tcBorders>
            <w:gridSpan w:val="12"/>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29">
              <w:r>
                <w:rPr>
                  <w:rFonts w:ascii="Arial" w:cs="Arial" w:eastAsia="Arial" w:hAnsi="Arial"/>
                  <w:sz w:val="18"/>
                  <w:szCs w:val="18"/>
                  <w:color w:val="0000FF"/>
                </w:rPr>
                <w:t>US Airways Group, Inc.) and Wilmington Trust, National Association, as trustee, to the Indenture, dated as of May 24, 2013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29">
              <w:r>
                <w:rPr>
                  <w:rFonts w:ascii="Arial" w:cs="Arial" w:eastAsia="Arial" w:hAnsi="Arial"/>
                  <w:sz w:val="18"/>
                  <w:szCs w:val="18"/>
                  <w:color w:val="0000FF"/>
                </w:rPr>
                <w:t>(incorporated by reference to Exhibit 4.1 to AAG’s Current Report on Form 8-K filed on December 9, 2013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4"/>
              </w:rPr>
            </w:pPr>
            <w:hyperlink r:id="rId129">
              <w:r>
                <w:rPr>
                  <w:rFonts w:ascii="Arial" w:cs="Arial" w:eastAsia="Arial" w:hAnsi="Arial"/>
                  <w:sz w:val="18"/>
                  <w:szCs w:val="18"/>
                  <w:color w:val="0000FF"/>
                  <w:w w:val="94"/>
                </w:rPr>
                <w:t>8400)</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19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7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3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4.18</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30">
              <w:r>
                <w:rPr>
                  <w:rFonts w:ascii="Arial" w:cs="Arial" w:eastAsia="Arial" w:hAnsi="Arial"/>
                  <w:sz w:val="18"/>
                  <w:szCs w:val="18"/>
                  <w:color w:val="0000FF"/>
                </w:rPr>
                <w:t>Third Supplemental Indenture, dated as of December 30, 2015, among American Airlines Group Inc.,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Wilmington Trust, National Association, as trustee, to the Indenture dated as of May 24, 2013 (incorporated by reference to Exhibit</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4.</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AAG’s Current Report on Form 8-K filed on December 31, 2015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5600" w:type="dxa"/>
            <w:vAlign w:val="bottom"/>
            <w:tcBorders>
              <w:right w:val="single" w:sz="8" w:color="0000FF"/>
            </w:tcBorders>
            <w:gridSpan w:val="12"/>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w w:val="99"/>
              </w:rPr>
            </w:pPr>
            <w:hyperlink r:id="rId131">
              <w:r>
                <w:rPr>
                  <w:rFonts w:ascii="Arial" w:cs="Arial" w:eastAsia="Arial" w:hAnsi="Arial"/>
                  <w:sz w:val="18"/>
                  <w:szCs w:val="18"/>
                  <w:color w:val="0000FF"/>
                  <w:w w:val="99"/>
                </w:rPr>
                <w:t>Pass Through Trust Agreement, dated as of September 16, 2014, between American Airlines, Inc.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31">
              <w:r>
                <w:rPr>
                  <w:rFonts w:ascii="Arial" w:cs="Arial" w:eastAsia="Arial" w:hAnsi="Arial"/>
                  <w:sz w:val="18"/>
                  <w:szCs w:val="18"/>
                  <w:color w:val="0000FF"/>
                </w:rPr>
                <w:t>as Trustee (incorporated by reference to Exhibit 4.1 to American’s Current Report on Form 8-K filed on September 17, 2014</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131">
              <w:r>
                <w:rPr>
                  <w:rFonts w:ascii="Arial" w:cs="Arial" w:eastAsia="Arial" w:hAnsi="Arial"/>
                  <w:sz w:val="18"/>
                  <w:szCs w:val="18"/>
                  <w:color w:val="0000FF"/>
                  <w:w w:val="99"/>
                </w:rPr>
                <w:t>(Commission File No. 1-2691)).</w:t>
              </w:r>
            </w:hyperlink>
          </w:p>
        </w:tc>
        <w:tc>
          <w:tcPr>
            <w:tcW w:w="792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4.20</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32">
              <w:r>
                <w:rPr>
                  <w:rFonts w:ascii="Arial" w:cs="Arial" w:eastAsia="Arial" w:hAnsi="Arial"/>
                  <w:sz w:val="18"/>
                  <w:szCs w:val="18"/>
                  <w:color w:val="0000FF"/>
                </w:rPr>
                <w:t>Trust Supplement No. 2014-1A, dated as of September 16, 2014, between American Airlines, Inc. and Wilmington Trust Company,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100" w:type="dxa"/>
            <w:vAlign w:val="bottom"/>
            <w:tcBorders>
              <w:right w:val="single" w:sz="8" w:color="0000FF"/>
            </w:tcBorders>
            <w:gridSpan w:val="14"/>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as Trustee, to the Pass Through Trust Agreement, dated as of September 16, 2014 (incorporated by reference to Exhibit 4.2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American’s Current Report on Form 8-K filed on September 17, 2014 (Commission File No. 1-2691)).</w:t>
              </w:r>
            </w:hyperlink>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tcBorders>
              <w:top w:val="single" w:sz="8" w:color="0000FF"/>
            </w:tcBorders>
            <w:gridSpan w:val="8"/>
          </w:tcPr>
          <w:p>
            <w:pPr>
              <w:ind w:left="4600"/>
              <w:spacing w:after="0"/>
              <w:rPr>
                <w:sz w:val="20"/>
                <w:szCs w:val="20"/>
                <w:color w:val="auto"/>
              </w:rPr>
            </w:pPr>
            <w:r>
              <w:rPr>
                <w:rFonts w:ascii="Arial" w:cs="Arial" w:eastAsia="Arial" w:hAnsi="Arial"/>
                <w:sz w:val="18"/>
                <w:szCs w:val="18"/>
                <w:color w:val="auto"/>
                <w:w w:val="99"/>
              </w:rPr>
              <w:t>181</w:t>
            </w:r>
          </w:p>
        </w:tc>
        <w:tc>
          <w:tcPr>
            <w:tcW w:w="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2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4820" w:type="dxa"/>
            <w:vAlign w:val="bottom"/>
            <w:gridSpan w:val="9"/>
          </w:tcPr>
          <w:p>
            <w:pPr>
              <w:spacing w:after="0"/>
              <w:rPr>
                <w:sz w:val="14"/>
                <w:szCs w:val="14"/>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4.21</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33">
              <w:r>
                <w:rPr>
                  <w:rFonts w:ascii="Arial" w:cs="Arial" w:eastAsia="Arial" w:hAnsi="Arial"/>
                  <w:sz w:val="18"/>
                  <w:szCs w:val="18"/>
                  <w:color w:val="0000FF"/>
                </w:rPr>
                <w:t>Trust Supplement No. 2014-1B, dated as of September 16, 2014, between American Airlines, Inc.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as Trustee, to the Pass Through Trust Agreement, dated as of September 16, 2014 (incorporated by reference to Exhibit 4.3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4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133">
              <w:r>
                <w:rPr>
                  <w:rFonts w:ascii="Arial" w:cs="Arial" w:eastAsia="Arial" w:hAnsi="Arial"/>
                  <w:sz w:val="18"/>
                  <w:szCs w:val="18"/>
                  <w:color w:val="0000FF"/>
                  <w:w w:val="99"/>
                </w:rPr>
                <w:t>American’s Current Report on Form 8-K filed on September 17, 2014 (Commission File No. 1-2691)).</w:t>
              </w:r>
            </w:hyperlink>
          </w:p>
        </w:tc>
        <w:tc>
          <w:tcPr>
            <w:tcW w:w="2400" w:type="dxa"/>
            <w:vAlign w:val="bottom"/>
            <w:gridSpan w:val="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w w:val="99"/>
              </w:rPr>
            </w:pPr>
            <w:hyperlink r:id="rId134">
              <w:r>
                <w:rPr>
                  <w:rFonts w:ascii="Arial" w:cs="Arial" w:eastAsia="Arial" w:hAnsi="Arial"/>
                  <w:sz w:val="18"/>
                  <w:szCs w:val="18"/>
                  <w:color w:val="0000FF"/>
                  <w:w w:val="99"/>
                </w:rPr>
                <w:t>Intercreditor Agreement (2014-1), dated as of September 16, 2014, among Wilmington Trust Company, as Trustee of the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Airlines Pass Through Trust 2014-1A and as Trustee of the American Airlines Pass Through Trust 2014-1B,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Corporate and Investment Bank, acting through its New York Branch, as Class A Liquidity Provider and Class B Liquidity Provider,</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and Wilmington Trust Company, as Subordination Agent (incorporated by reference to Exhibit 4.4 to American’s Current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Form 8-K filed on September 17, 2014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35">
              <w:r>
                <w:rPr>
                  <w:rFonts w:ascii="Arial" w:cs="Arial" w:eastAsia="Arial" w:hAnsi="Arial"/>
                  <w:sz w:val="18"/>
                  <w:szCs w:val="18"/>
                  <w:color w:val="0000FF"/>
                </w:rPr>
                <w:t>Amendment No. 1 to Intercreditor Agreement (2014-1), dated as of June 24, 2015, among American Airlines, Inc., Credit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Corporate and Investment Bank, as Class A and Class B liquidity provider and Wilmington Trust Company, as subordination agent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and trustee (incorporated by reference to Exhibit 10.6 to AAG’s Quarterly Report on Form 10-Q for the quarter ended June 30,</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2015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36">
              <w:r>
                <w:rPr>
                  <w:rFonts w:ascii="Arial" w:cs="Arial" w:eastAsia="Arial" w:hAnsi="Arial"/>
                  <w:sz w:val="18"/>
                  <w:szCs w:val="18"/>
                  <w:color w:val="0000FF"/>
                </w:rPr>
                <w:t>Note Purchase Agreement, dated as of September 16, 2014,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Wilmington Trust, National Association, as Escrow Agent, and Wilmington Trust Company, as Paying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4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r:id="rId136">
              <w:r>
                <w:rPr>
                  <w:rFonts w:ascii="Arial" w:cs="Arial" w:eastAsia="Arial" w:hAnsi="Arial"/>
                  <w:sz w:val="18"/>
                  <w:szCs w:val="18"/>
                  <w:color w:val="0000FF"/>
                  <w:w w:val="99"/>
                </w:rPr>
                <w:t>reference to Exhibit 4.9 to American’s Current Report on Form 8-K filed on September 17, 2014 (Commission File No. 1-2691)).</w:t>
              </w:r>
            </w:hyperlink>
          </w:p>
        </w:tc>
        <w:tc>
          <w:tcPr>
            <w:tcW w:w="2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37">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Wilmington Trust Company, as Loan Trustee, and Wilmington Trust Company, in its individual capacity as set forth therein) (Exhibit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B to Note Purchase Agreement) (incorporated by reference to Exhibit 4.10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8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September 17, 2014 (Commission File No. 1-2691)).</w:t>
              </w:r>
            </w:hyperlink>
          </w:p>
        </w:tc>
        <w:tc>
          <w:tcPr>
            <w:tcW w:w="6260" w:type="dxa"/>
            <w:vAlign w:val="bottom"/>
            <w:gridSpan w:val="1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4.26</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138">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w w:val="99"/>
              </w:rPr>
            </w:pPr>
            <w:hyperlink r:id="rId138">
              <w:r>
                <w:rPr>
                  <w:rFonts w:ascii="Arial" w:cs="Arial" w:eastAsia="Arial" w:hAnsi="Arial"/>
                  <w:sz w:val="18"/>
                  <w:szCs w:val="18"/>
                  <w:color w:val="0000FF"/>
                  <w:w w:val="99"/>
                </w:rPr>
                <w:t>Trust Company, as Loan Trustee) (Exhibit C to Note Purchase Agreement) (incorporated by reference to Exhibit 4.11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138">
              <w:r>
                <w:rPr>
                  <w:rFonts w:ascii="Arial" w:cs="Arial" w:eastAsia="Arial" w:hAnsi="Arial"/>
                  <w:sz w:val="18"/>
                  <w:szCs w:val="18"/>
                  <w:color w:val="0000FF"/>
                  <w:w w:val="99"/>
                </w:rPr>
                <w:t>Current Report on Form 8-K filed on September 17, 2014 (Commission File No. 1-2691)).</w:t>
              </w:r>
            </w:hyperlink>
          </w:p>
        </w:tc>
        <w:tc>
          <w:tcPr>
            <w:tcW w:w="33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39">
              <w:r>
                <w:rPr>
                  <w:rFonts w:ascii="Arial" w:cs="Arial" w:eastAsia="Arial" w:hAnsi="Arial"/>
                  <w:sz w:val="18"/>
                  <w:szCs w:val="18"/>
                  <w:color w:val="0000FF"/>
                </w:rPr>
                <w:t>Revolving Credit Agreement (2014-1A), dated as of September 16, 2014,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Agent, as agent and trustee for the trustee of the American Airlines Pass Through Trust 2014-1A, as Borrower, and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Corporate and Investment Bank, acting through its New York Branch, as Liquidity Provider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139">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14</w:t>
              </w:r>
              <w:r>
                <w:rPr>
                  <w:rFonts w:ascii="Arial" w:cs="Arial" w:eastAsia="Arial" w:hAnsi="Arial"/>
                  <w:sz w:val="18"/>
                  <w:szCs w:val="18"/>
                  <w:color w:val="0000FF"/>
                  <w:w w:val="99"/>
                </w:rPr>
                <w:t xml:space="preserve"> to American’s Current Report on Form 8-K filed on September 17, 2014 (Commission File No. 1-2691)).</w:t>
              </w:r>
            </w:hyperlink>
          </w:p>
        </w:tc>
        <w:tc>
          <w:tcPr>
            <w:tcW w:w="178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40">
              <w:r>
                <w:rPr>
                  <w:rFonts w:ascii="Arial" w:cs="Arial" w:eastAsia="Arial" w:hAnsi="Arial"/>
                  <w:sz w:val="18"/>
                  <w:szCs w:val="18"/>
                  <w:color w:val="0000FF"/>
                </w:rPr>
                <w:t>Revolving Credit Agreement (2014-1B), dated as of September 16, 2014,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40">
              <w:r>
                <w:rPr>
                  <w:rFonts w:ascii="Arial" w:cs="Arial" w:eastAsia="Arial" w:hAnsi="Arial"/>
                  <w:sz w:val="18"/>
                  <w:szCs w:val="18"/>
                  <w:color w:val="0000FF"/>
                </w:rPr>
                <w:t>Agent, as agent and trustee for the trustee of the American Airlines Pass Through Trust 2014-1B, as Borrower, and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40">
              <w:r>
                <w:rPr>
                  <w:rFonts w:ascii="Arial" w:cs="Arial" w:eastAsia="Arial" w:hAnsi="Arial"/>
                  <w:sz w:val="18"/>
                  <w:szCs w:val="18"/>
                  <w:color w:val="0000FF"/>
                </w:rPr>
                <w:t>Corporate and Investment Bank, acting through its New York Branch, as Liquidity Provider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15</w:t>
              </w:r>
              <w:r>
                <w:rPr>
                  <w:rFonts w:ascii="Arial" w:cs="Arial" w:eastAsia="Arial" w:hAnsi="Arial"/>
                  <w:sz w:val="18"/>
                  <w:szCs w:val="18"/>
                  <w:color w:val="0000FF"/>
                  <w:w w:val="99"/>
                </w:rPr>
                <w:t xml:space="preserve"> to American’s Current Report on Form 8-K filed on September 17, 2014 (Commission File No. 1-2691)).</w:t>
              </w:r>
            </w:hyperlink>
          </w:p>
        </w:tc>
        <w:tc>
          <w:tcPr>
            <w:tcW w:w="178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4.29</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141">
              <w:r>
                <w:rPr>
                  <w:rFonts w:ascii="Arial" w:cs="Arial" w:eastAsia="Arial" w:hAnsi="Arial"/>
                  <w:sz w:val="18"/>
                  <w:szCs w:val="18"/>
                  <w:color w:val="0000FF"/>
                </w:rPr>
                <w:t>Indenture, dated as of September 25, 2014, among American Airlines Group Inc., the Guarantors (as defined therein)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Wilmington Trust, National Association, as trustee (incorporated by reference to Exhibit 4.1 to AAG’s Current Report on Form 8-K</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filed on September 26, 2014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42">
              <w:r>
                <w:rPr>
                  <w:rFonts w:ascii="Arial" w:cs="Arial" w:eastAsia="Arial" w:hAnsi="Arial"/>
                  <w:sz w:val="18"/>
                  <w:szCs w:val="18"/>
                  <w:color w:val="0000FF"/>
                </w:rPr>
                <w:t>First Supplemental Indenture, dated as of December 30, 2015, among American Airlines Group Inc.,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42">
              <w:r>
                <w:rPr>
                  <w:rFonts w:ascii="Arial" w:cs="Arial" w:eastAsia="Arial" w:hAnsi="Arial"/>
                  <w:sz w:val="18"/>
                  <w:szCs w:val="18"/>
                  <w:color w:val="0000FF"/>
                </w:rPr>
                <w:t>Wilmington Trust, National Association, as trustee, to the Indenture dated as of September 25, 2014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0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142">
              <w:r>
                <w:rPr>
                  <w:rFonts w:ascii="Arial" w:cs="Arial" w:eastAsia="Arial" w:hAnsi="Arial"/>
                  <w:sz w:val="18"/>
                  <w:szCs w:val="18"/>
                  <w:color w:val="0000FF"/>
                  <w:w w:val="99"/>
                </w:rPr>
                <w:t>Exhibit 4.2 to AAG’s Current Report on Form 8-K filed on December 31, 2015 (Commission File No. 1-8400)).</w:t>
              </w:r>
            </w:hyperlink>
          </w:p>
        </w:tc>
        <w:tc>
          <w:tcPr>
            <w:tcW w:w="172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43">
              <w:r>
                <w:rPr>
                  <w:rFonts w:ascii="Arial" w:cs="Arial" w:eastAsia="Arial" w:hAnsi="Arial"/>
                  <w:sz w:val="18"/>
                  <w:szCs w:val="18"/>
                  <w:color w:val="0000FF"/>
                </w:rPr>
                <w:t>Indenture, dated as of March 5, 2015, among American Airlines Group Inc., the Guarantors (as defined therein)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Trust, National Association, as trustee (incorporated by reference to Exhibit 4.1 to AAG’s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143">
              <w:r>
                <w:rPr>
                  <w:rFonts w:ascii="Arial" w:cs="Arial" w:eastAsia="Arial" w:hAnsi="Arial"/>
                  <w:sz w:val="18"/>
                  <w:szCs w:val="18"/>
                  <w:color w:val="0000FF"/>
                  <w:w w:val="99"/>
                </w:rPr>
                <w:t>March 12, 2015 (Commission File No. 1-8400)).</w:t>
              </w:r>
            </w:hyperlink>
          </w:p>
        </w:tc>
        <w:tc>
          <w:tcPr>
            <w:tcW w:w="662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4.32</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128">
              <w:r>
                <w:rPr>
                  <w:rFonts w:ascii="Arial" w:cs="Arial" w:eastAsia="Arial" w:hAnsi="Arial"/>
                  <w:sz w:val="18"/>
                  <w:szCs w:val="18"/>
                  <w:color w:val="0000FF"/>
                </w:rPr>
                <w:t>Form of 6.125% Senior Notes due 2018 (incorporated by reference to Exhibit A to Exhibit 4.2 to US Airways Group’s Current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Report on Form 8-K filed on May 24, 2013 (Commission File No. 1-8444)).</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4.33</w:t>
            </w:r>
          </w:p>
        </w:tc>
        <w:tc>
          <w:tcPr>
            <w:tcW w:w="220" w:type="dxa"/>
            <w:vAlign w:val="bottom"/>
          </w:tcPr>
          <w:p>
            <w:pPr>
              <w:spacing w:after="0"/>
              <w:rPr>
                <w:sz w:val="20"/>
                <w:szCs w:val="20"/>
                <w:color w:val="auto"/>
              </w:rPr>
            </w:pPr>
          </w:p>
        </w:tc>
        <w:tc>
          <w:tcPr>
            <w:tcW w:w="10420" w:type="dxa"/>
            <w:vAlign w:val="bottom"/>
            <w:tcBorders>
              <w:bottom w:val="single" w:sz="8" w:color="0000FF"/>
            </w:tcBorders>
            <w:gridSpan w:val="16"/>
          </w:tcPr>
          <w:p>
            <w:pPr>
              <w:spacing w:after="0"/>
              <w:rPr>
                <w:rFonts w:ascii="Arial" w:cs="Arial" w:eastAsia="Arial" w:hAnsi="Arial"/>
                <w:sz w:val="18"/>
                <w:szCs w:val="18"/>
                <w:color w:val="0000FF"/>
              </w:rPr>
            </w:pPr>
            <w:hyperlink r:id="rId141">
              <w:r>
                <w:rPr>
                  <w:rFonts w:ascii="Arial" w:cs="Arial" w:eastAsia="Arial" w:hAnsi="Arial"/>
                  <w:sz w:val="18"/>
                  <w:szCs w:val="18"/>
                  <w:color w:val="0000FF"/>
                </w:rPr>
                <w:t>Form of 5.50% Senior Notes due 2019 (incorporated by reference to Exhibit A to Exhibit 4.1 to AAG’s Current Report on Form 8-K</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filed on September 26, 2014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4.34</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w w:val="99"/>
              </w:rPr>
            </w:pPr>
            <w:hyperlink r:id="rId143">
              <w:r>
                <w:rPr>
                  <w:rFonts w:ascii="Arial" w:cs="Arial" w:eastAsia="Arial" w:hAnsi="Arial"/>
                  <w:sz w:val="18"/>
                  <w:szCs w:val="18"/>
                  <w:color w:val="0000FF"/>
                  <w:w w:val="99"/>
                </w:rPr>
                <w:t>Form of 4.625% Senior Notes due 2020 (incorporated by reference to Exhibit A to Exhibit 4.1 to AAG’s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filed on March 12, 2015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44">
              <w:r>
                <w:rPr>
                  <w:rFonts w:ascii="Arial" w:cs="Arial" w:eastAsia="Arial" w:hAnsi="Arial"/>
                  <w:sz w:val="18"/>
                  <w:szCs w:val="18"/>
                  <w:color w:val="0000FF"/>
                </w:rPr>
                <w:t>First Supplemental Indenture, dated as of December 30, 2015, among American Airlines Group Inc.,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w w:val="99"/>
              </w:rPr>
            </w:pPr>
            <w:hyperlink r:id="rId144">
              <w:r>
                <w:rPr>
                  <w:rFonts w:ascii="Arial" w:cs="Arial" w:eastAsia="Arial" w:hAnsi="Arial"/>
                  <w:sz w:val="18"/>
                  <w:szCs w:val="18"/>
                  <w:color w:val="0000FF"/>
                  <w:w w:val="99"/>
                </w:rPr>
                <w:t>Wilmington Trust, National Association, as trustee, to the Indenture dated as of March 5, 2015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4.</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AAG’s Current Report on Form 8-K filed on December 31, 2015 (Commission File No. 1-8400)).</w:t>
              </w:r>
            </w:hyperlink>
          </w:p>
        </w:tc>
        <w:tc>
          <w:tcPr>
            <w:tcW w:w="20" w:type="dxa"/>
            <w:vAlign w:val="bottom"/>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Borders>
              <w:top w:val="single" w:sz="8" w:color="0000FF"/>
            </w:tcBorders>
            <w:gridSpan w:val="7"/>
          </w:tcPr>
          <w:p>
            <w:pPr>
              <w:ind w:left="4600"/>
              <w:spacing w:after="0"/>
              <w:rPr>
                <w:sz w:val="20"/>
                <w:szCs w:val="20"/>
                <w:color w:val="auto"/>
              </w:rPr>
            </w:pPr>
            <w:r>
              <w:rPr>
                <w:rFonts w:ascii="Arial" w:cs="Arial" w:eastAsia="Arial" w:hAnsi="Arial"/>
                <w:sz w:val="18"/>
                <w:szCs w:val="18"/>
                <w:color w:val="auto"/>
              </w:rPr>
              <w:t>182</w:t>
            </w: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82" w:name="page183"/>
    <w:bookmarkEnd w:id="1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2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4.36</w:t>
            </w:r>
          </w:p>
        </w:tc>
        <w:tc>
          <w:tcPr>
            <w:tcW w:w="220" w:type="dxa"/>
            <w:vAlign w:val="bottom"/>
          </w:tcPr>
          <w:p>
            <w:pPr>
              <w:spacing w:after="0"/>
              <w:rPr>
                <w:sz w:val="19"/>
                <w:szCs w:val="19"/>
                <w:color w:val="auto"/>
              </w:rPr>
            </w:pPr>
          </w:p>
        </w:tc>
        <w:tc>
          <w:tcPr>
            <w:tcW w:w="10440" w:type="dxa"/>
            <w:vAlign w:val="bottom"/>
            <w:gridSpan w:val="13"/>
          </w:tcPr>
          <w:p>
            <w:pPr>
              <w:spacing w:after="0"/>
              <w:rPr>
                <w:rFonts w:ascii="Arial" w:cs="Arial" w:eastAsia="Arial" w:hAnsi="Arial"/>
                <w:sz w:val="18"/>
                <w:szCs w:val="18"/>
                <w:color w:val="0000FF"/>
              </w:rPr>
            </w:pPr>
            <w:hyperlink r:id="rId145">
              <w:r>
                <w:rPr>
                  <w:rFonts w:ascii="Arial" w:cs="Arial" w:eastAsia="Arial" w:hAnsi="Arial"/>
                  <w:sz w:val="18"/>
                  <w:szCs w:val="18"/>
                  <w:color w:val="0000FF"/>
                </w:rPr>
                <w:t>Trust Supplement No. 2015-1A, dated as of March 16, 2015,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145">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45">
              <w:r>
                <w:rPr>
                  <w:rFonts w:ascii="Arial" w:cs="Arial" w:eastAsia="Arial" w:hAnsi="Arial"/>
                  <w:sz w:val="18"/>
                  <w:szCs w:val="18"/>
                  <w:color w:val="0000FF"/>
                  <w:w w:val="99"/>
                </w:rPr>
                <w:t>American’s Current Report on Form 8-K filed on March 16, 2015 (Commission File No. 1-2691)).</w:t>
              </w:r>
            </w:hyperlink>
          </w:p>
        </w:tc>
        <w:tc>
          <w:tcPr>
            <w:tcW w:w="2780" w:type="dxa"/>
            <w:vAlign w:val="bottom"/>
            <w:gridSpan w:val="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4.37</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46">
              <w:r>
                <w:rPr>
                  <w:rFonts w:ascii="Arial" w:cs="Arial" w:eastAsia="Arial" w:hAnsi="Arial"/>
                  <w:sz w:val="18"/>
                  <w:szCs w:val="18"/>
                  <w:color w:val="0000FF"/>
                </w:rPr>
                <w:t>Trust Supplement No. 2015-1B, dated as of March 16, 2015,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146">
              <w:r>
                <w:rPr>
                  <w:rFonts w:ascii="Arial" w:cs="Arial" w:eastAsia="Arial" w:hAnsi="Arial"/>
                  <w:sz w:val="18"/>
                  <w:szCs w:val="18"/>
                  <w:color w:val="0000FF"/>
                </w:rPr>
                <w:t>Trustee, to the Pass Through Trust Agreement, dated as of September 16, 2014 (incorporated by reference to Exhibit 4.3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46">
              <w:r>
                <w:rPr>
                  <w:rFonts w:ascii="Arial" w:cs="Arial" w:eastAsia="Arial" w:hAnsi="Arial"/>
                  <w:sz w:val="18"/>
                  <w:szCs w:val="18"/>
                  <w:color w:val="0000FF"/>
                  <w:w w:val="99"/>
                </w:rPr>
                <w:t>American’s Current Report on Form 8-K filed on March 16, 2015 (Commission File No. 1-2691)).</w:t>
              </w:r>
            </w:hyperlink>
          </w:p>
        </w:tc>
        <w:tc>
          <w:tcPr>
            <w:tcW w:w="2780" w:type="dxa"/>
            <w:vAlign w:val="bottom"/>
            <w:gridSpan w:val="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47">
              <w:r>
                <w:rPr>
                  <w:rFonts w:ascii="Arial" w:cs="Arial" w:eastAsia="Arial" w:hAnsi="Arial"/>
                  <w:sz w:val="18"/>
                  <w:szCs w:val="18"/>
                  <w:color w:val="0000FF"/>
                </w:rPr>
                <w:t>Intercreditor Agreement (2015-1), dated as of March 16, 2015, among Wilmington Trust Company, as Trustee of the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Airlines Pass Through Trust 2015-1A and as Trustee of the American Airlines Pass Through Trust 2015-1B,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Corporate and Investment Bank, acting through its New York Branch, as Class A Liquidity Provider and Class B Liquidity Provider,</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and Wilmington Trust Company, as Subordination Agent (incorporated by reference to Exhibit 4.4 to American’s Current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Form 8-K filed on March 16, 2015 (Commission File No. 1-2691)).</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4.39</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48">
              <w:r>
                <w:rPr>
                  <w:rFonts w:ascii="Arial" w:cs="Arial" w:eastAsia="Arial" w:hAnsi="Arial"/>
                  <w:sz w:val="18"/>
                  <w:szCs w:val="18"/>
                  <w:color w:val="0000FF"/>
                </w:rPr>
                <w:t>Note Purchase Agreement, dated as of March 16, 2015, among American Airlines, Inc., Wilmington Trust Company, as Pass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48">
              <w:r>
                <w:rPr>
                  <w:rFonts w:ascii="Arial" w:cs="Arial" w:eastAsia="Arial" w:hAnsi="Arial"/>
                  <w:sz w:val="18"/>
                  <w:szCs w:val="18"/>
                  <w:color w:val="0000FF"/>
                </w:rPr>
                <w:t>Through Trustee under each of the Pass Through Trust Agreements, Wilmington Trust Company, as Subordination Agent,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48">
              <w:r>
                <w:rPr>
                  <w:rFonts w:ascii="Arial" w:cs="Arial" w:eastAsia="Arial" w:hAnsi="Arial"/>
                  <w:sz w:val="18"/>
                  <w:szCs w:val="18"/>
                  <w:color w:val="0000FF"/>
                </w:rPr>
                <w:t>Wilmington Trust, National Association, as Escrow Agent, and Wilmington Trust Company, as Paying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6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148">
              <w:r>
                <w:rPr>
                  <w:rFonts w:ascii="Arial" w:cs="Arial" w:eastAsia="Arial" w:hAnsi="Arial"/>
                  <w:sz w:val="18"/>
                  <w:szCs w:val="18"/>
                  <w:color w:val="0000FF"/>
                  <w:w w:val="99"/>
                </w:rPr>
                <w:t>reference to Exhibit 4.9 to American’s Current Report on Form 8-K filed on March 16, 2015 (Commission File No. 1-2691)).</w:t>
              </w:r>
            </w:hyperlink>
          </w:p>
        </w:tc>
        <w:tc>
          <w:tcPr>
            <w:tcW w:w="6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4.40</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49">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Through Trustee under each of the Pass Through Trust Agreements, Wilmington Trust Company, as Subordination Agent,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(incorporated by reference to Exhibit 4.10 to American’s Current Report on Form 8-K filed on March 16, 2015 (Commission File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149">
              <w:r>
                <w:rPr>
                  <w:rFonts w:ascii="Arial" w:cs="Arial" w:eastAsia="Arial" w:hAnsi="Arial"/>
                  <w:sz w:val="18"/>
                  <w:szCs w:val="18"/>
                  <w:color w:val="0000FF"/>
                  <w:w w:val="98"/>
                </w:rPr>
                <w:t>No. 1-2691)).</w:t>
              </w:r>
            </w:hyperlink>
          </w:p>
        </w:tc>
        <w:tc>
          <w:tcPr>
            <w:tcW w:w="9380" w:type="dxa"/>
            <w:vAlign w:val="bottom"/>
            <w:gridSpan w:val="1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4.41</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50">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Trust Company, as Loan Trustee) (incorporated by reference to Exhibit 4.11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150">
              <w:r>
                <w:rPr>
                  <w:rFonts w:ascii="Arial" w:cs="Arial" w:eastAsia="Arial" w:hAnsi="Arial"/>
                  <w:sz w:val="18"/>
                  <w:szCs w:val="18"/>
                  <w:color w:val="0000FF"/>
                  <w:w w:val="99"/>
                </w:rPr>
                <w:t>March 16, 2015 (Commission File No. 1-2691)).</w:t>
              </w:r>
            </w:hyperlink>
          </w:p>
        </w:tc>
        <w:tc>
          <w:tcPr>
            <w:tcW w:w="6640" w:type="dxa"/>
            <w:vAlign w:val="bottom"/>
            <w:gridSpan w:val="11"/>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4.42</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45">
              <w:r>
                <w:rPr>
                  <w:rFonts w:ascii="Arial" w:cs="Arial" w:eastAsia="Arial" w:hAnsi="Arial"/>
                  <w:sz w:val="18"/>
                  <w:szCs w:val="18"/>
                  <w:color w:val="0000FF"/>
                </w:rPr>
                <w:t>Form of Pass Through Trust Certificate, Series 2015-1A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145">
              <w:r>
                <w:rPr>
                  <w:rFonts w:ascii="Arial" w:cs="Arial" w:eastAsia="Arial" w:hAnsi="Arial"/>
                  <w:sz w:val="18"/>
                  <w:szCs w:val="18"/>
                  <w:color w:val="0000FF"/>
                  <w:w w:val="99"/>
                </w:rPr>
                <w:t>Current Report on Form 8-K filed on March 16, 2015 (Commission File No. 1-2691)).</w:t>
              </w:r>
            </w:hyperlink>
          </w:p>
        </w:tc>
        <w:tc>
          <w:tcPr>
            <w:tcW w:w="370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4.43</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46">
              <w:r>
                <w:rPr>
                  <w:rFonts w:ascii="Arial" w:cs="Arial" w:eastAsia="Arial" w:hAnsi="Arial"/>
                  <w:sz w:val="18"/>
                  <w:szCs w:val="18"/>
                  <w:color w:val="0000FF"/>
                </w:rPr>
                <w:t>Form of Pass Through Trust Certificate, Series 2015-1B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146">
              <w:r>
                <w:rPr>
                  <w:rFonts w:ascii="Arial" w:cs="Arial" w:eastAsia="Arial" w:hAnsi="Arial"/>
                  <w:sz w:val="18"/>
                  <w:szCs w:val="18"/>
                  <w:color w:val="0000FF"/>
                  <w:w w:val="99"/>
                </w:rPr>
                <w:t>Current Report on Form 8-K filed on March 16, 2015 (Commission File No. 1-2691)).</w:t>
              </w:r>
            </w:hyperlink>
          </w:p>
        </w:tc>
        <w:tc>
          <w:tcPr>
            <w:tcW w:w="370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4.44</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51">
              <w:r>
                <w:rPr>
                  <w:rFonts w:ascii="Arial" w:cs="Arial" w:eastAsia="Arial" w:hAnsi="Arial"/>
                  <w:sz w:val="18"/>
                  <w:szCs w:val="18"/>
                  <w:color w:val="0000FF"/>
                </w:rPr>
                <w:t>Revolving Credit Agreement (2015-1A), dated as of March 16, 2015, between Wilmington Trust Company, as Subordination Agent,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4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51">
              <w:r>
                <w:rPr>
                  <w:rFonts w:ascii="Arial" w:cs="Arial" w:eastAsia="Arial" w:hAnsi="Arial"/>
                  <w:sz w:val="18"/>
                  <w:szCs w:val="18"/>
                  <w:color w:val="0000FF"/>
                </w:rPr>
                <w:t>as agent and trustee for the trustee of the American Airlines Pass Through Trust 2015-1A, as Borrower, and Crédit Agricole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4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51">
              <w:r>
                <w:rPr>
                  <w:rFonts w:ascii="Arial" w:cs="Arial" w:eastAsia="Arial" w:hAnsi="Arial"/>
                  <w:sz w:val="18"/>
                  <w:szCs w:val="18"/>
                  <w:color w:val="0000FF"/>
                </w:rPr>
                <w:t>Corporate and Investment Bank, acting through its New York Branch, as Liquidity Provider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51">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14</w:t>
              </w:r>
              <w:r>
                <w:rPr>
                  <w:rFonts w:ascii="Arial" w:cs="Arial" w:eastAsia="Arial" w:hAnsi="Arial"/>
                  <w:sz w:val="18"/>
                  <w:szCs w:val="18"/>
                  <w:color w:val="0000FF"/>
                  <w:w w:val="99"/>
                </w:rPr>
                <w:t xml:space="preserve"> to American’s Current Report on Form 8-K filed on March 16, 2015 (Commission File No. 1-2691)).</w:t>
              </w:r>
            </w:hyperlink>
          </w:p>
        </w:tc>
        <w:tc>
          <w:tcPr>
            <w:tcW w:w="21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4.45</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52">
              <w:r>
                <w:rPr>
                  <w:rFonts w:ascii="Arial" w:cs="Arial" w:eastAsia="Arial" w:hAnsi="Arial"/>
                  <w:sz w:val="18"/>
                  <w:szCs w:val="18"/>
                  <w:color w:val="0000FF"/>
                </w:rPr>
                <w:t>Revolving Credit Agreement (2015-1B), dated as of March 16, 2015, between Wilmington Trust Company, as Subordination Agent,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40" w:type="dxa"/>
            <w:vAlign w:val="bottom"/>
            <w:gridSpan w:val="8"/>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52">
              <w:r>
                <w:rPr>
                  <w:rFonts w:ascii="Arial" w:cs="Arial" w:eastAsia="Arial" w:hAnsi="Arial"/>
                  <w:sz w:val="18"/>
                  <w:szCs w:val="18"/>
                  <w:color w:val="0000FF"/>
                </w:rPr>
                <w:t>as agent and trustee for the trustee of the American Airlines Pass Through Trust 2015-1B, as Borrower, and Crédit Agricole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40" w:type="dxa"/>
            <w:vAlign w:val="bottom"/>
            <w:gridSpan w:val="8"/>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52">
              <w:r>
                <w:rPr>
                  <w:rFonts w:ascii="Arial" w:cs="Arial" w:eastAsia="Arial" w:hAnsi="Arial"/>
                  <w:sz w:val="18"/>
                  <w:szCs w:val="18"/>
                  <w:color w:val="0000FF"/>
                </w:rPr>
                <w:t>Corporate and Investment Bank, acting through its New York Branch, as Liquidity Provider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52">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15</w:t>
              </w:r>
              <w:r>
                <w:rPr>
                  <w:rFonts w:ascii="Arial" w:cs="Arial" w:eastAsia="Arial" w:hAnsi="Arial"/>
                  <w:sz w:val="18"/>
                  <w:szCs w:val="18"/>
                  <w:color w:val="0000FF"/>
                  <w:w w:val="99"/>
                </w:rPr>
                <w:t xml:space="preserve"> to American’s Current Report on Form 8-K filed on March 16, 2015 (Commission File No. 1-2691)).</w:t>
              </w:r>
            </w:hyperlink>
          </w:p>
        </w:tc>
        <w:tc>
          <w:tcPr>
            <w:tcW w:w="21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4.46</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53">
              <w:r>
                <w:rPr>
                  <w:rFonts w:ascii="Arial" w:cs="Arial" w:eastAsia="Arial" w:hAnsi="Arial"/>
                  <w:sz w:val="18"/>
                  <w:szCs w:val="18"/>
                  <w:color w:val="0000FF"/>
                </w:rPr>
                <w:t>Trust Supplement No. 2015-2AA, dated as of September 24, 2015, between American Airlines, Inc. and Wilmington Trust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40" w:type="dxa"/>
            <w:vAlign w:val="bottom"/>
            <w:gridSpan w:val="8"/>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w w:val="99"/>
              </w:rPr>
            </w:pPr>
            <w:hyperlink r:id="rId153">
              <w:r>
                <w:rPr>
                  <w:rFonts w:ascii="Arial" w:cs="Arial" w:eastAsia="Arial" w:hAnsi="Arial"/>
                  <w:sz w:val="18"/>
                  <w:szCs w:val="18"/>
                  <w:color w:val="0000FF"/>
                  <w:w w:val="99"/>
                </w:rPr>
                <w:t>Company, as Trustee, to the Pass Through Trust Agreement, dated as of September 16, 2014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4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153">
              <w:r>
                <w:rPr>
                  <w:rFonts w:ascii="Arial" w:cs="Arial" w:eastAsia="Arial" w:hAnsi="Arial"/>
                  <w:sz w:val="18"/>
                  <w:szCs w:val="18"/>
                  <w:color w:val="0000FF"/>
                  <w:w w:val="99"/>
                </w:rPr>
                <w:t>4.</w:t>
              </w:r>
              <w:r>
                <w:rPr>
                  <w:rFonts w:ascii="Arial" w:cs="Arial" w:eastAsia="Arial" w:hAnsi="Arial"/>
                  <w:sz w:val="18"/>
                  <w:szCs w:val="18"/>
                  <w:u w:val="single" w:color="auto"/>
                  <w:color w:val="0000FF"/>
                  <w:w w:val="99"/>
                </w:rPr>
                <w:t>2</w:t>
              </w:r>
              <w:r>
                <w:rPr>
                  <w:rFonts w:ascii="Arial" w:cs="Arial" w:eastAsia="Arial" w:hAnsi="Arial"/>
                  <w:sz w:val="18"/>
                  <w:szCs w:val="18"/>
                  <w:color w:val="0000FF"/>
                  <w:w w:val="99"/>
                </w:rPr>
                <w:t xml:space="preserve"> to American’s Current Report on Form 8-K filed on September 24, 2015 (Commission File No. 1-2691)).</w:t>
              </w:r>
            </w:hyperlink>
          </w:p>
        </w:tc>
        <w:tc>
          <w:tcPr>
            <w:tcW w:w="188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4.47</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54">
              <w:r>
                <w:rPr>
                  <w:rFonts w:ascii="Arial" w:cs="Arial" w:eastAsia="Arial" w:hAnsi="Arial"/>
                  <w:sz w:val="18"/>
                  <w:szCs w:val="18"/>
                  <w:color w:val="0000FF"/>
                </w:rPr>
                <w:t>Trust Supplement No. 2015-2A, dated as of September 24, 2015, between American Airlines, Inc. and Wilmington Trust Company,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40" w:type="dxa"/>
            <w:vAlign w:val="bottom"/>
            <w:gridSpan w:val="8"/>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as Trustee, to the Pass Through Trust Agreement, dated as of September 16, 2014 (incorporated by reference to Exhibit 4.3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4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54">
              <w:r>
                <w:rPr>
                  <w:rFonts w:ascii="Arial" w:cs="Arial" w:eastAsia="Arial" w:hAnsi="Arial"/>
                  <w:sz w:val="18"/>
                  <w:szCs w:val="18"/>
                  <w:color w:val="0000FF"/>
                  <w:w w:val="99"/>
                </w:rPr>
                <w:t>American’s Current Report on Form 8-K filed on September 24, 2015 (Commission File No. 1-2691)).</w:t>
              </w:r>
            </w:hyperlink>
          </w:p>
        </w:tc>
        <w:tc>
          <w:tcPr>
            <w:tcW w:w="240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4.48</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55">
              <w:r>
                <w:rPr>
                  <w:rFonts w:ascii="Arial" w:cs="Arial" w:eastAsia="Arial" w:hAnsi="Arial"/>
                  <w:sz w:val="18"/>
                  <w:szCs w:val="18"/>
                  <w:color w:val="0000FF"/>
                </w:rPr>
                <w:t>Trust Supplement No. 2015-2B, dated as of September 24, 2015, between American Airlines, Inc. and Wilmington Trust Company,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20" w:type="dxa"/>
            <w:vAlign w:val="bottom"/>
            <w:gridSpan w:val="1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as Trustee, to the Pass Through Trust Agreement, dated as of September 16, 2014 (incorporated by reference to Exhibit 4.4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4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American’s Current Report on Form 8-K filed on September 24, 2015 (Commission File No. 1-2691)).</w:t>
              </w:r>
            </w:hyperlink>
          </w:p>
        </w:tc>
        <w:tc>
          <w:tcPr>
            <w:tcW w:w="240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w w:val="99"/>
              </w:rPr>
            </w:pPr>
            <w:hyperlink r:id="rId156">
              <w:r>
                <w:rPr>
                  <w:rFonts w:ascii="Arial" w:cs="Arial" w:eastAsia="Arial" w:hAnsi="Arial"/>
                  <w:sz w:val="18"/>
                  <w:szCs w:val="18"/>
                  <w:color w:val="0000FF"/>
                  <w:w w:val="99"/>
                </w:rPr>
                <w:t>Intercreditor Agreement (2015-2), dated as of September 24, 2015, among Wilmington Trust Company, as Trustee of the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Airlines Pass Through Trust 2015-2AA, as Trustee of the American Airlines Pass Through Trust 2015-2A and as Trustee of the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760"/>
        <w:spacing w:after="0" w:line="239" w:lineRule="auto"/>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American Airlines Pass Through Trust 2015-2B, Commonwealth Bank of Australia, New York Branch, as Class AA Liquidity</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Provider, Crédit Agricole Corporate and Investment Bank, acting through its New York Branch, as Class A Liquidity Provider and</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Class B Liquidity Provider, and Wilmington Trust Company, as Subordination Agent (incorporated by reference to Exhibit 4.5 to</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American’s Current Report on Form 8-K filed on September 24, 2015 (Commission File No. 1-2691)).</w:t>
        </w:r>
      </w:hyperlink>
    </w:p>
    <w:p>
      <w:pPr>
        <w:spacing w:after="0" w:line="256" w:lineRule="exact"/>
        <w:rPr>
          <w:rFonts w:ascii="Arial" w:cs="Arial" w:eastAsia="Arial" w:hAnsi="Arial"/>
          <w:sz w:val="18"/>
          <w:szCs w:val="18"/>
          <w:u w:val="single" w:color="auto"/>
          <w:color w:val="0000FF"/>
        </w:rPr>
      </w:pPr>
    </w:p>
    <w:p>
      <w:pPr>
        <w:jc w:val="center"/>
        <w:ind w:right="180"/>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00"/>
          </w:cols>
          <w:pgMar w:left="440" w:top="748" w:right="25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4.50</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57">
              <w:r>
                <w:rPr>
                  <w:rFonts w:ascii="Arial" w:cs="Arial" w:eastAsia="Arial" w:hAnsi="Arial"/>
                  <w:sz w:val="18"/>
                  <w:szCs w:val="18"/>
                  <w:color w:val="0000FF"/>
                </w:rPr>
                <w:t>Note Purchase Agreement, dated as of September 24, 2015,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Through Trustee under each of the Pass Through Trust Agreements and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(incorporated by reference to Exhibit 4.6 to American’s Current Report on Form 8-K filed on September 24, 2015 (Commission File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157">
              <w:r>
                <w:rPr>
                  <w:rFonts w:ascii="Arial" w:cs="Arial" w:eastAsia="Arial" w:hAnsi="Arial"/>
                  <w:sz w:val="18"/>
                  <w:szCs w:val="18"/>
                  <w:color w:val="0000FF"/>
                  <w:w w:val="98"/>
                </w:rPr>
                <w:t>No. 1-2691)).</w:t>
              </w:r>
            </w:hyperlink>
          </w:p>
        </w:tc>
        <w:tc>
          <w:tcPr>
            <w:tcW w:w="9380" w:type="dxa"/>
            <w:vAlign w:val="bottom"/>
            <w:gridSpan w:val="1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57">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(incorporated by reference to Exhibit B to Exhibit 4.6 to American’s Current Report on Form 8-K filed on September 24, 2015</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57">
              <w:r>
                <w:rPr>
                  <w:rFonts w:ascii="Arial" w:cs="Arial" w:eastAsia="Arial" w:hAnsi="Arial"/>
                  <w:sz w:val="18"/>
                  <w:szCs w:val="18"/>
                  <w:color w:val="0000FF"/>
                  <w:w w:val="99"/>
                </w:rPr>
                <w:t>(Commission File No. 1-2691)).</w:t>
              </w:r>
            </w:hyperlink>
          </w:p>
        </w:tc>
        <w:tc>
          <w:tcPr>
            <w:tcW w:w="7940" w:type="dxa"/>
            <w:vAlign w:val="bottom"/>
            <w:gridSpan w:val="10"/>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57">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Trust Company, as Loan Trustee) (incorporated by reference to Exhibit C to Exhibit 4.6 to American’s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filed on September 24, 2015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53">
              <w:r>
                <w:rPr>
                  <w:rFonts w:ascii="Arial" w:cs="Arial" w:eastAsia="Arial" w:hAnsi="Arial"/>
                  <w:sz w:val="18"/>
                  <w:szCs w:val="18"/>
                  <w:color w:val="0000FF"/>
                </w:rPr>
                <w:t>Form of Pass Through Trust Certificate, Series 2015-2AA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53">
              <w:r>
                <w:rPr>
                  <w:rFonts w:ascii="Arial" w:cs="Arial" w:eastAsia="Arial" w:hAnsi="Arial"/>
                  <w:sz w:val="18"/>
                  <w:szCs w:val="18"/>
                  <w:color w:val="0000FF"/>
                  <w:w w:val="99"/>
                </w:rPr>
                <w:t>Current Report on Form 8-K filed on September 24, 2015 (Commission File No. 1-2691)).</w:t>
              </w:r>
            </w:hyperlink>
          </w:p>
        </w:tc>
        <w:tc>
          <w:tcPr>
            <w:tcW w:w="334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54">
              <w:r>
                <w:rPr>
                  <w:rFonts w:ascii="Arial" w:cs="Arial" w:eastAsia="Arial" w:hAnsi="Arial"/>
                  <w:sz w:val="18"/>
                  <w:szCs w:val="18"/>
                  <w:color w:val="0000FF"/>
                </w:rPr>
                <w:t>Form of Pass Through Trust Certificate, Series 2015-2A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54">
              <w:r>
                <w:rPr>
                  <w:rFonts w:ascii="Arial" w:cs="Arial" w:eastAsia="Arial" w:hAnsi="Arial"/>
                  <w:sz w:val="18"/>
                  <w:szCs w:val="18"/>
                  <w:color w:val="0000FF"/>
                  <w:w w:val="99"/>
                </w:rPr>
                <w:t>Current Report on Form 8-K filed on September 24, 2015 (Commission File No. 1-2691)).</w:t>
              </w:r>
            </w:hyperlink>
          </w:p>
        </w:tc>
        <w:tc>
          <w:tcPr>
            <w:tcW w:w="334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55">
              <w:r>
                <w:rPr>
                  <w:rFonts w:ascii="Arial" w:cs="Arial" w:eastAsia="Arial" w:hAnsi="Arial"/>
                  <w:sz w:val="18"/>
                  <w:szCs w:val="18"/>
                  <w:color w:val="0000FF"/>
                </w:rPr>
                <w:t>Form of Pass Through Trust Certificate, Series 2015-2B (incorporated by reference to Exhibit A to Exhibit 4.4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Current Report on Form 8-K filed on September 24, 2015 (Commission File No. 1-2691)).</w:t>
              </w:r>
            </w:hyperlink>
          </w:p>
        </w:tc>
        <w:tc>
          <w:tcPr>
            <w:tcW w:w="334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58">
              <w:r>
                <w:rPr>
                  <w:rFonts w:ascii="Arial" w:cs="Arial" w:eastAsia="Arial" w:hAnsi="Arial"/>
                  <w:sz w:val="18"/>
                  <w:szCs w:val="18"/>
                  <w:color w:val="0000FF"/>
                </w:rPr>
                <w:t>Revolving Credit Agreement (2015-2AA), dated as of September 24, 2015,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Agent, as agent and trustee for the trustee of the American Airlines Pass Through Trust 2015-2AA, as Borrower,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Commonwealth Bank of Australia, New York Branch, as Liquidity Provider (incorporated by reference to Exhibit 4.12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Current Report on Form 8-K filed on September 24, 2015 (Commission File No. 1-2691)).</w:t>
              </w:r>
            </w:hyperlink>
          </w:p>
        </w:tc>
        <w:tc>
          <w:tcPr>
            <w:tcW w:w="334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59">
              <w:r>
                <w:rPr>
                  <w:rFonts w:ascii="Arial" w:cs="Arial" w:eastAsia="Arial" w:hAnsi="Arial"/>
                  <w:sz w:val="18"/>
                  <w:szCs w:val="18"/>
                  <w:color w:val="0000FF"/>
                </w:rPr>
                <w:t>Revolving Credit Agreement (2015-2A), dated as of September 24, 2015,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Agent, as agent and trustee for the trustee of the American Airlines Pass Through Trust 2015-2A, as Borrower, and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Corporate and Investment Bank, acting through its New York Branch, as Liquidity Provider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4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59">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13</w:t>
              </w:r>
              <w:r>
                <w:rPr>
                  <w:rFonts w:ascii="Arial" w:cs="Arial" w:eastAsia="Arial" w:hAnsi="Arial"/>
                  <w:sz w:val="18"/>
                  <w:szCs w:val="18"/>
                  <w:color w:val="0000FF"/>
                  <w:w w:val="99"/>
                </w:rPr>
                <w:t xml:space="preserve"> to American’s Current Report on Form 8-K filed on September 24, 2015 (Commission File No. 1-2691)).</w:t>
              </w:r>
            </w:hyperlink>
          </w:p>
        </w:tc>
        <w:tc>
          <w:tcPr>
            <w:tcW w:w="180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60">
              <w:r>
                <w:rPr>
                  <w:rFonts w:ascii="Arial" w:cs="Arial" w:eastAsia="Arial" w:hAnsi="Arial"/>
                  <w:sz w:val="18"/>
                  <w:szCs w:val="18"/>
                  <w:color w:val="0000FF"/>
                </w:rPr>
                <w:t>Revolving Credit Agreement (2015-2B), dated as of September 24, 2015,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Agent, as agent and trustee for the trustee of the American Airlines Pass Through Trust 2015-2B, as Borrower, and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Corporate and Investment Bank, acting through its New York Branch, as Liquidity Provider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4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60">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14</w:t>
              </w:r>
              <w:r>
                <w:rPr>
                  <w:rFonts w:ascii="Arial" w:cs="Arial" w:eastAsia="Arial" w:hAnsi="Arial"/>
                  <w:sz w:val="18"/>
                  <w:szCs w:val="18"/>
                  <w:color w:val="0000FF"/>
                  <w:w w:val="99"/>
                </w:rPr>
                <w:t xml:space="preserve"> to American’s Current Report on Form 8-K filed on September 24, 2015 (Commission File No. 1-2691)).</w:t>
              </w:r>
            </w:hyperlink>
          </w:p>
        </w:tc>
        <w:tc>
          <w:tcPr>
            <w:tcW w:w="180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61">
              <w:r>
                <w:rPr>
                  <w:rFonts w:ascii="Arial" w:cs="Arial" w:eastAsia="Arial" w:hAnsi="Arial"/>
                  <w:sz w:val="18"/>
                  <w:szCs w:val="18"/>
                  <w:color w:val="0000FF"/>
                </w:rPr>
                <w:t>Note Purchase Agreement, dated as of April 24, 2013, among American Airlines, Inc. (as successor in interest to US Airways,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61">
              <w:r>
                <w:rPr>
                  <w:rFonts w:ascii="Arial" w:cs="Arial" w:eastAsia="Arial" w:hAnsi="Arial"/>
                  <w:sz w:val="18"/>
                  <w:szCs w:val="18"/>
                  <w:color w:val="0000FF"/>
                </w:rPr>
                <w:t>Wilmington Trust Company, as Pass Through Trustee, Wilmington Trust Company, as Subordination Agent,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61">
              <w:r>
                <w:rPr>
                  <w:rFonts w:ascii="Arial" w:cs="Arial" w:eastAsia="Arial" w:hAnsi="Arial"/>
                  <w:sz w:val="18"/>
                  <w:szCs w:val="18"/>
                  <w:color w:val="0000FF"/>
                </w:rPr>
                <w:t>National Association, as Escrow Agent, and Wilmington Trust Company, as Paying Agent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4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161">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12</w:t>
              </w:r>
              <w:r>
                <w:rPr>
                  <w:rFonts w:ascii="Arial" w:cs="Arial" w:eastAsia="Arial" w:hAnsi="Arial"/>
                  <w:sz w:val="18"/>
                  <w:szCs w:val="18"/>
                  <w:color w:val="0000FF"/>
                  <w:w w:val="99"/>
                </w:rPr>
                <w:t xml:space="preserve"> to US Airways Group’s Current Report on Form 8-K filed on April 25, 2013 (Commission File No. 1-8444)).</w:t>
              </w:r>
            </w:hyperlink>
          </w:p>
        </w:tc>
        <w:tc>
          <w:tcPr>
            <w:tcW w:w="160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62">
              <w:r>
                <w:rPr>
                  <w:rFonts w:ascii="Arial" w:cs="Arial" w:eastAsia="Arial" w:hAnsi="Arial"/>
                  <w:sz w:val="18"/>
                  <w:szCs w:val="18"/>
                  <w:color w:val="0000FF"/>
                </w:rPr>
                <w:t>Assumption Agreement, dated as of December 30, 2015, by American Airlines, Inc. for the benefit of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as pass through trustee, subordination agent, and paying agent, and Wilmington Trust, National Association, as escrow agent, 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each case, under the Note Purchase Agreement, dated as of April 24, 2013, among American Airlines, Inc. (as successor 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interest to US Airways, Inc.), Wilmington Trust Company, Wilmington Trust, National Association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(incorporated by reference to Exhibit 10.2 to AAG’s Current Report on Form 8-K filed on December 31, 2015 (Commission File No.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bottom w:val="single" w:sz="8" w:color="0000FF"/>
            </w:tcBorders>
          </w:tcPr>
          <w:p>
            <w:pPr>
              <w:spacing w:after="0" w:line="182" w:lineRule="exact"/>
              <w:rPr>
                <w:rFonts w:ascii="Arial" w:cs="Arial" w:eastAsia="Arial" w:hAnsi="Arial"/>
                <w:sz w:val="18"/>
                <w:szCs w:val="18"/>
                <w:color w:val="0000FF"/>
                <w:w w:val="95"/>
              </w:rPr>
            </w:pPr>
            <w:hyperlink r:id="rId162">
              <w:r>
                <w:rPr>
                  <w:rFonts w:ascii="Arial" w:cs="Arial" w:eastAsia="Arial" w:hAnsi="Arial"/>
                  <w:sz w:val="18"/>
                  <w:szCs w:val="18"/>
                  <w:color w:val="0000FF"/>
                  <w:w w:val="95"/>
                </w:rPr>
                <w:t>1-8400)).</w:t>
              </w:r>
            </w:hyperlink>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63">
              <w:r>
                <w:rPr>
                  <w:rFonts w:ascii="Arial" w:cs="Arial" w:eastAsia="Arial" w:hAnsi="Arial"/>
                  <w:sz w:val="18"/>
                  <w:szCs w:val="18"/>
                  <w:color w:val="0000FF"/>
                </w:rPr>
                <w:t>Form of Participation Agreement between American Airlines, Inc. (as successor in interest to US Airways, Inc.), as Owner,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Wilmington Trust Company, as Indenture Trustee, Subordination Agent and Pass Through Trustee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Exhibit 4.13 to US Airways Group’s Current Report on Form 8-K filed on April 25,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5840" w:type="dxa"/>
            <w:vAlign w:val="bottom"/>
            <w:gridSpan w:val="7"/>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64">
              <w:r>
                <w:rPr>
                  <w:rFonts w:ascii="Arial" w:cs="Arial" w:eastAsia="Arial" w:hAnsi="Arial"/>
                  <w:sz w:val="18"/>
                  <w:szCs w:val="18"/>
                  <w:color w:val="0000FF"/>
                </w:rPr>
                <w:t>Form of Trust Indenture and Security Agreement among American Airlines, Inc. (as successor in interest to US Airways, Inc.),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Owner, Wilmington Trust, National Association, as Securities Intermediary, and Wilmington Trust Company, as Indenture Trustee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(incorporated by reference to Exhibit 4.14 to US Airways Group’s Current Report on Form 8-K filed on April 25, 2013 (Commission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164">
              <w:r>
                <w:rPr>
                  <w:rFonts w:ascii="Arial" w:cs="Arial" w:eastAsia="Arial" w:hAnsi="Arial"/>
                  <w:sz w:val="18"/>
                  <w:szCs w:val="18"/>
                  <w:color w:val="0000FF"/>
                  <w:w w:val="98"/>
                </w:rPr>
                <w:t>File No. 1-8444)).</w:t>
              </w:r>
            </w:hyperlink>
          </w:p>
        </w:tc>
        <w:tc>
          <w:tcPr>
            <w:tcW w:w="9040" w:type="dxa"/>
            <w:vAlign w:val="bottom"/>
            <w:gridSpan w:val="11"/>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65">
              <w:r>
                <w:rPr>
                  <w:rFonts w:ascii="Arial" w:cs="Arial" w:eastAsia="Arial" w:hAnsi="Arial"/>
                  <w:sz w:val="18"/>
                  <w:szCs w:val="18"/>
                  <w:color w:val="0000FF"/>
                </w:rPr>
                <w:t>Form of Amendment No. 1 to Participation Agreement between American Airlines, Inc. (as successor in interest to US Airways,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Inc.), as Owner, and Wilmington Trust Company, as Indenture Trustee, Subordination Agent and Pass Through Trustee (Exhibit A</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684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to Note Purchase Agreement) (incorporated by reference to Exhibit 4.8 to US Airways Group’s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June 6, 2013 (Commission File No. 1-8444)).</w:t>
              </w:r>
            </w:hyperlink>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Borders>
              <w:top w:val="single" w:sz="8" w:color="0000FF"/>
            </w:tcBorders>
            <w:gridSpan w:val="5"/>
          </w:tcPr>
          <w:p>
            <w:pPr>
              <w:spacing w:after="0"/>
              <w:rPr>
                <w:sz w:val="24"/>
                <w:szCs w:val="24"/>
                <w:color w:val="auto"/>
              </w:rPr>
            </w:pPr>
          </w:p>
        </w:tc>
        <w:tc>
          <w:tcPr>
            <w:tcW w:w="2020" w:type="dxa"/>
            <w:vAlign w:val="bottom"/>
            <w:gridSpan w:val="3"/>
          </w:tcPr>
          <w:p>
            <w:pPr>
              <w:jc w:val="right"/>
              <w:ind w:right="628"/>
              <w:spacing w:after="0"/>
              <w:rPr>
                <w:sz w:val="20"/>
                <w:szCs w:val="20"/>
                <w:color w:val="auto"/>
              </w:rPr>
            </w:pPr>
            <w:r>
              <w:rPr>
                <w:rFonts w:ascii="Arial" w:cs="Arial" w:eastAsia="Arial" w:hAnsi="Arial"/>
                <w:sz w:val="18"/>
                <w:szCs w:val="18"/>
                <w:color w:val="auto"/>
              </w:rPr>
              <w:t>184</w:t>
            </w: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2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4.64</w:t>
            </w:r>
          </w:p>
        </w:tc>
        <w:tc>
          <w:tcPr>
            <w:tcW w:w="220" w:type="dxa"/>
            <w:vAlign w:val="bottom"/>
          </w:tcPr>
          <w:p>
            <w:pPr>
              <w:spacing w:after="0"/>
              <w:rPr>
                <w:sz w:val="19"/>
                <w:szCs w:val="19"/>
                <w:color w:val="auto"/>
              </w:rPr>
            </w:pPr>
          </w:p>
        </w:tc>
        <w:tc>
          <w:tcPr>
            <w:tcW w:w="10440" w:type="dxa"/>
            <w:vAlign w:val="bottom"/>
            <w:gridSpan w:val="15"/>
          </w:tcPr>
          <w:p>
            <w:pPr>
              <w:spacing w:after="0"/>
              <w:rPr>
                <w:rFonts w:ascii="Arial" w:cs="Arial" w:eastAsia="Arial" w:hAnsi="Arial"/>
                <w:sz w:val="18"/>
                <w:szCs w:val="18"/>
                <w:color w:val="0000FF"/>
              </w:rPr>
            </w:pPr>
            <w:hyperlink r:id="rId166">
              <w:r>
                <w:rPr>
                  <w:rFonts w:ascii="Arial" w:cs="Arial" w:eastAsia="Arial" w:hAnsi="Arial"/>
                  <w:sz w:val="18"/>
                  <w:szCs w:val="18"/>
                  <w:color w:val="0000FF"/>
                </w:rPr>
                <w:t>Form of Amendment No. 1 to Trust Indenture and Security Agreement among American Airlines, Inc. (as successor in interest to</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US Airways, Inc.), as Owner, Wilmington Trust, National Association, as Securities Intermediary,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as Indenture Trustee (Exhibit B to Note Purchase Agreement) (incorporated by reference to Exhibit 4.9 to US Airways Group’s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Current Report on Form 8-K filed on June 6,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67">
              <w:r>
                <w:rPr>
                  <w:rFonts w:ascii="Arial" w:cs="Arial" w:eastAsia="Arial" w:hAnsi="Arial"/>
                  <w:sz w:val="18"/>
                  <w:szCs w:val="18"/>
                  <w:color w:val="0000FF"/>
                </w:rPr>
                <w:t>Amended and Restated Guarantee, dated as of March 31, 2014, from American Airlines Group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Airways Group, Inc.) relating to obligations of US Airways under the equipment notes relating to its Series 2013-1 Pass Through</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Certificates (incorporated by reference to Exhibit 10.5 to AAG’s Quarterly Report on Form 10-Q for the quarter ended March 31,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2014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68">
              <w:r>
                <w:rPr>
                  <w:rFonts w:ascii="Arial" w:cs="Arial" w:eastAsia="Arial" w:hAnsi="Arial"/>
                  <w:sz w:val="18"/>
                  <w:szCs w:val="18"/>
                  <w:color w:val="0000FF"/>
                </w:rPr>
                <w:t>Form of Participation Agreement between American Airlines, Inc. (as successor in interest to US Airways, Inc.), as Owner,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Wilmington Trust Company, as Indenture Trustee, Subordination Agent and Pass Through Trustee (Schedule I to Amendment No.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168">
              <w:r>
                <w:rPr>
                  <w:rFonts w:ascii="Arial" w:cs="Arial" w:eastAsia="Arial" w:hAnsi="Arial"/>
                  <w:sz w:val="18"/>
                  <w:szCs w:val="18"/>
                  <w:color w:val="0000FF"/>
                  <w:w w:val="99"/>
                </w:rPr>
                <w:t>1 to Note Purchase Agreement (2012-2)) (incorporated by reference to Exhibit 4.10 to US Airways Group’s Current Report on Form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8-K filed on June 6,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69">
              <w:r>
                <w:rPr>
                  <w:rFonts w:ascii="Arial" w:cs="Arial" w:eastAsia="Arial" w:hAnsi="Arial"/>
                  <w:sz w:val="18"/>
                  <w:szCs w:val="18"/>
                  <w:color w:val="0000FF"/>
                </w:rPr>
                <w:t>Form of Trust Indenture and Security Agreement among American Airlines, Inc. (as successor in interest to US Airways, Inc.),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Owner, Wilmington Trust, National Association, as Securities Intermediary, and Wilmington Trust Company, as Indenture Trustee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(Schedule II to Amendment No. 1 to Note Purchase Agreement (2012-2)) (incorporated by reference to Exhibit 4.11 to US Airways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Group’s Current Report on Form 8-K filed on June 6,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680" w:type="dxa"/>
            <w:vAlign w:val="bottom"/>
            <w:gridSpan w:val="6"/>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4.68</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170">
              <w:r>
                <w:rPr>
                  <w:rFonts w:ascii="Arial" w:cs="Arial" w:eastAsia="Arial" w:hAnsi="Arial"/>
                  <w:sz w:val="18"/>
                  <w:szCs w:val="18"/>
                  <w:color w:val="0000FF"/>
                </w:rPr>
                <w:t>Form of Participation Agreement (Participation Agreement between American Airlines, Inc. (as successor in interest to US Airways,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40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70">
              <w:r>
                <w:rPr>
                  <w:rFonts w:ascii="Arial" w:cs="Arial" w:eastAsia="Arial" w:hAnsi="Arial"/>
                  <w:sz w:val="18"/>
                  <w:szCs w:val="18"/>
                  <w:color w:val="0000FF"/>
                </w:rPr>
                <w:t>Inc.), as Owner, and Wilmington Trust Company, as Indenture Trustee and Subordination Agent)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90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Exhibit 4.14 to US Airways Group’s Current Report on Form 8-K filed on December 23, 2010 (Commission File No. 1-8444)).</w:t>
              </w:r>
            </w:hyperlink>
          </w:p>
        </w:tc>
        <w:tc>
          <w:tcPr>
            <w:tcW w:w="540" w:type="dxa"/>
            <w:vAlign w:val="bottom"/>
            <w:gridSpan w:val="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71">
              <w:r>
                <w:rPr>
                  <w:rFonts w:ascii="Arial" w:cs="Arial" w:eastAsia="Arial" w:hAnsi="Arial"/>
                  <w:sz w:val="18"/>
                  <w:szCs w:val="18"/>
                  <w:color w:val="0000FF"/>
                </w:rPr>
                <w:t>Form of Indenture (Trust Indenture and Security Agreement between American Airlines,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71">
              <w:r>
                <w:rPr>
                  <w:rFonts w:ascii="Arial" w:cs="Arial" w:eastAsia="Arial" w:hAnsi="Arial"/>
                  <w:sz w:val="18"/>
                  <w:szCs w:val="18"/>
                  <w:color w:val="0000FF"/>
                </w:rPr>
                <w:t>Airways, Inc.), as Owner, and Wilmington Trust Company, as Indenture Trustee) (incorporated by reference to Exhibit 4.15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71">
              <w:r>
                <w:rPr>
                  <w:rFonts w:ascii="Arial" w:cs="Arial" w:eastAsia="Arial" w:hAnsi="Arial"/>
                  <w:sz w:val="18"/>
                  <w:szCs w:val="18"/>
                  <w:color w:val="0000FF"/>
                </w:rPr>
                <w:t>Airways Group’s Current Report on Form 8-K filed on December 23, 2010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40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72">
              <w:r>
                <w:rPr>
                  <w:rFonts w:ascii="Arial" w:cs="Arial" w:eastAsia="Arial" w:hAnsi="Arial"/>
                  <w:sz w:val="18"/>
                  <w:szCs w:val="18"/>
                  <w:color w:val="0000FF"/>
                </w:rPr>
                <w:t>Amended and Restated Guarantee, dated as of March 31, 2014, from American Airlines Group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72">
              <w:r>
                <w:rPr>
                  <w:rFonts w:ascii="Arial" w:cs="Arial" w:eastAsia="Arial" w:hAnsi="Arial"/>
                  <w:sz w:val="18"/>
                  <w:szCs w:val="18"/>
                  <w:color w:val="0000FF"/>
                </w:rPr>
                <w:t>Airways Group, Inc.) relating to obligations of US Airways under the equipment notes relating to its Series 2010-1 Pass Through</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72">
              <w:r>
                <w:rPr>
                  <w:rFonts w:ascii="Arial" w:cs="Arial" w:eastAsia="Arial" w:hAnsi="Arial"/>
                  <w:sz w:val="18"/>
                  <w:szCs w:val="18"/>
                  <w:color w:val="0000FF"/>
                </w:rPr>
                <w:t>Certificates (incorporated by reference to Exhibit 10.1 to AAG’s Quarterly Report on Form 10-Q for the quarter ended March 31,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72">
              <w:r>
                <w:rPr>
                  <w:rFonts w:ascii="Arial" w:cs="Arial" w:eastAsia="Arial" w:hAnsi="Arial"/>
                  <w:sz w:val="18"/>
                  <w:szCs w:val="18"/>
                  <w:color w:val="0000FF"/>
                </w:rPr>
                <w:t>2014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4.71</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173">
              <w:r>
                <w:rPr>
                  <w:rFonts w:ascii="Arial" w:cs="Arial" w:eastAsia="Arial" w:hAnsi="Arial"/>
                  <w:sz w:val="18"/>
                  <w:szCs w:val="18"/>
                  <w:color w:val="0000FF"/>
                </w:rPr>
                <w:t>Form of Participation Agreement (Participation Agreement between American Airlines, Inc. (as successor in interest to US Airways,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40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Inc.), as Owner, and Wilmington Trust Company, as Indenture Trustee and Subordination Agent)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Exhibit 4.18 to US Airways Group’s Current Report on Form 8-K filed on July 1, 2011 (Commission File No. 1-08444)).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40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74">
              <w:r>
                <w:rPr>
                  <w:rFonts w:ascii="Arial" w:cs="Arial" w:eastAsia="Arial" w:hAnsi="Arial"/>
                  <w:sz w:val="18"/>
                  <w:szCs w:val="18"/>
                  <w:color w:val="0000FF"/>
                </w:rPr>
                <w:t>Form of Indenture (Trust Indenture and Security Agreement between American Airlines,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Airways, Inc.), as Owner, and Wilmington Trust Company, as Indenture Trustee) (incorporated by reference to Exhibit 4.19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0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74">
              <w:r>
                <w:rPr>
                  <w:rFonts w:ascii="Arial" w:cs="Arial" w:eastAsia="Arial" w:hAnsi="Arial"/>
                  <w:sz w:val="18"/>
                  <w:szCs w:val="18"/>
                  <w:color w:val="0000FF"/>
                  <w:w w:val="99"/>
                </w:rPr>
                <w:t>Airways Group’s Current Report on Form 8-K filed on July 1, 2011 (Commission File No. 1-08444)).</w:t>
              </w:r>
            </w:hyperlink>
          </w:p>
        </w:tc>
        <w:tc>
          <w:tcPr>
            <w:tcW w:w="2540" w:type="dxa"/>
            <w:vAlign w:val="bottom"/>
            <w:gridSpan w:val="7"/>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75">
              <w:r>
                <w:rPr>
                  <w:rFonts w:ascii="Arial" w:cs="Arial" w:eastAsia="Arial" w:hAnsi="Arial"/>
                  <w:sz w:val="18"/>
                  <w:szCs w:val="18"/>
                  <w:color w:val="0000FF"/>
                </w:rPr>
                <w:t>Guarantee, dated as of June 28, 2011, from American Airlines Group Inc. (as successor in interest to US Airways Group,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(incorporated by reference to Exhibit 4.23 to US Airways Group’s Current Report on Form 8-K filed on July 1, 2011 (Commission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175">
              <w:r>
                <w:rPr>
                  <w:rFonts w:ascii="Arial" w:cs="Arial" w:eastAsia="Arial" w:hAnsi="Arial"/>
                  <w:sz w:val="18"/>
                  <w:szCs w:val="18"/>
                  <w:color w:val="0000FF"/>
                  <w:w w:val="98"/>
                </w:rPr>
                <w:t>File No. 1-08444)).</w:t>
              </w:r>
            </w:hyperlink>
          </w:p>
        </w:tc>
        <w:tc>
          <w:tcPr>
            <w:tcW w:w="8940" w:type="dxa"/>
            <w:vAlign w:val="bottom"/>
            <w:gridSpan w:val="1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76">
              <w:r>
                <w:rPr>
                  <w:rFonts w:ascii="Arial" w:cs="Arial" w:eastAsia="Arial" w:hAnsi="Arial"/>
                  <w:sz w:val="18"/>
                  <w:szCs w:val="18"/>
                  <w:color w:val="0000FF"/>
                </w:rPr>
                <w:t>Amended and Restated Guarantee, dated as of March 31, 2014, from American Airlines Group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Airways Group, Inc.) relating to obligations of US Airways under the equipment notes relating to its Series 2011-1 Pass Through</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Certificates (incorporated by reference to Exhibit 10.2 to AAG’s Quarterly Report on Form 10-Q for the quarter ended March 31,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2014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4.75</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177">
              <w:r>
                <w:rPr>
                  <w:rFonts w:ascii="Arial" w:cs="Arial" w:eastAsia="Arial" w:hAnsi="Arial"/>
                  <w:sz w:val="18"/>
                  <w:szCs w:val="18"/>
                  <w:color w:val="0000FF"/>
                </w:rPr>
                <w:t>Form of Participation Agreement (Participation Agreement between American Airlines, Inc. (as successor in interest to US Airways,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20" w:type="dxa"/>
            <w:vAlign w:val="bottom"/>
            <w:gridSpan w:val="9"/>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Inc.), as Owner, and Wilmington Trust Company, as Indenture Trustee and Subordination Agent)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Exhibit 4.18 to US Airways Group’s Current Report on Form 8-K filed on May 16, 2012 (Commission File No. 1-08444)).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20" w:type="dxa"/>
            <w:vAlign w:val="bottom"/>
            <w:gridSpan w:val="9"/>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78">
              <w:r>
                <w:rPr>
                  <w:rFonts w:ascii="Arial" w:cs="Arial" w:eastAsia="Arial" w:hAnsi="Arial"/>
                  <w:sz w:val="18"/>
                  <w:szCs w:val="18"/>
                  <w:color w:val="0000FF"/>
                </w:rPr>
                <w:t>Form of Indenture (Trust Indenture and Security Agreement between American Airlines,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78">
              <w:r>
                <w:rPr>
                  <w:rFonts w:ascii="Arial" w:cs="Arial" w:eastAsia="Arial" w:hAnsi="Arial"/>
                  <w:sz w:val="18"/>
                  <w:szCs w:val="18"/>
                  <w:color w:val="0000FF"/>
                </w:rPr>
                <w:t>Airways, Inc.), as Owner, and Wilmington Trust Company, as Indenture Trustee) (incorporated by reference to Exhibit 4.19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2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78">
              <w:r>
                <w:rPr>
                  <w:rFonts w:ascii="Arial" w:cs="Arial" w:eastAsia="Arial" w:hAnsi="Arial"/>
                  <w:sz w:val="18"/>
                  <w:szCs w:val="18"/>
                  <w:color w:val="0000FF"/>
                  <w:w w:val="99"/>
                </w:rPr>
                <w:t>Airways Group’s Current Report on Form 8-K filed on May 16, 2012 (Commission File No. 1-08444)).</w:t>
              </w:r>
            </w:hyperlink>
          </w:p>
        </w:tc>
        <w:tc>
          <w:tcPr>
            <w:tcW w:w="2420" w:type="dxa"/>
            <w:vAlign w:val="bottom"/>
            <w:gridSpan w:val="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79">
              <w:r>
                <w:rPr>
                  <w:rFonts w:ascii="Arial" w:cs="Arial" w:eastAsia="Arial" w:hAnsi="Arial"/>
                  <w:sz w:val="18"/>
                  <w:szCs w:val="18"/>
                  <w:color w:val="0000FF"/>
                </w:rPr>
                <w:t>Amended and Restated Guarantee, dated as of March 31, 2014, from American Airlines Group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79">
              <w:r>
                <w:rPr>
                  <w:rFonts w:ascii="Arial" w:cs="Arial" w:eastAsia="Arial" w:hAnsi="Arial"/>
                  <w:sz w:val="18"/>
                  <w:szCs w:val="18"/>
                  <w:color w:val="0000FF"/>
                </w:rPr>
                <w:t>Airways Group, Inc.) relating to obligations of US Airways under the equipment notes relating to its Series 2012-1 Pass Through</w:t>
              </w:r>
            </w:hyperlink>
          </w:p>
        </w:tc>
      </w:tr>
    </w:tbl>
    <w:p>
      <w:pPr>
        <w:spacing w:after="0" w:line="13" w:lineRule="exact"/>
        <w:rPr>
          <w:sz w:val="20"/>
          <w:szCs w:val="20"/>
          <w:color w:val="auto"/>
        </w:rPr>
      </w:pPr>
    </w:p>
    <w:p>
      <w:pPr>
        <w:ind w:left="760"/>
        <w:spacing w:after="0" w:line="246" w:lineRule="auto"/>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Certificates (incorporated by reference to Exhibit 10.3 to AAG’s Quarterly Report on Form 10-Q for the quarter ended March 31,</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2014 (Commission File No. 1-8400)).</w:t>
        </w:r>
      </w:hyperlink>
    </w:p>
    <w:p>
      <w:pPr>
        <w:spacing w:after="0" w:line="25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00"/>
          </w:cols>
          <w:pgMar w:left="440" w:top="748" w:right="25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2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4.78</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0">
              <w:r>
                <w:rPr>
                  <w:rFonts w:ascii="Arial" w:cs="Arial" w:eastAsia="Arial" w:hAnsi="Arial"/>
                  <w:sz w:val="18"/>
                  <w:szCs w:val="18"/>
                  <w:color w:val="0000FF"/>
                </w:rPr>
                <w:t>Form of Participation Agreement (Participation Agreement between American Airlines, Inc. (as successor in interest to US Airways,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Inc.), as Owner, and Wilmington Trust Company, as Indenture Trustee and Subordination Agent)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Exhibit B to Exhibit 4.12 to US Airways Group’s Current Report on Form 8-K filed on December 13, 2012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0000FF"/>
            </w:tcBorders>
          </w:tcPr>
          <w:p>
            <w:pPr>
              <w:spacing w:after="0" w:line="182" w:lineRule="exact"/>
              <w:rPr>
                <w:rFonts w:ascii="Arial" w:cs="Arial" w:eastAsia="Arial" w:hAnsi="Arial"/>
                <w:sz w:val="18"/>
                <w:szCs w:val="18"/>
                <w:color w:val="0000FF"/>
                <w:w w:val="95"/>
              </w:rPr>
            </w:pPr>
            <w:hyperlink r:id="rId180">
              <w:r>
                <w:rPr>
                  <w:rFonts w:ascii="Arial" w:cs="Arial" w:eastAsia="Arial" w:hAnsi="Arial"/>
                  <w:sz w:val="18"/>
                  <w:szCs w:val="18"/>
                  <w:color w:val="0000FF"/>
                  <w:w w:val="95"/>
                </w:rPr>
                <w:t>08444)</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w:t>
              </w:r>
            </w:hyperlink>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0">
              <w:r>
                <w:rPr>
                  <w:rFonts w:ascii="Arial" w:cs="Arial" w:eastAsia="Arial" w:hAnsi="Arial"/>
                  <w:sz w:val="18"/>
                  <w:szCs w:val="18"/>
                  <w:color w:val="0000FF"/>
                </w:rPr>
                <w:t>Form of Indenture (Trust Indenture and Security Agreement between American Airlines,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Airways, Inc.), as Owner, and Wilmington Trust Company, as Indenture Trustee) (incorporated by reference to Exhibit C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4.</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to US Airways Group’s Current Report on Form 8-K filed on December 13, 2012 (Commission File No. 1-08444)).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1">
              <w:r>
                <w:rPr>
                  <w:rFonts w:ascii="Arial" w:cs="Arial" w:eastAsia="Arial" w:hAnsi="Arial"/>
                  <w:sz w:val="18"/>
                  <w:szCs w:val="18"/>
                  <w:color w:val="0000FF"/>
                </w:rPr>
                <w:t>Amended and Restated Guarantee, dated as of March 31, 2014, from American Airlines Group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Airways Group, Inc.) relating to obligations of US Airways under the equipment notes relating to its Series 2012-2 Pass Through</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Certificates (incorporated by reference to Exhibit 10.4 to AAG’s Quarterly Report on Form 10-Q for the quarter ended March 31,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2014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2">
              <w:r>
                <w:rPr>
                  <w:rFonts w:ascii="Arial" w:cs="Arial" w:eastAsia="Arial" w:hAnsi="Arial"/>
                  <w:sz w:val="18"/>
                  <w:szCs w:val="18"/>
                  <w:color w:val="0000FF"/>
                </w:rPr>
                <w:t>Form of Assumption Agreement, dated as of December 30, 2015, by American Airlines, Inc. for the benefit of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Company, as Indenture Trustee, to (i) each Participation Agreement between, among others, American Airlines, Inc. (as successor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in interest to US Airways, Inc.) and Wilmington Trust Company, as Indenture Trustee, entered into pursuant to the 2010-1, 2011-1,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2012-1, 2012-2 and 2013-1 EETC note purchase agreements and (ii) each Trust Indenture and Security Agreement, between,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among others, American Airlines, Inc. (as successor in interest to US Airways, Inc.), and Wilmington Trust Company, as Indenture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Trustee entered into pursuant to the 2010-1, 2011-1, 2012-1, 2012-2 and 2013-1 EETC note purchase agreements (incorporated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by reference to Exhibit 10.3 to AAG’s Current Report on Form 8-K filed on December 31, 2015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3">
              <w:r>
                <w:rPr>
                  <w:rFonts w:ascii="Arial" w:cs="Arial" w:eastAsia="Arial" w:hAnsi="Arial"/>
                  <w:sz w:val="18"/>
                  <w:szCs w:val="18"/>
                  <w:color w:val="0000FF"/>
                </w:rPr>
                <w:t>Trust Supplement No. 2016-1AA, dated as of January 19, 2016, between American Airlines, Inc.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3">
              <w:r>
                <w:rPr>
                  <w:rFonts w:ascii="Arial" w:cs="Arial" w:eastAsia="Arial" w:hAnsi="Arial"/>
                  <w:sz w:val="18"/>
                  <w:szCs w:val="18"/>
                  <w:color w:val="0000FF"/>
                </w:rPr>
                <w:t>as Trustee, to the Pass Through Trust Agreement, dated as of September 16, 2014 (incorporated by reference to Exhibit 4.2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83">
              <w:r>
                <w:rPr>
                  <w:rFonts w:ascii="Arial" w:cs="Arial" w:eastAsia="Arial" w:hAnsi="Arial"/>
                  <w:sz w:val="18"/>
                  <w:szCs w:val="18"/>
                  <w:color w:val="0000FF"/>
                  <w:w w:val="99"/>
                </w:rPr>
                <w:t>American’s Current Report on Form 8-K filed on January 21, 2016 (Commission File No. 1-2691)).</w:t>
              </w:r>
            </w:hyperlink>
          </w:p>
        </w:tc>
        <w:tc>
          <w:tcPr>
            <w:tcW w:w="26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4">
              <w:r>
                <w:rPr>
                  <w:rFonts w:ascii="Arial" w:cs="Arial" w:eastAsia="Arial" w:hAnsi="Arial"/>
                  <w:sz w:val="18"/>
                  <w:szCs w:val="18"/>
                  <w:color w:val="0000FF"/>
                </w:rPr>
                <w:t>Trust Supplement No. 2016-1A, dated as of January 19,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84">
              <w:r>
                <w:rPr>
                  <w:rFonts w:ascii="Arial" w:cs="Arial" w:eastAsia="Arial" w:hAnsi="Arial"/>
                  <w:sz w:val="18"/>
                  <w:szCs w:val="18"/>
                  <w:color w:val="0000FF"/>
                </w:rPr>
                <w:t>Trustee, to the Pass Through Trust Agreement, dated as of September 16, 2014 (incorporated by reference to Exhibit 4.3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84">
              <w:r>
                <w:rPr>
                  <w:rFonts w:ascii="Arial" w:cs="Arial" w:eastAsia="Arial" w:hAnsi="Arial"/>
                  <w:sz w:val="18"/>
                  <w:szCs w:val="18"/>
                  <w:color w:val="0000FF"/>
                  <w:w w:val="99"/>
                </w:rPr>
                <w:t>American’s Current Report on Form 8-K filed on January 21, 2016 (Commission File No. 1-2691)).</w:t>
              </w:r>
            </w:hyperlink>
          </w:p>
        </w:tc>
        <w:tc>
          <w:tcPr>
            <w:tcW w:w="26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5">
              <w:r>
                <w:rPr>
                  <w:rFonts w:ascii="Arial" w:cs="Arial" w:eastAsia="Arial" w:hAnsi="Arial"/>
                  <w:sz w:val="18"/>
                  <w:szCs w:val="18"/>
                  <w:color w:val="0000FF"/>
                </w:rPr>
                <w:t>Trust Supplement No. 2016-1B, dated as of January 19,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Trustee, to the Pass Through Trust Agreement, dated as of September 16, 2014 (incorporated by reference to Exhibit 4.4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85">
              <w:r>
                <w:rPr>
                  <w:rFonts w:ascii="Arial" w:cs="Arial" w:eastAsia="Arial" w:hAnsi="Arial"/>
                  <w:sz w:val="18"/>
                  <w:szCs w:val="18"/>
                  <w:color w:val="0000FF"/>
                  <w:w w:val="99"/>
                </w:rPr>
                <w:t>American’s Current Report on Form 8-K filed on January 21, 2016 (Commission File No. 1-2691)).</w:t>
              </w:r>
            </w:hyperlink>
          </w:p>
        </w:tc>
        <w:tc>
          <w:tcPr>
            <w:tcW w:w="26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6">
              <w:r>
                <w:rPr>
                  <w:rFonts w:ascii="Arial" w:cs="Arial" w:eastAsia="Arial" w:hAnsi="Arial"/>
                  <w:sz w:val="18"/>
                  <w:szCs w:val="18"/>
                  <w:color w:val="0000FF"/>
                </w:rPr>
                <w:t>Intercreditor Agreement (2016-1), dated as of January 19, 2016, among Wilmington Trust Company, as Trustee of the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Airlines Pass Through Trust 2016-1AA, as Trustee of the American Airlines Pass Through Trust 2016-1A and as Trustee of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American Airlines Pass Through Trust 2016-1B, KfW IPEX-Bank GmbH, as Class AA Liquidity Provider, Class A Liquidity Provider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86">
              <w:r>
                <w:rPr>
                  <w:rFonts w:ascii="Arial" w:cs="Arial" w:eastAsia="Arial" w:hAnsi="Arial"/>
                  <w:sz w:val="18"/>
                  <w:szCs w:val="18"/>
                  <w:color w:val="0000FF"/>
                  <w:w w:val="99"/>
                </w:rPr>
                <w:t>and Class B Liquidity Provider, and Wilmington Trust Company, as Subordination Agent (incorporated by reference to exhibit 4.5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86">
              <w:r>
                <w:rPr>
                  <w:rFonts w:ascii="Arial" w:cs="Arial" w:eastAsia="Arial" w:hAnsi="Arial"/>
                  <w:sz w:val="18"/>
                  <w:szCs w:val="18"/>
                  <w:color w:val="0000FF"/>
                  <w:w w:val="99"/>
                </w:rPr>
                <w:t>American’s Current Report on Form 8-K filed on January 21, 2016 (Commission File No. 1-2691)).</w:t>
              </w:r>
            </w:hyperlink>
          </w:p>
        </w:tc>
        <w:tc>
          <w:tcPr>
            <w:tcW w:w="26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4.86</w:t>
            </w:r>
          </w:p>
        </w:tc>
        <w:tc>
          <w:tcPr>
            <w:tcW w:w="220" w:type="dxa"/>
            <w:vAlign w:val="bottom"/>
          </w:tcPr>
          <w:p>
            <w:pPr>
              <w:spacing w:after="0"/>
              <w:rPr>
                <w:sz w:val="20"/>
                <w:szCs w:val="20"/>
                <w:color w:val="auto"/>
              </w:rPr>
            </w:pPr>
          </w:p>
        </w:tc>
        <w:tc>
          <w:tcPr>
            <w:tcW w:w="10420" w:type="dxa"/>
            <w:vAlign w:val="bottom"/>
            <w:tcBorders>
              <w:bottom w:val="single" w:sz="8" w:color="0000FF"/>
            </w:tcBorders>
            <w:gridSpan w:val="12"/>
          </w:tcPr>
          <w:p>
            <w:pPr>
              <w:spacing w:after="0"/>
              <w:rPr>
                <w:rFonts w:ascii="Arial" w:cs="Arial" w:eastAsia="Arial" w:hAnsi="Arial"/>
                <w:sz w:val="18"/>
                <w:szCs w:val="18"/>
                <w:color w:val="0000FF"/>
              </w:rPr>
            </w:pPr>
            <w:hyperlink r:id="rId187">
              <w:r>
                <w:rPr>
                  <w:rFonts w:ascii="Arial" w:cs="Arial" w:eastAsia="Arial" w:hAnsi="Arial"/>
                  <w:sz w:val="18"/>
                  <w:szCs w:val="18"/>
                  <w:color w:val="0000FF"/>
                </w:rPr>
                <w:t>Note Purchase Agreement, dated as of January 19, 2016, among American Airlines, Inc., Wilmington Trust Company, as Pass</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Through Trustee under each of the Pass Through Trust Agreements, and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(incorporated by reference to Exhibit 4.6 to American’s Current Report on Form 8-K filed on January 21, 2016 (Commission File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187">
              <w:r>
                <w:rPr>
                  <w:rFonts w:ascii="Arial" w:cs="Arial" w:eastAsia="Arial" w:hAnsi="Arial"/>
                  <w:sz w:val="18"/>
                  <w:szCs w:val="18"/>
                  <w:color w:val="0000FF"/>
                  <w:w w:val="98"/>
                </w:rPr>
                <w:t>No. 1-2691)).</w:t>
              </w:r>
            </w:hyperlink>
          </w:p>
        </w:tc>
        <w:tc>
          <w:tcPr>
            <w:tcW w:w="9380" w:type="dxa"/>
            <w:vAlign w:val="bottom"/>
            <w:gridSpan w:val="11"/>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7">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(incorporated by reference to Exhibit B to Exhibit 4.6 to American’s Current Report on Form 8-K filed on January 21, 2016</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187">
              <w:r>
                <w:rPr>
                  <w:rFonts w:ascii="Arial" w:cs="Arial" w:eastAsia="Arial" w:hAnsi="Arial"/>
                  <w:sz w:val="18"/>
                  <w:szCs w:val="18"/>
                  <w:color w:val="0000FF"/>
                  <w:w w:val="99"/>
                </w:rPr>
                <w:t>(Commission File No. 1-2691)).</w:t>
              </w:r>
            </w:hyperlink>
          </w:p>
        </w:tc>
        <w:tc>
          <w:tcPr>
            <w:tcW w:w="7940" w:type="dxa"/>
            <w:vAlign w:val="bottom"/>
            <w:gridSpan w:val="10"/>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7">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Trust Company, as Loan Trustee) (incorporated by reference to Exhibit C to Exhibit 4.6 to American’s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filed on January 21, 2016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60" w:type="dxa"/>
            <w:vAlign w:val="bottom"/>
            <w:gridSpan w:val="5"/>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4.89</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83">
              <w:r>
                <w:rPr>
                  <w:rFonts w:ascii="Arial" w:cs="Arial" w:eastAsia="Arial" w:hAnsi="Arial"/>
                  <w:sz w:val="18"/>
                  <w:szCs w:val="18"/>
                  <w:color w:val="0000FF"/>
                </w:rPr>
                <w:t>Form of Pass Through Trust Certificate, Series 2016-1AA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183">
              <w:r>
                <w:rPr>
                  <w:rFonts w:ascii="Arial" w:cs="Arial" w:eastAsia="Arial" w:hAnsi="Arial"/>
                  <w:sz w:val="18"/>
                  <w:szCs w:val="18"/>
                  <w:color w:val="0000FF"/>
                  <w:w w:val="99"/>
                </w:rPr>
                <w:t>Current Report on Form 8-K filed on January 21, 2016 (Commission File No. 1-2691)).</w:t>
              </w:r>
            </w:hyperlink>
          </w:p>
        </w:tc>
        <w:tc>
          <w:tcPr>
            <w:tcW w:w="356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4">
              <w:r>
                <w:rPr>
                  <w:rFonts w:ascii="Arial" w:cs="Arial" w:eastAsia="Arial" w:hAnsi="Arial"/>
                  <w:sz w:val="18"/>
                  <w:szCs w:val="18"/>
                  <w:color w:val="0000FF"/>
                </w:rPr>
                <w:t>Form of Pass Through Trust Certificate, Series 2016-1A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6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84">
              <w:r>
                <w:rPr>
                  <w:rFonts w:ascii="Arial" w:cs="Arial" w:eastAsia="Arial" w:hAnsi="Arial"/>
                  <w:sz w:val="18"/>
                  <w:szCs w:val="18"/>
                  <w:color w:val="0000FF"/>
                  <w:w w:val="99"/>
                </w:rPr>
                <w:t>Current Report on Form 8-K filed on January 21, 2016 (Commission File No. 1-2691)).</w:t>
              </w:r>
            </w:hyperlink>
          </w:p>
        </w:tc>
        <w:tc>
          <w:tcPr>
            <w:tcW w:w="358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5">
              <w:r>
                <w:rPr>
                  <w:rFonts w:ascii="Arial" w:cs="Arial" w:eastAsia="Arial" w:hAnsi="Arial"/>
                  <w:sz w:val="18"/>
                  <w:szCs w:val="18"/>
                  <w:color w:val="0000FF"/>
                </w:rPr>
                <w:t>Form of Pass Through Trust Certificate, Series 2016-1B (incorporated by reference to Exhibit A to Exhibit 4.4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Current Report on Form 8-K filed on January 21, 2016 (Commission File No. 1-2691)).</w:t>
              </w:r>
            </w:hyperlink>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Borders>
              <w:top w:val="single" w:sz="8" w:color="0000FF"/>
            </w:tcBorders>
            <w:gridSpan w:val="7"/>
          </w:tcPr>
          <w:p>
            <w:pPr>
              <w:ind w:left="4600"/>
              <w:spacing w:after="0"/>
              <w:rPr>
                <w:sz w:val="20"/>
                <w:szCs w:val="20"/>
                <w:color w:val="auto"/>
              </w:rPr>
            </w:pPr>
            <w:r>
              <w:rPr>
                <w:rFonts w:ascii="Arial" w:cs="Arial" w:eastAsia="Arial" w:hAnsi="Arial"/>
                <w:sz w:val="18"/>
                <w:szCs w:val="18"/>
                <w:color w:val="auto"/>
              </w:rPr>
              <w:t>186</w:t>
            </w:r>
          </w:p>
        </w:tc>
        <w:tc>
          <w:tcPr>
            <w:tcW w:w="1260" w:type="dxa"/>
            <w:vAlign w:val="bottom"/>
            <w:tcBorders>
              <w:top w:val="single" w:sz="8" w:color="0000FF"/>
            </w:tcBorders>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7" w:right="25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2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4.92</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8">
              <w:r>
                <w:rPr>
                  <w:rFonts w:ascii="Arial" w:cs="Arial" w:eastAsia="Arial" w:hAnsi="Arial"/>
                  <w:sz w:val="18"/>
                  <w:szCs w:val="18"/>
                  <w:color w:val="0000FF"/>
                </w:rPr>
                <w:t>Revolving Credit Agreement (2016-1AA), dated as of January 19, 2016,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8">
              <w:r>
                <w:rPr>
                  <w:rFonts w:ascii="Arial" w:cs="Arial" w:eastAsia="Arial" w:hAnsi="Arial"/>
                  <w:sz w:val="18"/>
                  <w:szCs w:val="18"/>
                  <w:color w:val="0000FF"/>
                </w:rPr>
                <w:t>Agent, as agent and trustee for the trustee of the American Airlines Pass Through Trust 2016-1AA, as Borrower, and KfW IPEX-</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8">
              <w:r>
                <w:rPr>
                  <w:rFonts w:ascii="Arial" w:cs="Arial" w:eastAsia="Arial" w:hAnsi="Arial"/>
                  <w:sz w:val="18"/>
                  <w:szCs w:val="18"/>
                  <w:color w:val="0000FF"/>
                </w:rPr>
                <w:t>Bank GmbH, as Liquidity Provider (incorporated by reference to Exhibit 4.12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88">
              <w:r>
                <w:rPr>
                  <w:rFonts w:ascii="Arial" w:cs="Arial" w:eastAsia="Arial" w:hAnsi="Arial"/>
                  <w:sz w:val="18"/>
                  <w:szCs w:val="18"/>
                  <w:color w:val="0000FF"/>
                  <w:w w:val="99"/>
                </w:rPr>
                <w:t>January 21, 2016 (Commission File No. 1-2691)).</w:t>
              </w:r>
            </w:hyperlink>
          </w:p>
        </w:tc>
        <w:tc>
          <w:tcPr>
            <w:tcW w:w="6500" w:type="dxa"/>
            <w:vAlign w:val="bottom"/>
            <w:gridSpan w:val="9"/>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9">
              <w:r>
                <w:rPr>
                  <w:rFonts w:ascii="Arial" w:cs="Arial" w:eastAsia="Arial" w:hAnsi="Arial"/>
                  <w:sz w:val="18"/>
                  <w:szCs w:val="18"/>
                  <w:color w:val="0000FF"/>
                </w:rPr>
                <w:t>Revolving Credit Agreement (2016-1A), dated as of January 19, 2016,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9">
              <w:r>
                <w:rPr>
                  <w:rFonts w:ascii="Arial" w:cs="Arial" w:eastAsia="Arial" w:hAnsi="Arial"/>
                  <w:sz w:val="18"/>
                  <w:szCs w:val="18"/>
                  <w:color w:val="0000FF"/>
                </w:rPr>
                <w:t>Agent, as agent and trustee for the trustee of the American Airlines Pass Through Trust 2016-1A, as Borrower, and KfW IPEX-</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9">
              <w:r>
                <w:rPr>
                  <w:rFonts w:ascii="Arial" w:cs="Arial" w:eastAsia="Arial" w:hAnsi="Arial"/>
                  <w:sz w:val="18"/>
                  <w:szCs w:val="18"/>
                  <w:color w:val="0000FF"/>
                </w:rPr>
                <w:t>Bank GmbH, as Liquidity Provider (incorporated by reference to Exhibit 4.13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89">
              <w:r>
                <w:rPr>
                  <w:rFonts w:ascii="Arial" w:cs="Arial" w:eastAsia="Arial" w:hAnsi="Arial"/>
                  <w:sz w:val="18"/>
                  <w:szCs w:val="18"/>
                  <w:color w:val="0000FF"/>
                  <w:w w:val="99"/>
                </w:rPr>
                <w:t>January 21, 2016 (Commission File No. 1-2691)).</w:t>
              </w:r>
            </w:hyperlink>
          </w:p>
        </w:tc>
        <w:tc>
          <w:tcPr>
            <w:tcW w:w="6500" w:type="dxa"/>
            <w:vAlign w:val="bottom"/>
            <w:gridSpan w:val="9"/>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0">
              <w:r>
                <w:rPr>
                  <w:rFonts w:ascii="Arial" w:cs="Arial" w:eastAsia="Arial" w:hAnsi="Arial"/>
                  <w:sz w:val="18"/>
                  <w:szCs w:val="18"/>
                  <w:color w:val="0000FF"/>
                </w:rPr>
                <w:t>Revolving Credit Agreement (2016-1B), dated as of January 19, 2016,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0">
              <w:r>
                <w:rPr>
                  <w:rFonts w:ascii="Arial" w:cs="Arial" w:eastAsia="Arial" w:hAnsi="Arial"/>
                  <w:sz w:val="18"/>
                  <w:szCs w:val="18"/>
                  <w:color w:val="0000FF"/>
                </w:rPr>
                <w:t>Agent, as agent and trustee for the trustee of the American Airlines Pass Through Trust 2016-1B, as Borrower, and KfW IPEX-</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0">
              <w:r>
                <w:rPr>
                  <w:rFonts w:ascii="Arial" w:cs="Arial" w:eastAsia="Arial" w:hAnsi="Arial"/>
                  <w:sz w:val="18"/>
                  <w:szCs w:val="18"/>
                  <w:color w:val="0000FF"/>
                </w:rPr>
                <w:t>Bank GmbH, as Liquidity Provider (incorporated by reference to Exhibit 4.14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90">
              <w:r>
                <w:rPr>
                  <w:rFonts w:ascii="Arial" w:cs="Arial" w:eastAsia="Arial" w:hAnsi="Arial"/>
                  <w:sz w:val="18"/>
                  <w:szCs w:val="18"/>
                  <w:color w:val="0000FF"/>
                  <w:w w:val="99"/>
                </w:rPr>
                <w:t>January 21, 2016 (Commission File No. 1-2691)).</w:t>
              </w:r>
            </w:hyperlink>
          </w:p>
        </w:tc>
        <w:tc>
          <w:tcPr>
            <w:tcW w:w="6500" w:type="dxa"/>
            <w:vAlign w:val="bottom"/>
            <w:gridSpan w:val="9"/>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1">
              <w:r>
                <w:rPr>
                  <w:rFonts w:ascii="Arial" w:cs="Arial" w:eastAsia="Arial" w:hAnsi="Arial"/>
                  <w:sz w:val="18"/>
                  <w:szCs w:val="18"/>
                  <w:color w:val="0000FF"/>
                </w:rPr>
                <w:t>Trust Supplement No. 2016-2AA, dated as of May 16,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91">
              <w:r>
                <w:rPr>
                  <w:rFonts w:ascii="Arial" w:cs="Arial" w:eastAsia="Arial" w:hAnsi="Arial"/>
                  <w:sz w:val="18"/>
                  <w:szCs w:val="18"/>
                  <w:color w:val="0000FF"/>
                  <w:w w:val="99"/>
                </w:rPr>
                <w:t>American’s Current Report on Form 8-K filed on May 17, 2016 (Commission File No. 1-2691)).</w:t>
              </w:r>
            </w:hyperlink>
          </w:p>
        </w:tc>
        <w:tc>
          <w:tcPr>
            <w:tcW w:w="29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2">
              <w:r>
                <w:rPr>
                  <w:rFonts w:ascii="Arial" w:cs="Arial" w:eastAsia="Arial" w:hAnsi="Arial"/>
                  <w:sz w:val="18"/>
                  <w:szCs w:val="18"/>
                  <w:color w:val="0000FF"/>
                </w:rPr>
                <w:t>Trust Supplement No. 2016-2A, dated as of May 16,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92">
              <w:r>
                <w:rPr>
                  <w:rFonts w:ascii="Arial" w:cs="Arial" w:eastAsia="Arial" w:hAnsi="Arial"/>
                  <w:sz w:val="18"/>
                  <w:szCs w:val="18"/>
                  <w:color w:val="0000FF"/>
                </w:rPr>
                <w:t>Trustee, to the Pass Through Trust Agreement, dated as of September 16, 2014 (incorporated by reference to Exhibit 4.3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92">
              <w:r>
                <w:rPr>
                  <w:rFonts w:ascii="Arial" w:cs="Arial" w:eastAsia="Arial" w:hAnsi="Arial"/>
                  <w:sz w:val="18"/>
                  <w:szCs w:val="18"/>
                  <w:color w:val="0000FF"/>
                  <w:w w:val="99"/>
                </w:rPr>
                <w:t>American’s Current Report on Form 8-K filed on May 17, 2016 (Commission File No. 1-2691)).</w:t>
              </w:r>
            </w:hyperlink>
          </w:p>
        </w:tc>
        <w:tc>
          <w:tcPr>
            <w:tcW w:w="29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3">
              <w:r>
                <w:rPr>
                  <w:rFonts w:ascii="Arial" w:cs="Arial" w:eastAsia="Arial" w:hAnsi="Arial"/>
                  <w:sz w:val="18"/>
                  <w:szCs w:val="18"/>
                  <w:color w:val="0000FF"/>
                </w:rPr>
                <w:t>Intercreditor Agreement (2016-2), dated as of May 16, 2016, among Wilmington Trust Company, as Trustee of the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Airlines Pass Through Trust 2016-2AA and as Trustee of the American Airlines Pass Through Trust 2016-2A, KfW IPEX-Bank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GmbH, as Class AA Liquidity Provider and Class A Liquidity Provider, and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(incorporated by reference to Exhibit 4.4 to American’s Current Report on Form 8-K filed on May 17, 2016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193">
              <w:r>
                <w:rPr>
                  <w:rFonts w:ascii="Arial" w:cs="Arial" w:eastAsia="Arial" w:hAnsi="Arial"/>
                  <w:sz w:val="18"/>
                  <w:szCs w:val="18"/>
                  <w:color w:val="0000FF"/>
                  <w:w w:val="94"/>
                </w:rPr>
                <w:t>2691)</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4">
              <w:r>
                <w:rPr>
                  <w:rFonts w:ascii="Arial" w:cs="Arial" w:eastAsia="Arial" w:hAnsi="Arial"/>
                  <w:sz w:val="18"/>
                  <w:szCs w:val="18"/>
                  <w:color w:val="0000FF"/>
                </w:rPr>
                <w:t>Note Purchase Agreement, dated as of May 16, 2016,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Wilmington Trust, National Association, as Escrow Agent, and Wilmington Trust Company, as Paying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reference to Exhibit 4.9 to American’s Current Report on Form 8-K filed on May 17, 2016 (Commission File No. 1-2691)).</w:t>
              </w:r>
            </w:hyperlink>
          </w:p>
        </w:tc>
        <w:tc>
          <w:tcPr>
            <w:tcW w:w="840" w:type="dxa"/>
            <w:vAlign w:val="bottom"/>
            <w:gridSpan w:val="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4">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(incorporated by reference to Exhibit B to Exhibit 4.9 to American’s Current Report on Form 8-K filed on May 17, 2016</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(Commission File No. 1-2691)).</w:t>
              </w:r>
            </w:hyperlink>
          </w:p>
        </w:tc>
        <w:tc>
          <w:tcPr>
            <w:tcW w:w="7940" w:type="dxa"/>
            <w:vAlign w:val="bottom"/>
            <w:gridSpan w:val="11"/>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4">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Trust Company, as Loan Trustee) (incorporated by reference to Exhibit C to Exhibit 4.9 to American’s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filed on May 17, 2016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1">
              <w:r>
                <w:rPr>
                  <w:rFonts w:ascii="Arial" w:cs="Arial" w:eastAsia="Arial" w:hAnsi="Arial"/>
                  <w:sz w:val="18"/>
                  <w:szCs w:val="18"/>
                  <w:color w:val="0000FF"/>
                </w:rPr>
                <w:t>Form of Pass Through Trust Certificate, Series 2016-2AA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6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91">
              <w:r>
                <w:rPr>
                  <w:rFonts w:ascii="Arial" w:cs="Arial" w:eastAsia="Arial" w:hAnsi="Arial"/>
                  <w:sz w:val="18"/>
                  <w:szCs w:val="18"/>
                  <w:color w:val="0000FF"/>
                  <w:w w:val="99"/>
                </w:rPr>
                <w:t>Current Report on Form 8-K filed on May 17, 2016 (Commission File No. 1-2691)).</w:t>
              </w:r>
            </w:hyperlink>
          </w:p>
        </w:tc>
        <w:tc>
          <w:tcPr>
            <w:tcW w:w="388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2">
              <w:r>
                <w:rPr>
                  <w:rFonts w:ascii="Arial" w:cs="Arial" w:eastAsia="Arial" w:hAnsi="Arial"/>
                  <w:sz w:val="18"/>
                  <w:szCs w:val="18"/>
                  <w:color w:val="0000FF"/>
                </w:rPr>
                <w:t>Form of Pass Through Trust Certificate, Series 2016-2A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6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92">
              <w:r>
                <w:rPr>
                  <w:rFonts w:ascii="Arial" w:cs="Arial" w:eastAsia="Arial" w:hAnsi="Arial"/>
                  <w:sz w:val="18"/>
                  <w:szCs w:val="18"/>
                  <w:color w:val="0000FF"/>
                  <w:w w:val="99"/>
                </w:rPr>
                <w:t>Current Report on Form 8-K filed on May 17, 2016 (Commission File No. 1-2691)).</w:t>
              </w:r>
            </w:hyperlink>
          </w:p>
        </w:tc>
        <w:tc>
          <w:tcPr>
            <w:tcW w:w="388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5">
              <w:r>
                <w:rPr>
                  <w:rFonts w:ascii="Arial" w:cs="Arial" w:eastAsia="Arial" w:hAnsi="Arial"/>
                  <w:sz w:val="18"/>
                  <w:szCs w:val="18"/>
                  <w:color w:val="0000FF"/>
                </w:rPr>
                <w:t>Revolving Credit Agreement (2016-2AA), dated as of May 16, 2016,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5">
              <w:r>
                <w:rPr>
                  <w:rFonts w:ascii="Arial" w:cs="Arial" w:eastAsia="Arial" w:hAnsi="Arial"/>
                  <w:sz w:val="18"/>
                  <w:szCs w:val="18"/>
                  <w:color w:val="0000FF"/>
                </w:rPr>
                <w:t>as agent and trustee for the trustee of the American Airlines Pass Through Trust 2016-2AA, as Borrower, and KfW IPEX-Bank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5">
              <w:r>
                <w:rPr>
                  <w:rFonts w:ascii="Arial" w:cs="Arial" w:eastAsia="Arial" w:hAnsi="Arial"/>
                  <w:sz w:val="18"/>
                  <w:szCs w:val="18"/>
                  <w:color w:val="0000FF"/>
                </w:rPr>
                <w:t>GmbH, as Liquidity Provider (incorporated by reference to Exhibit 4.14 to American’s Current Report on Form 8-K filed on May 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5">
              <w:r>
                <w:rPr>
                  <w:rFonts w:ascii="Arial" w:cs="Arial" w:eastAsia="Arial" w:hAnsi="Arial"/>
                  <w:sz w:val="18"/>
                  <w:szCs w:val="18"/>
                  <w:color w:val="0000FF"/>
                </w:rPr>
                <w:t>2016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6">
              <w:r>
                <w:rPr>
                  <w:rFonts w:ascii="Arial" w:cs="Arial" w:eastAsia="Arial" w:hAnsi="Arial"/>
                  <w:sz w:val="18"/>
                  <w:szCs w:val="18"/>
                  <w:color w:val="0000FF"/>
                </w:rPr>
                <w:t>Revolving Credit Agreement (2016-2A), dated as of May 16, 2016,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6">
              <w:r>
                <w:rPr>
                  <w:rFonts w:ascii="Arial" w:cs="Arial" w:eastAsia="Arial" w:hAnsi="Arial"/>
                  <w:sz w:val="18"/>
                  <w:szCs w:val="18"/>
                  <w:color w:val="0000FF"/>
                </w:rPr>
                <w:t>as agent and trustee for the trustee of the American Airlines Pass Through Trust 2016-2A, as Borrower, and KfW IPEX-Bank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6">
              <w:r>
                <w:rPr>
                  <w:rFonts w:ascii="Arial" w:cs="Arial" w:eastAsia="Arial" w:hAnsi="Arial"/>
                  <w:sz w:val="18"/>
                  <w:szCs w:val="18"/>
                  <w:color w:val="0000FF"/>
                </w:rPr>
                <w:t>GmbH, as Liquidity Provider (incorporated by reference to Exhibit 4.15 to American’s Current Report on Form 8-K filed on May 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6">
              <w:r>
                <w:rPr>
                  <w:rFonts w:ascii="Arial" w:cs="Arial" w:eastAsia="Arial" w:hAnsi="Arial"/>
                  <w:sz w:val="18"/>
                  <w:szCs w:val="18"/>
                  <w:color w:val="0000FF"/>
                </w:rPr>
                <w:t>2016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7">
              <w:r>
                <w:rPr>
                  <w:rFonts w:ascii="Arial" w:cs="Arial" w:eastAsia="Arial" w:hAnsi="Arial"/>
                  <w:sz w:val="18"/>
                  <w:szCs w:val="18"/>
                  <w:color w:val="0000FF"/>
                </w:rPr>
                <w:t>Trust Supplement No. 2016-2B, dated as of July 8,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97">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7">
              <w:r>
                <w:rPr>
                  <w:rFonts w:ascii="Arial" w:cs="Arial" w:eastAsia="Arial" w:hAnsi="Arial"/>
                  <w:sz w:val="18"/>
                  <w:szCs w:val="18"/>
                  <w:color w:val="0000FF"/>
                </w:rPr>
                <w:t>American’s Current Report on Form 8-K filed on July 12, 2016 (Commission File No. 1-2691)).</w:t>
              </w:r>
            </w:hyperlink>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Borders>
              <w:top w:val="single" w:sz="8" w:color="0000FF"/>
            </w:tcBorders>
            <w:gridSpan w:val="7"/>
          </w:tcPr>
          <w:p>
            <w:pPr>
              <w:ind w:left="4600"/>
              <w:spacing w:after="0"/>
              <w:rPr>
                <w:sz w:val="20"/>
                <w:szCs w:val="20"/>
                <w:color w:val="auto"/>
              </w:rPr>
            </w:pPr>
            <w:r>
              <w:rPr>
                <w:rFonts w:ascii="Arial" w:cs="Arial" w:eastAsia="Arial" w:hAnsi="Arial"/>
                <w:sz w:val="18"/>
                <w:szCs w:val="18"/>
                <w:color w:val="auto"/>
              </w:rPr>
              <w:t>187</w:t>
            </w:r>
          </w:p>
        </w:tc>
        <w:tc>
          <w:tcPr>
            <w:tcW w:w="9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2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4.106</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8">
              <w:r>
                <w:rPr>
                  <w:rFonts w:ascii="Arial" w:cs="Arial" w:eastAsia="Arial" w:hAnsi="Arial"/>
                  <w:sz w:val="18"/>
                  <w:szCs w:val="18"/>
                  <w:color w:val="0000FF"/>
                </w:rPr>
                <w:t>Amended and Restated Intercreditor Agreement (2016-2), dated as of July 8, 2016, among Wilmington Trust Company, as Trustee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8">
              <w:r>
                <w:rPr>
                  <w:rFonts w:ascii="Arial" w:cs="Arial" w:eastAsia="Arial" w:hAnsi="Arial"/>
                  <w:sz w:val="18"/>
                  <w:szCs w:val="18"/>
                  <w:color w:val="0000FF"/>
                </w:rPr>
                <w:t>of the American Airlines Pass Through Trust 2016-2AA, as Trustee of the American Airlines Pass Through Trust 2016-2A and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8">
              <w:r>
                <w:rPr>
                  <w:rFonts w:ascii="Arial" w:cs="Arial" w:eastAsia="Arial" w:hAnsi="Arial"/>
                  <w:sz w:val="18"/>
                  <w:szCs w:val="18"/>
                  <w:color w:val="0000FF"/>
                </w:rPr>
                <w:t>Trustee of the American Airlines Pass Through Trust 2016-2B, KfW IPEX-Bank GmbH, as Class AA Liquidity Provider, Class 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8">
              <w:r>
                <w:rPr>
                  <w:rFonts w:ascii="Arial" w:cs="Arial" w:eastAsia="Arial" w:hAnsi="Arial"/>
                  <w:sz w:val="18"/>
                  <w:szCs w:val="18"/>
                  <w:color w:val="0000FF"/>
                </w:rPr>
                <w:t>Liquidity Provider and Class B Liquidity Provider, and Wilmington Trust Company, as Subordination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58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98">
              <w:r>
                <w:rPr>
                  <w:rFonts w:ascii="Arial" w:cs="Arial" w:eastAsia="Arial" w:hAnsi="Arial"/>
                  <w:sz w:val="18"/>
                  <w:szCs w:val="18"/>
                  <w:color w:val="0000FF"/>
                  <w:w w:val="99"/>
                </w:rPr>
                <w:t>reference to Exhibit 4.3 to American’s Current Report on Form 8-K filed on July 12, 2016 (Commission File No. 1-2691)).</w:t>
              </w:r>
            </w:hyperlink>
          </w:p>
        </w:tc>
        <w:tc>
          <w:tcPr>
            <w:tcW w:w="86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4.107</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99">
              <w:r>
                <w:rPr>
                  <w:rFonts w:ascii="Arial" w:cs="Arial" w:eastAsia="Arial" w:hAnsi="Arial"/>
                  <w:sz w:val="18"/>
                  <w:szCs w:val="18"/>
                  <w:color w:val="0000FF"/>
                </w:rPr>
                <w:t>Amended and Restated Note Purchase Agreement, dated as of July 8, 2016, among American Airlines, Inc., Wilmington Trust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Company, as Pass Through Trustee under each of the Pass Through Trust Agreements,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Subordination Agent, Wilmington Trust, National Association, as Escrow Agent, and Wilmington Trust Company, as Paying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(incorporated by reference to Exhibit 4.6 to American’s Current Report on Form 8-K filed on July 12, 2016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199">
              <w:r>
                <w:rPr>
                  <w:rFonts w:ascii="Arial" w:cs="Arial" w:eastAsia="Arial" w:hAnsi="Arial"/>
                  <w:sz w:val="18"/>
                  <w:szCs w:val="18"/>
                  <w:color w:val="0000FF"/>
                  <w:w w:val="94"/>
                </w:rPr>
                <w:t>2691)</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9">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(included in Exhibit B to Exhibit 4.6 to American’s Current Report on Form 8-K filed on July 12, 2016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199">
              <w:r>
                <w:rPr>
                  <w:rFonts w:ascii="Arial" w:cs="Arial" w:eastAsia="Arial" w:hAnsi="Arial"/>
                  <w:sz w:val="18"/>
                  <w:szCs w:val="18"/>
                  <w:color w:val="0000FF"/>
                  <w:w w:val="94"/>
                </w:rPr>
                <w:t>2691)</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9">
              <w:r>
                <w:rPr>
                  <w:rFonts w:ascii="Arial" w:cs="Arial" w:eastAsia="Arial" w:hAnsi="Arial"/>
                  <w:sz w:val="18"/>
                  <w:szCs w:val="18"/>
                  <w:color w:val="0000FF"/>
                </w:rPr>
                <w:t>Form of First Amendment to Participation Agreement (First Amendment to Participation Agreement among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Wilmington Trust Company, as Pass Through Trustee under each of the Pass Through Trust Agreements,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Company, as Subordination Agent, Wilmington Trust Company, as Loan Trustee, and Wilmington Trust Company, in its individual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capacity as set forth therein) (included in Exhibit D to Exhibit 4.6 to American’s Current Report on Form 8-K filed on July 12, 2016</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199">
              <w:r>
                <w:rPr>
                  <w:rFonts w:ascii="Arial" w:cs="Arial" w:eastAsia="Arial" w:hAnsi="Arial"/>
                  <w:sz w:val="18"/>
                  <w:szCs w:val="18"/>
                  <w:color w:val="0000FF"/>
                  <w:w w:val="99"/>
                </w:rPr>
                <w:t>(Commission File No. 1-2691)).</w:t>
              </w:r>
            </w:hyperlink>
          </w:p>
        </w:tc>
        <w:tc>
          <w:tcPr>
            <w:tcW w:w="7940" w:type="dxa"/>
            <w:vAlign w:val="bottom"/>
            <w:gridSpan w:val="10"/>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9">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Trust Company, as Loan Trustee) (included in Exhibit C to Exhibit 4.6 to American’s Current Report on Form 8-K filed on July 12,</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2016 (Commission File No. 1-2691)).</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9">
              <w:r>
                <w:rPr>
                  <w:rFonts w:ascii="Arial" w:cs="Arial" w:eastAsia="Arial" w:hAnsi="Arial"/>
                  <w:sz w:val="18"/>
                  <w:szCs w:val="18"/>
                  <w:color w:val="0000FF"/>
                </w:rPr>
                <w:t>Form of First Amendment to Indenture and Security Agreement (First Amendment to Indenture and Security Agreement between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American Airlines, Inc., and Wilmington Trust Company, as Loan Trustee) (included in Exhibit E to Exhibit 4.6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4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99">
              <w:r>
                <w:rPr>
                  <w:rFonts w:ascii="Arial" w:cs="Arial" w:eastAsia="Arial" w:hAnsi="Arial"/>
                  <w:sz w:val="18"/>
                  <w:szCs w:val="18"/>
                  <w:color w:val="0000FF"/>
                  <w:w w:val="99"/>
                </w:rPr>
                <w:t>Current Report on Form 8-K filed on July 12, 2016 (Commission File No. 1-2691)).</w:t>
              </w:r>
            </w:hyperlink>
          </w:p>
        </w:tc>
        <w:tc>
          <w:tcPr>
            <w:tcW w:w="390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7">
              <w:r>
                <w:rPr>
                  <w:rFonts w:ascii="Arial" w:cs="Arial" w:eastAsia="Arial" w:hAnsi="Arial"/>
                  <w:sz w:val="18"/>
                  <w:szCs w:val="18"/>
                  <w:color w:val="0000FF"/>
                </w:rPr>
                <w:t>Form of Pass Through Trust Certificate, Series 2016-2B (included in Exhibit A to Exhibit 4.2 to American’s Current Report on Form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8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8-K filed on July 12, 2016 (Commission File No. 1-2691)).</w:t>
              </w:r>
            </w:hyperlink>
          </w:p>
        </w:tc>
        <w:tc>
          <w:tcPr>
            <w:tcW w:w="5860" w:type="dxa"/>
            <w:vAlign w:val="bottom"/>
            <w:gridSpan w:val="8"/>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0">
              <w:r>
                <w:rPr>
                  <w:rFonts w:ascii="Arial" w:cs="Arial" w:eastAsia="Arial" w:hAnsi="Arial"/>
                  <w:sz w:val="18"/>
                  <w:szCs w:val="18"/>
                  <w:color w:val="0000FF"/>
                </w:rPr>
                <w:t>Revolving Credit Agreement (2016-2B), dated as of July 8, 2016, between Wilmington Trust Company, as Subordination Agent,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0">
              <w:r>
                <w:rPr>
                  <w:rFonts w:ascii="Arial" w:cs="Arial" w:eastAsia="Arial" w:hAnsi="Arial"/>
                  <w:sz w:val="18"/>
                  <w:szCs w:val="18"/>
                  <w:color w:val="0000FF"/>
                </w:rPr>
                <w:t>agent and trustee for the trustee of the American Airlines Pass Through Trust 2016-2B, as Borrower, and KfW IPEX Bank GmbH,</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0">
              <w:r>
                <w:rPr>
                  <w:rFonts w:ascii="Arial" w:cs="Arial" w:eastAsia="Arial" w:hAnsi="Arial"/>
                  <w:sz w:val="18"/>
                  <w:szCs w:val="18"/>
                  <w:color w:val="0000FF"/>
                </w:rPr>
                <w:t>as liquidity Provider (incorporated by reference to Exhibit 4.12 to American’s Current Report on Form 8-K filed on July 12, 2016</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00">
              <w:r>
                <w:rPr>
                  <w:rFonts w:ascii="Arial" w:cs="Arial" w:eastAsia="Arial" w:hAnsi="Arial"/>
                  <w:sz w:val="18"/>
                  <w:szCs w:val="18"/>
                  <w:color w:val="0000FF"/>
                  <w:w w:val="99"/>
                </w:rPr>
                <w:t>(Commission File No. 1-2691)).</w:t>
              </w:r>
            </w:hyperlink>
          </w:p>
        </w:tc>
        <w:tc>
          <w:tcPr>
            <w:tcW w:w="7940" w:type="dxa"/>
            <w:vAlign w:val="bottom"/>
            <w:gridSpan w:val="10"/>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1">
              <w:r>
                <w:rPr>
                  <w:rFonts w:ascii="Arial" w:cs="Arial" w:eastAsia="Arial" w:hAnsi="Arial"/>
                  <w:sz w:val="18"/>
                  <w:szCs w:val="18"/>
                  <w:color w:val="0000FF"/>
                </w:rPr>
                <w:t>Trust Supplement No. 2016-3AA, dated as of October 3,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01">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01">
              <w:r>
                <w:rPr>
                  <w:rFonts w:ascii="Arial" w:cs="Arial" w:eastAsia="Arial" w:hAnsi="Arial"/>
                  <w:sz w:val="18"/>
                  <w:szCs w:val="18"/>
                  <w:color w:val="0000FF"/>
                  <w:w w:val="99"/>
                </w:rPr>
                <w:t>American’s Current Report on Form 8-K filed on October 4, 2016 (Commission File No. 1-2691)).</w:t>
              </w:r>
            </w:hyperlink>
          </w:p>
        </w:tc>
        <w:tc>
          <w:tcPr>
            <w:tcW w:w="27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2">
              <w:r>
                <w:rPr>
                  <w:rFonts w:ascii="Arial" w:cs="Arial" w:eastAsia="Arial" w:hAnsi="Arial"/>
                  <w:sz w:val="18"/>
                  <w:szCs w:val="18"/>
                  <w:color w:val="0000FF"/>
                </w:rPr>
                <w:t>Trust Supplement No. 2016-3A, dated as of October 3,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02">
              <w:r>
                <w:rPr>
                  <w:rFonts w:ascii="Arial" w:cs="Arial" w:eastAsia="Arial" w:hAnsi="Arial"/>
                  <w:sz w:val="18"/>
                  <w:szCs w:val="18"/>
                  <w:color w:val="0000FF"/>
                </w:rPr>
                <w:t>Trustee, to the Pass Through Trust Agreement, dated as of September 16, 2014 (incorporated by reference to Exhibit 4.3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American’s Current Report on Form 8-K filed on October 4, 2016 (Commission File No. 1-2691)).</w:t>
              </w:r>
            </w:hyperlink>
          </w:p>
        </w:tc>
        <w:tc>
          <w:tcPr>
            <w:tcW w:w="27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3">
              <w:r>
                <w:rPr>
                  <w:rFonts w:ascii="Arial" w:cs="Arial" w:eastAsia="Arial" w:hAnsi="Arial"/>
                  <w:sz w:val="18"/>
                  <w:szCs w:val="18"/>
                  <w:color w:val="0000FF"/>
                </w:rPr>
                <w:t>Intercreditor Agreement (2016-3), dated as of October 3, 2016, among Wilmington Trust Company, as Trustee of the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Airlines Pass Through Trust 2016-3AA and as Trustee of the American Airlines Pass Through Trust 2016-3A, KfW IPEX-Bank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GmbH, as Class AA Liquidity Provider and Class A Liquidity Provider, and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(incorporated by reference to Exhibit 4.4 to American’s Current Report on Form 8-K filed on October 4, 2016 (Commission File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203">
              <w:r>
                <w:rPr>
                  <w:rFonts w:ascii="Arial" w:cs="Arial" w:eastAsia="Arial" w:hAnsi="Arial"/>
                  <w:sz w:val="18"/>
                  <w:szCs w:val="18"/>
                  <w:color w:val="0000FF"/>
                  <w:w w:val="98"/>
                </w:rPr>
                <w:t>No. 1-2691)).</w:t>
              </w:r>
            </w:hyperlink>
          </w:p>
        </w:tc>
        <w:tc>
          <w:tcPr>
            <w:tcW w:w="9380" w:type="dxa"/>
            <w:vAlign w:val="bottom"/>
            <w:gridSpan w:val="11"/>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4.117</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204">
              <w:r>
                <w:rPr>
                  <w:rFonts w:ascii="Arial" w:cs="Arial" w:eastAsia="Arial" w:hAnsi="Arial"/>
                  <w:sz w:val="18"/>
                  <w:szCs w:val="18"/>
                  <w:color w:val="0000FF"/>
                </w:rPr>
                <w:t>Amended and Restated Intercreditor Agreement (2016-3), dated as of October 4, 2017, among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04">
              <w:r>
                <w:rPr>
                  <w:rFonts w:ascii="Arial" w:cs="Arial" w:eastAsia="Arial" w:hAnsi="Arial"/>
                  <w:sz w:val="18"/>
                  <w:szCs w:val="18"/>
                  <w:color w:val="0000FF"/>
                </w:rPr>
                <w:t>Trustee of the American Airlines Pass Through Trust 2016-3AA, as Trustee of the American Airlines Pass Through Trust 2016-3A</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4">
              <w:r>
                <w:rPr>
                  <w:rFonts w:ascii="Arial" w:cs="Arial" w:eastAsia="Arial" w:hAnsi="Arial"/>
                  <w:sz w:val="18"/>
                  <w:szCs w:val="18"/>
                  <w:color w:val="0000FF"/>
                </w:rPr>
                <w:t>and as Trustee of the American Airlines Pass Through Trust 2016-3B, KfW IPEX-Bank GmbH, as Class AA Liquidity Provider,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04">
              <w:r>
                <w:rPr>
                  <w:rFonts w:ascii="Arial" w:cs="Arial" w:eastAsia="Arial" w:hAnsi="Arial"/>
                  <w:sz w:val="18"/>
                  <w:szCs w:val="18"/>
                  <w:color w:val="0000FF"/>
                  <w:w w:val="99"/>
                </w:rPr>
                <w:t>Class A Liquidity Provider and Class B Liquidity Provider, and Wilmington Trust Company, as Subordination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204">
              <w:r>
                <w:rPr>
                  <w:rFonts w:ascii="Arial" w:cs="Arial" w:eastAsia="Arial" w:hAnsi="Arial"/>
                  <w:sz w:val="18"/>
                  <w:szCs w:val="18"/>
                  <w:color w:val="0000FF"/>
                  <w:w w:val="99"/>
                </w:rPr>
                <w:t>reference to Exhibit 4.3 to American’s Current Report on Form 8-K filed on October 5, 2017 (Commission File No. 1-2691)).</w:t>
              </w:r>
            </w:hyperlink>
          </w:p>
        </w:tc>
        <w:tc>
          <w:tcPr>
            <w:tcW w:w="640" w:type="dxa"/>
            <w:vAlign w:val="bottom"/>
            <w:gridSpan w:val="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5">
              <w:r>
                <w:rPr>
                  <w:rFonts w:ascii="Arial" w:cs="Arial" w:eastAsia="Arial" w:hAnsi="Arial"/>
                  <w:sz w:val="18"/>
                  <w:szCs w:val="18"/>
                  <w:color w:val="0000FF"/>
                </w:rPr>
                <w:t>Note Purchase Agreement, dated as of October 3, 2016,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5">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05">
              <w:r>
                <w:rPr>
                  <w:rFonts w:ascii="Arial" w:cs="Arial" w:eastAsia="Arial" w:hAnsi="Arial"/>
                  <w:sz w:val="18"/>
                  <w:szCs w:val="18"/>
                  <w:color w:val="0000FF"/>
                </w:rPr>
                <w:t>Wilmington Trust, National Association, as Escrow Agent, and Wilmington Trust Company, as Paying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05">
              <w:r>
                <w:rPr>
                  <w:rFonts w:ascii="Arial" w:cs="Arial" w:eastAsia="Arial" w:hAnsi="Arial"/>
                  <w:sz w:val="18"/>
                  <w:szCs w:val="18"/>
                  <w:color w:val="0000FF"/>
                </w:rPr>
                <w:t>reference to Exhibit 4.9 to American’s Current Report on Form 8-K filed on October 4, 2016 (Commission File No. 1-2691)).</w:t>
              </w:r>
            </w:hyperlink>
          </w:p>
        </w:tc>
        <w:tc>
          <w:tcPr>
            <w:tcW w:w="20" w:type="dxa"/>
            <w:vAlign w:val="bottom"/>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Borders>
              <w:top w:val="single" w:sz="8" w:color="0000FF"/>
            </w:tcBorders>
            <w:gridSpan w:val="7"/>
          </w:tcPr>
          <w:p>
            <w:pPr>
              <w:ind w:left="4600"/>
              <w:spacing w:after="0"/>
              <w:rPr>
                <w:sz w:val="20"/>
                <w:szCs w:val="20"/>
                <w:color w:val="auto"/>
              </w:rPr>
            </w:pPr>
            <w:r>
              <w:rPr>
                <w:rFonts w:ascii="Arial" w:cs="Arial" w:eastAsia="Arial" w:hAnsi="Arial"/>
                <w:sz w:val="18"/>
                <w:szCs w:val="18"/>
                <w:color w:val="auto"/>
              </w:rPr>
              <w:t>188</w:t>
            </w:r>
          </w:p>
        </w:tc>
        <w:tc>
          <w:tcPr>
            <w:tcW w:w="94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18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2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2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4.119</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05">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05">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05">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05">
              <w:r>
                <w:rPr>
                  <w:rFonts w:ascii="Arial" w:cs="Arial" w:eastAsia="Arial" w:hAnsi="Arial"/>
                  <w:sz w:val="18"/>
                  <w:szCs w:val="18"/>
                  <w:color w:val="0000FF"/>
                </w:rPr>
                <w:t>(included in Exhibit B to Exhibit 4.9) (incorporated by reference to Exhibit 4.9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October 4, 2016 (Commission File No. 1-2691)).</w:t>
              </w:r>
            </w:hyperlink>
          </w:p>
        </w:tc>
        <w:tc>
          <w:tcPr>
            <w:tcW w:w="6600" w:type="dxa"/>
            <w:vAlign w:val="bottom"/>
            <w:gridSpan w:val="10"/>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05">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05">
              <w:r>
                <w:rPr>
                  <w:rFonts w:ascii="Arial" w:cs="Arial" w:eastAsia="Arial" w:hAnsi="Arial"/>
                  <w:sz w:val="18"/>
                  <w:szCs w:val="18"/>
                  <w:color w:val="0000FF"/>
                </w:rPr>
                <w:t>Trust Company, as Loan Trustee) (included in Exhibit C to Exhibit 4.9) (incorporated by reference to Exhibit C to Exhibit 4.9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American’s Current Report on Form 8-K filed on October 4, 2016 (Commission File No. 1-2691)).</w:t>
              </w:r>
            </w:hyperlink>
          </w:p>
        </w:tc>
        <w:tc>
          <w:tcPr>
            <w:tcW w:w="27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4.121</w:t>
            </w:r>
          </w:p>
        </w:tc>
        <w:tc>
          <w:tcPr>
            <w:tcW w:w="220" w:type="dxa"/>
            <w:vAlign w:val="bottom"/>
          </w:tcPr>
          <w:p>
            <w:pPr>
              <w:spacing w:after="0"/>
              <w:rPr>
                <w:sz w:val="20"/>
                <w:szCs w:val="20"/>
                <w:color w:val="auto"/>
              </w:rPr>
            </w:pPr>
          </w:p>
        </w:tc>
        <w:tc>
          <w:tcPr>
            <w:tcW w:w="10440" w:type="dxa"/>
            <w:vAlign w:val="bottom"/>
            <w:gridSpan w:val="12"/>
          </w:tcPr>
          <w:p>
            <w:pPr>
              <w:spacing w:after="0"/>
              <w:rPr>
                <w:rFonts w:ascii="Arial" w:cs="Arial" w:eastAsia="Arial" w:hAnsi="Arial"/>
                <w:sz w:val="18"/>
                <w:szCs w:val="18"/>
                <w:color w:val="0000FF"/>
              </w:rPr>
            </w:pPr>
            <w:hyperlink r:id="rId201">
              <w:r>
                <w:rPr>
                  <w:rFonts w:ascii="Arial" w:cs="Arial" w:eastAsia="Arial" w:hAnsi="Arial"/>
                  <w:sz w:val="18"/>
                  <w:szCs w:val="18"/>
                  <w:color w:val="0000FF"/>
                </w:rPr>
                <w:t>Form of Pass Through Trust Certificate, Series 2016-3AA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201">
              <w:r>
                <w:rPr>
                  <w:rFonts w:ascii="Arial" w:cs="Arial" w:eastAsia="Arial" w:hAnsi="Arial"/>
                  <w:sz w:val="18"/>
                  <w:szCs w:val="18"/>
                  <w:color w:val="0000FF"/>
                  <w:w w:val="99"/>
                </w:rPr>
                <w:t>Current Report on Form 8-K filed on October 4, 2016 (Commission File No. 1-2691)).</w:t>
              </w:r>
            </w:hyperlink>
          </w:p>
        </w:tc>
        <w:tc>
          <w:tcPr>
            <w:tcW w:w="366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02">
              <w:r>
                <w:rPr>
                  <w:rFonts w:ascii="Arial" w:cs="Arial" w:eastAsia="Arial" w:hAnsi="Arial"/>
                  <w:sz w:val="18"/>
                  <w:szCs w:val="18"/>
                  <w:color w:val="0000FF"/>
                </w:rPr>
                <w:t>Form of Pass Through Trust Certificate, Series 2016-3A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Current Report on Form 8-K filed on October 4, 2016 (Commission File No. 1-2691)).</w:t>
              </w:r>
            </w:hyperlink>
          </w:p>
        </w:tc>
        <w:tc>
          <w:tcPr>
            <w:tcW w:w="3680" w:type="dxa"/>
            <w:vAlign w:val="bottom"/>
            <w:gridSpan w:val="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06">
              <w:r>
                <w:rPr>
                  <w:rFonts w:ascii="Arial" w:cs="Arial" w:eastAsia="Arial" w:hAnsi="Arial"/>
                  <w:sz w:val="18"/>
                  <w:szCs w:val="18"/>
                  <w:color w:val="0000FF"/>
                </w:rPr>
                <w:t>Revolving Credit Agreement (2016-3AA), dated as of October 3, 2016,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06">
              <w:r>
                <w:rPr>
                  <w:rFonts w:ascii="Arial" w:cs="Arial" w:eastAsia="Arial" w:hAnsi="Arial"/>
                  <w:sz w:val="18"/>
                  <w:szCs w:val="18"/>
                  <w:color w:val="0000FF"/>
                </w:rPr>
                <w:t>Agent, as agent and trustee for the trustee of the American Airlines Pass Through Trust 2016-3AA, as Borrower, and KfW IPEX-</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06">
              <w:r>
                <w:rPr>
                  <w:rFonts w:ascii="Arial" w:cs="Arial" w:eastAsia="Arial" w:hAnsi="Arial"/>
                  <w:sz w:val="18"/>
                  <w:szCs w:val="18"/>
                  <w:color w:val="0000FF"/>
                </w:rPr>
                <w:t>Bank GmbH, as Liquidity Provider (incorporated by reference to Exhibit 4.14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October 4, 2016 (Commission File No. 1-2691)).</w:t>
              </w:r>
            </w:hyperlink>
          </w:p>
        </w:tc>
        <w:tc>
          <w:tcPr>
            <w:tcW w:w="6600" w:type="dxa"/>
            <w:vAlign w:val="bottom"/>
            <w:gridSpan w:val="10"/>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w w:val="99"/>
              </w:rPr>
            </w:pPr>
            <w:hyperlink r:id="rId207">
              <w:r>
                <w:rPr>
                  <w:rFonts w:ascii="Arial" w:cs="Arial" w:eastAsia="Arial" w:hAnsi="Arial"/>
                  <w:sz w:val="18"/>
                  <w:szCs w:val="18"/>
                  <w:color w:val="0000FF"/>
                  <w:w w:val="99"/>
                </w:rPr>
                <w:t>Revolving Credit Agreement (2016-3A), dated as of October 3, 2016,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07">
              <w:r>
                <w:rPr>
                  <w:rFonts w:ascii="Arial" w:cs="Arial" w:eastAsia="Arial" w:hAnsi="Arial"/>
                  <w:sz w:val="18"/>
                  <w:szCs w:val="18"/>
                  <w:color w:val="0000FF"/>
                </w:rPr>
                <w:t>as agent and trustee for the trustee of the American Airlines Pass Through Trust 2016-3A, as Borrower, and KfW IPEX-Bank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07">
              <w:r>
                <w:rPr>
                  <w:rFonts w:ascii="Arial" w:cs="Arial" w:eastAsia="Arial" w:hAnsi="Arial"/>
                  <w:sz w:val="18"/>
                  <w:szCs w:val="18"/>
                  <w:color w:val="0000FF"/>
                </w:rPr>
                <w:t>GmbH, as Liquidity Provider (incorporated by reference to Exhibit 4.15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October 4, 2016 (Commission File No. 1-2691)).</w:t>
              </w:r>
            </w:hyperlink>
          </w:p>
        </w:tc>
        <w:tc>
          <w:tcPr>
            <w:tcW w:w="6600" w:type="dxa"/>
            <w:vAlign w:val="bottom"/>
            <w:gridSpan w:val="10"/>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08">
              <w:r>
                <w:rPr>
                  <w:rFonts w:ascii="Arial" w:cs="Arial" w:eastAsia="Arial" w:hAnsi="Arial"/>
                  <w:sz w:val="18"/>
                  <w:szCs w:val="18"/>
                  <w:color w:val="0000FF"/>
                </w:rPr>
                <w:t>Trust Supplement No. 2017-1AA, dated as of January 13, 2017, between American Airlines, Inc.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08">
              <w:r>
                <w:rPr>
                  <w:rFonts w:ascii="Arial" w:cs="Arial" w:eastAsia="Arial" w:hAnsi="Arial"/>
                  <w:sz w:val="18"/>
                  <w:szCs w:val="18"/>
                  <w:color w:val="0000FF"/>
                </w:rPr>
                <w:t>as Trustee, to the Pass Through Trust Agreement, dated as of September 16, 2014 (incorporated by reference to Exhibit 4.2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American’s Current Report on Form 8-K filed on January 17, 2017 (Commission File No. 1-02691)).</w:t>
              </w:r>
            </w:hyperlink>
          </w:p>
        </w:tc>
        <w:tc>
          <w:tcPr>
            <w:tcW w:w="25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09">
              <w:r>
                <w:rPr>
                  <w:rFonts w:ascii="Arial" w:cs="Arial" w:eastAsia="Arial" w:hAnsi="Arial"/>
                  <w:sz w:val="18"/>
                  <w:szCs w:val="18"/>
                  <w:color w:val="0000FF"/>
                </w:rPr>
                <w:t>Trust Supplement No. 2017-1A, dated as of January 13, 2017,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09">
              <w:r>
                <w:rPr>
                  <w:rFonts w:ascii="Arial" w:cs="Arial" w:eastAsia="Arial" w:hAnsi="Arial"/>
                  <w:sz w:val="18"/>
                  <w:szCs w:val="18"/>
                  <w:color w:val="0000FF"/>
                </w:rPr>
                <w:t>Trustee, to the Pass Through Trust Agreement, dated as of September 16, 2014, (incorporated by reference to Exhibit 4.3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09">
              <w:r>
                <w:rPr>
                  <w:rFonts w:ascii="Arial" w:cs="Arial" w:eastAsia="Arial" w:hAnsi="Arial"/>
                  <w:sz w:val="18"/>
                  <w:szCs w:val="18"/>
                  <w:color w:val="0000FF"/>
                  <w:w w:val="99"/>
                </w:rPr>
                <w:t>American’s Current Report on Form 8-K filed on January 17, 2017 (Commission File No. 1-02691)).</w:t>
              </w:r>
            </w:hyperlink>
          </w:p>
        </w:tc>
        <w:tc>
          <w:tcPr>
            <w:tcW w:w="25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10">
              <w:r>
                <w:rPr>
                  <w:rFonts w:ascii="Arial" w:cs="Arial" w:eastAsia="Arial" w:hAnsi="Arial"/>
                  <w:sz w:val="18"/>
                  <w:szCs w:val="18"/>
                  <w:color w:val="0000FF"/>
                </w:rPr>
                <w:t>Trust Supplement No. 2017-1B, dated as of January 13, 2017,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10">
              <w:r>
                <w:rPr>
                  <w:rFonts w:ascii="Arial" w:cs="Arial" w:eastAsia="Arial" w:hAnsi="Arial"/>
                  <w:sz w:val="18"/>
                  <w:szCs w:val="18"/>
                  <w:color w:val="0000FF"/>
                </w:rPr>
                <w:t>Trustee, to the Pass Through Trust Agreement, dated as of September 16, 2014 (incorporated by reference to Exhibit 4.4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10">
              <w:r>
                <w:rPr>
                  <w:rFonts w:ascii="Arial" w:cs="Arial" w:eastAsia="Arial" w:hAnsi="Arial"/>
                  <w:sz w:val="18"/>
                  <w:szCs w:val="18"/>
                  <w:color w:val="0000FF"/>
                  <w:w w:val="99"/>
                </w:rPr>
                <w:t>American’s Current Report on Form 8-K filed on January 17, 2017 (Commission File No. 1-02691)).</w:t>
              </w:r>
            </w:hyperlink>
          </w:p>
        </w:tc>
        <w:tc>
          <w:tcPr>
            <w:tcW w:w="25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11">
              <w:r>
                <w:rPr>
                  <w:rFonts w:ascii="Arial" w:cs="Arial" w:eastAsia="Arial" w:hAnsi="Arial"/>
                  <w:sz w:val="18"/>
                  <w:szCs w:val="18"/>
                  <w:color w:val="0000FF"/>
                </w:rPr>
                <w:t>Intercreditor Agreement (2017-1), dated as of January 13, 2017, among Wilmington Trust Company, as Trustee of the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11">
              <w:r>
                <w:rPr>
                  <w:rFonts w:ascii="Arial" w:cs="Arial" w:eastAsia="Arial" w:hAnsi="Arial"/>
                  <w:sz w:val="18"/>
                  <w:szCs w:val="18"/>
                  <w:color w:val="0000FF"/>
                </w:rPr>
                <w:t>Airlines Pass Through Trust 2017-1AA, as Trustee of the American Airlines Pass Through Trust 2017-1A and as Trustee of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American Airlines Pass Through Trust 2017-1B, Citibank N.A., as Class AA Liquidity Provider, Class A Liquidity Provider and Class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11">
              <w:r>
                <w:rPr>
                  <w:rFonts w:ascii="Arial" w:cs="Arial" w:eastAsia="Arial" w:hAnsi="Arial"/>
                  <w:sz w:val="18"/>
                  <w:szCs w:val="18"/>
                  <w:color w:val="0000FF"/>
                </w:rPr>
                <w:t>B Liquidity Provider, and Wilmington Trust Company, as Subordination Agent (incorporated by reference to Exhibit 4.5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American’s Current Report on Form 8-K filed on January 17, 2017 (Commission File No. 1-02691)).</w:t>
              </w:r>
            </w:hyperlink>
          </w:p>
        </w:tc>
        <w:tc>
          <w:tcPr>
            <w:tcW w:w="25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12">
              <w:r>
                <w:rPr>
                  <w:rFonts w:ascii="Arial" w:cs="Arial" w:eastAsia="Arial" w:hAnsi="Arial"/>
                  <w:sz w:val="18"/>
                  <w:szCs w:val="18"/>
                  <w:color w:val="0000FF"/>
                </w:rPr>
                <w:t>Note Purchase Agreement, dated as of January 13, 2017,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Wilmington Trust, National Association, as Escrow Agent, and Wilmington Trust Company, as Paying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212">
              <w:r>
                <w:rPr>
                  <w:rFonts w:ascii="Arial" w:cs="Arial" w:eastAsia="Arial" w:hAnsi="Arial"/>
                  <w:sz w:val="18"/>
                  <w:szCs w:val="18"/>
                  <w:color w:val="0000FF"/>
                  <w:w w:val="99"/>
                </w:rPr>
                <w:t>reference to Exhibit 4.12 to American’s Current Report on Form 8-K filed on January 17, 2017 (Commission File No. 1-02691)).</w:t>
              </w:r>
            </w:hyperlink>
          </w:p>
        </w:tc>
        <w:tc>
          <w:tcPr>
            <w:tcW w:w="340" w:type="dxa"/>
            <w:vAlign w:val="bottom"/>
            <w:gridSpan w:val="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12">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(incorporated by reference to Exhibit B to Exhibit 4.12 to American’s Current Report on Form 8-K filed on January 17, 2017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tcBorders>
              <w:bottom w:val="single" w:sz="8" w:color="0000FF"/>
            </w:tcBorders>
          </w:tcPr>
          <w:p>
            <w:pPr>
              <w:spacing w:after="0" w:line="182" w:lineRule="exact"/>
              <w:rPr>
                <w:rFonts w:ascii="Arial" w:cs="Arial" w:eastAsia="Arial" w:hAnsi="Arial"/>
                <w:sz w:val="18"/>
                <w:szCs w:val="18"/>
                <w:color w:val="0000FF"/>
                <w:w w:val="99"/>
              </w:rPr>
            </w:pPr>
            <w:hyperlink r:id="rId212">
              <w:r>
                <w:rPr>
                  <w:rFonts w:ascii="Arial" w:cs="Arial" w:eastAsia="Arial" w:hAnsi="Arial"/>
                  <w:sz w:val="18"/>
                  <w:szCs w:val="18"/>
                  <w:color w:val="0000FF"/>
                  <w:w w:val="99"/>
                </w:rPr>
                <w:t>(Commission File No. 1-02691)).</w:t>
              </w:r>
            </w:hyperlink>
          </w:p>
        </w:tc>
        <w:tc>
          <w:tcPr>
            <w:tcW w:w="7840" w:type="dxa"/>
            <w:vAlign w:val="bottom"/>
            <w:gridSpan w:val="11"/>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12">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212">
              <w:r>
                <w:rPr>
                  <w:rFonts w:ascii="Arial" w:cs="Arial" w:eastAsia="Arial" w:hAnsi="Arial"/>
                  <w:sz w:val="18"/>
                  <w:szCs w:val="18"/>
                  <w:color w:val="0000FF"/>
                  <w:w w:val="99"/>
                </w:rPr>
                <w:t>Trust Company, as Loan Trustee) (incorporated by reference to Exhibit C to Exhibit 4.12 to American’s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filed on January 17, 2017 (Commission File No. 1-02691)).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3"/>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4.132</w:t>
            </w:r>
          </w:p>
        </w:tc>
        <w:tc>
          <w:tcPr>
            <w:tcW w:w="220" w:type="dxa"/>
            <w:vAlign w:val="bottom"/>
          </w:tcPr>
          <w:p>
            <w:pPr>
              <w:spacing w:after="0"/>
              <w:rPr>
                <w:sz w:val="20"/>
                <w:szCs w:val="20"/>
                <w:color w:val="auto"/>
              </w:rPr>
            </w:pPr>
          </w:p>
        </w:tc>
        <w:tc>
          <w:tcPr>
            <w:tcW w:w="10440" w:type="dxa"/>
            <w:vAlign w:val="bottom"/>
            <w:gridSpan w:val="12"/>
          </w:tcPr>
          <w:p>
            <w:pPr>
              <w:spacing w:after="0"/>
              <w:rPr>
                <w:rFonts w:ascii="Arial" w:cs="Arial" w:eastAsia="Arial" w:hAnsi="Arial"/>
                <w:sz w:val="18"/>
                <w:szCs w:val="18"/>
                <w:color w:val="0000FF"/>
              </w:rPr>
            </w:pPr>
            <w:hyperlink r:id="rId208">
              <w:r>
                <w:rPr>
                  <w:rFonts w:ascii="Arial" w:cs="Arial" w:eastAsia="Arial" w:hAnsi="Arial"/>
                  <w:sz w:val="18"/>
                  <w:szCs w:val="18"/>
                  <w:color w:val="0000FF"/>
                </w:rPr>
                <w:t>Form of Pass Through Trust Certificate, Series 2017-1AA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96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Current Report on Form 8-K filed on January 17, 2017 (Commission File No. 1-02691)).</w:t>
              </w:r>
            </w:hyperlink>
          </w:p>
        </w:tc>
        <w:tc>
          <w:tcPr>
            <w:tcW w:w="346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09">
              <w:r>
                <w:rPr>
                  <w:rFonts w:ascii="Arial" w:cs="Arial" w:eastAsia="Arial" w:hAnsi="Arial"/>
                  <w:sz w:val="18"/>
                  <w:szCs w:val="18"/>
                  <w:color w:val="0000FF"/>
                </w:rPr>
                <w:t>Form of Pass Through Trust Certificate, Series 2017-1A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9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209">
              <w:r>
                <w:rPr>
                  <w:rFonts w:ascii="Arial" w:cs="Arial" w:eastAsia="Arial" w:hAnsi="Arial"/>
                  <w:sz w:val="18"/>
                  <w:szCs w:val="18"/>
                  <w:color w:val="0000FF"/>
                  <w:w w:val="99"/>
                </w:rPr>
                <w:t>Current Report on Form 8-K filed on January 17, 2017 (Commission File No. 1-02691)).</w:t>
              </w:r>
            </w:hyperlink>
          </w:p>
        </w:tc>
        <w:tc>
          <w:tcPr>
            <w:tcW w:w="348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10">
              <w:r>
                <w:rPr>
                  <w:rFonts w:ascii="Arial" w:cs="Arial" w:eastAsia="Arial" w:hAnsi="Arial"/>
                  <w:sz w:val="18"/>
                  <w:szCs w:val="18"/>
                  <w:color w:val="0000FF"/>
                </w:rPr>
                <w:t>Form of Pass Through Trust Certificate, Series 2017-1B (incorporated by reference to Exhibit A to Exhibit 4.4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210">
              <w:r>
                <w:rPr>
                  <w:rFonts w:ascii="Arial" w:cs="Arial" w:eastAsia="Arial" w:hAnsi="Arial"/>
                  <w:sz w:val="18"/>
                  <w:szCs w:val="18"/>
                  <w:color w:val="0000FF"/>
                </w:rPr>
                <w:t>Current Report on Form 8-K filed on January 17, 2017 (Commission File No. 1-02691)).</w:t>
              </w:r>
            </w:hyperlink>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Borders>
              <w:top w:val="single" w:sz="8" w:color="0000FF"/>
            </w:tcBorders>
            <w:gridSpan w:val="5"/>
          </w:tcPr>
          <w:p>
            <w:pPr>
              <w:ind w:left="4600"/>
              <w:spacing w:after="0"/>
              <w:rPr>
                <w:sz w:val="20"/>
                <w:szCs w:val="20"/>
                <w:color w:val="auto"/>
              </w:rPr>
            </w:pPr>
            <w:r>
              <w:rPr>
                <w:rFonts w:ascii="Arial" w:cs="Arial" w:eastAsia="Arial" w:hAnsi="Arial"/>
                <w:sz w:val="18"/>
                <w:szCs w:val="18"/>
                <w:color w:val="auto"/>
              </w:rPr>
              <w:t>189</w:t>
            </w:r>
          </w:p>
        </w:tc>
        <w:tc>
          <w:tcPr>
            <w:tcW w:w="1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2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4.135</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13">
              <w:r>
                <w:rPr>
                  <w:rFonts w:ascii="Arial" w:cs="Arial" w:eastAsia="Arial" w:hAnsi="Arial"/>
                  <w:sz w:val="18"/>
                  <w:szCs w:val="18"/>
                  <w:color w:val="0000FF"/>
                </w:rPr>
                <w:t>Revolving Credit Agreement (2017-1AA), dated as of January 13, 2017,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213">
              <w:r>
                <w:rPr>
                  <w:rFonts w:ascii="Arial" w:cs="Arial" w:eastAsia="Arial" w:hAnsi="Arial"/>
                  <w:sz w:val="18"/>
                  <w:szCs w:val="18"/>
                  <w:color w:val="0000FF"/>
                  <w:w w:val="99"/>
                </w:rPr>
                <w:t>Agent, as agent and trustee for the trustee of the American Airlines Pass Through Trust 2017-1AA, as Borrower, and Citibank N.A.,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13">
              <w:r>
                <w:rPr>
                  <w:rFonts w:ascii="Arial" w:cs="Arial" w:eastAsia="Arial" w:hAnsi="Arial"/>
                  <w:sz w:val="18"/>
                  <w:szCs w:val="18"/>
                  <w:color w:val="0000FF"/>
                </w:rPr>
                <w:t>as Liquidity Provider (incorporated by reference to Exhibit 4.18 to American’s Current Report on Form 8-K filed on January 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13">
              <w:r>
                <w:rPr>
                  <w:rFonts w:ascii="Arial" w:cs="Arial" w:eastAsia="Arial" w:hAnsi="Arial"/>
                  <w:sz w:val="18"/>
                  <w:szCs w:val="18"/>
                  <w:color w:val="0000FF"/>
                </w:rPr>
                <w:t>2017 (Commission File No. 1-02691)).</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14">
              <w:r>
                <w:rPr>
                  <w:rFonts w:ascii="Arial" w:cs="Arial" w:eastAsia="Arial" w:hAnsi="Arial"/>
                  <w:sz w:val="18"/>
                  <w:szCs w:val="18"/>
                  <w:color w:val="0000FF"/>
                </w:rPr>
                <w:t>Revolving Credit Agreement (2017-1A), dated as of January 13, 2017,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14">
              <w:r>
                <w:rPr>
                  <w:rFonts w:ascii="Arial" w:cs="Arial" w:eastAsia="Arial" w:hAnsi="Arial"/>
                  <w:sz w:val="18"/>
                  <w:szCs w:val="18"/>
                  <w:color w:val="0000FF"/>
                </w:rPr>
                <w:t>Agent, as agent and trustee for the trustee of the American Airlines Pass Through Trust 2017-1A, as Borrower, and Citibank N.A.,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14">
              <w:r>
                <w:rPr>
                  <w:rFonts w:ascii="Arial" w:cs="Arial" w:eastAsia="Arial" w:hAnsi="Arial"/>
                  <w:sz w:val="18"/>
                  <w:szCs w:val="18"/>
                  <w:color w:val="0000FF"/>
                </w:rPr>
                <w:t>as Liquidity Provider (incorporated by reference to Exhibit 4.19 to American’s Current Report on Form 8-K filed on January 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14">
              <w:r>
                <w:rPr>
                  <w:rFonts w:ascii="Arial" w:cs="Arial" w:eastAsia="Arial" w:hAnsi="Arial"/>
                  <w:sz w:val="18"/>
                  <w:szCs w:val="18"/>
                  <w:color w:val="0000FF"/>
                </w:rPr>
                <w:t>2017 (Commission File No. 1-02691)).</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15">
              <w:r>
                <w:rPr>
                  <w:rFonts w:ascii="Arial" w:cs="Arial" w:eastAsia="Arial" w:hAnsi="Arial"/>
                  <w:sz w:val="18"/>
                  <w:szCs w:val="18"/>
                  <w:color w:val="0000FF"/>
                </w:rPr>
                <w:t>Revolving Credit Agreement (2017-1B), dated as of January 13, 2017,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15">
              <w:r>
                <w:rPr>
                  <w:rFonts w:ascii="Arial" w:cs="Arial" w:eastAsia="Arial" w:hAnsi="Arial"/>
                  <w:sz w:val="18"/>
                  <w:szCs w:val="18"/>
                  <w:color w:val="0000FF"/>
                </w:rPr>
                <w:t>Agent, as agent and trustee for the trustee of the American Airlines Pass Through Trust 2017-1B, as Borrower, and Citibank N.A.,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15">
              <w:r>
                <w:rPr>
                  <w:rFonts w:ascii="Arial" w:cs="Arial" w:eastAsia="Arial" w:hAnsi="Arial"/>
                  <w:sz w:val="18"/>
                  <w:szCs w:val="18"/>
                  <w:color w:val="0000FF"/>
                </w:rPr>
                <w:t>as Liquidity Provider (incorporated by reference to Exhibit 4.20 to American’s Current Report on Form 8-K filed on January 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15">
              <w:r>
                <w:rPr>
                  <w:rFonts w:ascii="Arial" w:cs="Arial" w:eastAsia="Arial" w:hAnsi="Arial"/>
                  <w:sz w:val="18"/>
                  <w:szCs w:val="18"/>
                  <w:color w:val="0000FF"/>
                </w:rPr>
                <w:t>2017 (Commission File No. 1-02691)).</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16">
              <w:r>
                <w:rPr>
                  <w:rFonts w:ascii="Arial" w:cs="Arial" w:eastAsia="Arial" w:hAnsi="Arial"/>
                  <w:sz w:val="18"/>
                  <w:szCs w:val="18"/>
                  <w:color w:val="0000FF"/>
                </w:rPr>
                <w:t>Acknowledgment and Agreement (2017-1), dated as of March 31, 2017, by and among American Airlines Inc., Citibank, N.A.,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16">
              <w:r>
                <w:rPr>
                  <w:rFonts w:ascii="Arial" w:cs="Arial" w:eastAsia="Arial" w:hAnsi="Arial"/>
                  <w:sz w:val="18"/>
                  <w:szCs w:val="18"/>
                  <w:color w:val="0000FF"/>
                </w:rPr>
                <w:t>initial Liquidity Provider, National Australia Bank Limited, as Replacement Liquidity Provider, and Wilmington Trust Company, as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216">
              <w:r>
                <w:rPr>
                  <w:rFonts w:ascii="Arial" w:cs="Arial" w:eastAsia="Arial" w:hAnsi="Arial"/>
                  <w:sz w:val="18"/>
                  <w:szCs w:val="18"/>
                  <w:color w:val="0000FF"/>
                  <w:w w:val="99"/>
                </w:rPr>
                <w:t>Subordination Agent and trustee (incorporated by reference to Exhibit 4.20 to AAG’s Quarterly Report on Form 10-Q for the quarter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16">
              <w:r>
                <w:rPr>
                  <w:rFonts w:ascii="Arial" w:cs="Arial" w:eastAsia="Arial" w:hAnsi="Arial"/>
                  <w:sz w:val="18"/>
                  <w:szCs w:val="18"/>
                  <w:color w:val="0000FF"/>
                </w:rPr>
                <w:t>ended March 31, 2017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4.139</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17">
              <w:r>
                <w:rPr>
                  <w:rFonts w:ascii="Arial" w:cs="Arial" w:eastAsia="Arial" w:hAnsi="Arial"/>
                  <w:sz w:val="18"/>
                  <w:szCs w:val="18"/>
                  <w:color w:val="0000FF"/>
                </w:rPr>
                <w:t>Revolving Credit Agreement (2017-1AA), dated as of March 31, 2017, between Wilmington Trust Company, as Subordination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17">
              <w:r>
                <w:rPr>
                  <w:rFonts w:ascii="Arial" w:cs="Arial" w:eastAsia="Arial" w:hAnsi="Arial"/>
                  <w:sz w:val="18"/>
                  <w:szCs w:val="18"/>
                  <w:color w:val="0000FF"/>
                </w:rPr>
                <w:t>Agent, as agent and trustee for the trustee of the American Airlines Pass Through Trust 2017-1AA, as Borrower, and National</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Australia Bank Limited, as Liquidity Provider (incorporated by reference to Exhibit 4.21 to AAG’s Quarterly Report on Form 10-Q for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17">
              <w:r>
                <w:rPr>
                  <w:rFonts w:ascii="Arial" w:cs="Arial" w:eastAsia="Arial" w:hAnsi="Arial"/>
                  <w:sz w:val="18"/>
                  <w:szCs w:val="18"/>
                  <w:color w:val="0000FF"/>
                </w:rPr>
                <w:t>the quarter ended March 31, 2017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18">
              <w:r>
                <w:rPr>
                  <w:rFonts w:ascii="Arial" w:cs="Arial" w:eastAsia="Arial" w:hAnsi="Arial"/>
                  <w:sz w:val="18"/>
                  <w:szCs w:val="18"/>
                  <w:color w:val="0000FF"/>
                </w:rPr>
                <w:t>Revolving Credit Agreement (2017-1A), dated as of March 31, 2017,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18">
              <w:r>
                <w:rPr>
                  <w:rFonts w:ascii="Arial" w:cs="Arial" w:eastAsia="Arial" w:hAnsi="Arial"/>
                  <w:sz w:val="18"/>
                  <w:szCs w:val="18"/>
                  <w:color w:val="0000FF"/>
                </w:rPr>
                <w:t>as agent and trustee for the trustee of the American Airlines Pass Through Trust 2017-1A, as Borrower, and National Australia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18">
              <w:r>
                <w:rPr>
                  <w:rFonts w:ascii="Arial" w:cs="Arial" w:eastAsia="Arial" w:hAnsi="Arial"/>
                  <w:sz w:val="18"/>
                  <w:szCs w:val="18"/>
                  <w:color w:val="0000FF"/>
                </w:rPr>
                <w:t>Bank Limited, as Liquidity Provider (incorporated by reference to Exhibit 4.22 to AAG’s Quarterly Report on Form 10-Q for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18">
              <w:r>
                <w:rPr>
                  <w:rFonts w:ascii="Arial" w:cs="Arial" w:eastAsia="Arial" w:hAnsi="Arial"/>
                  <w:sz w:val="18"/>
                  <w:szCs w:val="18"/>
                  <w:color w:val="0000FF"/>
                </w:rPr>
                <w:t>quarter ended March 31, 2017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19">
              <w:r>
                <w:rPr>
                  <w:rFonts w:ascii="Arial" w:cs="Arial" w:eastAsia="Arial" w:hAnsi="Arial"/>
                  <w:sz w:val="18"/>
                  <w:szCs w:val="18"/>
                  <w:color w:val="0000FF"/>
                </w:rPr>
                <w:t>Revolving Credit Agreement (2017-1B), dated as of March 31, 2017,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19">
              <w:r>
                <w:rPr>
                  <w:rFonts w:ascii="Arial" w:cs="Arial" w:eastAsia="Arial" w:hAnsi="Arial"/>
                  <w:sz w:val="18"/>
                  <w:szCs w:val="18"/>
                  <w:color w:val="0000FF"/>
                </w:rPr>
                <w:t>as agent and trustee for the trustee of the American Airlines Pass Through Trust 2017-1B, as Borrower, and National Australia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19">
              <w:r>
                <w:rPr>
                  <w:rFonts w:ascii="Arial" w:cs="Arial" w:eastAsia="Arial" w:hAnsi="Arial"/>
                  <w:sz w:val="18"/>
                  <w:szCs w:val="18"/>
                  <w:color w:val="0000FF"/>
                </w:rPr>
                <w:t>Bank Limited, as Liquidity Provider (incorporated by reference to Exhibit 4.23 to AAG’s Quarterly Report on Form 10-Q for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19">
              <w:r>
                <w:rPr>
                  <w:rFonts w:ascii="Arial" w:cs="Arial" w:eastAsia="Arial" w:hAnsi="Arial"/>
                  <w:sz w:val="18"/>
                  <w:szCs w:val="18"/>
                  <w:color w:val="0000FF"/>
                </w:rPr>
                <w:t>quarter ended March 31, 2017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4.142</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20">
              <w:r>
                <w:rPr>
                  <w:rFonts w:ascii="Arial" w:cs="Arial" w:eastAsia="Arial" w:hAnsi="Arial"/>
                  <w:sz w:val="18"/>
                  <w:szCs w:val="18"/>
                  <w:color w:val="0000FF"/>
                </w:rPr>
                <w:t>Form of American Airlines Group Inc. Indenture for Debt Securities (incorporated by reference to Exhibit 4.1 to AAG’s Registration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30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220">
              <w:r>
                <w:rPr>
                  <w:rFonts w:ascii="Arial" w:cs="Arial" w:eastAsia="Arial" w:hAnsi="Arial"/>
                  <w:sz w:val="18"/>
                  <w:szCs w:val="18"/>
                  <w:color w:val="0000FF"/>
                  <w:w w:val="99"/>
                </w:rPr>
                <w:t>Statement on Form S-3ASR filed on February 22, 2017 (Commission File No. 333-216167).</w:t>
              </w:r>
            </w:hyperlink>
          </w:p>
        </w:tc>
        <w:tc>
          <w:tcPr>
            <w:tcW w:w="312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4.143</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21">
              <w:r>
                <w:rPr>
                  <w:rFonts w:ascii="Arial" w:cs="Arial" w:eastAsia="Arial" w:hAnsi="Arial"/>
                  <w:sz w:val="18"/>
                  <w:szCs w:val="18"/>
                  <w:color w:val="0000FF"/>
                </w:rPr>
                <w:t>Form of American Airlines, Inc. Indenture for Debt Securities (incorporated by reference to Exhibit 4.2 to AAG’s Registration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8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221">
              <w:r>
                <w:rPr>
                  <w:rFonts w:ascii="Arial" w:cs="Arial" w:eastAsia="Arial" w:hAnsi="Arial"/>
                  <w:sz w:val="18"/>
                  <w:szCs w:val="18"/>
                  <w:color w:val="0000FF"/>
                  <w:w w:val="99"/>
                </w:rPr>
                <w:t>Statement on Form S-3ASR filed on February 22, 2017 (Commission File No. 333-216167).</w:t>
              </w:r>
            </w:hyperlink>
          </w:p>
        </w:tc>
        <w:tc>
          <w:tcPr>
            <w:tcW w:w="314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w w:val="99"/>
              </w:rPr>
            </w:pPr>
            <w:hyperlink r:id="rId222">
              <w:r>
                <w:rPr>
                  <w:rFonts w:ascii="Arial" w:cs="Arial" w:eastAsia="Arial" w:hAnsi="Arial"/>
                  <w:sz w:val="18"/>
                  <w:szCs w:val="18"/>
                  <w:color w:val="0000FF"/>
                  <w:w w:val="99"/>
                </w:rPr>
                <w:t>Trust Supplement No. 2017-2AA, dated as of August 14, 2017,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22">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222">
              <w:r>
                <w:rPr>
                  <w:rFonts w:ascii="Arial" w:cs="Arial" w:eastAsia="Arial" w:hAnsi="Arial"/>
                  <w:sz w:val="18"/>
                  <w:szCs w:val="18"/>
                  <w:color w:val="0000FF"/>
                  <w:w w:val="99"/>
                </w:rPr>
                <w:t>American’s Current Report on Form 8-K filed on August 14, 2017 (Commission File No. 1-2691)).</w:t>
              </w:r>
            </w:hyperlink>
          </w:p>
        </w:tc>
        <w:tc>
          <w:tcPr>
            <w:tcW w:w="272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23">
              <w:r>
                <w:rPr>
                  <w:rFonts w:ascii="Arial" w:cs="Arial" w:eastAsia="Arial" w:hAnsi="Arial"/>
                  <w:sz w:val="18"/>
                  <w:szCs w:val="18"/>
                  <w:color w:val="0000FF"/>
                </w:rPr>
                <w:t>Trust Supplement No. 2017-2A, dated as of August 14, 2017,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23">
              <w:r>
                <w:rPr>
                  <w:rFonts w:ascii="Arial" w:cs="Arial" w:eastAsia="Arial" w:hAnsi="Arial"/>
                  <w:sz w:val="18"/>
                  <w:szCs w:val="18"/>
                  <w:color w:val="0000FF"/>
                </w:rPr>
                <w:t>Trustee, to the Pass Through Trust Agreement, dated as of September 16, 2014 (incorporated by reference to Exhibit 4.3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223">
              <w:r>
                <w:rPr>
                  <w:rFonts w:ascii="Arial" w:cs="Arial" w:eastAsia="Arial" w:hAnsi="Arial"/>
                  <w:sz w:val="18"/>
                  <w:szCs w:val="18"/>
                  <w:color w:val="0000FF"/>
                  <w:w w:val="99"/>
                </w:rPr>
                <w:t>American’s Current Report on Form 8-K filed on August 14, 2017 (Commission File No. 1-2691)).</w:t>
              </w:r>
            </w:hyperlink>
          </w:p>
        </w:tc>
        <w:tc>
          <w:tcPr>
            <w:tcW w:w="272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4.146</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24">
              <w:r>
                <w:rPr>
                  <w:rFonts w:ascii="Arial" w:cs="Arial" w:eastAsia="Arial" w:hAnsi="Arial"/>
                  <w:sz w:val="18"/>
                  <w:szCs w:val="18"/>
                  <w:color w:val="0000FF"/>
                </w:rPr>
                <w:t>Intercreditor Agreement (2017-2), dated as of August 14, 2017, among Wilmington Trust Company, as Trustee of the American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5340" w:type="dxa"/>
            <w:vAlign w:val="bottom"/>
            <w:gridSpan w:val="8"/>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24">
              <w:r>
                <w:rPr>
                  <w:rFonts w:ascii="Arial" w:cs="Arial" w:eastAsia="Arial" w:hAnsi="Arial"/>
                  <w:sz w:val="18"/>
                  <w:szCs w:val="18"/>
                  <w:color w:val="0000FF"/>
                </w:rPr>
                <w:t>Airlines Pass Through Trust 2017-2AA and as Trustee of the American Airlines Pass Through Trust 2017-2A, National Australia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24">
              <w:r>
                <w:rPr>
                  <w:rFonts w:ascii="Arial" w:cs="Arial" w:eastAsia="Arial" w:hAnsi="Arial"/>
                  <w:sz w:val="18"/>
                  <w:szCs w:val="18"/>
                  <w:color w:val="0000FF"/>
                </w:rPr>
                <w:t>Bank Limited, as Class AA Liquidity Provider and Class A Liquidity Provider, and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24">
              <w:r>
                <w:rPr>
                  <w:rFonts w:ascii="Arial" w:cs="Arial" w:eastAsia="Arial" w:hAnsi="Arial"/>
                  <w:sz w:val="18"/>
                  <w:szCs w:val="18"/>
                  <w:color w:val="0000FF"/>
                </w:rPr>
                <w:t>Agent (incorporated by reference to Exhibit 4.4 to American’s Current Report on Form 8-K filed on August 14, 2017 (Commission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r:id="rId224">
              <w:r>
                <w:rPr>
                  <w:rFonts w:ascii="Arial" w:cs="Arial" w:eastAsia="Arial" w:hAnsi="Arial"/>
                  <w:sz w:val="18"/>
                  <w:szCs w:val="18"/>
                  <w:color w:val="0000FF"/>
                  <w:w w:val="98"/>
                </w:rPr>
                <w:t>File No. 1-2691)).</w:t>
              </w:r>
            </w:hyperlink>
          </w:p>
        </w:tc>
        <w:tc>
          <w:tcPr>
            <w:tcW w:w="902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4.147</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25">
              <w:r>
                <w:rPr>
                  <w:rFonts w:ascii="Arial" w:cs="Arial" w:eastAsia="Arial" w:hAnsi="Arial"/>
                  <w:sz w:val="18"/>
                  <w:szCs w:val="18"/>
                  <w:color w:val="0000FF"/>
                </w:rPr>
                <w:t>Note Purchase Agreement, dated as of August 14, 2017, among American Airlines, Inc., Wilmington Trust Company, as Pass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5340" w:type="dxa"/>
            <w:vAlign w:val="bottom"/>
            <w:gridSpan w:val="8"/>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Wilmington Trust, National Association, as Escrow Agent, and Wilmington Trust Company, as Paying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2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225">
              <w:r>
                <w:rPr>
                  <w:rFonts w:ascii="Arial" w:cs="Arial" w:eastAsia="Arial" w:hAnsi="Arial"/>
                  <w:sz w:val="18"/>
                  <w:szCs w:val="18"/>
                  <w:color w:val="0000FF"/>
                  <w:w w:val="99"/>
                </w:rPr>
                <w:t>reference to Exhibit 4.9 to American’s Current Report on Form 8-K filed on August 14, 2017 (Commission File No. 1-2691)).</w:t>
              </w:r>
            </w:hyperlink>
          </w:p>
        </w:tc>
        <w:tc>
          <w:tcPr>
            <w:tcW w:w="6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25">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594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(incorporated by reference to Exhibit B to Exhibit 4.9 to American’s Current Report on Form 8-K filed on August 14, 2017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225">
              <w:r>
                <w:rPr>
                  <w:rFonts w:ascii="Arial" w:cs="Arial" w:eastAsia="Arial" w:hAnsi="Arial"/>
                  <w:sz w:val="18"/>
                  <w:szCs w:val="18"/>
                  <w:color w:val="0000FF"/>
                  <w:w w:val="99"/>
                </w:rPr>
                <w:t>(Commission File No. 1-2691)).</w:t>
              </w:r>
            </w:hyperlink>
          </w:p>
        </w:tc>
        <w:tc>
          <w:tcPr>
            <w:tcW w:w="7940" w:type="dxa"/>
            <w:vAlign w:val="bottom"/>
            <w:gridSpan w:val="1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4.149</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25">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594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Trust Company, as Loan Trustee) (incorporated by reference to Exhibit C to Exhibit 4.9 to American’s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filed on August 14, 2017 (Commission File No. 1-2691)).</w:t>
              </w:r>
            </w:hyperlink>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Borders>
              <w:top w:val="single" w:sz="8" w:color="0000FF"/>
            </w:tcBorders>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90" w:name="page191"/>
    <w:bookmarkEnd w:id="1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10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2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4.150</w:t>
            </w:r>
          </w:p>
        </w:tc>
        <w:tc>
          <w:tcPr>
            <w:tcW w:w="220" w:type="dxa"/>
            <w:vAlign w:val="bottom"/>
          </w:tcPr>
          <w:p>
            <w:pPr>
              <w:spacing w:after="0"/>
              <w:rPr>
                <w:sz w:val="19"/>
                <w:szCs w:val="19"/>
                <w:color w:val="auto"/>
              </w:rPr>
            </w:pPr>
          </w:p>
        </w:tc>
        <w:tc>
          <w:tcPr>
            <w:tcW w:w="10440" w:type="dxa"/>
            <w:vAlign w:val="bottom"/>
            <w:gridSpan w:val="12"/>
          </w:tcPr>
          <w:p>
            <w:pPr>
              <w:spacing w:after="0"/>
              <w:rPr>
                <w:rFonts w:ascii="Arial" w:cs="Arial" w:eastAsia="Arial" w:hAnsi="Arial"/>
                <w:sz w:val="18"/>
                <w:szCs w:val="18"/>
                <w:color w:val="0000FF"/>
              </w:rPr>
            </w:pPr>
            <w:hyperlink r:id="rId222">
              <w:r>
                <w:rPr>
                  <w:rFonts w:ascii="Arial" w:cs="Arial" w:eastAsia="Arial" w:hAnsi="Arial"/>
                  <w:sz w:val="18"/>
                  <w:szCs w:val="18"/>
                  <w:color w:val="0000FF"/>
                </w:rPr>
                <w:t>Form of Pass Through Trust Certificate, Series 2017-2AA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8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222">
              <w:r>
                <w:rPr>
                  <w:rFonts w:ascii="Arial" w:cs="Arial" w:eastAsia="Arial" w:hAnsi="Arial"/>
                  <w:sz w:val="18"/>
                  <w:szCs w:val="18"/>
                  <w:color w:val="0000FF"/>
                  <w:w w:val="99"/>
                </w:rPr>
                <w:t>Current Report on Form 8-K filed on August 14, 2017 (Commission File No. 1-2691)).</w:t>
              </w:r>
            </w:hyperlink>
          </w:p>
        </w:tc>
        <w:tc>
          <w:tcPr>
            <w:tcW w:w="364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4.151</w:t>
            </w:r>
          </w:p>
        </w:tc>
        <w:tc>
          <w:tcPr>
            <w:tcW w:w="220" w:type="dxa"/>
            <w:vAlign w:val="bottom"/>
          </w:tcPr>
          <w:p>
            <w:pPr>
              <w:spacing w:after="0"/>
              <w:rPr>
                <w:sz w:val="20"/>
                <w:szCs w:val="20"/>
                <w:color w:val="auto"/>
              </w:rPr>
            </w:pPr>
          </w:p>
        </w:tc>
        <w:tc>
          <w:tcPr>
            <w:tcW w:w="10440" w:type="dxa"/>
            <w:vAlign w:val="bottom"/>
            <w:gridSpan w:val="12"/>
          </w:tcPr>
          <w:p>
            <w:pPr>
              <w:spacing w:after="0"/>
              <w:rPr>
                <w:rFonts w:ascii="Arial" w:cs="Arial" w:eastAsia="Arial" w:hAnsi="Arial"/>
                <w:sz w:val="18"/>
                <w:szCs w:val="18"/>
                <w:color w:val="0000FF"/>
              </w:rPr>
            </w:pPr>
            <w:hyperlink r:id="rId223">
              <w:r>
                <w:rPr>
                  <w:rFonts w:ascii="Arial" w:cs="Arial" w:eastAsia="Arial" w:hAnsi="Arial"/>
                  <w:sz w:val="18"/>
                  <w:szCs w:val="18"/>
                  <w:color w:val="0000FF"/>
                </w:rPr>
                <w:t>Form of Pass Through Trust Certificate, Series 2017-2A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8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223">
              <w:r>
                <w:rPr>
                  <w:rFonts w:ascii="Arial" w:cs="Arial" w:eastAsia="Arial" w:hAnsi="Arial"/>
                  <w:sz w:val="18"/>
                  <w:szCs w:val="18"/>
                  <w:color w:val="0000FF"/>
                  <w:w w:val="99"/>
                </w:rPr>
                <w:t>Current Report on Form 8-K filed on August 14, 2017 (Commission File No. 1-2691)).</w:t>
              </w:r>
            </w:hyperlink>
          </w:p>
        </w:tc>
        <w:tc>
          <w:tcPr>
            <w:tcW w:w="364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26">
              <w:r>
                <w:rPr>
                  <w:rFonts w:ascii="Arial" w:cs="Arial" w:eastAsia="Arial" w:hAnsi="Arial"/>
                  <w:sz w:val="18"/>
                  <w:szCs w:val="18"/>
                  <w:color w:val="0000FF"/>
                </w:rPr>
                <w:t>Revolving Credit Agreement (2017-2AA), dated as of August 14, 2017,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Agent, as agent and trustee for the trustee of the American Airlines Pass Through Trust 2017-2AA, as Borrower, and National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Australia Bank Limited, as Liquidity Provider (incorporated by reference to Exhibit 4.14 to American’s Current Report on Form 8-K</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filed on August 14, 2017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27">
              <w:r>
                <w:rPr>
                  <w:rFonts w:ascii="Arial" w:cs="Arial" w:eastAsia="Arial" w:hAnsi="Arial"/>
                  <w:sz w:val="18"/>
                  <w:szCs w:val="18"/>
                  <w:color w:val="0000FF"/>
                </w:rPr>
                <w:t>Revolving Credit Agreement (2017-2A), dated as of August 14, 2017,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Agent, as agent and trustee for the trustee of the American Airlines Pass Through Trust 2017-2A, as Borrower, and National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Australia Bank Limited, as Liquidity Provider (incorporated by reference to Exhibit 4.15 to American’s Current Report on Form 8-K</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filed on August 14, 2017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4.154</w:t>
            </w:r>
          </w:p>
        </w:tc>
        <w:tc>
          <w:tcPr>
            <w:tcW w:w="220" w:type="dxa"/>
            <w:vAlign w:val="bottom"/>
          </w:tcPr>
          <w:p>
            <w:pPr>
              <w:spacing w:after="0"/>
              <w:rPr>
                <w:sz w:val="20"/>
                <w:szCs w:val="20"/>
                <w:color w:val="auto"/>
              </w:rPr>
            </w:pPr>
          </w:p>
        </w:tc>
        <w:tc>
          <w:tcPr>
            <w:tcW w:w="10440" w:type="dxa"/>
            <w:vAlign w:val="bottom"/>
            <w:gridSpan w:val="12"/>
          </w:tcPr>
          <w:p>
            <w:pPr>
              <w:spacing w:after="0"/>
              <w:rPr>
                <w:rFonts w:ascii="Arial" w:cs="Arial" w:eastAsia="Arial" w:hAnsi="Arial"/>
                <w:sz w:val="18"/>
                <w:szCs w:val="18"/>
                <w:color w:val="0000FF"/>
              </w:rPr>
            </w:pPr>
            <w:hyperlink r:id="rId228">
              <w:r>
                <w:rPr>
                  <w:rFonts w:ascii="Arial" w:cs="Arial" w:eastAsia="Arial" w:hAnsi="Arial"/>
                  <w:sz w:val="18"/>
                  <w:szCs w:val="18"/>
                  <w:color w:val="0000FF"/>
                </w:rPr>
                <w:t>Trust Supplement No. 2016-3B, dated as of October 4, 2017,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28">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28">
              <w:r>
                <w:rPr>
                  <w:rFonts w:ascii="Arial" w:cs="Arial" w:eastAsia="Arial" w:hAnsi="Arial"/>
                  <w:sz w:val="18"/>
                  <w:szCs w:val="18"/>
                  <w:color w:val="0000FF"/>
                  <w:w w:val="99"/>
                </w:rPr>
                <w:t>American’s Current Report on Form 8-K filed on October 5, 2017 (Commission File No. 1-2691)).</w:t>
              </w:r>
            </w:hyperlink>
          </w:p>
        </w:tc>
        <w:tc>
          <w:tcPr>
            <w:tcW w:w="27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4.155</w:t>
            </w:r>
          </w:p>
        </w:tc>
        <w:tc>
          <w:tcPr>
            <w:tcW w:w="220" w:type="dxa"/>
            <w:vAlign w:val="bottom"/>
          </w:tcPr>
          <w:p>
            <w:pPr>
              <w:spacing w:after="0"/>
              <w:rPr>
                <w:sz w:val="20"/>
                <w:szCs w:val="20"/>
                <w:color w:val="auto"/>
              </w:rPr>
            </w:pPr>
          </w:p>
        </w:tc>
        <w:tc>
          <w:tcPr>
            <w:tcW w:w="10440" w:type="dxa"/>
            <w:vAlign w:val="bottom"/>
            <w:gridSpan w:val="12"/>
          </w:tcPr>
          <w:p>
            <w:pPr>
              <w:spacing w:after="0"/>
              <w:rPr>
                <w:rFonts w:ascii="Arial" w:cs="Arial" w:eastAsia="Arial" w:hAnsi="Arial"/>
                <w:sz w:val="18"/>
                <w:szCs w:val="18"/>
                <w:color w:val="0000FF"/>
              </w:rPr>
            </w:pPr>
            <w:hyperlink r:id="rId229">
              <w:r>
                <w:rPr>
                  <w:rFonts w:ascii="Arial" w:cs="Arial" w:eastAsia="Arial" w:hAnsi="Arial"/>
                  <w:sz w:val="18"/>
                  <w:szCs w:val="18"/>
                  <w:color w:val="0000FF"/>
                </w:rPr>
                <w:t>Amended and Restated Note Purchase Agreement, dated as of October 4, 2017, amending the Note Purchase Agreement, dated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as of October 3, 2016, among American Airlines, Inc., Wilmington Trust Company, as Pass Through Trustee under each of the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w w:val="99"/>
              </w:rPr>
            </w:pPr>
            <w:hyperlink r:id="rId229">
              <w:r>
                <w:rPr>
                  <w:rFonts w:ascii="Arial" w:cs="Arial" w:eastAsia="Arial" w:hAnsi="Arial"/>
                  <w:sz w:val="18"/>
                  <w:szCs w:val="18"/>
                  <w:color w:val="0000FF"/>
                  <w:w w:val="99"/>
                </w:rPr>
                <w:t>Pass Through Trust Agreements, and Wilmington Trust Company, as Subordination Agent (incorporated by reference to Exhibit 4.4</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229">
              <w:r>
                <w:rPr>
                  <w:rFonts w:ascii="Arial" w:cs="Arial" w:eastAsia="Arial" w:hAnsi="Arial"/>
                  <w:sz w:val="18"/>
                  <w:szCs w:val="18"/>
                  <w:color w:val="0000FF"/>
                  <w:w w:val="99"/>
                </w:rPr>
                <w:t>to American’s Current Report on Form 8-K filed on October 5, 2017 (Commission File No. 1-2691)).</w:t>
              </w:r>
            </w:hyperlink>
          </w:p>
        </w:tc>
        <w:tc>
          <w:tcPr>
            <w:tcW w:w="25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29">
              <w:r>
                <w:rPr>
                  <w:rFonts w:ascii="Arial" w:cs="Arial" w:eastAsia="Arial" w:hAnsi="Arial"/>
                  <w:sz w:val="18"/>
                  <w:szCs w:val="18"/>
                  <w:color w:val="0000FF"/>
                </w:rPr>
                <w:t>Form of First Amendment to Participation Agreement (First Amendment to Participation Agreement among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Wilmington Trust Company, as Pass Through Trustee under each of the Pass Through Trust Agreements,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Company, as Subordination Agent, Wilmington Trust Company, as Loan Trustee, and Wilmington Trust Company, in its individual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capacity as set forth therein) (incorporated by reference to Exhibit A to Exhibit 4.4 to American’s Current Report on Form 8-K filed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on October 5, 2017 (Commission File No. 1-2691)).</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30">
              <w:r>
                <w:rPr>
                  <w:rFonts w:ascii="Arial" w:cs="Arial" w:eastAsia="Arial" w:hAnsi="Arial"/>
                  <w:sz w:val="18"/>
                  <w:szCs w:val="18"/>
                  <w:color w:val="0000FF"/>
                </w:rPr>
                <w:t>Form of First Amendment to Indenture and Security Agreement (First Amendment to Indenture and Security Agreement between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30">
              <w:r>
                <w:rPr>
                  <w:rFonts w:ascii="Arial" w:cs="Arial" w:eastAsia="Arial" w:hAnsi="Arial"/>
                  <w:sz w:val="18"/>
                  <w:szCs w:val="18"/>
                  <w:color w:val="0000FF"/>
                </w:rPr>
                <w:t>American Airlines, Inc., and Wilmington Trust Company, as Loan Trustee) (incorporated by reference to Exhibit E to Exhibit 4.6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30">
              <w:r>
                <w:rPr>
                  <w:rFonts w:ascii="Arial" w:cs="Arial" w:eastAsia="Arial" w:hAnsi="Arial"/>
                  <w:sz w:val="18"/>
                  <w:szCs w:val="18"/>
                  <w:color w:val="0000FF"/>
                  <w:w w:val="99"/>
                </w:rPr>
                <w:t>American’s Current Report on Form 8-K filed on October 6, 2017 (Commission File No. 1-2691)).</w:t>
              </w:r>
            </w:hyperlink>
          </w:p>
        </w:tc>
        <w:tc>
          <w:tcPr>
            <w:tcW w:w="27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29">
              <w:r>
                <w:rPr>
                  <w:rFonts w:ascii="Arial" w:cs="Arial" w:eastAsia="Arial" w:hAnsi="Arial"/>
                  <w:sz w:val="18"/>
                  <w:szCs w:val="18"/>
                  <w:color w:val="0000FF"/>
                </w:rPr>
                <w:t>Form of First Amendment to Indenture and Security Agreement (First Amendment to Indenture and Security Agreement between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American Airlines, Inc., and Wilmington Trust Company, as Loan Trustee) (incorporated by reference to Exhibit B to Exhibit 4.4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29">
              <w:r>
                <w:rPr>
                  <w:rFonts w:ascii="Arial" w:cs="Arial" w:eastAsia="Arial" w:hAnsi="Arial"/>
                  <w:sz w:val="18"/>
                  <w:szCs w:val="18"/>
                  <w:color w:val="0000FF"/>
                  <w:w w:val="99"/>
                </w:rPr>
                <w:t>American’s Current Report on Form 8-K filed on October 5, 2017 (Commission File No. 1-2691)).</w:t>
              </w:r>
            </w:hyperlink>
          </w:p>
        </w:tc>
        <w:tc>
          <w:tcPr>
            <w:tcW w:w="27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4.159</w:t>
            </w:r>
          </w:p>
        </w:tc>
        <w:tc>
          <w:tcPr>
            <w:tcW w:w="220" w:type="dxa"/>
            <w:vAlign w:val="bottom"/>
          </w:tcPr>
          <w:p>
            <w:pPr>
              <w:spacing w:after="0"/>
              <w:rPr>
                <w:sz w:val="20"/>
                <w:szCs w:val="20"/>
                <w:color w:val="auto"/>
              </w:rPr>
            </w:pPr>
          </w:p>
        </w:tc>
        <w:tc>
          <w:tcPr>
            <w:tcW w:w="10440" w:type="dxa"/>
            <w:vAlign w:val="bottom"/>
            <w:gridSpan w:val="12"/>
          </w:tcPr>
          <w:p>
            <w:pPr>
              <w:spacing w:after="0"/>
              <w:rPr>
                <w:rFonts w:ascii="Arial" w:cs="Arial" w:eastAsia="Arial" w:hAnsi="Arial"/>
                <w:sz w:val="18"/>
                <w:szCs w:val="18"/>
                <w:color w:val="0000FF"/>
              </w:rPr>
            </w:pPr>
            <w:hyperlink r:id="rId228">
              <w:r>
                <w:rPr>
                  <w:rFonts w:ascii="Arial" w:cs="Arial" w:eastAsia="Arial" w:hAnsi="Arial"/>
                  <w:sz w:val="18"/>
                  <w:szCs w:val="18"/>
                  <w:color w:val="0000FF"/>
                </w:rPr>
                <w:t>Form of Pass Through Trust Certificate, Series 2016-3B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228">
              <w:r>
                <w:rPr>
                  <w:rFonts w:ascii="Arial" w:cs="Arial" w:eastAsia="Arial" w:hAnsi="Arial"/>
                  <w:sz w:val="18"/>
                  <w:szCs w:val="18"/>
                  <w:color w:val="0000FF"/>
                  <w:w w:val="99"/>
                </w:rPr>
                <w:t>Current Report on Form 8-K filed on October 5, 2017 (Commission File No. 1-2691)).</w:t>
              </w:r>
            </w:hyperlink>
          </w:p>
        </w:tc>
        <w:tc>
          <w:tcPr>
            <w:tcW w:w="366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w w:val="99"/>
              </w:rPr>
            </w:pPr>
            <w:hyperlink r:id="rId231">
              <w:r>
                <w:rPr>
                  <w:rFonts w:ascii="Arial" w:cs="Arial" w:eastAsia="Arial" w:hAnsi="Arial"/>
                  <w:sz w:val="18"/>
                  <w:szCs w:val="18"/>
                  <w:color w:val="0000FF"/>
                  <w:w w:val="99"/>
                </w:rPr>
                <w:t>Revolving Credit Agreement (2016-3B), dated as of October 4, 2017,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231">
              <w:r>
                <w:rPr>
                  <w:rFonts w:ascii="Arial" w:cs="Arial" w:eastAsia="Arial" w:hAnsi="Arial"/>
                  <w:sz w:val="18"/>
                  <w:szCs w:val="18"/>
                  <w:color w:val="0000FF"/>
                </w:rPr>
                <w:t>as agent and trustee for the trustee of the American Airlines Pass Through Trust 2016-3B, as Borrower, and KfW IPEX-Bank</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658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231">
              <w:r>
                <w:rPr>
                  <w:rFonts w:ascii="Arial" w:cs="Arial" w:eastAsia="Arial" w:hAnsi="Arial"/>
                  <w:sz w:val="18"/>
                  <w:szCs w:val="18"/>
                  <w:color w:val="0000FF"/>
                </w:rPr>
                <w:t>GmbH, as Liquidity Provider 3B (incorporated by reference to Exhibit 4.8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231">
              <w:r>
                <w:rPr>
                  <w:rFonts w:ascii="Arial" w:cs="Arial" w:eastAsia="Arial" w:hAnsi="Arial"/>
                  <w:sz w:val="18"/>
                  <w:szCs w:val="18"/>
                  <w:color w:val="0000FF"/>
                  <w:w w:val="99"/>
                </w:rPr>
                <w:t>October 5, 2017 (Commission File No. 1-2691)).</w:t>
              </w:r>
            </w:hyperlink>
          </w:p>
        </w:tc>
        <w:tc>
          <w:tcPr>
            <w:tcW w:w="658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4.161</w:t>
            </w:r>
          </w:p>
        </w:tc>
        <w:tc>
          <w:tcPr>
            <w:tcW w:w="220" w:type="dxa"/>
            <w:vAlign w:val="bottom"/>
          </w:tcPr>
          <w:p>
            <w:pPr>
              <w:spacing w:after="0"/>
              <w:rPr>
                <w:sz w:val="20"/>
                <w:szCs w:val="20"/>
                <w:color w:val="auto"/>
              </w:rPr>
            </w:pPr>
          </w:p>
        </w:tc>
        <w:tc>
          <w:tcPr>
            <w:tcW w:w="10440" w:type="dxa"/>
            <w:vAlign w:val="bottom"/>
            <w:gridSpan w:val="12"/>
          </w:tcPr>
          <w:p>
            <w:pPr>
              <w:spacing w:after="0"/>
              <w:rPr>
                <w:rFonts w:ascii="Arial" w:cs="Arial" w:eastAsia="Arial" w:hAnsi="Arial"/>
                <w:sz w:val="18"/>
                <w:szCs w:val="18"/>
                <w:color w:val="0000FF"/>
              </w:rPr>
            </w:pPr>
            <w:hyperlink r:id="rId232">
              <w:r>
                <w:rPr>
                  <w:rFonts w:ascii="Arial" w:cs="Arial" w:eastAsia="Arial" w:hAnsi="Arial"/>
                  <w:sz w:val="18"/>
                  <w:szCs w:val="18"/>
                  <w:color w:val="0000FF"/>
                </w:rPr>
                <w:t>Trust Supplement No. 2017-2B, dated as of October 5, 2017,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32">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32">
              <w:r>
                <w:rPr>
                  <w:rFonts w:ascii="Arial" w:cs="Arial" w:eastAsia="Arial" w:hAnsi="Arial"/>
                  <w:sz w:val="18"/>
                  <w:szCs w:val="18"/>
                  <w:color w:val="0000FF"/>
                  <w:w w:val="99"/>
                </w:rPr>
                <w:t>American’s Current Report on Form 8-K filed on October 6, 2017 (Commission File No. 1-2691)).</w:t>
              </w:r>
            </w:hyperlink>
          </w:p>
        </w:tc>
        <w:tc>
          <w:tcPr>
            <w:tcW w:w="27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4.162</w:t>
            </w:r>
          </w:p>
        </w:tc>
        <w:tc>
          <w:tcPr>
            <w:tcW w:w="220" w:type="dxa"/>
            <w:vAlign w:val="bottom"/>
          </w:tcPr>
          <w:p>
            <w:pPr>
              <w:spacing w:after="0"/>
              <w:rPr>
                <w:sz w:val="20"/>
                <w:szCs w:val="20"/>
                <w:color w:val="auto"/>
              </w:rPr>
            </w:pPr>
          </w:p>
        </w:tc>
        <w:tc>
          <w:tcPr>
            <w:tcW w:w="10440" w:type="dxa"/>
            <w:vAlign w:val="bottom"/>
            <w:gridSpan w:val="12"/>
          </w:tcPr>
          <w:p>
            <w:pPr>
              <w:spacing w:after="0"/>
              <w:rPr>
                <w:rFonts w:ascii="Arial" w:cs="Arial" w:eastAsia="Arial" w:hAnsi="Arial"/>
                <w:sz w:val="18"/>
                <w:szCs w:val="18"/>
                <w:color w:val="0000FF"/>
              </w:rPr>
            </w:pPr>
            <w:hyperlink r:id="rId233">
              <w:r>
                <w:rPr>
                  <w:rFonts w:ascii="Arial" w:cs="Arial" w:eastAsia="Arial" w:hAnsi="Arial"/>
                  <w:sz w:val="18"/>
                  <w:szCs w:val="18"/>
                  <w:color w:val="0000FF"/>
                </w:rPr>
                <w:t>Amended and Restated Intercreditor Agreement (2017-2), dated as of October 5, 2017, among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33">
              <w:r>
                <w:rPr>
                  <w:rFonts w:ascii="Arial" w:cs="Arial" w:eastAsia="Arial" w:hAnsi="Arial"/>
                  <w:sz w:val="18"/>
                  <w:szCs w:val="18"/>
                  <w:color w:val="0000FF"/>
                </w:rPr>
                <w:t>Trustee of the American Airlines Pass Through Trust 2017-2AA, as Trustee of the American Airlines Pass Through Trust 2017-2A</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233">
              <w:r>
                <w:rPr>
                  <w:rFonts w:ascii="Arial" w:cs="Arial" w:eastAsia="Arial" w:hAnsi="Arial"/>
                  <w:sz w:val="18"/>
                  <w:szCs w:val="18"/>
                  <w:color w:val="0000FF"/>
                </w:rPr>
                <w:t>and as Trustee of the American Airlines Pass Through Trust 2017-2B, National Australia Bank Limited, as Class AA Liquidity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36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33">
              <w:r>
                <w:rPr>
                  <w:rFonts w:ascii="Arial" w:cs="Arial" w:eastAsia="Arial" w:hAnsi="Arial"/>
                  <w:sz w:val="18"/>
                  <w:szCs w:val="18"/>
                  <w:color w:val="0000FF"/>
                </w:rPr>
                <w:t>Provider, Class A Liquidity Provider and Class B Liquidity Provider, and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233">
              <w:r>
                <w:rPr>
                  <w:rFonts w:ascii="Arial" w:cs="Arial" w:eastAsia="Arial" w:hAnsi="Arial"/>
                  <w:sz w:val="18"/>
                  <w:szCs w:val="18"/>
                  <w:color w:val="0000FF"/>
                </w:rPr>
                <w:t>(incorporated by reference to Exhibit 4.3 to American’s Current Report on Form 8-K filed on October 6, 2017 (Commission File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r:id="rId233">
              <w:r>
                <w:rPr>
                  <w:rFonts w:ascii="Arial" w:cs="Arial" w:eastAsia="Arial" w:hAnsi="Arial"/>
                  <w:sz w:val="18"/>
                  <w:szCs w:val="18"/>
                  <w:color w:val="0000FF"/>
                  <w:w w:val="98"/>
                </w:rPr>
                <w:t>No. 1-2691)).</w:t>
              </w:r>
            </w:hyperlink>
          </w:p>
        </w:tc>
        <w:tc>
          <w:tcPr>
            <w:tcW w:w="936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234">
              <w:r>
                <w:rPr>
                  <w:rFonts w:ascii="Arial" w:cs="Arial" w:eastAsia="Arial" w:hAnsi="Arial"/>
                  <w:sz w:val="18"/>
                  <w:szCs w:val="18"/>
                  <w:color w:val="0000FF"/>
                </w:rPr>
                <w:t>Amended and Restated Note Purchase Agreement, dated as of October 5, 2017, among American Airlines, Inc.,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34">
              <w:r>
                <w:rPr>
                  <w:rFonts w:ascii="Arial" w:cs="Arial" w:eastAsia="Arial" w:hAnsi="Arial"/>
                  <w:sz w:val="18"/>
                  <w:szCs w:val="18"/>
                  <w:color w:val="0000FF"/>
                </w:rPr>
                <w:t>Company, as Pass Through Trustee under each of the Pass Through Trust Agreements, Wilmington Trust Company, as</w:t>
              </w:r>
            </w:hyperlink>
          </w:p>
        </w:tc>
      </w:tr>
    </w:tbl>
    <w:p>
      <w:pPr>
        <w:spacing w:after="0" w:line="13" w:lineRule="exact"/>
        <w:rPr>
          <w:sz w:val="20"/>
          <w:szCs w:val="20"/>
          <w:color w:val="auto"/>
        </w:rPr>
      </w:pPr>
    </w:p>
    <w:p>
      <w:pPr>
        <w:jc w:val="both"/>
        <w:ind w:left="760" w:right="20"/>
        <w:spacing w:after="0"/>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Subordination Agent, Wilmington Trust, National Association, as Escrow Agent, and Wilmington Trust Company, as Paying Agent</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(incorporated by reference to Exhibit 4.6 to American’s Current Report on Form 8-K filed on October 6, 2017 (Commission File</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No. 1-2691)).</w:t>
        </w:r>
      </w:hyperlink>
    </w:p>
    <w:p>
      <w:pPr>
        <w:spacing w:after="0" w:line="257" w:lineRule="exact"/>
        <w:rPr>
          <w:rFonts w:ascii="Arial" w:cs="Arial" w:eastAsia="Arial" w:hAnsi="Arial"/>
          <w:sz w:val="18"/>
          <w:szCs w:val="18"/>
          <w:u w:val="single" w:color="auto"/>
          <w:color w:val="0000FF"/>
        </w:rPr>
      </w:pPr>
    </w:p>
    <w:p>
      <w:pPr>
        <w:jc w:val="center"/>
        <w:ind w:right="180"/>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00"/>
          </w:cols>
          <w:pgMar w:left="440" w:top="747" w:right="25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2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4.164</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35">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35">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35">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35">
              <w:r>
                <w:rPr>
                  <w:rFonts w:ascii="Arial" w:cs="Arial" w:eastAsia="Arial" w:hAnsi="Arial"/>
                  <w:sz w:val="18"/>
                  <w:szCs w:val="18"/>
                  <w:color w:val="0000FF"/>
                </w:rPr>
                <w:t>(incorporated by reference to Exhibit B to Exhibit 4.6 to American’s Current Report on Form 8-K filed on October 6, 2017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235">
              <w:r>
                <w:rPr>
                  <w:rFonts w:ascii="Arial" w:cs="Arial" w:eastAsia="Arial" w:hAnsi="Arial"/>
                  <w:sz w:val="18"/>
                  <w:szCs w:val="18"/>
                  <w:color w:val="0000FF"/>
                  <w:w w:val="99"/>
                </w:rPr>
                <w:t>(Commission File No. 1-2691)).</w:t>
              </w:r>
            </w:hyperlink>
          </w:p>
        </w:tc>
        <w:tc>
          <w:tcPr>
            <w:tcW w:w="7940" w:type="dxa"/>
            <w:vAlign w:val="bottom"/>
            <w:gridSpan w:val="1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36">
              <w:r>
                <w:rPr>
                  <w:rFonts w:ascii="Arial" w:cs="Arial" w:eastAsia="Arial" w:hAnsi="Arial"/>
                  <w:sz w:val="18"/>
                  <w:szCs w:val="18"/>
                  <w:color w:val="0000FF"/>
                </w:rPr>
                <w:t>Form of First Amendment to Participation Agreement (First Amendment to Participation Agreement among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36">
              <w:r>
                <w:rPr>
                  <w:rFonts w:ascii="Arial" w:cs="Arial" w:eastAsia="Arial" w:hAnsi="Arial"/>
                  <w:sz w:val="18"/>
                  <w:szCs w:val="18"/>
                  <w:color w:val="0000FF"/>
                </w:rPr>
                <w:t>Wilmington Trust Company, as Pass Through Trustee under each of the Pass Through Trust Agreements,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36">
              <w:r>
                <w:rPr>
                  <w:rFonts w:ascii="Arial" w:cs="Arial" w:eastAsia="Arial" w:hAnsi="Arial"/>
                  <w:sz w:val="18"/>
                  <w:szCs w:val="18"/>
                  <w:color w:val="0000FF"/>
                </w:rPr>
                <w:t>Company, as Subordination Agent, Wilmington Trust Company, as Loan Trustee, and Wilmington Trust Company, in its individual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36">
              <w:r>
                <w:rPr>
                  <w:rFonts w:ascii="Arial" w:cs="Arial" w:eastAsia="Arial" w:hAnsi="Arial"/>
                  <w:sz w:val="18"/>
                  <w:szCs w:val="18"/>
                  <w:color w:val="0000FF"/>
                </w:rPr>
                <w:t>capacity as set forth therein) (incorporated by reference to Exhibit D to Exhibit 4.6 to American’s Current Report on Form 8-K filed</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36">
              <w:r>
                <w:rPr>
                  <w:rFonts w:ascii="Arial" w:cs="Arial" w:eastAsia="Arial" w:hAnsi="Arial"/>
                  <w:sz w:val="18"/>
                  <w:szCs w:val="18"/>
                  <w:color w:val="0000FF"/>
                </w:rPr>
                <w:t>on October 6, 2017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37">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37">
              <w:r>
                <w:rPr>
                  <w:rFonts w:ascii="Arial" w:cs="Arial" w:eastAsia="Arial" w:hAnsi="Arial"/>
                  <w:sz w:val="18"/>
                  <w:szCs w:val="18"/>
                  <w:color w:val="0000FF"/>
                </w:rPr>
                <w:t>Trust Company, as Loan Trustee) (incorporated by reference to Exhibit C to Exhibit 4.6 to American’s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37">
              <w:r>
                <w:rPr>
                  <w:rFonts w:ascii="Arial" w:cs="Arial" w:eastAsia="Arial" w:hAnsi="Arial"/>
                  <w:sz w:val="18"/>
                  <w:szCs w:val="18"/>
                  <w:color w:val="0000FF"/>
                </w:rPr>
                <w:t>filed on October 6, 2017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38">
              <w:r>
                <w:rPr>
                  <w:rFonts w:ascii="Arial" w:cs="Arial" w:eastAsia="Arial" w:hAnsi="Arial"/>
                  <w:sz w:val="18"/>
                  <w:szCs w:val="18"/>
                  <w:color w:val="0000FF"/>
                </w:rPr>
                <w:t>Form of Pass Through Trust Certificate, Series 2017-2B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238">
              <w:r>
                <w:rPr>
                  <w:rFonts w:ascii="Arial" w:cs="Arial" w:eastAsia="Arial" w:hAnsi="Arial"/>
                  <w:sz w:val="18"/>
                  <w:szCs w:val="18"/>
                  <w:color w:val="0000FF"/>
                  <w:w w:val="99"/>
                </w:rPr>
                <w:t>Current Report on Form 8-K filed on October 6, 2017 (Commission File No. 1-2691)).</w:t>
              </w:r>
            </w:hyperlink>
          </w:p>
        </w:tc>
        <w:tc>
          <w:tcPr>
            <w:tcW w:w="368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w w:val="99"/>
              </w:rPr>
            </w:pPr>
            <w:hyperlink r:id="rId239">
              <w:r>
                <w:rPr>
                  <w:rFonts w:ascii="Arial" w:cs="Arial" w:eastAsia="Arial" w:hAnsi="Arial"/>
                  <w:sz w:val="18"/>
                  <w:szCs w:val="18"/>
                  <w:color w:val="0000FF"/>
                  <w:w w:val="99"/>
                </w:rPr>
                <w:t>Revolving Credit Agreement (2017-2B), dated as of October 5, 2017,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39">
              <w:r>
                <w:rPr>
                  <w:rFonts w:ascii="Arial" w:cs="Arial" w:eastAsia="Arial" w:hAnsi="Arial"/>
                  <w:sz w:val="18"/>
                  <w:szCs w:val="18"/>
                  <w:color w:val="0000FF"/>
                </w:rPr>
                <w:t>as agent and trustee for the trustee of the American Airlines Pass Through Trust 2017-2B, as Borrower, and National Australia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39">
              <w:r>
                <w:rPr>
                  <w:rFonts w:ascii="Arial" w:cs="Arial" w:eastAsia="Arial" w:hAnsi="Arial"/>
                  <w:sz w:val="18"/>
                  <w:szCs w:val="18"/>
                  <w:color w:val="0000FF"/>
                </w:rPr>
                <w:t>Bank Limited, as Liquidity Provider (incorporated by reference to Exhibit 4.12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239">
              <w:r>
                <w:rPr>
                  <w:rFonts w:ascii="Arial" w:cs="Arial" w:eastAsia="Arial" w:hAnsi="Arial"/>
                  <w:sz w:val="18"/>
                  <w:szCs w:val="18"/>
                  <w:color w:val="0000FF"/>
                  <w:w w:val="99"/>
                </w:rPr>
                <w:t>October 6, 2017 (Commission File No. 1-2691)).</w:t>
              </w:r>
            </w:hyperlink>
          </w:p>
        </w:tc>
        <w:tc>
          <w:tcPr>
            <w:tcW w:w="6600" w:type="dxa"/>
            <w:vAlign w:val="bottom"/>
            <w:gridSpan w:val="10"/>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40">
              <w:r>
                <w:rPr>
                  <w:rFonts w:ascii="Arial" w:cs="Arial" w:eastAsia="Arial" w:hAnsi="Arial"/>
                  <w:sz w:val="18"/>
                  <w:szCs w:val="18"/>
                  <w:color w:val="0000FF"/>
                </w:rPr>
                <w:t>Trust Supplement No. 2012-2C(R), dated as of May 15, 2018,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40">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40">
              <w:r>
                <w:rPr>
                  <w:rFonts w:ascii="Arial" w:cs="Arial" w:eastAsia="Arial" w:hAnsi="Arial"/>
                  <w:sz w:val="18"/>
                  <w:szCs w:val="18"/>
                  <w:color w:val="0000FF"/>
                </w:rPr>
                <w:t>American Airlines, Inc.’s Current Report on Form 8-K filed on May 16, 2018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340" w:type="dxa"/>
            <w:vAlign w:val="bottom"/>
            <w:gridSpan w:val="7"/>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41">
              <w:r>
                <w:rPr>
                  <w:rFonts w:ascii="Arial" w:cs="Arial" w:eastAsia="Arial" w:hAnsi="Arial"/>
                  <w:sz w:val="18"/>
                  <w:szCs w:val="18"/>
                  <w:color w:val="0000FF"/>
                </w:rPr>
                <w:t>Form of Amendment No. 2 to Intercreditor Agreement (2012-2C(R)) among Wilmington Trust Company, not in its individual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capacity but solely as Trustee of the American Airlines, Inc. Pass Through Trust 2012-2C(R),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Wilmington Trust Company, not in its individual capacity but solely as Subordination Agent and Trustee (incorporated by reference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to Exhibit C to Exhibit 4.6 to American Airlines, Inc.’s Current Report on Form 8-K filed on May 16, 2018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241">
              <w:r>
                <w:rPr>
                  <w:rFonts w:ascii="Arial" w:cs="Arial" w:eastAsia="Arial" w:hAnsi="Arial"/>
                  <w:sz w:val="18"/>
                  <w:szCs w:val="18"/>
                  <w:color w:val="0000FF"/>
                  <w:w w:val="94"/>
                </w:rPr>
                <w:t>2691)</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1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4.171</w:t>
            </w:r>
          </w:p>
        </w:tc>
        <w:tc>
          <w:tcPr>
            <w:tcW w:w="220" w:type="dxa"/>
            <w:vAlign w:val="bottom"/>
          </w:tcPr>
          <w:p>
            <w:pPr>
              <w:spacing w:after="0"/>
              <w:rPr>
                <w:sz w:val="20"/>
                <w:szCs w:val="20"/>
                <w:color w:val="auto"/>
              </w:rPr>
            </w:pPr>
          </w:p>
        </w:tc>
        <w:tc>
          <w:tcPr>
            <w:tcW w:w="10420" w:type="dxa"/>
            <w:vAlign w:val="bottom"/>
            <w:tcBorders>
              <w:bottom w:val="single" w:sz="8" w:color="0000FF"/>
            </w:tcBorders>
            <w:gridSpan w:val="14"/>
          </w:tcPr>
          <w:p>
            <w:pPr>
              <w:spacing w:after="0"/>
              <w:rPr>
                <w:rFonts w:ascii="Arial" w:cs="Arial" w:eastAsia="Arial" w:hAnsi="Arial"/>
                <w:sz w:val="18"/>
                <w:szCs w:val="18"/>
                <w:color w:val="0000FF"/>
              </w:rPr>
            </w:pPr>
            <w:hyperlink r:id="rId241">
              <w:r>
                <w:rPr>
                  <w:rFonts w:ascii="Arial" w:cs="Arial" w:eastAsia="Arial" w:hAnsi="Arial"/>
                  <w:sz w:val="18"/>
                  <w:szCs w:val="18"/>
                  <w:color w:val="0000FF"/>
                </w:rPr>
                <w:t>Note Purchase Agreement, dated as of May 15, 2018, among American Airlines, Inc., Wilmington Trust Company, not in its</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individual capacity, but solely as Pass Through Trustee under the Class C(R) Pass Through Trust Agreement,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Agent and as Indenture Trustee, Wilmington Trust, National Association, as Escrow Agent,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Paying Agent (incorporated by reference to Exhibit 4.6 to American Airlines, Inc.’s Current Report on Form 8-K filed on May 16,</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41">
              <w:r>
                <w:rPr>
                  <w:rFonts w:ascii="Arial" w:cs="Arial" w:eastAsia="Arial" w:hAnsi="Arial"/>
                  <w:sz w:val="18"/>
                  <w:szCs w:val="18"/>
                  <w:color w:val="0000FF"/>
                  <w:w w:val="99"/>
                </w:rPr>
                <w:t>2018 (Commission File No. 1- 2691)).</w:t>
              </w:r>
            </w:hyperlink>
          </w:p>
        </w:tc>
        <w:tc>
          <w:tcPr>
            <w:tcW w:w="7440" w:type="dxa"/>
            <w:vAlign w:val="bottom"/>
            <w:gridSpan w:val="1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41">
              <w:r>
                <w:rPr>
                  <w:rFonts w:ascii="Arial" w:cs="Arial" w:eastAsia="Arial" w:hAnsi="Arial"/>
                  <w:sz w:val="18"/>
                  <w:szCs w:val="18"/>
                  <w:color w:val="0000FF"/>
                </w:rPr>
                <w:t>Form of Amendment to Participation Agreement (Amendment to Participation Agreement among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Wilmington Trust Company, not in its individual capacity, but solely as Subordination Agent and as Indenture Trustee,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241">
              <w:r>
                <w:rPr>
                  <w:rFonts w:ascii="Arial" w:cs="Arial" w:eastAsia="Arial" w:hAnsi="Arial"/>
                  <w:sz w:val="18"/>
                  <w:szCs w:val="18"/>
                  <w:color w:val="0000FF"/>
                  <w:w w:val="99"/>
                </w:rPr>
                <w:t>Wilmington Trust Company, not in its individual capacity, but solely as Pass Through Trustee under each of the Pass Through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Agreements) (incorporated by reference to Exhibit A to Exhibit 4.6 to American Airlines, Inc.’s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May 16, 2018 (Commission File No. 1- 2691)).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41">
              <w:r>
                <w:rPr>
                  <w:rFonts w:ascii="Arial" w:cs="Arial" w:eastAsia="Arial" w:hAnsi="Arial"/>
                  <w:sz w:val="18"/>
                  <w:szCs w:val="18"/>
                  <w:color w:val="0000FF"/>
                </w:rPr>
                <w:t>Form of Amendment to Trust Indenture and Security Agreement (Amendment to Trust Indenture and Security Agreement between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American Airlines, Inc., Wilmington Trust Company, not in its individual capacity, but solely as Indenture Trustee,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Trust, National Association, as Securities Intermediary) (incorporated by reference to Exhibit B to Exhibit 4.6 to American Airlines,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Inc.’s Current Report on Form 8-K filed on May 16, 2018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20" w:type="dxa"/>
            <w:vAlign w:val="bottom"/>
            <w:gridSpan w:val="11"/>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4.174</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40">
              <w:r>
                <w:rPr>
                  <w:rFonts w:ascii="Arial" w:cs="Arial" w:eastAsia="Arial" w:hAnsi="Arial"/>
                  <w:sz w:val="18"/>
                  <w:szCs w:val="18"/>
                  <w:color w:val="0000FF"/>
                </w:rPr>
                <w:t>Form of Pass Through Trust Certificate, Series 2012-2C(R) (incorporated by reference to Exhibit A to Exhibit 4.2 to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240">
              <w:r>
                <w:rPr>
                  <w:rFonts w:ascii="Arial" w:cs="Arial" w:eastAsia="Arial" w:hAnsi="Arial"/>
                  <w:sz w:val="18"/>
                  <w:szCs w:val="18"/>
                  <w:color w:val="0000FF"/>
                  <w:w w:val="99"/>
                </w:rPr>
                <w:t>Airlines, Inc.’s Current Report on Form 8-K filed on May 16, 2018 (Commission File No. 1-2691)).</w:t>
              </w:r>
            </w:hyperlink>
          </w:p>
        </w:tc>
        <w:tc>
          <w:tcPr>
            <w:tcW w:w="270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42">
              <w:r>
                <w:rPr>
                  <w:rFonts w:ascii="Arial" w:cs="Arial" w:eastAsia="Arial" w:hAnsi="Arial"/>
                  <w:sz w:val="18"/>
                  <w:szCs w:val="18"/>
                  <w:color w:val="0000FF"/>
                </w:rPr>
                <w:t>Amended and Restated Credit and Guaranty Agreement, dated as of December 15, 2016, amending the Loan Agreement, dated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2">
              <w:r>
                <w:rPr>
                  <w:rFonts w:ascii="Arial" w:cs="Arial" w:eastAsia="Arial" w:hAnsi="Arial"/>
                  <w:sz w:val="18"/>
                  <w:szCs w:val="18"/>
                  <w:color w:val="0000FF"/>
                </w:rPr>
                <w:t>as of May 23, 2013, among American Airlines, Inc. (as successor in interest to US Airways, Inc., as borrower), as the borrower,</w:t>
              </w:r>
            </w:hyperlink>
          </w:p>
        </w:tc>
      </w:tr>
    </w:tbl>
    <w:p>
      <w:pPr>
        <w:spacing w:after="0" w:line="13" w:lineRule="exact"/>
        <w:rPr>
          <w:sz w:val="20"/>
          <w:szCs w:val="20"/>
          <w:color w:val="auto"/>
        </w:rPr>
      </w:pPr>
    </w:p>
    <w:p>
      <w:pPr>
        <w:jc w:val="both"/>
        <w:ind w:left="760"/>
        <w:spacing w:after="0" w:line="238" w:lineRule="auto"/>
        <w:rPr>
          <w:rFonts w:ascii="Arial" w:cs="Arial" w:eastAsia="Arial" w:hAnsi="Arial"/>
          <w:sz w:val="18"/>
          <w:szCs w:val="18"/>
          <w:u w:val="single" w:color="auto"/>
          <w:color w:val="0000FF"/>
        </w:rPr>
      </w:pPr>
      <w:hyperlink r:id="rId242">
        <w:r>
          <w:rPr>
            <w:rFonts w:ascii="Arial" w:cs="Arial" w:eastAsia="Arial" w:hAnsi="Arial"/>
            <w:sz w:val="18"/>
            <w:szCs w:val="18"/>
            <w:u w:val="single" w:color="auto"/>
            <w:color w:val="0000FF"/>
          </w:rPr>
          <w:t>American Airlines Group Inc., as parent and guarantor (as successor in interest to US Airways Group, Inc., as parent and</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guarantor), the lenders from time to time party thereto, Citibank N.A., as administrative agent and collateral agent (as successor in</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interest to Citicorp North America Inc., as administrative agent and collateral agent), and certain other parties thereto. (incorporated</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by reference to Exhibit 10.1 to AAG’s Annual Report on Form 10-K for the year ended December 31, 2016 (Commission File No. 1-</w:t>
        </w:r>
      </w:hyperlink>
      <w:hyperlink r:id="rId242">
        <w:r>
          <w:rPr>
            <w:rFonts w:ascii="Arial" w:cs="Arial" w:eastAsia="Arial" w:hAnsi="Arial"/>
            <w:sz w:val="18"/>
            <w:szCs w:val="18"/>
            <w:u w:val="single" w:color="auto"/>
            <w:color w:val="0000FF"/>
          </w:rPr>
          <w:t>8400)).</w:t>
        </w:r>
      </w:hyperlink>
    </w:p>
    <w:p>
      <w:pPr>
        <w:spacing w:after="0" w:line="257" w:lineRule="exact"/>
        <w:rPr>
          <w:rFonts w:ascii="Arial" w:cs="Arial" w:eastAsia="Arial" w:hAnsi="Arial"/>
          <w:sz w:val="18"/>
          <w:szCs w:val="18"/>
          <w:u w:val="single" w:color="auto"/>
          <w:color w:val="0000FF"/>
        </w:rPr>
      </w:pPr>
    </w:p>
    <w:p>
      <w:pPr>
        <w:jc w:val="center"/>
        <w:ind w:right="180"/>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440" w:top="748" w:right="25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62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0"/>
          </w:tcPr>
          <w:p>
            <w:pPr>
              <w:spacing w:after="0"/>
              <w:rPr>
                <w:rFonts w:ascii="Arial" w:cs="Arial" w:eastAsia="Arial" w:hAnsi="Arial"/>
                <w:sz w:val="18"/>
                <w:szCs w:val="18"/>
                <w:color w:val="0000FF"/>
              </w:rPr>
            </w:pPr>
            <w:hyperlink r:id="rId243">
              <w:r>
                <w:rPr>
                  <w:rFonts w:ascii="Arial" w:cs="Arial" w:eastAsia="Arial" w:hAnsi="Arial"/>
                  <w:sz w:val="18"/>
                  <w:szCs w:val="18"/>
                  <w:color w:val="0000FF"/>
                </w:rPr>
                <w:t>First Amendment to Amended and Restated Credit and Guaranty Agreement, dated as of November 14, 2017,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Amended and Restated Credit and Guaranty Agreement, dated as of December 15, 2016, amending the Loan Agreement, dated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as of May 23, 2013, among American Airlines, Inc. (as successor in interest to US Airways, Inc., as borrower), as the borrower,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American Airlines Group Inc., as parent and guarantor (as successor in interest to US Airways Group, Inc., as parent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guarantor), the lenders from time to time party thereto, Citibank N.A., as administrative agent and collateral agent (as successor 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interest to Citicorp North America Inc., as administrative agent and collateral agent), and certain other parties thereto (incorporated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243">
              <w:r>
                <w:rPr>
                  <w:rFonts w:ascii="Arial" w:cs="Arial" w:eastAsia="Arial" w:hAnsi="Arial"/>
                  <w:sz w:val="18"/>
                  <w:szCs w:val="18"/>
                  <w:color w:val="0000FF"/>
                  <w:w w:val="99"/>
                </w:rPr>
                <w:t>by reference to Exhibit 10.2 to AAG’s Annual Report on Form 10-K for the year ended December 31, 2017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243">
              <w:r>
                <w:rPr>
                  <w:rFonts w:ascii="Arial" w:cs="Arial" w:eastAsia="Arial" w:hAnsi="Arial"/>
                  <w:sz w:val="18"/>
                  <w:szCs w:val="18"/>
                  <w:color w:val="0000FF"/>
                  <w:w w:val="94"/>
                </w:rPr>
                <w:t>8400)</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0"/>
          </w:tcPr>
          <w:p>
            <w:pPr>
              <w:spacing w:after="0"/>
              <w:rPr>
                <w:rFonts w:ascii="Arial" w:cs="Arial" w:eastAsia="Arial" w:hAnsi="Arial"/>
                <w:sz w:val="18"/>
                <w:szCs w:val="18"/>
                <w:color w:val="0000FF"/>
              </w:rPr>
            </w:pPr>
            <w:hyperlink r:id="rId244">
              <w:r>
                <w:rPr>
                  <w:rFonts w:ascii="Arial" w:cs="Arial" w:eastAsia="Arial" w:hAnsi="Arial"/>
                  <w:sz w:val="18"/>
                  <w:szCs w:val="18"/>
                  <w:color w:val="0000FF"/>
                </w:rPr>
                <w:t>First Amendment and Restatement Agreement, dated as of April 20, 2015, in relation to the Credit and Guaranty Agreement, dated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44">
              <w:r>
                <w:rPr>
                  <w:rFonts w:ascii="Arial" w:cs="Arial" w:eastAsia="Arial" w:hAnsi="Arial"/>
                  <w:sz w:val="18"/>
                  <w:szCs w:val="18"/>
                  <w:color w:val="0000FF"/>
                </w:rPr>
                <w:t>as of October 10, 2014 (as amended), among American Airlines Group Inc. (as successor in interest to US Airways Group,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44">
              <w:r>
                <w:rPr>
                  <w:rFonts w:ascii="Arial" w:cs="Arial" w:eastAsia="Arial" w:hAnsi="Arial"/>
                  <w:sz w:val="18"/>
                  <w:szCs w:val="18"/>
                  <w:color w:val="0000FF"/>
                </w:rPr>
                <w:t>American Airlines, Inc. (as successor in interest to US Airways, Inc.), the Revolving Lenders (as defined therein) party thereto,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4">
              <w:r>
                <w:rPr>
                  <w:rFonts w:ascii="Arial" w:cs="Arial" w:eastAsia="Arial" w:hAnsi="Arial"/>
                  <w:sz w:val="18"/>
                  <w:szCs w:val="18"/>
                  <w:color w:val="0000FF"/>
                </w:rPr>
                <w:t>2015 Term Loan Lenders (as defined therein) party thereto and Citibank N.A., as administrative agent and collateral agent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78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44">
              <w:r>
                <w:rPr>
                  <w:rFonts w:ascii="Arial" w:cs="Arial" w:eastAsia="Arial" w:hAnsi="Arial"/>
                  <w:sz w:val="18"/>
                  <w:szCs w:val="18"/>
                  <w:color w:val="0000FF"/>
                </w:rPr>
                <w:t>(incorporated by reference to Exhibit 10.4 to AAG’s Quarterly Report on Form 10-Q for the quarter ended June 30, 2015</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44">
              <w:r>
                <w:rPr>
                  <w:rFonts w:ascii="Arial" w:cs="Arial" w:eastAsia="Arial" w:hAnsi="Arial"/>
                  <w:sz w:val="18"/>
                  <w:szCs w:val="18"/>
                  <w:color w:val="0000FF"/>
                  <w:w w:val="99"/>
                </w:rPr>
                <w:t>(Commission File No. 1-8400)).</w:t>
              </w:r>
            </w:hyperlink>
          </w:p>
        </w:tc>
        <w:tc>
          <w:tcPr>
            <w:tcW w:w="7920" w:type="dxa"/>
            <w:vAlign w:val="bottom"/>
            <w:gridSpan w:val="7"/>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0"/>
          </w:tcPr>
          <w:p>
            <w:pPr>
              <w:spacing w:after="0"/>
              <w:rPr>
                <w:rFonts w:ascii="Arial" w:cs="Arial" w:eastAsia="Arial" w:hAnsi="Arial"/>
                <w:sz w:val="18"/>
                <w:szCs w:val="18"/>
                <w:color w:val="0000FF"/>
              </w:rPr>
            </w:pPr>
            <w:hyperlink r:id="rId245">
              <w:r>
                <w:rPr>
                  <w:rFonts w:ascii="Arial" w:cs="Arial" w:eastAsia="Arial" w:hAnsi="Arial"/>
                  <w:sz w:val="18"/>
                  <w:szCs w:val="18"/>
                  <w:color w:val="0000FF"/>
                </w:rPr>
                <w:t>First Amendment to Amended and Restated Credit and Guaranty Agreement, dated as of October 26, 2015,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45">
              <w:r>
                <w:rPr>
                  <w:rFonts w:ascii="Arial" w:cs="Arial" w:eastAsia="Arial" w:hAnsi="Arial"/>
                  <w:sz w:val="18"/>
                  <w:szCs w:val="18"/>
                  <w:color w:val="0000FF"/>
                </w:rPr>
                <w:t>Amended and Restated Credit and Guaranty Agreement, dated as of April 20, 2015, among American Airlines, Inc. (as successor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5">
              <w:r>
                <w:rPr>
                  <w:rFonts w:ascii="Arial" w:cs="Arial" w:eastAsia="Arial" w:hAnsi="Arial"/>
                  <w:sz w:val="18"/>
                  <w:szCs w:val="18"/>
                  <w:color w:val="0000FF"/>
                </w:rPr>
                <w:t>in interest to US Airways, Inc.), American Airlines Group Inc. (as successor in interest to US Airways Group, Inc.), the lenders from</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78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5">
              <w:r>
                <w:rPr>
                  <w:rFonts w:ascii="Arial" w:cs="Arial" w:eastAsia="Arial" w:hAnsi="Arial"/>
                  <w:sz w:val="18"/>
                  <w:szCs w:val="18"/>
                  <w:color w:val="0000FF"/>
                </w:rPr>
                <w:t>time to time party thereto, Citibank N.A., as administrative agent, and certain other parties thereto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245">
              <w:r>
                <w:rPr>
                  <w:rFonts w:ascii="Arial" w:cs="Arial" w:eastAsia="Arial" w:hAnsi="Arial"/>
                  <w:sz w:val="18"/>
                  <w:szCs w:val="18"/>
                  <w:color w:val="0000FF"/>
                  <w:w w:val="99"/>
                </w:rPr>
                <w:t>Exhibit 10.6 to AAG’s Annual Report on Form 10-K for the year ended December 31, 2015 (Commission File No. 1-8400)).</w:t>
              </w:r>
            </w:hyperlink>
          </w:p>
        </w:tc>
        <w:tc>
          <w:tcPr>
            <w:tcW w:w="6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0"/>
          </w:tcPr>
          <w:p>
            <w:pPr>
              <w:spacing w:after="0"/>
              <w:rPr>
                <w:rFonts w:ascii="Arial" w:cs="Arial" w:eastAsia="Arial" w:hAnsi="Arial"/>
                <w:sz w:val="18"/>
                <w:szCs w:val="18"/>
                <w:color w:val="0000FF"/>
              </w:rPr>
            </w:pPr>
            <w:hyperlink r:id="rId246">
              <w:r>
                <w:rPr>
                  <w:rFonts w:ascii="Arial" w:cs="Arial" w:eastAsia="Arial" w:hAnsi="Arial"/>
                  <w:sz w:val="18"/>
                  <w:szCs w:val="18"/>
                  <w:color w:val="0000FF"/>
                </w:rPr>
                <w:t>Second Amendment to Amended and Restated Credit and Guaranty Agreement, dated as of September 22, 2016,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6">
              <w:r>
                <w:rPr>
                  <w:rFonts w:ascii="Arial" w:cs="Arial" w:eastAsia="Arial" w:hAnsi="Arial"/>
                  <w:sz w:val="18"/>
                  <w:szCs w:val="18"/>
                  <w:color w:val="0000FF"/>
                </w:rPr>
                <w:t>Amended and Restated Credit and Guaranty Agreement, dated as of April 20, 2015, among American Airlines, Inc., American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6">
              <w:r>
                <w:rPr>
                  <w:rFonts w:ascii="Arial" w:cs="Arial" w:eastAsia="Arial" w:hAnsi="Arial"/>
                  <w:sz w:val="18"/>
                  <w:szCs w:val="18"/>
                  <w:color w:val="0000FF"/>
                </w:rPr>
                <w:t>Airlines Group Inc., the lenders from time to time party thereto, Citibank N.A., as administrative agent, and certain other parties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46">
              <w:r>
                <w:rPr>
                  <w:rFonts w:ascii="Arial" w:cs="Arial" w:eastAsia="Arial" w:hAnsi="Arial"/>
                  <w:sz w:val="18"/>
                  <w:szCs w:val="18"/>
                  <w:color w:val="0000FF"/>
                </w:rPr>
                <w:t>thereto (incorporated by reference to Exhibit 10.1 to AAG’s Quarterly Report on Form 10-Q for the quarter ended September 30,</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6">
              <w:r>
                <w:rPr>
                  <w:rFonts w:ascii="Arial" w:cs="Arial" w:eastAsia="Arial" w:hAnsi="Arial"/>
                  <w:sz w:val="18"/>
                  <w:szCs w:val="18"/>
                  <w:color w:val="0000FF"/>
                </w:rPr>
                <w:t>2016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220" w:type="dxa"/>
            <w:vAlign w:val="bottom"/>
          </w:tcPr>
          <w:p>
            <w:pPr>
              <w:spacing w:after="0"/>
              <w:rPr>
                <w:sz w:val="20"/>
                <w:szCs w:val="20"/>
                <w:color w:val="auto"/>
              </w:rPr>
            </w:pPr>
          </w:p>
        </w:tc>
        <w:tc>
          <w:tcPr>
            <w:tcW w:w="10440" w:type="dxa"/>
            <w:vAlign w:val="bottom"/>
            <w:gridSpan w:val="10"/>
          </w:tcPr>
          <w:p>
            <w:pPr>
              <w:spacing w:after="0"/>
              <w:rPr>
                <w:rFonts w:ascii="Arial" w:cs="Arial" w:eastAsia="Arial" w:hAnsi="Arial"/>
                <w:sz w:val="18"/>
                <w:szCs w:val="18"/>
                <w:color w:val="0000FF"/>
              </w:rPr>
            </w:pPr>
            <w:hyperlink r:id="rId247">
              <w:r>
                <w:rPr>
                  <w:rFonts w:ascii="Arial" w:cs="Arial" w:eastAsia="Arial" w:hAnsi="Arial"/>
                  <w:sz w:val="18"/>
                  <w:szCs w:val="18"/>
                  <w:color w:val="0000FF"/>
                </w:rPr>
                <w:t>Third Amendment to the Amended and Restated Credit and Guaranty Agreement, dated as of June 14, 2017, amending the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4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Amended and Restated Credit and Guaranty Agreement, dated as of April 20, 2015, among American Airlines, Inc., American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4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Airlines Group Inc., the lenders from time to time party thereto, Citibank N.A., as administrative agent, and certain other parties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4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thereto (incorporated by reference to Exhibit 10.2 to AAG’s Quarterly Report on Form 10-Q for the quarter ended June 30, 2017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47">
              <w:r>
                <w:rPr>
                  <w:rFonts w:ascii="Arial" w:cs="Arial" w:eastAsia="Arial" w:hAnsi="Arial"/>
                  <w:sz w:val="18"/>
                  <w:szCs w:val="18"/>
                  <w:color w:val="0000FF"/>
                  <w:w w:val="99"/>
                </w:rPr>
                <w:t>(Commission File No. 1-8400)).</w:t>
              </w:r>
            </w:hyperlink>
          </w:p>
        </w:tc>
        <w:tc>
          <w:tcPr>
            <w:tcW w:w="7920" w:type="dxa"/>
            <w:vAlign w:val="bottom"/>
            <w:gridSpan w:val="7"/>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0"/>
          </w:tcPr>
          <w:p>
            <w:pPr>
              <w:spacing w:after="0"/>
              <w:rPr>
                <w:rFonts w:ascii="Arial" w:cs="Arial" w:eastAsia="Arial" w:hAnsi="Arial"/>
                <w:sz w:val="18"/>
                <w:szCs w:val="18"/>
                <w:color w:val="0000FF"/>
              </w:rPr>
            </w:pPr>
            <w:hyperlink r:id="rId248">
              <w:r>
                <w:rPr>
                  <w:rFonts w:ascii="Arial" w:cs="Arial" w:eastAsia="Arial" w:hAnsi="Arial"/>
                  <w:sz w:val="18"/>
                  <w:szCs w:val="18"/>
                  <w:color w:val="0000FF"/>
                </w:rPr>
                <w:t>Fourth Amendment to the Amended and Restated Credit and Guaranty Agreement, dated as of August 21, 2017,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8">
              <w:r>
                <w:rPr>
                  <w:rFonts w:ascii="Arial" w:cs="Arial" w:eastAsia="Arial" w:hAnsi="Arial"/>
                  <w:sz w:val="18"/>
                  <w:szCs w:val="18"/>
                  <w:color w:val="0000FF"/>
                </w:rPr>
                <w:t>Amended and Restated Credit and Guaranty Agreement, dated as of April 20, 2015, among American Airlines, Inc., American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4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8">
              <w:r>
                <w:rPr>
                  <w:rFonts w:ascii="Arial" w:cs="Arial" w:eastAsia="Arial" w:hAnsi="Arial"/>
                  <w:sz w:val="18"/>
                  <w:szCs w:val="18"/>
                  <w:color w:val="0000FF"/>
                </w:rPr>
                <w:t>Airlines Group Inc., the lenders from time to time party thereto, Citibank N.A., as administrative agent, and certain other parties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4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48">
              <w:r>
                <w:rPr>
                  <w:rFonts w:ascii="Arial" w:cs="Arial" w:eastAsia="Arial" w:hAnsi="Arial"/>
                  <w:sz w:val="18"/>
                  <w:szCs w:val="18"/>
                  <w:color w:val="0000FF"/>
                </w:rPr>
                <w:t>thereto (incorporated by reference to Exhibit 10.7 to AAG’s Annual Report on Form 10-K for the year ended December 31, 2017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8">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0"/>
          </w:tcPr>
          <w:p>
            <w:pPr>
              <w:spacing w:after="0"/>
              <w:rPr>
                <w:rFonts w:ascii="Arial" w:cs="Arial" w:eastAsia="Arial" w:hAnsi="Arial"/>
                <w:sz w:val="18"/>
                <w:szCs w:val="18"/>
                <w:color w:val="0000FF"/>
              </w:rPr>
            </w:pPr>
            <w:hyperlink r:id="rId249">
              <w:r>
                <w:rPr>
                  <w:rFonts w:ascii="Arial" w:cs="Arial" w:eastAsia="Arial" w:hAnsi="Arial"/>
                  <w:sz w:val="18"/>
                  <w:szCs w:val="18"/>
                  <w:color w:val="0000FF"/>
                </w:rPr>
                <w:t>Fifth Amendment to the Amended and Restated Credit and Guaranty Agreement, dated as of September 17, 2018,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9">
              <w:r>
                <w:rPr>
                  <w:rFonts w:ascii="Arial" w:cs="Arial" w:eastAsia="Arial" w:hAnsi="Arial"/>
                  <w:sz w:val="18"/>
                  <w:szCs w:val="18"/>
                  <w:color w:val="0000FF"/>
                </w:rPr>
                <w:t>Amended and Restated Credit and Guaranty Agreement, dated as of April 20, 2015, among American Airlines, Inc., American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4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9">
              <w:r>
                <w:rPr>
                  <w:rFonts w:ascii="Arial" w:cs="Arial" w:eastAsia="Arial" w:hAnsi="Arial"/>
                  <w:sz w:val="18"/>
                  <w:szCs w:val="18"/>
                  <w:color w:val="0000FF"/>
                </w:rPr>
                <w:t>Airlines Group Inc., the lenders from time to time party thereto, Citibank N.A., as administrative agent, and certain other parties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4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49">
              <w:r>
                <w:rPr>
                  <w:rFonts w:ascii="Arial" w:cs="Arial" w:eastAsia="Arial" w:hAnsi="Arial"/>
                  <w:sz w:val="18"/>
                  <w:szCs w:val="18"/>
                  <w:color w:val="0000FF"/>
                </w:rPr>
                <w:t>thereto (incorporated by reference to Exhibit 10.1 to AAG’s Quarterly Report on Form 10-Q for the quarter ended September 30,</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49">
              <w:r>
                <w:rPr>
                  <w:rFonts w:ascii="Arial" w:cs="Arial" w:eastAsia="Arial" w:hAnsi="Arial"/>
                  <w:sz w:val="18"/>
                  <w:szCs w:val="18"/>
                  <w:color w:val="0000FF"/>
                </w:rPr>
                <w:t>2018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0"/>
          </w:tcPr>
          <w:p>
            <w:pPr>
              <w:spacing w:after="0"/>
              <w:rPr>
                <w:rFonts w:ascii="Arial" w:cs="Arial" w:eastAsia="Arial" w:hAnsi="Arial"/>
                <w:sz w:val="18"/>
                <w:szCs w:val="18"/>
                <w:color w:val="0000FF"/>
              </w:rPr>
            </w:pPr>
            <w:hyperlink w:anchor="page203">
              <w:r>
                <w:rPr>
                  <w:rFonts w:ascii="Arial" w:cs="Arial" w:eastAsia="Arial" w:hAnsi="Arial"/>
                  <w:sz w:val="18"/>
                  <w:szCs w:val="18"/>
                  <w:color w:val="0000FF"/>
                </w:rPr>
                <w:t>Sixth Amendment to the Amended and Restated Credit and Guaranty Agreement, dated as of December 10, 2018,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w:anchor="page203">
              <w:r>
                <w:rPr>
                  <w:rFonts w:ascii="Arial" w:cs="Arial" w:eastAsia="Arial" w:hAnsi="Arial"/>
                  <w:sz w:val="18"/>
                  <w:szCs w:val="18"/>
                  <w:color w:val="0000FF"/>
                </w:rPr>
                <w:t>Amended and Restated Credit and Guaranty Agreement, dated as of April 20, 2015, among American Airlines, Inc., American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79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w:anchor="page203">
              <w:r>
                <w:rPr>
                  <w:rFonts w:ascii="Arial" w:cs="Arial" w:eastAsia="Arial" w:hAnsi="Arial"/>
                  <w:sz w:val="18"/>
                  <w:szCs w:val="18"/>
                  <w:color w:val="0000FF"/>
                </w:rPr>
                <w:t>Airlines Group Inc., the lenders from time to time party thereto, Citibank N.A., as administrative agent, and certain other parties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w:anchor="page203">
              <w:r>
                <w:rPr>
                  <w:rFonts w:ascii="Arial" w:cs="Arial" w:eastAsia="Arial" w:hAnsi="Arial"/>
                  <w:sz w:val="18"/>
                  <w:szCs w:val="18"/>
                  <w:color w:val="0000FF"/>
                </w:rPr>
                <w:t>thereto.</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0"/>
                <w:szCs w:val="20"/>
                <w:color w:val="auto"/>
              </w:rPr>
            </w:pPr>
          </w:p>
        </w:tc>
        <w:tc>
          <w:tcPr>
            <w:tcW w:w="10420" w:type="dxa"/>
            <w:vAlign w:val="bottom"/>
            <w:tcBorders>
              <w:bottom w:val="single" w:sz="8" w:color="0000FF"/>
            </w:tcBorders>
            <w:gridSpan w:val="9"/>
          </w:tcPr>
          <w:p>
            <w:pPr>
              <w:spacing w:after="0"/>
              <w:rPr>
                <w:rFonts w:ascii="Arial" w:cs="Arial" w:eastAsia="Arial" w:hAnsi="Arial"/>
                <w:sz w:val="18"/>
                <w:szCs w:val="18"/>
                <w:color w:val="0000FF"/>
              </w:rPr>
            </w:pPr>
            <w:hyperlink r:id="rId250">
              <w:r>
                <w:rPr>
                  <w:rFonts w:ascii="Arial" w:cs="Arial" w:eastAsia="Arial" w:hAnsi="Arial"/>
                  <w:sz w:val="18"/>
                  <w:szCs w:val="18"/>
                  <w:color w:val="0000FF"/>
                </w:rPr>
                <w:t>First Amendment and Restatement Agreement, dated as of May 21, 2015, in relation to the Credit and Guaranty Agreement, dated</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as of June 27, 2013 (as amended), among American Airlines Group Inc. (as successor in interest to US Airways Group,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gridSpan w:val="3"/>
            <w:shd w:val="clear" w:color="auto" w:fill="0000FF"/>
          </w:tcPr>
          <w:p>
            <w:pPr>
              <w:spacing w:after="0" w:line="20" w:lineRule="exact"/>
              <w:rPr>
                <w:sz w:val="1"/>
                <w:szCs w:val="1"/>
                <w:color w:val="auto"/>
              </w:rPr>
            </w:pPr>
          </w:p>
        </w:tc>
        <w:tc>
          <w:tcPr>
            <w:tcW w:w="79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American Airlines, Inc. (as successor in interest to US Airways, Inc.), the Revolving Lenders (as defined therein) party thereto,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2015 Term Loan Lenders (as defined therein) party thereto and Deutsche Bank AG New York Branch, as administrative agent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collateral agent (incorporated by reference to Exhibit 10.5 to AAG’s Quarterly Report on Form 10-Q for the quarter ended June 30,</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2015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0"/>
          </w:tcPr>
          <w:p>
            <w:pPr>
              <w:spacing w:after="0"/>
              <w:rPr>
                <w:rFonts w:ascii="Arial" w:cs="Arial" w:eastAsia="Arial" w:hAnsi="Arial"/>
                <w:sz w:val="18"/>
                <w:szCs w:val="18"/>
                <w:color w:val="0000FF"/>
              </w:rPr>
            </w:pPr>
            <w:hyperlink r:id="rId251">
              <w:r>
                <w:rPr>
                  <w:rFonts w:ascii="Arial" w:cs="Arial" w:eastAsia="Arial" w:hAnsi="Arial"/>
                  <w:sz w:val="18"/>
                  <w:szCs w:val="18"/>
                  <w:color w:val="0000FF"/>
                </w:rPr>
                <w:t>First Amendment to Amended and Restated Credit and Guaranty Agreement, dated as of October 26, 2015,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51">
              <w:r>
                <w:rPr>
                  <w:rFonts w:ascii="Arial" w:cs="Arial" w:eastAsia="Arial" w:hAnsi="Arial"/>
                  <w:sz w:val="18"/>
                  <w:szCs w:val="18"/>
                  <w:color w:val="0000FF"/>
                </w:rPr>
                <w:t>Amended and Restated Credit and Guaranty Agreement, dated as of May 21, 2015, among American Airlines, Inc. (as successor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51">
              <w:r>
                <w:rPr>
                  <w:rFonts w:ascii="Arial" w:cs="Arial" w:eastAsia="Arial" w:hAnsi="Arial"/>
                  <w:sz w:val="18"/>
                  <w:szCs w:val="18"/>
                  <w:color w:val="0000FF"/>
                </w:rPr>
                <w:t>in interest to US Airways, Inc.), American Airlines Group Inc., (as successor in interest to US Airways Group, Inc .), the lenders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gridSpan w:val="3"/>
            <w:shd w:val="clear" w:color="auto" w:fill="0000FF"/>
          </w:tcPr>
          <w:p>
            <w:pPr>
              <w:spacing w:after="0" w:line="20" w:lineRule="exact"/>
              <w:rPr>
                <w:sz w:val="1"/>
                <w:szCs w:val="1"/>
                <w:color w:val="auto"/>
              </w:rPr>
            </w:pPr>
          </w:p>
        </w:tc>
        <w:tc>
          <w:tcPr>
            <w:tcW w:w="79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51">
              <w:r>
                <w:rPr>
                  <w:rFonts w:ascii="Arial" w:cs="Arial" w:eastAsia="Arial" w:hAnsi="Arial"/>
                  <w:sz w:val="18"/>
                  <w:szCs w:val="18"/>
                  <w:color w:val="0000FF"/>
                </w:rPr>
                <w:t>from time to time party thereto, Deutsche Bank AG New York Branch, as administrative agent, and certain other parties thereto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0"/>
          </w:tcPr>
          <w:p>
            <w:pPr>
              <w:spacing w:after="0" w:line="182" w:lineRule="exact"/>
              <w:rPr>
                <w:rFonts w:ascii="Arial" w:cs="Arial" w:eastAsia="Arial" w:hAnsi="Arial"/>
                <w:sz w:val="18"/>
                <w:szCs w:val="18"/>
                <w:color w:val="0000FF"/>
              </w:rPr>
            </w:pPr>
            <w:hyperlink r:id="rId251">
              <w:r>
                <w:rPr>
                  <w:rFonts w:ascii="Arial" w:cs="Arial" w:eastAsia="Arial" w:hAnsi="Arial"/>
                  <w:sz w:val="18"/>
                  <w:szCs w:val="18"/>
                  <w:color w:val="0000FF"/>
                </w:rPr>
                <w:t>(incorporated by reference to Exhibit 10.8 to AAG’s Annual Report on Form 10-K for the year ended December 31, 2015</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251">
              <w:r>
                <w:rPr>
                  <w:rFonts w:ascii="Arial" w:cs="Arial" w:eastAsia="Arial" w:hAnsi="Arial"/>
                  <w:sz w:val="18"/>
                  <w:szCs w:val="18"/>
                  <w:color w:val="0000FF"/>
                  <w:w w:val="99"/>
                </w:rPr>
                <w:t>(Commission File No. 1-8400)).</w:t>
              </w:r>
            </w:hyperlink>
          </w:p>
        </w:tc>
        <w:tc>
          <w:tcPr>
            <w:tcW w:w="790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gridSpan w:val="7"/>
          </w:tcPr>
          <w:p>
            <w:pPr>
              <w:ind w:left="4600"/>
              <w:spacing w:after="0"/>
              <w:rPr>
                <w:sz w:val="20"/>
                <w:szCs w:val="20"/>
                <w:color w:val="auto"/>
              </w:rPr>
            </w:pPr>
            <w:r>
              <w:rPr>
                <w:rFonts w:ascii="Arial" w:cs="Arial" w:eastAsia="Arial" w:hAnsi="Arial"/>
                <w:sz w:val="18"/>
                <w:szCs w:val="18"/>
                <w:color w:val="auto"/>
              </w:rPr>
              <w:t>193</w:t>
            </w:r>
          </w:p>
        </w:tc>
        <w:tc>
          <w:tcPr>
            <w:tcW w:w="4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93" w:name="page194"/>
    <w:bookmarkEnd w:id="1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52">
              <w:r>
                <w:rPr>
                  <w:rFonts w:ascii="Arial" w:cs="Arial" w:eastAsia="Arial" w:hAnsi="Arial"/>
                  <w:sz w:val="18"/>
                  <w:szCs w:val="18"/>
                  <w:color w:val="0000FF"/>
                </w:rPr>
                <w:t>Second Amendment to Amended and Restated Credit and Guaranty Agreement, dated as of March 14, 2017,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Amended and Restated Credit and Guaranty Agreement, dated as of May 21, 2015, among American Airlines, Inc., American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Airlines Group Inc., the lenders from time to time party thereto, Deutsche Bank AG New York Branch, as administrative agent,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certain other parties thereto (incorporated by reference to Exhibit 10.2 to AAG’s Quarterly Report on Form 10-Q for the quarter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ended March 31, 2017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253">
              <w:r>
                <w:rPr>
                  <w:rFonts w:ascii="Arial" w:cs="Arial" w:eastAsia="Arial" w:hAnsi="Arial"/>
                  <w:sz w:val="18"/>
                  <w:szCs w:val="18"/>
                  <w:color w:val="0000FF"/>
                </w:rPr>
                <w:t>Third Amendment to the Amended and Restated Credit And Guaranty Agreement, dated as of August 21, 2017, amending the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3">
              <w:r>
                <w:rPr>
                  <w:rFonts w:ascii="Arial" w:cs="Arial" w:eastAsia="Arial" w:hAnsi="Arial"/>
                  <w:sz w:val="18"/>
                  <w:szCs w:val="18"/>
                  <w:color w:val="0000FF"/>
                </w:rPr>
                <w:t>Amended and Restated Credit and Guaranty Agreement, dated as of May 21, 2015, among American Airlines, Inc., American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3">
              <w:r>
                <w:rPr>
                  <w:rFonts w:ascii="Arial" w:cs="Arial" w:eastAsia="Arial" w:hAnsi="Arial"/>
                  <w:sz w:val="18"/>
                  <w:szCs w:val="18"/>
                  <w:color w:val="0000FF"/>
                </w:rPr>
                <w:t>Airlines Group Inc., the lenders from time to time party thereto, Deutsche Bank AG New York Branch, as administrative agent,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3">
              <w:r>
                <w:rPr>
                  <w:rFonts w:ascii="Arial" w:cs="Arial" w:eastAsia="Arial" w:hAnsi="Arial"/>
                  <w:sz w:val="18"/>
                  <w:szCs w:val="18"/>
                  <w:color w:val="0000FF"/>
                </w:rPr>
                <w:t>certain other parties thereto (incorporated by reference to Exhibit 10.11 to AAG’s Annual Report on Form 10-K for the year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53">
              <w:r>
                <w:rPr>
                  <w:rFonts w:ascii="Arial" w:cs="Arial" w:eastAsia="Arial" w:hAnsi="Arial"/>
                  <w:sz w:val="18"/>
                  <w:szCs w:val="18"/>
                  <w:color w:val="0000FF"/>
                </w:rPr>
                <w:t>December 31, 2017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0"/>
                <w:szCs w:val="20"/>
                <w:color w:val="auto"/>
              </w:rPr>
            </w:pPr>
          </w:p>
        </w:tc>
        <w:tc>
          <w:tcPr>
            <w:tcW w:w="10420" w:type="dxa"/>
            <w:vAlign w:val="bottom"/>
            <w:tcBorders>
              <w:bottom w:val="single" w:sz="8" w:color="0000FF"/>
            </w:tcBorders>
            <w:gridSpan w:val="12"/>
          </w:tcPr>
          <w:p>
            <w:pPr>
              <w:spacing w:after="0"/>
              <w:rPr>
                <w:rFonts w:ascii="Arial" w:cs="Arial" w:eastAsia="Arial" w:hAnsi="Arial"/>
                <w:sz w:val="18"/>
                <w:szCs w:val="18"/>
                <w:color w:val="0000FF"/>
                <w:w w:val="99"/>
              </w:rPr>
            </w:pPr>
            <w:hyperlink r:id="rId254">
              <w:r>
                <w:rPr>
                  <w:rFonts w:ascii="Arial" w:cs="Arial" w:eastAsia="Arial" w:hAnsi="Arial"/>
                  <w:sz w:val="18"/>
                  <w:szCs w:val="18"/>
                  <w:color w:val="0000FF"/>
                  <w:w w:val="99"/>
                </w:rPr>
                <w:t>Fourth Amendment to Amended and Restated Credit and Guaranty Agreement, dated as of May 15, 2018, amending the Amended</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54">
              <w:r>
                <w:rPr>
                  <w:rFonts w:ascii="Arial" w:cs="Arial" w:eastAsia="Arial" w:hAnsi="Arial"/>
                  <w:sz w:val="18"/>
                  <w:szCs w:val="18"/>
                  <w:color w:val="0000FF"/>
                </w:rPr>
                <w:t>and Restated Credit and Guaranty Agreement, dated as of May 21, 2015, among American Airlines, Inc., American Airlines Group</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4">
              <w:r>
                <w:rPr>
                  <w:rFonts w:ascii="Arial" w:cs="Arial" w:eastAsia="Arial" w:hAnsi="Arial"/>
                  <w:sz w:val="18"/>
                  <w:szCs w:val="18"/>
                  <w:color w:val="0000FF"/>
                </w:rPr>
                <w:t>Inc., the lenders from time to time party thereto, Deutsche Bank AG New York Branch, as administrative agent, and Barclays Bank</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4">
              <w:r>
                <w:rPr>
                  <w:rFonts w:ascii="Arial" w:cs="Arial" w:eastAsia="Arial" w:hAnsi="Arial"/>
                  <w:sz w:val="18"/>
                  <w:szCs w:val="18"/>
                  <w:color w:val="0000FF"/>
                </w:rPr>
                <w:t>PLC, as designated replacement term lender (incorporated by reference to Exhibit 10.3 to AAG’s Quarterly Report on Form 10-Q</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254">
              <w:r>
                <w:rPr>
                  <w:rFonts w:ascii="Arial" w:cs="Arial" w:eastAsia="Arial" w:hAnsi="Arial"/>
                  <w:sz w:val="18"/>
                  <w:szCs w:val="18"/>
                  <w:color w:val="0000FF"/>
                  <w:w w:val="99"/>
                </w:rPr>
                <w:t>for the quarter ended June 30, 2018 (Commission File No. 1-8400)).</w:t>
              </w:r>
            </w:hyperlink>
          </w:p>
        </w:tc>
        <w:tc>
          <w:tcPr>
            <w:tcW w:w="500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w:anchor="page216">
              <w:r>
                <w:rPr>
                  <w:rFonts w:ascii="Arial" w:cs="Arial" w:eastAsia="Arial" w:hAnsi="Arial"/>
                  <w:sz w:val="18"/>
                  <w:szCs w:val="18"/>
                  <w:color w:val="0000FF"/>
                </w:rPr>
                <w:t>Fifth Amendment to Amended and Restated Credit and Guaranty Agreement, dated as of December 10, 2018,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w:anchor="page216">
              <w:r>
                <w:rPr>
                  <w:rFonts w:ascii="Arial" w:cs="Arial" w:eastAsia="Arial" w:hAnsi="Arial"/>
                  <w:sz w:val="18"/>
                  <w:szCs w:val="18"/>
                  <w:color w:val="0000FF"/>
                </w:rPr>
                <w:t>Amended and Restated Credit and Guaranty Agreement, dated as of May 21, 2015, among American Airlines, Inc., American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w:anchor="page216">
              <w:r>
                <w:rPr>
                  <w:rFonts w:ascii="Arial" w:cs="Arial" w:eastAsia="Arial" w:hAnsi="Arial"/>
                  <w:sz w:val="18"/>
                  <w:szCs w:val="18"/>
                  <w:color w:val="0000FF"/>
                </w:rPr>
                <w:t>Airlines Group Inc., the lenders from time to time party thereto, Deutsche Bank AG New York Branch, as administrative agent,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216">
              <w:r>
                <w:rPr>
                  <w:rFonts w:ascii="Arial" w:cs="Arial" w:eastAsia="Arial" w:hAnsi="Arial"/>
                  <w:sz w:val="18"/>
                  <w:szCs w:val="18"/>
                  <w:color w:val="0000FF"/>
                </w:rPr>
                <w:t>Barclays Bank PLC, as designated replacement term lender.</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55">
              <w:r>
                <w:rPr>
                  <w:rFonts w:ascii="Arial" w:cs="Arial" w:eastAsia="Arial" w:hAnsi="Arial"/>
                  <w:sz w:val="18"/>
                  <w:szCs w:val="18"/>
                  <w:color w:val="0000FF"/>
                </w:rPr>
                <w:t>Credit and Guaranty Agreement, dated as of April 29, 2016, among American Airlines, Inc. as borrower, American Airlines Group</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5">
              <w:r>
                <w:rPr>
                  <w:rFonts w:ascii="Arial" w:cs="Arial" w:eastAsia="Arial" w:hAnsi="Arial"/>
                  <w:sz w:val="18"/>
                  <w:szCs w:val="18"/>
                  <w:color w:val="0000FF"/>
                </w:rPr>
                <w:t>Inc., as parent and guarantor, certain other subsidiaries of American Airlines Group Inc., as guarantors, the lenders party thereto,</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5">
              <w:r>
                <w:rPr>
                  <w:rFonts w:ascii="Arial" w:cs="Arial" w:eastAsia="Arial" w:hAnsi="Arial"/>
                  <w:sz w:val="18"/>
                  <w:szCs w:val="18"/>
                  <w:color w:val="0000FF"/>
                </w:rPr>
                <w:t>Barclays Bank PLC, as administrative agent and collateral agent, and certain other parties thereto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55">
              <w:r>
                <w:rPr>
                  <w:rFonts w:ascii="Arial" w:cs="Arial" w:eastAsia="Arial" w:hAnsi="Arial"/>
                  <w:sz w:val="18"/>
                  <w:szCs w:val="18"/>
                  <w:color w:val="0000FF"/>
                </w:rPr>
                <w:t>Exhibit 10.2 to AAG’s Quarterly Report on Form 10-Q filed on July 22, 2016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56">
              <w:r>
                <w:rPr>
                  <w:rFonts w:ascii="Arial" w:cs="Arial" w:eastAsia="Arial" w:hAnsi="Arial"/>
                  <w:sz w:val="18"/>
                  <w:szCs w:val="18"/>
                  <w:color w:val="0000FF"/>
                </w:rPr>
                <w:t>First Amendment to Credit and Guaranty Agreement, dated as of October 31, 2016, amending the Credit and Guaranty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6">
              <w:r>
                <w:rPr>
                  <w:rFonts w:ascii="Arial" w:cs="Arial" w:eastAsia="Arial" w:hAnsi="Arial"/>
                  <w:sz w:val="18"/>
                  <w:szCs w:val="18"/>
                  <w:color w:val="0000FF"/>
                </w:rPr>
                <w:t>Agreement, dated as of April 29, 2016, among American Airlines, Inc. as borrower, American Airlines Group Inc., as parent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6">
              <w:r>
                <w:rPr>
                  <w:rFonts w:ascii="Arial" w:cs="Arial" w:eastAsia="Arial" w:hAnsi="Arial"/>
                  <w:sz w:val="18"/>
                  <w:szCs w:val="18"/>
                  <w:color w:val="0000FF"/>
                </w:rPr>
                <w:t>guarantor, the lenders party thereto, Barclays Bank PLC, as administrative agent (incorporated by reference to Exhibit 10.81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56">
              <w:r>
                <w:rPr>
                  <w:rFonts w:ascii="Arial" w:cs="Arial" w:eastAsia="Arial" w:hAnsi="Arial"/>
                  <w:sz w:val="18"/>
                  <w:szCs w:val="18"/>
                  <w:color w:val="0000FF"/>
                </w:rPr>
                <w:t>AAG’s Annual Report on Form 10-K for the year ended December 31, 2016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257">
              <w:r>
                <w:rPr>
                  <w:rFonts w:ascii="Arial" w:cs="Arial" w:eastAsia="Arial" w:hAnsi="Arial"/>
                  <w:sz w:val="18"/>
                  <w:szCs w:val="18"/>
                  <w:color w:val="0000FF"/>
                </w:rPr>
                <w:t>Second Amendment to the Credit and Guaranty Agreement, dated as of August 21, 2017, amending the Credit and Guaranty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7">
              <w:r>
                <w:rPr>
                  <w:rFonts w:ascii="Arial" w:cs="Arial" w:eastAsia="Arial" w:hAnsi="Arial"/>
                  <w:sz w:val="18"/>
                  <w:szCs w:val="18"/>
                  <w:color w:val="0000FF"/>
                </w:rPr>
                <w:t>Agreement, dated as of April 29, 2016, among American Airlines, Inc., American Airlines Group Inc., the lenders from time to time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7">
              <w:r>
                <w:rPr>
                  <w:rFonts w:ascii="Arial" w:cs="Arial" w:eastAsia="Arial" w:hAnsi="Arial"/>
                  <w:sz w:val="18"/>
                  <w:szCs w:val="18"/>
                  <w:color w:val="0000FF"/>
                </w:rPr>
                <w:t>party thereto, Barclays Bank PLC, as administrative agent, and certain other parties thereto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57">
              <w:r>
                <w:rPr>
                  <w:rFonts w:ascii="Arial" w:cs="Arial" w:eastAsia="Arial" w:hAnsi="Arial"/>
                  <w:sz w:val="18"/>
                  <w:szCs w:val="18"/>
                  <w:color w:val="0000FF"/>
                </w:rPr>
                <w:t>10.</w:t>
              </w:r>
              <w:r>
                <w:rPr>
                  <w:rFonts w:ascii="Arial" w:cs="Arial" w:eastAsia="Arial" w:hAnsi="Arial"/>
                  <w:sz w:val="18"/>
                  <w:szCs w:val="18"/>
                  <w:u w:val="single" w:color="auto"/>
                  <w:color w:val="0000FF"/>
                </w:rPr>
                <w:t>15</w:t>
              </w:r>
              <w:r>
                <w:rPr>
                  <w:rFonts w:ascii="Arial" w:cs="Arial" w:eastAsia="Arial" w:hAnsi="Arial"/>
                  <w:sz w:val="18"/>
                  <w:szCs w:val="18"/>
                  <w:color w:val="0000FF"/>
                </w:rPr>
                <w:t xml:space="preserve"> to AAG’s Annual Report on Form 10-K for the year ended December 31, 2017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58">
              <w:r>
                <w:rPr>
                  <w:rFonts w:ascii="Arial" w:cs="Arial" w:eastAsia="Arial" w:hAnsi="Arial"/>
                  <w:sz w:val="18"/>
                  <w:szCs w:val="18"/>
                  <w:color w:val="0000FF"/>
                </w:rPr>
                <w:t>Third Amendment to Credit and Guaranty Agreement, dated as of November 1, 2017, amending the Credit and Guaranty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8">
              <w:r>
                <w:rPr>
                  <w:rFonts w:ascii="Arial" w:cs="Arial" w:eastAsia="Arial" w:hAnsi="Arial"/>
                  <w:sz w:val="18"/>
                  <w:szCs w:val="18"/>
                  <w:color w:val="0000FF"/>
                </w:rPr>
                <w:t>Agreement, dated as of April 29, 2016, among American Airlines, Inc. as borrower, American Airlines Group Inc., as parent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8">
              <w:r>
                <w:rPr>
                  <w:rFonts w:ascii="Arial" w:cs="Arial" w:eastAsia="Arial" w:hAnsi="Arial"/>
                  <w:sz w:val="18"/>
                  <w:szCs w:val="18"/>
                  <w:color w:val="0000FF"/>
                </w:rPr>
                <w:t>guarantor, the lenders party thereto, Barclays Bank PLC, as administrative agent (incorporated by reference to Exhibit 10.16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58">
              <w:r>
                <w:rPr>
                  <w:rFonts w:ascii="Arial" w:cs="Arial" w:eastAsia="Arial" w:hAnsi="Arial"/>
                  <w:sz w:val="18"/>
                  <w:szCs w:val="18"/>
                  <w:color w:val="0000FF"/>
                </w:rPr>
                <w:t>AAG’s Annual Report on Form 10-K for the year ended December 31, 2017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w:anchor="page230">
              <w:r>
                <w:rPr>
                  <w:rFonts w:ascii="Arial" w:cs="Arial" w:eastAsia="Arial" w:hAnsi="Arial"/>
                  <w:sz w:val="18"/>
                  <w:szCs w:val="18"/>
                  <w:color w:val="0000FF"/>
                </w:rPr>
                <w:t>Fourth Amendment to Credit and Guaranty Agreement, dated as of December 10, 2018, amending the Credit and Guaranty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w:anchor="page230">
              <w:r>
                <w:rPr>
                  <w:rFonts w:ascii="Arial" w:cs="Arial" w:eastAsia="Arial" w:hAnsi="Arial"/>
                  <w:sz w:val="18"/>
                  <w:szCs w:val="18"/>
                  <w:color w:val="0000FF"/>
                </w:rPr>
                <w:t>Agreement, dated as of April 29, 2016, among American Airlines, Inc. as borrower, American Airlines Group Inc., as parent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230">
              <w:r>
                <w:rPr>
                  <w:rFonts w:ascii="Arial" w:cs="Arial" w:eastAsia="Arial" w:hAnsi="Arial"/>
                  <w:sz w:val="18"/>
                  <w:szCs w:val="18"/>
                  <w:color w:val="0000FF"/>
                </w:rPr>
                <w:t>guarantor, the lenders party thereto, Barclays Bank PLC, as administrative agent.</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259">
              <w:r>
                <w:rPr>
                  <w:rFonts w:ascii="Arial" w:cs="Arial" w:eastAsia="Arial" w:hAnsi="Arial"/>
                  <w:sz w:val="18"/>
                  <w:szCs w:val="18"/>
                  <w:color w:val="0000FF"/>
                </w:rPr>
                <w:t>Purchase Agreement No. 3219, dated as of October 15, 2008, between American Airlines, Inc. and The Boeing Company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50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9">
              <w:r>
                <w:rPr>
                  <w:rFonts w:ascii="Arial" w:cs="Arial" w:eastAsia="Arial" w:hAnsi="Arial"/>
                  <w:sz w:val="18"/>
                  <w:szCs w:val="18"/>
                  <w:color w:val="0000FF"/>
                </w:rPr>
                <w:t>(incorporated by reference to Exhibit 10.29 to American’s Annual Report on Form 10-K for the year ended December 31, 2008</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9">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60">
              <w:r>
                <w:rPr>
                  <w:rFonts w:ascii="Arial" w:cs="Arial" w:eastAsia="Arial" w:hAnsi="Arial"/>
                  <w:sz w:val="18"/>
                  <w:szCs w:val="18"/>
                  <w:color w:val="0000FF"/>
                </w:rPr>
                <w:t>Supplemental Agreement No. 2, dated as of July 21, 2010, to Purchase Agreement No. 3219 between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0">
              <w:r>
                <w:rPr>
                  <w:rFonts w:ascii="Arial" w:cs="Arial" w:eastAsia="Arial" w:hAnsi="Arial"/>
                  <w:sz w:val="18"/>
                  <w:szCs w:val="18"/>
                  <w:color w:val="0000FF"/>
                </w:rPr>
                <w:t>The Boeing Company (incorporated by reference to Exhibit 10.2 to AMR’s report on Form 10-Q for the quarter ended June 30,</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0">
              <w:r>
                <w:rPr>
                  <w:rFonts w:ascii="Arial" w:cs="Arial" w:eastAsia="Arial" w:hAnsi="Arial"/>
                  <w:sz w:val="18"/>
                  <w:szCs w:val="18"/>
                  <w:color w:val="0000FF"/>
                </w:rPr>
                <w:t>2010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61">
              <w:r>
                <w:rPr>
                  <w:rFonts w:ascii="Arial" w:cs="Arial" w:eastAsia="Arial" w:hAnsi="Arial"/>
                  <w:sz w:val="18"/>
                  <w:szCs w:val="18"/>
                  <w:color w:val="0000FF"/>
                </w:rPr>
                <w:t>Supplemental Agreement No. 3, dated as of February 1, 2013, to Purchase Agreement No. 3219 between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1">
              <w:r>
                <w:rPr>
                  <w:rFonts w:ascii="Arial" w:cs="Arial" w:eastAsia="Arial" w:hAnsi="Arial"/>
                  <w:sz w:val="18"/>
                  <w:szCs w:val="18"/>
                  <w:color w:val="0000FF"/>
                </w:rPr>
                <w:t>and The Boeing Company (incorporated by reference to Exhibit 10.2 to AMR’s Quarterly Report on Form 10-Q for the quarter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1">
              <w:r>
                <w:rPr>
                  <w:rFonts w:ascii="Arial" w:cs="Arial" w:eastAsia="Arial" w:hAnsi="Arial"/>
                  <w:sz w:val="18"/>
                  <w:szCs w:val="18"/>
                  <w:color w:val="0000FF"/>
                </w:rPr>
                <w:t>ended March 31, 2013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62">
              <w:r>
                <w:rPr>
                  <w:rFonts w:ascii="Arial" w:cs="Arial" w:eastAsia="Arial" w:hAnsi="Arial"/>
                  <w:sz w:val="18"/>
                  <w:szCs w:val="18"/>
                  <w:color w:val="0000FF"/>
                </w:rPr>
                <w:t>Supplemental Agreement No. 4, dated as of June 9, 2014, to Purchase Agreement No. 3219 between The Boeing Company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2">
              <w:r>
                <w:rPr>
                  <w:rFonts w:ascii="Arial" w:cs="Arial" w:eastAsia="Arial" w:hAnsi="Arial"/>
                  <w:sz w:val="18"/>
                  <w:szCs w:val="18"/>
                  <w:color w:val="0000FF"/>
                </w:rPr>
                <w:t>American Airlines, Inc. dated as of October 15, 2008, Relating to Boeing Model 787 Aircraft, as amended, restated, amended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20" w:type="dxa"/>
            <w:vAlign w:val="bottom"/>
            <w:gridSpan w:val="7"/>
            <w:shd w:val="clear" w:color="auto" w:fill="0000FF"/>
          </w:tcPr>
          <w:p>
            <w:pPr>
              <w:spacing w:after="0" w:line="20" w:lineRule="exact"/>
              <w:rPr>
                <w:sz w:val="1"/>
                <w:szCs w:val="1"/>
                <w:color w:val="auto"/>
              </w:rPr>
            </w:pPr>
          </w:p>
        </w:tc>
        <w:tc>
          <w:tcPr>
            <w:tcW w:w="50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2">
              <w:r>
                <w:rPr>
                  <w:rFonts w:ascii="Arial" w:cs="Arial" w:eastAsia="Arial" w:hAnsi="Arial"/>
                  <w:sz w:val="18"/>
                  <w:szCs w:val="18"/>
                  <w:color w:val="0000FF"/>
                </w:rPr>
                <w:t>restated, supplemented or otherwise modified (incorporated by reference to Exhibit 10.6 to AAG’s Quarterly Report on Form 10-Q</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62">
              <w:r>
                <w:rPr>
                  <w:rFonts w:ascii="Arial" w:cs="Arial" w:eastAsia="Arial" w:hAnsi="Arial"/>
                  <w:sz w:val="18"/>
                  <w:szCs w:val="18"/>
                  <w:color w:val="0000FF"/>
                </w:rPr>
                <w:t>for the quarter ended June 30, 2014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tcBorders>
              <w:top w:val="single" w:sz="8" w:color="0000FF"/>
            </w:tcBorders>
            <w:gridSpan w:val="7"/>
          </w:tcPr>
          <w:p>
            <w:pPr>
              <w:ind w:left="460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94" w:name="page195"/>
    <w:bookmarkEnd w:id="1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8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263">
              <w:r>
                <w:rPr>
                  <w:rFonts w:ascii="Arial" w:cs="Arial" w:eastAsia="Arial" w:hAnsi="Arial"/>
                  <w:sz w:val="18"/>
                  <w:szCs w:val="18"/>
                  <w:color w:val="0000FF"/>
                </w:rPr>
                <w:t>Supplemental Agreement No. 5, dated as of January 20, 2015, to Purchase Agreement No. 3219 between The Boeing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63">
              <w:r>
                <w:rPr>
                  <w:rFonts w:ascii="Arial" w:cs="Arial" w:eastAsia="Arial" w:hAnsi="Arial"/>
                  <w:sz w:val="18"/>
                  <w:szCs w:val="18"/>
                  <w:color w:val="0000FF"/>
                </w:rPr>
                <w:t>and American Airlines, Inc., dated as of October 15, 2008, Relating to Boeing Model 787 Aircraft, as amended, restated, amended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63">
              <w:r>
                <w:rPr>
                  <w:rFonts w:ascii="Arial" w:cs="Arial" w:eastAsia="Arial" w:hAnsi="Arial"/>
                  <w:sz w:val="18"/>
                  <w:szCs w:val="18"/>
                  <w:color w:val="0000FF"/>
                </w:rPr>
                <w:t>and restated, supplemented or otherwise modified (incorporated by reference to Exhibit 10.2 to AAG’s Quarterly Report on Form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63">
              <w:r>
                <w:rPr>
                  <w:rFonts w:ascii="Arial" w:cs="Arial" w:eastAsia="Arial" w:hAnsi="Arial"/>
                  <w:sz w:val="18"/>
                  <w:szCs w:val="18"/>
                  <w:color w:val="0000FF"/>
                </w:rPr>
                <w:t>10-Q for the quarter ended March 31, 2015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264">
              <w:r>
                <w:rPr>
                  <w:rFonts w:ascii="Arial" w:cs="Arial" w:eastAsia="Arial" w:hAnsi="Arial"/>
                  <w:sz w:val="18"/>
                  <w:szCs w:val="18"/>
                  <w:color w:val="0000FF"/>
                </w:rPr>
                <w:t>Supplemental Agreement No. 6, dated as of April 21, 2015, to Purchase Agreement No. 3219 between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64">
              <w:r>
                <w:rPr>
                  <w:rFonts w:ascii="Arial" w:cs="Arial" w:eastAsia="Arial" w:hAnsi="Arial"/>
                  <w:sz w:val="18"/>
                  <w:szCs w:val="18"/>
                  <w:color w:val="0000FF"/>
                </w:rPr>
                <w:t>The Boeing Company, dated as of October 15, 2008, as amended, restated, amended and restated, supplemented or otherwise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64">
              <w:r>
                <w:rPr>
                  <w:rFonts w:ascii="Arial" w:cs="Arial" w:eastAsia="Arial" w:hAnsi="Arial"/>
                  <w:sz w:val="18"/>
                  <w:szCs w:val="18"/>
                  <w:color w:val="0000FF"/>
                </w:rPr>
                <w:t>modified (incorporated by reference to Exhibit 10.2 to AAG’s Quarterly Report on Form 10-Q for the quarter ended June 30, 2015</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64">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65">
              <w:r>
                <w:rPr>
                  <w:rFonts w:ascii="Arial" w:cs="Arial" w:eastAsia="Arial" w:hAnsi="Arial"/>
                  <w:sz w:val="18"/>
                  <w:szCs w:val="18"/>
                  <w:color w:val="0000FF"/>
                </w:rPr>
                <w:t>Supplemental Agreement No. 7, dated as of September 12, 2016, to Purchase Agreement No. 3219 dated as of October 15, 2008,</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between American Airlines, Inc. and The Boeing Company (incorporated by reference to Exhibit 10.3 to AAG’s Quarterly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Form 10-Q for the quarter ended September 30, 2016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66">
              <w:r>
                <w:rPr>
                  <w:rFonts w:ascii="Arial" w:cs="Arial" w:eastAsia="Arial" w:hAnsi="Arial"/>
                  <w:sz w:val="18"/>
                  <w:szCs w:val="18"/>
                  <w:color w:val="0000FF"/>
                </w:rPr>
                <w:t>Supplemental Agreement No. 8, dated as of January 26, 2017, to Purchase Agreement No. 3219 dated as of October 15, 2008,</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66">
              <w:r>
                <w:rPr>
                  <w:rFonts w:ascii="Arial" w:cs="Arial" w:eastAsia="Arial" w:hAnsi="Arial"/>
                  <w:sz w:val="18"/>
                  <w:szCs w:val="18"/>
                  <w:color w:val="0000FF"/>
                </w:rPr>
                <w:t>between American Airlines, Inc. and The Boeing Company (incorporated by reference to Exhibit 10.3 to AAG’s Quarterly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66">
              <w:r>
                <w:rPr>
                  <w:rFonts w:ascii="Arial" w:cs="Arial" w:eastAsia="Arial" w:hAnsi="Arial"/>
                  <w:sz w:val="18"/>
                  <w:szCs w:val="18"/>
                  <w:color w:val="0000FF"/>
                </w:rPr>
                <w:t>Form 10-Q for the quarter ended March 31, 2017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67">
              <w:r>
                <w:rPr>
                  <w:rFonts w:ascii="Arial" w:cs="Arial" w:eastAsia="Arial" w:hAnsi="Arial"/>
                  <w:sz w:val="18"/>
                  <w:szCs w:val="18"/>
                  <w:color w:val="0000FF"/>
                </w:rPr>
                <w:t>Supplemental Agreement No. 9, dated as of April 24, 2017, to Purchase Agreement No. 3219 dated as of October 15, 2008, by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67">
              <w:r>
                <w:rPr>
                  <w:rFonts w:ascii="Arial" w:cs="Arial" w:eastAsia="Arial" w:hAnsi="Arial"/>
                  <w:sz w:val="18"/>
                  <w:szCs w:val="18"/>
                  <w:color w:val="0000FF"/>
                </w:rPr>
                <w:t>and between American Airlines, Inc. and The Boeing Company (incorporated by reference to Exhibit 10.5 to AAG’s Quarterly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67">
              <w:r>
                <w:rPr>
                  <w:rFonts w:ascii="Arial" w:cs="Arial" w:eastAsia="Arial" w:hAnsi="Arial"/>
                  <w:sz w:val="18"/>
                  <w:szCs w:val="18"/>
                  <w:color w:val="0000FF"/>
                </w:rPr>
                <w:t>Report on Form 10-Q for the quarter ended June 30, 2017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68">
              <w:r>
                <w:rPr>
                  <w:rFonts w:ascii="Arial" w:cs="Arial" w:eastAsia="Arial" w:hAnsi="Arial"/>
                  <w:sz w:val="18"/>
                  <w:szCs w:val="18"/>
                  <w:color w:val="0000FF"/>
                </w:rPr>
                <w:t>Supplemental Agreement No. 10, dated as of May 11, 2017, to Purchase Agreement No. 3219 dated as of October 15, 2008, by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9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68">
              <w:r>
                <w:rPr>
                  <w:rFonts w:ascii="Arial" w:cs="Arial" w:eastAsia="Arial" w:hAnsi="Arial"/>
                  <w:sz w:val="18"/>
                  <w:szCs w:val="18"/>
                  <w:color w:val="0000FF"/>
                </w:rPr>
                <w:t>and between American Airlines, Inc. and The Boeing Company (incorporated by reference to Exhibit 10.6 to AAG’s Quarterly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68">
              <w:r>
                <w:rPr>
                  <w:rFonts w:ascii="Arial" w:cs="Arial" w:eastAsia="Arial" w:hAnsi="Arial"/>
                  <w:sz w:val="18"/>
                  <w:szCs w:val="18"/>
                  <w:color w:val="0000FF"/>
                </w:rPr>
                <w:t>Report on Form 10-Q for the quarter ended June 30, 2017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69">
              <w:r>
                <w:rPr>
                  <w:rFonts w:ascii="Arial" w:cs="Arial" w:eastAsia="Arial" w:hAnsi="Arial"/>
                  <w:sz w:val="18"/>
                  <w:szCs w:val="18"/>
                  <w:color w:val="0000FF"/>
                </w:rPr>
                <w:t>Supplemental Agreement No. 11, dated as of April 6, 2018, to Purchase Agreement No. 3219 dated as of October 15, 2008, by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9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69">
              <w:r>
                <w:rPr>
                  <w:rFonts w:ascii="Arial" w:cs="Arial" w:eastAsia="Arial" w:hAnsi="Arial"/>
                  <w:sz w:val="18"/>
                  <w:szCs w:val="18"/>
                  <w:color w:val="0000FF"/>
                </w:rPr>
                <w:t>and between American Airlines, Inc. and The Boeing Company (incorporated by reference to Exhibit 10.1 to AAG’s Quarterly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69">
              <w:r>
                <w:rPr>
                  <w:rFonts w:ascii="Arial" w:cs="Arial" w:eastAsia="Arial" w:hAnsi="Arial"/>
                  <w:sz w:val="18"/>
                  <w:szCs w:val="18"/>
                  <w:color w:val="0000FF"/>
                </w:rPr>
                <w:t>Report on Form 10-Q for the quarter ended June 30, 2018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70">
              <w:r>
                <w:rPr>
                  <w:rFonts w:ascii="Arial" w:cs="Arial" w:eastAsia="Arial" w:hAnsi="Arial"/>
                  <w:sz w:val="18"/>
                  <w:szCs w:val="18"/>
                  <w:color w:val="0000FF"/>
                </w:rPr>
                <w:t>A320 Family Aircraft Purchase Agreement, dated as of July 20, 2011, between American Airlines, Inc. and Airbus S.A.S.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9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0">
              <w:r>
                <w:rPr>
                  <w:rFonts w:ascii="Arial" w:cs="Arial" w:eastAsia="Arial" w:hAnsi="Arial"/>
                  <w:sz w:val="18"/>
                  <w:szCs w:val="18"/>
                  <w:color w:val="0000FF"/>
                </w:rPr>
                <w:t>(incorporated by reference to Exhibit 10.4 to AMR’s report on Form 10-Q for the quarter ended September 30, 2011 (Commission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70">
              <w:r>
                <w:rPr>
                  <w:rFonts w:ascii="Arial" w:cs="Arial" w:eastAsia="Arial" w:hAnsi="Arial"/>
                  <w:sz w:val="18"/>
                  <w:szCs w:val="18"/>
                  <w:color w:val="0000FF"/>
                </w:rPr>
                <w:t>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271">
              <w:r>
                <w:rPr>
                  <w:rFonts w:ascii="Arial" w:cs="Arial" w:eastAsia="Arial" w:hAnsi="Arial"/>
                  <w:sz w:val="18"/>
                  <w:szCs w:val="18"/>
                  <w:color w:val="0000FF"/>
                </w:rPr>
                <w:t>Amendment No. 1, dated as of January 11, 2013, to A320 Family Aircraft Purchase Agreement between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1">
              <w:r>
                <w:rPr>
                  <w:rFonts w:ascii="Arial" w:cs="Arial" w:eastAsia="Arial" w:hAnsi="Arial"/>
                  <w:sz w:val="18"/>
                  <w:szCs w:val="18"/>
                  <w:color w:val="0000FF"/>
                </w:rPr>
                <w:t>and Airbus S.A.S., dated as of July 20, 2011 (incorporated by reference to Exhibit 10.8 to AMR’s Quarterly Report on Form 10-Q</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71">
              <w:r>
                <w:rPr>
                  <w:rFonts w:ascii="Arial" w:cs="Arial" w:eastAsia="Arial" w:hAnsi="Arial"/>
                  <w:sz w:val="18"/>
                  <w:szCs w:val="18"/>
                  <w:color w:val="0000FF"/>
                </w:rPr>
                <w:t>for the quarter ended March 31, 2013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72">
              <w:r>
                <w:rPr>
                  <w:rFonts w:ascii="Arial" w:cs="Arial" w:eastAsia="Arial" w:hAnsi="Arial"/>
                  <w:sz w:val="18"/>
                  <w:szCs w:val="18"/>
                  <w:color w:val="0000FF"/>
                </w:rPr>
                <w:t>Amendment No. 2, dated as of May 30, 2013, to A320 Family Aircraft Purchase Agreement between American Airlines, Inc.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4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72">
              <w:r>
                <w:rPr>
                  <w:rFonts w:ascii="Arial" w:cs="Arial" w:eastAsia="Arial" w:hAnsi="Arial"/>
                  <w:sz w:val="18"/>
                  <w:szCs w:val="18"/>
                  <w:color w:val="0000FF"/>
                </w:rPr>
                <w:t>Airbus S.A.S, dated as of July 20, 2011 (incorporated by reference to Exhibit 10.2 to AMR’s Quarterly Report on Form 10-Q for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2">
              <w:r>
                <w:rPr>
                  <w:rFonts w:ascii="Arial" w:cs="Arial" w:eastAsia="Arial" w:hAnsi="Arial"/>
                  <w:sz w:val="18"/>
                  <w:szCs w:val="18"/>
                  <w:color w:val="0000FF"/>
                </w:rPr>
                <w:t>quarter ended June 30, 2013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0"/>
                <w:szCs w:val="20"/>
                <w:color w:val="auto"/>
              </w:rPr>
            </w:pPr>
          </w:p>
        </w:tc>
        <w:tc>
          <w:tcPr>
            <w:tcW w:w="10420" w:type="dxa"/>
            <w:vAlign w:val="bottom"/>
            <w:tcBorders>
              <w:bottom w:val="single" w:sz="8" w:color="0000FF"/>
            </w:tcBorders>
            <w:gridSpan w:val="13"/>
          </w:tcPr>
          <w:p>
            <w:pPr>
              <w:spacing w:after="0"/>
              <w:rPr>
                <w:rFonts w:ascii="Arial" w:cs="Arial" w:eastAsia="Arial" w:hAnsi="Arial"/>
                <w:sz w:val="18"/>
                <w:szCs w:val="18"/>
                <w:color w:val="0000FF"/>
              </w:rPr>
            </w:pPr>
            <w:hyperlink r:id="rId273">
              <w:r>
                <w:rPr>
                  <w:rFonts w:ascii="Arial" w:cs="Arial" w:eastAsia="Arial" w:hAnsi="Arial"/>
                  <w:sz w:val="18"/>
                  <w:szCs w:val="18"/>
                  <w:color w:val="0000FF"/>
                </w:rPr>
                <w:t>Amendment No. 3, dated as of November 20, 2013, to A320 Family Aircraft Purchase Agreement between American Airlines, Inc.</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3">
              <w:r>
                <w:rPr>
                  <w:rFonts w:ascii="Arial" w:cs="Arial" w:eastAsia="Arial" w:hAnsi="Arial"/>
                  <w:sz w:val="18"/>
                  <w:szCs w:val="18"/>
                  <w:color w:val="0000FF"/>
                </w:rPr>
                <w:t>and Airbus S.A.S., dated as of July 20, 2011 (incorporated by reference to Exhibit 10.27 to AAG’s Annual Report on Form 10-K for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73">
              <w:r>
                <w:rPr>
                  <w:rFonts w:ascii="Arial" w:cs="Arial" w:eastAsia="Arial" w:hAnsi="Arial"/>
                  <w:sz w:val="18"/>
                  <w:szCs w:val="18"/>
                  <w:color w:val="0000FF"/>
                </w:rPr>
                <w:t>the year ended December 31, 2013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74">
              <w:r>
                <w:rPr>
                  <w:rFonts w:ascii="Arial" w:cs="Arial" w:eastAsia="Arial" w:hAnsi="Arial"/>
                  <w:sz w:val="18"/>
                  <w:szCs w:val="18"/>
                  <w:color w:val="0000FF"/>
                </w:rPr>
                <w:t>Amendment No. 4, dated as of June 18, 2014, to the A320 Family Aircraft Purchase Agreement between Airbus S.A.S., as seller,</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30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4">
              <w:r>
                <w:rPr>
                  <w:rFonts w:ascii="Arial" w:cs="Arial" w:eastAsia="Arial" w:hAnsi="Arial"/>
                  <w:sz w:val="18"/>
                  <w:szCs w:val="18"/>
                  <w:color w:val="0000FF"/>
                </w:rPr>
                <w:t>and American Airlines, Inc., as buyer, dated as of July 20, 2011, as amended, restated, amended and restated, supplemented or</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30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4">
              <w:r>
                <w:rPr>
                  <w:rFonts w:ascii="Arial" w:cs="Arial" w:eastAsia="Arial" w:hAnsi="Arial"/>
                  <w:sz w:val="18"/>
                  <w:szCs w:val="18"/>
                  <w:color w:val="0000FF"/>
                </w:rPr>
                <w:t>otherwise modified (incorporated by reference to Exhibit 10.1 to AAG’s Quarterly Report on Form 10-Q for the quarter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74">
              <w:r>
                <w:rPr>
                  <w:rFonts w:ascii="Arial" w:cs="Arial" w:eastAsia="Arial" w:hAnsi="Arial"/>
                  <w:sz w:val="18"/>
                  <w:szCs w:val="18"/>
                  <w:color w:val="0000FF"/>
                </w:rPr>
                <w:t>June 30, 2014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75">
              <w:r>
                <w:rPr>
                  <w:rFonts w:ascii="Arial" w:cs="Arial" w:eastAsia="Arial" w:hAnsi="Arial"/>
                  <w:sz w:val="18"/>
                  <w:szCs w:val="18"/>
                  <w:color w:val="0000FF"/>
                </w:rPr>
                <w:t>Amendment No. 5, dated as of June 24, 2014, to the A320 Family Aircraft Purchase Agreement between Airbus S.A.S., as seller,</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30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5">
              <w:r>
                <w:rPr>
                  <w:rFonts w:ascii="Arial" w:cs="Arial" w:eastAsia="Arial" w:hAnsi="Arial"/>
                  <w:sz w:val="18"/>
                  <w:szCs w:val="18"/>
                  <w:color w:val="0000FF"/>
                </w:rPr>
                <w:t>and American Airlines, Inc., as buyer, dated as of July 20, 2011, as amended, restated, amended and restated, supplemented or</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30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5">
              <w:r>
                <w:rPr>
                  <w:rFonts w:ascii="Arial" w:cs="Arial" w:eastAsia="Arial" w:hAnsi="Arial"/>
                  <w:sz w:val="18"/>
                  <w:szCs w:val="18"/>
                  <w:color w:val="0000FF"/>
                </w:rPr>
                <w:t>otherwise modified (incorporated by reference to Exhibit 10.2 to AAG’s Quarterly Report on Form 10-Q for the quarter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75">
              <w:r>
                <w:rPr>
                  <w:rFonts w:ascii="Arial" w:cs="Arial" w:eastAsia="Arial" w:hAnsi="Arial"/>
                  <w:sz w:val="18"/>
                  <w:szCs w:val="18"/>
                  <w:color w:val="0000FF"/>
                </w:rPr>
                <w:t>June 30, 2014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10.38</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w w:val="99"/>
              </w:rPr>
            </w:pPr>
            <w:hyperlink r:id="rId276">
              <w:r>
                <w:rPr>
                  <w:rFonts w:ascii="Arial" w:cs="Arial" w:eastAsia="Arial" w:hAnsi="Arial"/>
                  <w:sz w:val="18"/>
                  <w:szCs w:val="18"/>
                  <w:color w:val="0000FF"/>
                  <w:w w:val="99"/>
                </w:rPr>
                <w:t>Amendment No. 6, dated as of July 1, 2014, to the A320 Family Aircraft Purchase Agreement between Airbus S.A.S., as seller,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30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6">
              <w:r>
                <w:rPr>
                  <w:rFonts w:ascii="Arial" w:cs="Arial" w:eastAsia="Arial" w:hAnsi="Arial"/>
                  <w:sz w:val="18"/>
                  <w:szCs w:val="18"/>
                  <w:color w:val="0000FF"/>
                </w:rPr>
                <w:t>American Airlines, Inc., as buyer, dated as of July 20, 2011, as amended, restated, amended and restated, supplemented or</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30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6">
              <w:r>
                <w:rPr>
                  <w:rFonts w:ascii="Arial" w:cs="Arial" w:eastAsia="Arial" w:hAnsi="Arial"/>
                  <w:sz w:val="18"/>
                  <w:szCs w:val="18"/>
                  <w:color w:val="0000FF"/>
                </w:rPr>
                <w:t>otherwise modified (incorporated by reference to Exhibit 10.3 to AAG’s Quarterly Report on Form 10-Q for the quarter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76">
              <w:r>
                <w:rPr>
                  <w:rFonts w:ascii="Arial" w:cs="Arial" w:eastAsia="Arial" w:hAnsi="Arial"/>
                  <w:sz w:val="18"/>
                  <w:szCs w:val="18"/>
                  <w:color w:val="0000FF"/>
                </w:rPr>
                <w:t>June 30, 2014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77">
              <w:r>
                <w:rPr>
                  <w:rFonts w:ascii="Arial" w:cs="Arial" w:eastAsia="Arial" w:hAnsi="Arial"/>
                  <w:sz w:val="18"/>
                  <w:szCs w:val="18"/>
                  <w:color w:val="0000FF"/>
                </w:rPr>
                <w:t>Amendment No. 7, dated as of November 25, 2014, to the A320 Family Aircraft Purchase Agreement between Airbus S.A.S., as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30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77">
              <w:r>
                <w:rPr>
                  <w:rFonts w:ascii="Arial" w:cs="Arial" w:eastAsia="Arial" w:hAnsi="Arial"/>
                  <w:sz w:val="18"/>
                  <w:szCs w:val="18"/>
                  <w:color w:val="0000FF"/>
                </w:rPr>
                <w:t>seller, and American Airlines, Inc., as buyer, dated as of July 20, 2011, as amended, restated, amended and restated,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7">
              <w:r>
                <w:rPr>
                  <w:rFonts w:ascii="Arial" w:cs="Arial" w:eastAsia="Arial" w:hAnsi="Arial"/>
                  <w:sz w:val="18"/>
                  <w:szCs w:val="18"/>
                  <w:color w:val="0000FF"/>
                </w:rPr>
                <w:t>supplemented or otherwise (incorporated by reference to Exhibit 10.51 to AAG’s Annual Report on Form 10-K for the year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77">
              <w:r>
                <w:rPr>
                  <w:rFonts w:ascii="Arial" w:cs="Arial" w:eastAsia="Arial" w:hAnsi="Arial"/>
                  <w:sz w:val="18"/>
                  <w:szCs w:val="18"/>
                  <w:color w:val="0000FF"/>
                </w:rPr>
                <w:t>December 31, 2014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78">
              <w:r>
                <w:rPr>
                  <w:rFonts w:ascii="Arial" w:cs="Arial" w:eastAsia="Arial" w:hAnsi="Arial"/>
                  <w:sz w:val="18"/>
                  <w:szCs w:val="18"/>
                  <w:color w:val="0000FF"/>
                </w:rPr>
                <w:t>Amendment No. 8, dated as of June 11, 2015, to the A320 Family Aircraft Purchase Agreement between American Airlines,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2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8">
              <w:r>
                <w:rPr>
                  <w:rFonts w:ascii="Arial" w:cs="Arial" w:eastAsia="Arial" w:hAnsi="Arial"/>
                  <w:sz w:val="18"/>
                  <w:szCs w:val="18"/>
                  <w:color w:val="0000FF"/>
                </w:rPr>
                <w:t>and Airbus S.A.S., dated as of July 20, 2011, as amended, restated, amended and restated, supplemented or otherwise modified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2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8">
              <w:r>
                <w:rPr>
                  <w:rFonts w:ascii="Arial" w:cs="Arial" w:eastAsia="Arial" w:hAnsi="Arial"/>
                  <w:sz w:val="18"/>
                  <w:szCs w:val="18"/>
                  <w:color w:val="0000FF"/>
                </w:rPr>
                <w:t>(incorporated by reference to Exhibit 10.1 to AAG’s Quarterly Report on Form 10-Q for the quarter ended June 30, 2015</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78">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440" w:top="748" w:right="259" w:bottom="1440" w:gutter="0" w:footer="0" w:header="0"/>
        </w:sectPr>
      </w:pPr>
    </w:p>
    <w:p>
      <w:pPr>
        <w:spacing w:after="0" w:line="8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1200"/>
          </w:cols>
          <w:pgMar w:left="440" w:top="748" w:right="259" w:bottom="1440" w:gutter="0" w:footer="0" w:header="0"/>
          <w:type w:val="continuous"/>
        </w:sectPr>
      </w:pPr>
    </w:p>
    <w:bookmarkStart w:id="195" w:name="page196"/>
    <w:bookmarkEnd w:id="195"/>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2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79">
              <w:r>
                <w:rPr>
                  <w:rFonts w:ascii="Arial" w:cs="Arial" w:eastAsia="Arial" w:hAnsi="Arial"/>
                  <w:sz w:val="18"/>
                  <w:szCs w:val="18"/>
                  <w:color w:val="0000FF"/>
                </w:rPr>
                <w:t>Amendment No. 9, dated as of September 23, 2015, to the A320 Family Aircraft Purchase Agreement, dated as of July 20, 2011,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79">
              <w:r>
                <w:rPr>
                  <w:rFonts w:ascii="Arial" w:cs="Arial" w:eastAsia="Arial" w:hAnsi="Arial"/>
                  <w:sz w:val="18"/>
                  <w:szCs w:val="18"/>
                  <w:color w:val="0000FF"/>
                </w:rPr>
                <w:t>between American Airlines, Inc. and Airbus S.A.S. (incorporated by reference to Exhibit 10.3 to AAG’s Quarterly Report on Form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79">
              <w:r>
                <w:rPr>
                  <w:rFonts w:ascii="Arial" w:cs="Arial" w:eastAsia="Arial" w:hAnsi="Arial"/>
                  <w:sz w:val="18"/>
                  <w:szCs w:val="18"/>
                  <w:color w:val="0000FF"/>
                </w:rPr>
                <w:t>10-Q for the quarter ended September 30, 2015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80">
              <w:r>
                <w:rPr>
                  <w:rFonts w:ascii="Arial" w:cs="Arial" w:eastAsia="Arial" w:hAnsi="Arial"/>
                  <w:sz w:val="18"/>
                  <w:szCs w:val="18"/>
                  <w:color w:val="0000FF"/>
                </w:rPr>
                <w:t>Amendment No. 10, dated as of July 16, 2018, to the A320 Family Aircraft Purchase Agreement, dated as of July 20, 2011,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80">
              <w:r>
                <w:rPr>
                  <w:rFonts w:ascii="Arial" w:cs="Arial" w:eastAsia="Arial" w:hAnsi="Arial"/>
                  <w:sz w:val="18"/>
                  <w:szCs w:val="18"/>
                  <w:color w:val="0000FF"/>
                </w:rPr>
                <w:t>between American Airlines, Inc. and Airbus S.A.S. (incorporated by reference to Exhibit 10.2 to AAG’s Quarterly Report on Form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80">
              <w:r>
                <w:rPr>
                  <w:rFonts w:ascii="Arial" w:cs="Arial" w:eastAsia="Arial" w:hAnsi="Arial"/>
                  <w:sz w:val="18"/>
                  <w:szCs w:val="18"/>
                  <w:color w:val="0000FF"/>
                </w:rPr>
                <w:t>10-Q for the quarter ended September 30, 2018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10.43</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81">
              <w:r>
                <w:rPr>
                  <w:rFonts w:ascii="Arial" w:cs="Arial" w:eastAsia="Arial" w:hAnsi="Arial"/>
                  <w:sz w:val="18"/>
                  <w:szCs w:val="18"/>
                  <w:color w:val="0000FF"/>
                </w:rPr>
                <w:t>Purchase Agreement No. 03735, dated as of February 1, 2013, between American Airlines, Inc., and The Boeing Company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81">
              <w:r>
                <w:rPr>
                  <w:rFonts w:ascii="Arial" w:cs="Arial" w:eastAsia="Arial" w:hAnsi="Arial"/>
                  <w:sz w:val="18"/>
                  <w:szCs w:val="18"/>
                  <w:color w:val="0000FF"/>
                </w:rPr>
                <w:t>(incorporated by reference to Exhibit 10.7 to AMR’s Quarterly Report on Form 10-Q for the quarter ended March 31, 2013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81">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82">
              <w:r>
                <w:rPr>
                  <w:rFonts w:ascii="Arial" w:cs="Arial" w:eastAsia="Arial" w:hAnsi="Arial"/>
                  <w:sz w:val="18"/>
                  <w:szCs w:val="18"/>
                  <w:color w:val="0000FF"/>
                </w:rPr>
                <w:t>Supplemental Agreement No. 1, dated as of April 15, 2013, to Purchase Agreement No. 03735 between American Airlines,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82">
              <w:r>
                <w:rPr>
                  <w:rFonts w:ascii="Arial" w:cs="Arial" w:eastAsia="Arial" w:hAnsi="Arial"/>
                  <w:sz w:val="18"/>
                  <w:szCs w:val="18"/>
                  <w:color w:val="0000FF"/>
                </w:rPr>
                <w:t>and The Boeing Company (incorporated by reference to Exhibit 10.1 to AMR’s Quarterly Report on Form 10-Q for the quarter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82">
              <w:r>
                <w:rPr>
                  <w:rFonts w:ascii="Arial" w:cs="Arial" w:eastAsia="Arial" w:hAnsi="Arial"/>
                  <w:sz w:val="18"/>
                  <w:szCs w:val="18"/>
                  <w:color w:val="0000FF"/>
                </w:rPr>
                <w:t>ended June 30, 2013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83">
              <w:r>
                <w:rPr>
                  <w:rFonts w:ascii="Arial" w:cs="Arial" w:eastAsia="Arial" w:hAnsi="Arial"/>
                  <w:sz w:val="18"/>
                  <w:szCs w:val="18"/>
                  <w:color w:val="0000FF"/>
                </w:rPr>
                <w:t>Supplemental Agreement No. 2, dated as of March 6, 2015, to Purchase Agreement No. 03735 between American Airlines,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83">
              <w:r>
                <w:rPr>
                  <w:rFonts w:ascii="Arial" w:cs="Arial" w:eastAsia="Arial" w:hAnsi="Arial"/>
                  <w:sz w:val="18"/>
                  <w:szCs w:val="18"/>
                  <w:color w:val="0000FF"/>
                </w:rPr>
                <w:t>and The Boeing Company, dated as of February 1, 2013. Relating to Boeing Model 737 MAX Aircraft, as amended, restated,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83">
              <w:r>
                <w:rPr>
                  <w:rFonts w:ascii="Arial" w:cs="Arial" w:eastAsia="Arial" w:hAnsi="Arial"/>
                  <w:sz w:val="18"/>
                  <w:szCs w:val="18"/>
                  <w:color w:val="0000FF"/>
                </w:rPr>
                <w:t>amended and restated, supplemented or otherwise modified (incorporated by reference to Exhibit 10.1 to AAG’s Quarterly Report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83">
              <w:r>
                <w:rPr>
                  <w:rFonts w:ascii="Arial" w:cs="Arial" w:eastAsia="Arial" w:hAnsi="Arial"/>
                  <w:sz w:val="18"/>
                  <w:szCs w:val="18"/>
                  <w:color w:val="0000FF"/>
                </w:rPr>
                <w:t>on Form 10-Q for the quarter ended March 31, 2015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w w:val="99"/>
              </w:rPr>
            </w:pPr>
            <w:hyperlink r:id="rId284">
              <w:r>
                <w:rPr>
                  <w:rFonts w:ascii="Arial" w:cs="Arial" w:eastAsia="Arial" w:hAnsi="Arial"/>
                  <w:sz w:val="18"/>
                  <w:szCs w:val="18"/>
                  <w:color w:val="0000FF"/>
                  <w:w w:val="99"/>
                </w:rPr>
                <w:t>Supplemental Agreement No. 3, dated as of May 22, 2015, to Purchase Agreement No. 03735 between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84">
              <w:r>
                <w:rPr>
                  <w:rFonts w:ascii="Arial" w:cs="Arial" w:eastAsia="Arial" w:hAnsi="Arial"/>
                  <w:sz w:val="18"/>
                  <w:szCs w:val="18"/>
                  <w:color w:val="0000FF"/>
                </w:rPr>
                <w:t>The Boeing Company, dated as of February 1, 2013. Relating to Boeing Model 737 MAX Aircraft, as amended, restated, amended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84">
              <w:r>
                <w:rPr>
                  <w:rFonts w:ascii="Arial" w:cs="Arial" w:eastAsia="Arial" w:hAnsi="Arial"/>
                  <w:sz w:val="18"/>
                  <w:szCs w:val="18"/>
                  <w:color w:val="0000FF"/>
                </w:rPr>
                <w:t>and restated, supplemented or otherwise modified (incorporated by reference to Exhibit 10.3 to AAG’s Quarterly Report on Form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84">
              <w:r>
                <w:rPr>
                  <w:rFonts w:ascii="Arial" w:cs="Arial" w:eastAsia="Arial" w:hAnsi="Arial"/>
                  <w:sz w:val="18"/>
                  <w:szCs w:val="18"/>
                  <w:color w:val="0000FF"/>
                </w:rPr>
                <w:t>10-Q for the quarter ended June 30, 2015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85">
              <w:r>
                <w:rPr>
                  <w:rFonts w:ascii="Arial" w:cs="Arial" w:eastAsia="Arial" w:hAnsi="Arial"/>
                  <w:sz w:val="18"/>
                  <w:szCs w:val="18"/>
                  <w:color w:val="0000FF"/>
                </w:rPr>
                <w:t>Letter Agreement, dated as of January 14, 2016, to Purchase Agreement No. 03735 between American Airlines, Inc. and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85">
              <w:r>
                <w:rPr>
                  <w:rFonts w:ascii="Arial" w:cs="Arial" w:eastAsia="Arial" w:hAnsi="Arial"/>
                  <w:sz w:val="18"/>
                  <w:szCs w:val="18"/>
                  <w:color w:val="0000FF"/>
                </w:rPr>
                <w:t>Boeing Company, dated as of February 1, 2013. Relating to Boeing Model 737 MAX Aircraft, as amended, restated, amended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85">
              <w:r>
                <w:rPr>
                  <w:rFonts w:ascii="Arial" w:cs="Arial" w:eastAsia="Arial" w:hAnsi="Arial"/>
                  <w:sz w:val="18"/>
                  <w:szCs w:val="18"/>
                  <w:color w:val="0000FF"/>
                </w:rPr>
                <w:t>restated, supplemented or otherwise modified (incorporated by reference to Exhibit 10.2 to AAG’s Quarterly Report on Form 10-Q</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85">
              <w:r>
                <w:rPr>
                  <w:rFonts w:ascii="Arial" w:cs="Arial" w:eastAsia="Arial" w:hAnsi="Arial"/>
                  <w:sz w:val="18"/>
                  <w:szCs w:val="18"/>
                  <w:color w:val="0000FF"/>
                </w:rPr>
                <w:t>for the quarter ended March 31, 2016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86">
              <w:r>
                <w:rPr>
                  <w:rFonts w:ascii="Arial" w:cs="Arial" w:eastAsia="Arial" w:hAnsi="Arial"/>
                  <w:sz w:val="18"/>
                  <w:szCs w:val="18"/>
                  <w:color w:val="0000FF"/>
                </w:rPr>
                <w:t>Supplemental Agreement No. 4, dated as of June 6, 2016, to Purchase Agreement No. 03735 dated as of February 1, 2016,</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86">
              <w:r>
                <w:rPr>
                  <w:rFonts w:ascii="Arial" w:cs="Arial" w:eastAsia="Arial" w:hAnsi="Arial"/>
                  <w:sz w:val="18"/>
                  <w:szCs w:val="18"/>
                  <w:color w:val="0000FF"/>
                </w:rPr>
                <w:t>between American Airlines, Inc. and The Boeing Company (incorporated by reference to Exhibit 10.3 to AAG’s Quarterly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86">
              <w:r>
                <w:rPr>
                  <w:rFonts w:ascii="Arial" w:cs="Arial" w:eastAsia="Arial" w:hAnsi="Arial"/>
                  <w:sz w:val="18"/>
                  <w:szCs w:val="18"/>
                  <w:color w:val="0000FF"/>
                </w:rPr>
                <w:t>Form 10-Q for the quarter ended June 30, 2016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87">
              <w:r>
                <w:rPr>
                  <w:rFonts w:ascii="Arial" w:cs="Arial" w:eastAsia="Arial" w:hAnsi="Arial"/>
                  <w:sz w:val="18"/>
                  <w:szCs w:val="18"/>
                  <w:color w:val="0000FF"/>
                </w:rPr>
                <w:t>Supplemental Agreement No. 5, dated as of August 8, 2016, to Purchase Agreement No. 03735 dated as of February 1, 2013,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between American Airlines, Inc. and The Boeing Company (incorporated by reference to Exhibit 10.2 to AAG’s Quarterly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Form 10-Q for the quarter ended September 30, 2016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88">
              <w:r>
                <w:rPr>
                  <w:rFonts w:ascii="Arial" w:cs="Arial" w:eastAsia="Arial" w:hAnsi="Arial"/>
                  <w:sz w:val="18"/>
                  <w:szCs w:val="18"/>
                  <w:color w:val="0000FF"/>
                </w:rPr>
                <w:t>Supplemental Agreement No. 6, dated as of November 15, 2016, to Purchase Agreement No. 03735 dated as of February 1, 2013,</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88">
              <w:r>
                <w:rPr>
                  <w:rFonts w:ascii="Arial" w:cs="Arial" w:eastAsia="Arial" w:hAnsi="Arial"/>
                  <w:sz w:val="18"/>
                  <w:szCs w:val="18"/>
                  <w:color w:val="0000FF"/>
                </w:rPr>
                <w:t>between American Airlines, Inc. and The Boeing Company (incorporated by reference to Exhibit 10.33 to AAG’s Annual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88">
              <w:r>
                <w:rPr>
                  <w:rFonts w:ascii="Arial" w:cs="Arial" w:eastAsia="Arial" w:hAnsi="Arial"/>
                  <w:sz w:val="18"/>
                  <w:szCs w:val="18"/>
                  <w:color w:val="0000FF"/>
                </w:rPr>
                <w:t>Form 10-K for the year ended December 31, 2016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10.51</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89">
              <w:r>
                <w:rPr>
                  <w:rFonts w:ascii="Arial" w:cs="Arial" w:eastAsia="Arial" w:hAnsi="Arial"/>
                  <w:sz w:val="18"/>
                  <w:szCs w:val="18"/>
                  <w:color w:val="0000FF"/>
                </w:rPr>
                <w:t>Supplemental Agreement No. 7, dated as of March 2, 2017, to Purchase Agreement No. 03735 dated as of February 1, 2013,</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89">
              <w:r>
                <w:rPr>
                  <w:rFonts w:ascii="Arial" w:cs="Arial" w:eastAsia="Arial" w:hAnsi="Arial"/>
                  <w:sz w:val="18"/>
                  <w:szCs w:val="18"/>
                  <w:color w:val="0000FF"/>
                </w:rPr>
                <w:t>between American Airlines, Inc. and The Boeing Company (incorporated by reference to Exhibit 10.1 to AAG’s Quarterly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89">
              <w:r>
                <w:rPr>
                  <w:rFonts w:ascii="Arial" w:cs="Arial" w:eastAsia="Arial" w:hAnsi="Arial"/>
                  <w:sz w:val="18"/>
                  <w:szCs w:val="18"/>
                  <w:color w:val="0000FF"/>
                </w:rPr>
                <w:t>Form 10-Q for the quarter ended March 31, 2017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90">
              <w:r>
                <w:rPr>
                  <w:rFonts w:ascii="Arial" w:cs="Arial" w:eastAsia="Arial" w:hAnsi="Arial"/>
                  <w:sz w:val="18"/>
                  <w:szCs w:val="18"/>
                  <w:color w:val="0000FF"/>
                </w:rPr>
                <w:t>Supplemental Agreement No. 8, dated as of December 7, 2017, to Purchase Agreement No. 03735 dated as of February 1, 2013,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90">
              <w:r>
                <w:rPr>
                  <w:rFonts w:ascii="Arial" w:cs="Arial" w:eastAsia="Arial" w:hAnsi="Arial"/>
                  <w:sz w:val="18"/>
                  <w:szCs w:val="18"/>
                  <w:color w:val="0000FF"/>
                </w:rPr>
                <w:t>between American Airlines, Inc. and The Boeing Company (incorporated by reference to Exhibit 10.45 to AAG’s Annual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90">
              <w:r>
                <w:rPr>
                  <w:rFonts w:ascii="Arial" w:cs="Arial" w:eastAsia="Arial" w:hAnsi="Arial"/>
                  <w:sz w:val="18"/>
                  <w:szCs w:val="18"/>
                  <w:color w:val="0000FF"/>
                </w:rPr>
                <w:t>Form 10-K for the year ended December 31, 2017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w w:val="99"/>
              </w:rPr>
            </w:pPr>
            <w:hyperlink r:id="rId291">
              <w:r>
                <w:rPr>
                  <w:rFonts w:ascii="Arial" w:cs="Arial" w:eastAsia="Arial" w:hAnsi="Arial"/>
                  <w:sz w:val="18"/>
                  <w:szCs w:val="18"/>
                  <w:color w:val="0000FF"/>
                  <w:w w:val="99"/>
                </w:rPr>
                <w:t>Supplemental Agreement No. 9, dated as of April 6, 2018, to Purchase Agreement No. 03735 dated as of February 1, 2013, by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91">
              <w:r>
                <w:rPr>
                  <w:rFonts w:ascii="Arial" w:cs="Arial" w:eastAsia="Arial" w:hAnsi="Arial"/>
                  <w:sz w:val="18"/>
                  <w:szCs w:val="18"/>
                  <w:color w:val="0000FF"/>
                </w:rPr>
                <w:t>between American Airlines, Inc. and The Boeing Company (incorporated by reference to Exhibit 10.2 to AAG’s Quarterly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91">
              <w:r>
                <w:rPr>
                  <w:rFonts w:ascii="Arial" w:cs="Arial" w:eastAsia="Arial" w:hAnsi="Arial"/>
                  <w:sz w:val="18"/>
                  <w:szCs w:val="18"/>
                  <w:color w:val="0000FF"/>
                </w:rPr>
                <w:t>Form 10-Q for the quarter ended June 30, 2018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10.54</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92">
              <w:r>
                <w:rPr>
                  <w:rFonts w:ascii="Arial" w:cs="Arial" w:eastAsia="Arial" w:hAnsi="Arial"/>
                  <w:sz w:val="18"/>
                  <w:szCs w:val="18"/>
                  <w:color w:val="0000FF"/>
                </w:rPr>
                <w:t>Consent Agreement, dated as of October 5, 2015, between American Airlines, Inc. (as successor in interest to US Airways,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534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92">
              <w:r>
                <w:rPr>
                  <w:rFonts w:ascii="Arial" w:cs="Arial" w:eastAsia="Arial" w:hAnsi="Arial"/>
                  <w:sz w:val="18"/>
                  <w:szCs w:val="18"/>
                  <w:color w:val="0000FF"/>
                </w:rPr>
                <w:t>American Airlines, Inc. and Airbus S.A.S. (incorporated by reference to Exhibit 10.98 to AAG’s Annual Report on Form 10-K for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92">
              <w:r>
                <w:rPr>
                  <w:rFonts w:ascii="Arial" w:cs="Arial" w:eastAsia="Arial" w:hAnsi="Arial"/>
                  <w:sz w:val="18"/>
                  <w:szCs w:val="18"/>
                  <w:color w:val="0000FF"/>
                </w:rPr>
                <w:t>year ended December 31, 2015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10.55</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93">
              <w:r>
                <w:rPr>
                  <w:rFonts w:ascii="Arial" w:cs="Arial" w:eastAsia="Arial" w:hAnsi="Arial"/>
                  <w:sz w:val="18"/>
                  <w:szCs w:val="18"/>
                  <w:color w:val="0000FF"/>
                </w:rPr>
                <w:t>Supplemental Executive Retirement Program for Officers of American Airlines, Inc., as amended and restated as of January 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7480" w:type="dxa"/>
            <w:vAlign w:val="bottom"/>
            <w:gridSpan w:val="1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93">
              <w:r>
                <w:rPr>
                  <w:rFonts w:ascii="Arial" w:cs="Arial" w:eastAsia="Arial" w:hAnsi="Arial"/>
                  <w:sz w:val="18"/>
                  <w:szCs w:val="18"/>
                  <w:color w:val="0000FF"/>
                </w:rPr>
                <w:t>2005 (incorporated by reference to Exhibit 10.127 to AMR’s Annual Report on Form 10-K for the year ended December 31, 2008</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93">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294">
              <w:r>
                <w:rPr>
                  <w:rFonts w:ascii="Arial" w:cs="Arial" w:eastAsia="Arial" w:hAnsi="Arial"/>
                  <w:sz w:val="18"/>
                  <w:szCs w:val="18"/>
                  <w:color w:val="0000FF"/>
                </w:rPr>
                <w:t>Trust Agreement Under Supplemental Retirement Program for Officers of American Airlines, Inc., as amended and restated as of</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7480" w:type="dxa"/>
            <w:vAlign w:val="bottom"/>
            <w:gridSpan w:val="1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94">
              <w:r>
                <w:rPr>
                  <w:rFonts w:ascii="Arial" w:cs="Arial" w:eastAsia="Arial" w:hAnsi="Arial"/>
                  <w:sz w:val="18"/>
                  <w:szCs w:val="18"/>
                  <w:color w:val="0000FF"/>
                </w:rPr>
                <w:t>June 1, 2007 (incorporated by reference to Exhibit 10.128 to AMR’s Annual Report on Form 10-K for the year ended December 31,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94">
              <w:r>
                <w:rPr>
                  <w:rFonts w:ascii="Arial" w:cs="Arial" w:eastAsia="Arial" w:hAnsi="Arial"/>
                  <w:sz w:val="18"/>
                  <w:szCs w:val="18"/>
                  <w:color w:val="0000FF"/>
                </w:rPr>
                <w:t>2008 (Commission File No. 1-8400)).</w:t>
              </w:r>
              <w:r>
                <w:rPr>
                  <w:rFonts w:ascii="Arial" w:cs="Arial" w:eastAsia="Arial" w:hAnsi="Arial"/>
                  <w:sz w:val="18"/>
                  <w:szCs w:val="18"/>
                  <w:color w:val="000000"/>
                </w:rPr>
                <w:t>†</w:t>
              </w:r>
            </w:hyperlink>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Borders>
              <w:top w:val="single" w:sz="8" w:color="0000FF"/>
            </w:tcBorders>
            <w:gridSpan w:val="2"/>
          </w:tcPr>
          <w:p>
            <w:pPr>
              <w:spacing w:after="0"/>
              <w:rPr>
                <w:sz w:val="24"/>
                <w:szCs w:val="24"/>
                <w:color w:val="auto"/>
              </w:rPr>
            </w:pPr>
          </w:p>
        </w:tc>
        <w:tc>
          <w:tcPr>
            <w:tcW w:w="2140" w:type="dxa"/>
            <w:vAlign w:val="bottom"/>
            <w:gridSpan w:val="3"/>
          </w:tcPr>
          <w:p>
            <w:pPr>
              <w:jc w:val="right"/>
              <w:ind w:right="108"/>
              <w:spacing w:after="0"/>
              <w:rPr>
                <w:sz w:val="20"/>
                <w:szCs w:val="20"/>
                <w:color w:val="auto"/>
              </w:rPr>
            </w:pPr>
            <w:r>
              <w:rPr>
                <w:rFonts w:ascii="Arial" w:cs="Arial" w:eastAsia="Arial" w:hAnsi="Arial"/>
                <w:sz w:val="18"/>
                <w:szCs w:val="18"/>
                <w:color w:val="auto"/>
              </w:rPr>
              <w:t>196</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20" w:type="dxa"/>
            <w:vAlign w:val="bottom"/>
            <w:gridSpan w:val="16"/>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10.57</w:t>
            </w:r>
          </w:p>
        </w:tc>
        <w:tc>
          <w:tcPr>
            <w:tcW w:w="220" w:type="dxa"/>
            <w:vAlign w:val="bottom"/>
          </w:tcPr>
          <w:p>
            <w:pPr>
              <w:spacing w:after="0"/>
              <w:rPr>
                <w:sz w:val="19"/>
                <w:szCs w:val="19"/>
                <w:color w:val="auto"/>
              </w:rPr>
            </w:pPr>
          </w:p>
        </w:tc>
        <w:tc>
          <w:tcPr>
            <w:tcW w:w="10440" w:type="dxa"/>
            <w:vAlign w:val="bottom"/>
            <w:gridSpan w:val="23"/>
          </w:tcPr>
          <w:p>
            <w:pPr>
              <w:spacing w:after="0"/>
              <w:rPr>
                <w:rFonts w:ascii="Arial" w:cs="Arial" w:eastAsia="Arial" w:hAnsi="Arial"/>
                <w:sz w:val="18"/>
                <w:szCs w:val="18"/>
                <w:color w:val="0000FF"/>
              </w:rPr>
            </w:pPr>
            <w:hyperlink r:id="rId295">
              <w:r>
                <w:rPr>
                  <w:rFonts w:ascii="Arial" w:cs="Arial" w:eastAsia="Arial" w:hAnsi="Arial"/>
                  <w:sz w:val="18"/>
                  <w:szCs w:val="18"/>
                  <w:color w:val="0000FF"/>
                </w:rPr>
                <w:t>Trust Agreement Under Supplemental Executive Retirement Program for Officers of American Airlines, Inc. Participating in the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23"/>
          </w:tcPr>
          <w:p>
            <w:pPr>
              <w:spacing w:after="0" w:line="182" w:lineRule="exact"/>
              <w:rPr>
                <w:rFonts w:ascii="Arial" w:cs="Arial" w:eastAsia="Arial" w:hAnsi="Arial"/>
                <w:sz w:val="18"/>
                <w:szCs w:val="18"/>
                <w:color w:val="0000FF"/>
                <w:w w:val="99"/>
              </w:rPr>
            </w:pPr>
            <w:hyperlink r:id="rId295">
              <w:r>
                <w:rPr>
                  <w:rFonts w:ascii="Arial" w:cs="Arial" w:eastAsia="Arial" w:hAnsi="Arial"/>
                  <w:sz w:val="18"/>
                  <w:szCs w:val="18"/>
                  <w:color w:val="0000FF"/>
                  <w:w w:val="99"/>
                </w:rPr>
                <w:t>Super Saver Plus Plan, as amended and restated as of June 1, 2007 (incorporated by reference to Exhibit 10.129 to AMR’s Annual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23"/>
          </w:tcPr>
          <w:p>
            <w:pPr>
              <w:spacing w:after="0" w:line="182" w:lineRule="exact"/>
              <w:rPr>
                <w:rFonts w:ascii="Arial" w:cs="Arial" w:eastAsia="Arial" w:hAnsi="Arial"/>
                <w:sz w:val="18"/>
                <w:szCs w:val="18"/>
                <w:color w:val="0000FF"/>
              </w:rPr>
            </w:pPr>
            <w:hyperlink r:id="rId295">
              <w:r>
                <w:rPr>
                  <w:rFonts w:ascii="Arial" w:cs="Arial" w:eastAsia="Arial" w:hAnsi="Arial"/>
                  <w:sz w:val="18"/>
                  <w:szCs w:val="18"/>
                  <w:color w:val="0000FF"/>
                </w:rPr>
                <w:t>Report on Form 10-K for the year ended December 31, 2008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20"/>
                <w:szCs w:val="20"/>
                <w:color w:val="auto"/>
              </w:rPr>
            </w:pPr>
          </w:p>
        </w:tc>
        <w:tc>
          <w:tcPr>
            <w:tcW w:w="10440" w:type="dxa"/>
            <w:vAlign w:val="bottom"/>
            <w:gridSpan w:val="23"/>
          </w:tcPr>
          <w:p>
            <w:pPr>
              <w:spacing w:after="0"/>
              <w:rPr>
                <w:rFonts w:ascii="Arial" w:cs="Arial" w:eastAsia="Arial" w:hAnsi="Arial"/>
                <w:sz w:val="18"/>
                <w:szCs w:val="18"/>
                <w:color w:val="0000FF"/>
              </w:rPr>
            </w:pPr>
            <w:hyperlink r:id="rId296">
              <w:r>
                <w:rPr>
                  <w:rFonts w:ascii="Arial" w:cs="Arial" w:eastAsia="Arial" w:hAnsi="Arial"/>
                  <w:sz w:val="18"/>
                  <w:szCs w:val="18"/>
                  <w:color w:val="0000FF"/>
                </w:rPr>
                <w:t>American Airlines Group Inc. 2013 Incentive Award Plan (incorporated by reference to Exhibit 4.1 of AAG’s Form S-8 Registration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296">
              <w:r>
                <w:rPr>
                  <w:rFonts w:ascii="Arial" w:cs="Arial" w:eastAsia="Arial" w:hAnsi="Arial"/>
                  <w:sz w:val="18"/>
                  <w:szCs w:val="18"/>
                  <w:color w:val="0000FF"/>
                </w:rPr>
                <w:t>Statement, filed on December 4, 2013).</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20"/>
                <w:szCs w:val="20"/>
                <w:color w:val="auto"/>
              </w:rPr>
            </w:pPr>
          </w:p>
        </w:tc>
        <w:tc>
          <w:tcPr>
            <w:tcW w:w="10440" w:type="dxa"/>
            <w:vAlign w:val="bottom"/>
            <w:gridSpan w:val="23"/>
          </w:tcPr>
          <w:p>
            <w:pPr>
              <w:spacing w:after="0"/>
              <w:rPr>
                <w:rFonts w:ascii="Arial" w:cs="Arial" w:eastAsia="Arial" w:hAnsi="Arial"/>
                <w:sz w:val="18"/>
                <w:szCs w:val="18"/>
                <w:color w:val="0000FF"/>
              </w:rPr>
            </w:pPr>
            <w:hyperlink r:id="rId297">
              <w:r>
                <w:rPr>
                  <w:rFonts w:ascii="Arial" w:cs="Arial" w:eastAsia="Arial" w:hAnsi="Arial"/>
                  <w:sz w:val="18"/>
                  <w:szCs w:val="18"/>
                  <w:color w:val="0000FF"/>
                </w:rPr>
                <w:t>First Amendment to the American Airlines Group Inc. 2013 Incentive Award Plan (incorporated by reference to Exhibit 10.64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297">
              <w:r>
                <w:rPr>
                  <w:rFonts w:ascii="Arial" w:cs="Arial" w:eastAsia="Arial" w:hAnsi="Arial"/>
                  <w:sz w:val="18"/>
                  <w:szCs w:val="18"/>
                  <w:color w:val="0000FF"/>
                </w:rPr>
                <w:t>AAG’s Annual Report on Form 10-K for the year ended December 31, 2017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23"/>
          </w:tcPr>
          <w:p>
            <w:pPr>
              <w:spacing w:after="0"/>
              <w:rPr>
                <w:rFonts w:ascii="Arial" w:cs="Arial" w:eastAsia="Arial" w:hAnsi="Arial"/>
                <w:sz w:val="18"/>
                <w:szCs w:val="18"/>
                <w:color w:val="0000FF"/>
              </w:rPr>
            </w:pPr>
            <w:hyperlink r:id="rId298">
              <w:r>
                <w:rPr>
                  <w:rFonts w:ascii="Arial" w:cs="Arial" w:eastAsia="Arial" w:hAnsi="Arial"/>
                  <w:sz w:val="18"/>
                  <w:szCs w:val="18"/>
                  <w:color w:val="0000FF"/>
                </w:rPr>
                <w:t>Form of American Airlines Group Inc. 2013 Incentive Award Plan Restricted Stock Unit (Cash-Settled) Award Grant Notice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23"/>
          </w:tcPr>
          <w:p>
            <w:pPr>
              <w:spacing w:after="0" w:line="182" w:lineRule="exact"/>
              <w:rPr>
                <w:rFonts w:ascii="Arial" w:cs="Arial" w:eastAsia="Arial" w:hAnsi="Arial"/>
                <w:sz w:val="18"/>
                <w:szCs w:val="18"/>
                <w:color w:val="0000FF"/>
              </w:rPr>
            </w:pPr>
            <w:hyperlink r:id="rId298">
              <w:r>
                <w:rPr>
                  <w:rFonts w:ascii="Arial" w:cs="Arial" w:eastAsia="Arial" w:hAnsi="Arial"/>
                  <w:sz w:val="18"/>
                  <w:szCs w:val="18"/>
                  <w:color w:val="0000FF"/>
                </w:rPr>
                <w:t>Award Agreement (incorporated by reference to Exhibit 10.125 to AAG’s Annual Report on Form 10-K for the year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298">
              <w:r>
                <w:rPr>
                  <w:rFonts w:ascii="Arial" w:cs="Arial" w:eastAsia="Arial" w:hAnsi="Arial"/>
                  <w:sz w:val="18"/>
                  <w:szCs w:val="18"/>
                  <w:color w:val="0000FF"/>
                </w:rPr>
                <w:t>December 31, 2013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23"/>
          </w:tcPr>
          <w:p>
            <w:pPr>
              <w:spacing w:after="0"/>
              <w:rPr>
                <w:rFonts w:ascii="Arial" w:cs="Arial" w:eastAsia="Arial" w:hAnsi="Arial"/>
                <w:sz w:val="18"/>
                <w:szCs w:val="18"/>
                <w:color w:val="0000FF"/>
              </w:rPr>
            </w:pPr>
            <w:hyperlink r:id="rId299">
              <w:r>
                <w:rPr>
                  <w:rFonts w:ascii="Arial" w:cs="Arial" w:eastAsia="Arial" w:hAnsi="Arial"/>
                  <w:sz w:val="18"/>
                  <w:szCs w:val="18"/>
                  <w:color w:val="0000FF"/>
                </w:rPr>
                <w:t>Form of American Airlines Group Inc. 2013 Incentive Award Plan Restricted Stock Unit (Stock-Settled) Award Grant Notice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23"/>
          </w:tcPr>
          <w:p>
            <w:pPr>
              <w:spacing w:after="0" w:line="182" w:lineRule="exact"/>
              <w:rPr>
                <w:rFonts w:ascii="Arial" w:cs="Arial" w:eastAsia="Arial" w:hAnsi="Arial"/>
                <w:sz w:val="18"/>
                <w:szCs w:val="18"/>
                <w:color w:val="0000FF"/>
              </w:rPr>
            </w:pPr>
            <w:hyperlink r:id="rId299">
              <w:r>
                <w:rPr>
                  <w:rFonts w:ascii="Arial" w:cs="Arial" w:eastAsia="Arial" w:hAnsi="Arial"/>
                  <w:sz w:val="18"/>
                  <w:szCs w:val="18"/>
                  <w:color w:val="0000FF"/>
                </w:rPr>
                <w:t>Award Agreement (incorporated by reference to Exhibit 10.127 to AAG’s Annual Report on Form 10-K for the year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299">
              <w:r>
                <w:rPr>
                  <w:rFonts w:ascii="Arial" w:cs="Arial" w:eastAsia="Arial" w:hAnsi="Arial"/>
                  <w:sz w:val="18"/>
                  <w:szCs w:val="18"/>
                  <w:color w:val="0000FF"/>
                </w:rPr>
                <w:t>December 31, 2013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23"/>
          </w:tcPr>
          <w:p>
            <w:pPr>
              <w:spacing w:after="0"/>
              <w:rPr>
                <w:rFonts w:ascii="Arial" w:cs="Arial" w:eastAsia="Arial" w:hAnsi="Arial"/>
                <w:sz w:val="18"/>
                <w:szCs w:val="18"/>
                <w:color w:val="0000FF"/>
              </w:rPr>
            </w:pPr>
            <w:hyperlink r:id="rId300">
              <w:r>
                <w:rPr>
                  <w:rFonts w:ascii="Arial" w:cs="Arial" w:eastAsia="Arial" w:hAnsi="Arial"/>
                  <w:sz w:val="18"/>
                  <w:szCs w:val="18"/>
                  <w:color w:val="0000FF"/>
                </w:rPr>
                <w:t>Form of American Airlines Group Inc. 2013 Incentive Award Plan Restricted Stock Unit (Stock-Settled) Award Grant Notice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23"/>
          </w:tcPr>
          <w:p>
            <w:pPr>
              <w:spacing w:after="0" w:line="182" w:lineRule="exact"/>
              <w:rPr>
                <w:rFonts w:ascii="Arial" w:cs="Arial" w:eastAsia="Arial" w:hAnsi="Arial"/>
                <w:sz w:val="18"/>
                <w:szCs w:val="18"/>
                <w:color w:val="0000FF"/>
              </w:rPr>
            </w:pPr>
            <w:hyperlink r:id="rId300">
              <w:r>
                <w:rPr>
                  <w:rFonts w:ascii="Arial" w:cs="Arial" w:eastAsia="Arial" w:hAnsi="Arial"/>
                  <w:sz w:val="18"/>
                  <w:szCs w:val="18"/>
                  <w:color w:val="0000FF"/>
                </w:rPr>
                <w:t>Award Agreement for Director Grants (incorporated by reference to Exhibit 10.129 to AAG’s Annual Report on Form 10-K for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300">
              <w:r>
                <w:rPr>
                  <w:rFonts w:ascii="Arial" w:cs="Arial" w:eastAsia="Arial" w:hAnsi="Arial"/>
                  <w:sz w:val="18"/>
                  <w:szCs w:val="18"/>
                  <w:color w:val="0000FF"/>
                </w:rPr>
                <w:t>year ended December 31, 2013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23"/>
          </w:tcPr>
          <w:p>
            <w:pPr>
              <w:spacing w:after="0"/>
              <w:rPr>
                <w:rFonts w:ascii="Arial" w:cs="Arial" w:eastAsia="Arial" w:hAnsi="Arial"/>
                <w:sz w:val="18"/>
                <w:szCs w:val="18"/>
                <w:color w:val="0000FF"/>
              </w:rPr>
            </w:pPr>
            <w:hyperlink r:id="rId301">
              <w:r>
                <w:rPr>
                  <w:rFonts w:ascii="Arial" w:cs="Arial" w:eastAsia="Arial" w:hAnsi="Arial"/>
                  <w:sz w:val="18"/>
                  <w:szCs w:val="18"/>
                  <w:color w:val="0000FF"/>
                </w:rPr>
                <w:t>Form of Indemnification Agreement (incorporated by reference to Exhibit 10.9 to AAG’s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23"/>
          </w:tcPr>
          <w:p>
            <w:pPr>
              <w:spacing w:after="0" w:line="182" w:lineRule="exact"/>
              <w:rPr>
                <w:rFonts w:ascii="Arial" w:cs="Arial" w:eastAsia="Arial" w:hAnsi="Arial"/>
                <w:sz w:val="18"/>
                <w:szCs w:val="18"/>
                <w:color w:val="0000FF"/>
              </w:rPr>
            </w:pPr>
            <w:hyperlink r:id="rId301">
              <w:r>
                <w:rPr>
                  <w:rFonts w:ascii="Arial" w:cs="Arial" w:eastAsia="Arial" w:hAnsi="Arial"/>
                  <w:sz w:val="18"/>
                  <w:szCs w:val="18"/>
                  <w:color w:val="0000FF"/>
                </w:rPr>
                <w:t>December 9, 2013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23"/>
          </w:tcPr>
          <w:p>
            <w:pPr>
              <w:spacing w:after="0"/>
              <w:rPr>
                <w:rFonts w:ascii="Arial" w:cs="Arial" w:eastAsia="Arial" w:hAnsi="Arial"/>
                <w:sz w:val="18"/>
                <w:szCs w:val="18"/>
                <w:color w:val="0000FF"/>
              </w:rPr>
            </w:pPr>
            <w:hyperlink r:id="rId302">
              <w:r>
                <w:rPr>
                  <w:rFonts w:ascii="Arial" w:cs="Arial" w:eastAsia="Arial" w:hAnsi="Arial"/>
                  <w:sz w:val="18"/>
                  <w:szCs w:val="18"/>
                  <w:color w:val="0000FF"/>
                </w:rPr>
                <w:t>US Airways Group, Inc. 2011 Incentive Award Plan (incorporated by reference to Exhibit 4.1 to US Airways Group’s Registration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23"/>
          </w:tcPr>
          <w:p>
            <w:pPr>
              <w:spacing w:after="0" w:line="182" w:lineRule="exact"/>
              <w:rPr>
                <w:rFonts w:ascii="Arial" w:cs="Arial" w:eastAsia="Arial" w:hAnsi="Arial"/>
                <w:sz w:val="18"/>
                <w:szCs w:val="18"/>
                <w:color w:val="0000FF"/>
              </w:rPr>
            </w:pPr>
            <w:hyperlink r:id="rId302">
              <w:r>
                <w:rPr>
                  <w:rFonts w:ascii="Arial" w:cs="Arial" w:eastAsia="Arial" w:hAnsi="Arial"/>
                  <w:sz w:val="18"/>
                  <w:szCs w:val="18"/>
                  <w:color w:val="0000FF"/>
                </w:rPr>
                <w:t>Statement on Form S-8 filed on July 1, 2011 (Registration No. 333-175323)).</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20"/>
                <w:szCs w:val="20"/>
                <w:color w:val="auto"/>
              </w:rPr>
            </w:pPr>
          </w:p>
        </w:tc>
        <w:tc>
          <w:tcPr>
            <w:tcW w:w="10440" w:type="dxa"/>
            <w:vAlign w:val="bottom"/>
            <w:gridSpan w:val="23"/>
          </w:tcPr>
          <w:p>
            <w:pPr>
              <w:spacing w:after="0"/>
              <w:rPr>
                <w:rFonts w:ascii="Arial" w:cs="Arial" w:eastAsia="Arial" w:hAnsi="Arial"/>
                <w:sz w:val="18"/>
                <w:szCs w:val="18"/>
                <w:color w:val="0000FF"/>
              </w:rPr>
            </w:pPr>
            <w:hyperlink r:id="rId303">
              <w:r>
                <w:rPr>
                  <w:rFonts w:ascii="Arial" w:cs="Arial" w:eastAsia="Arial" w:hAnsi="Arial"/>
                  <w:sz w:val="18"/>
                  <w:szCs w:val="18"/>
                  <w:color w:val="0000FF"/>
                </w:rPr>
                <w:t>Form of Stock Appreciation Right (Cash-Settled) Award Grant Notice and Stock Appreciation Right (Cash-Settled) Award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23"/>
          </w:tcPr>
          <w:p>
            <w:pPr>
              <w:spacing w:after="0" w:line="182" w:lineRule="exact"/>
              <w:rPr>
                <w:rFonts w:ascii="Arial" w:cs="Arial" w:eastAsia="Arial" w:hAnsi="Arial"/>
                <w:sz w:val="18"/>
                <w:szCs w:val="18"/>
                <w:color w:val="0000FF"/>
              </w:rPr>
            </w:pPr>
            <w:hyperlink r:id="rId303">
              <w:r>
                <w:rPr>
                  <w:rFonts w:ascii="Arial" w:cs="Arial" w:eastAsia="Arial" w:hAnsi="Arial"/>
                  <w:sz w:val="18"/>
                  <w:szCs w:val="18"/>
                  <w:color w:val="0000FF"/>
                </w:rPr>
                <w:t>Agreement under the US Airways Group, Inc. 2011 Incentive Award Plan (incorporated by reference to Exhibit 4.3 to US Airways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23"/>
          </w:tcPr>
          <w:p>
            <w:pPr>
              <w:spacing w:after="0" w:line="182" w:lineRule="exact"/>
              <w:rPr>
                <w:rFonts w:ascii="Arial" w:cs="Arial" w:eastAsia="Arial" w:hAnsi="Arial"/>
                <w:sz w:val="18"/>
                <w:szCs w:val="18"/>
                <w:color w:val="0000FF"/>
              </w:rPr>
            </w:pPr>
            <w:hyperlink r:id="rId303">
              <w:r>
                <w:rPr>
                  <w:rFonts w:ascii="Arial" w:cs="Arial" w:eastAsia="Arial" w:hAnsi="Arial"/>
                  <w:sz w:val="18"/>
                  <w:szCs w:val="18"/>
                  <w:color w:val="0000FF"/>
                </w:rPr>
                <w:t>Group’s Registration Statement on Form S-8 filed on July 1, 2011 (Registration No. 333-175323)).</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23"/>
          </w:tcPr>
          <w:p>
            <w:pPr>
              <w:spacing w:after="0"/>
              <w:rPr>
                <w:rFonts w:ascii="Arial" w:cs="Arial" w:eastAsia="Arial" w:hAnsi="Arial"/>
                <w:sz w:val="18"/>
                <w:szCs w:val="18"/>
                <w:color w:val="0000FF"/>
              </w:rPr>
            </w:pPr>
            <w:hyperlink r:id="rId304">
              <w:r>
                <w:rPr>
                  <w:rFonts w:ascii="Arial" w:cs="Arial" w:eastAsia="Arial" w:hAnsi="Arial"/>
                  <w:sz w:val="18"/>
                  <w:szCs w:val="18"/>
                  <w:color w:val="0000FF"/>
                </w:rPr>
                <w:t>Form of Stock Appreciation Right (Stock-Settled) Award Grant Notice and Stock Appreciation Right Award Agreement under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23"/>
          </w:tcPr>
          <w:p>
            <w:pPr>
              <w:spacing w:after="0" w:line="182" w:lineRule="exact"/>
              <w:rPr>
                <w:rFonts w:ascii="Arial" w:cs="Arial" w:eastAsia="Arial" w:hAnsi="Arial"/>
                <w:sz w:val="18"/>
                <w:szCs w:val="18"/>
                <w:color w:val="0000FF"/>
              </w:rPr>
            </w:pPr>
            <w:hyperlink r:id="rId304">
              <w:r>
                <w:rPr>
                  <w:rFonts w:ascii="Arial" w:cs="Arial" w:eastAsia="Arial" w:hAnsi="Arial"/>
                  <w:sz w:val="18"/>
                  <w:szCs w:val="18"/>
                  <w:color w:val="0000FF"/>
                </w:rPr>
                <w:t>US Airways Group, Inc. 2011 Incentive Award Plan (incorporated by reference to Exhibit 4.4 to US Airways Group’s Registration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23"/>
          </w:tcPr>
          <w:p>
            <w:pPr>
              <w:spacing w:after="0" w:line="182" w:lineRule="exact"/>
              <w:rPr>
                <w:rFonts w:ascii="Arial" w:cs="Arial" w:eastAsia="Arial" w:hAnsi="Arial"/>
                <w:sz w:val="18"/>
                <w:szCs w:val="18"/>
                <w:color w:val="0000FF"/>
              </w:rPr>
            </w:pPr>
            <w:hyperlink r:id="rId304">
              <w:r>
                <w:rPr>
                  <w:rFonts w:ascii="Arial" w:cs="Arial" w:eastAsia="Arial" w:hAnsi="Arial"/>
                  <w:sz w:val="18"/>
                  <w:szCs w:val="18"/>
                  <w:color w:val="0000FF"/>
                </w:rPr>
                <w:t>Statement on Form S-8 filed on July 1, 2011 (Registration No. 333-175323)).</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20"/>
                <w:szCs w:val="20"/>
                <w:color w:val="auto"/>
              </w:rPr>
            </w:pPr>
          </w:p>
        </w:tc>
        <w:tc>
          <w:tcPr>
            <w:tcW w:w="10440" w:type="dxa"/>
            <w:vAlign w:val="bottom"/>
            <w:gridSpan w:val="23"/>
          </w:tcPr>
          <w:p>
            <w:pPr>
              <w:spacing w:after="0"/>
              <w:rPr>
                <w:rFonts w:ascii="Arial" w:cs="Arial" w:eastAsia="Arial" w:hAnsi="Arial"/>
                <w:sz w:val="18"/>
                <w:szCs w:val="18"/>
                <w:color w:val="0000FF"/>
              </w:rPr>
            </w:pPr>
            <w:hyperlink r:id="rId305">
              <w:r>
                <w:rPr>
                  <w:rFonts w:ascii="Arial" w:cs="Arial" w:eastAsia="Arial" w:hAnsi="Arial"/>
                  <w:sz w:val="18"/>
                  <w:szCs w:val="18"/>
                  <w:color w:val="0000FF"/>
                </w:rPr>
                <w:t>2014 Short-Term Incentive Program Under 2013 Incentive Award Plan (incorporated by reference to Exhibit 10.8 to AAG’s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305">
              <w:r>
                <w:rPr>
                  <w:rFonts w:ascii="Arial" w:cs="Arial" w:eastAsia="Arial" w:hAnsi="Arial"/>
                  <w:sz w:val="18"/>
                  <w:szCs w:val="18"/>
                  <w:color w:val="0000FF"/>
                </w:rPr>
                <w:t>Quarterly Report on Form 10-Q for the quarter ended June 30, 2014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23"/>
          </w:tcPr>
          <w:p>
            <w:pPr>
              <w:spacing w:after="0"/>
              <w:rPr>
                <w:rFonts w:ascii="Arial" w:cs="Arial" w:eastAsia="Arial" w:hAnsi="Arial"/>
                <w:sz w:val="18"/>
                <w:szCs w:val="18"/>
                <w:color w:val="0000FF"/>
              </w:rPr>
            </w:pPr>
            <w:hyperlink r:id="rId306">
              <w:r>
                <w:rPr>
                  <w:rFonts w:ascii="Arial" w:cs="Arial" w:eastAsia="Arial" w:hAnsi="Arial"/>
                  <w:sz w:val="18"/>
                  <w:szCs w:val="18"/>
                  <w:color w:val="0000FF"/>
                </w:rPr>
                <w:t>Form of Letter Agreement for Directors Travel Program (incorporated by reference to Exhibit 10.106 to US Airways Group’s Annual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23"/>
          </w:tcPr>
          <w:p>
            <w:pPr>
              <w:spacing w:after="0" w:line="182" w:lineRule="exact"/>
              <w:rPr>
                <w:rFonts w:ascii="Arial" w:cs="Arial" w:eastAsia="Arial" w:hAnsi="Arial"/>
                <w:sz w:val="18"/>
                <w:szCs w:val="18"/>
                <w:color w:val="0000FF"/>
              </w:rPr>
            </w:pPr>
            <w:hyperlink r:id="rId306">
              <w:r>
                <w:rPr>
                  <w:rFonts w:ascii="Arial" w:cs="Arial" w:eastAsia="Arial" w:hAnsi="Arial"/>
                  <w:sz w:val="18"/>
                  <w:szCs w:val="18"/>
                  <w:color w:val="0000FF"/>
                </w:rPr>
                <w:t>Report on Form 10-K for the year ended December 31, 2007 (Commission File No. 1-8444)).</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10.69</w:t>
            </w:r>
          </w:p>
        </w:tc>
        <w:tc>
          <w:tcPr>
            <w:tcW w:w="220" w:type="dxa"/>
            <w:vAlign w:val="bottom"/>
          </w:tcPr>
          <w:p>
            <w:pPr>
              <w:spacing w:after="0"/>
              <w:rPr>
                <w:sz w:val="20"/>
                <w:szCs w:val="20"/>
                <w:color w:val="auto"/>
              </w:rPr>
            </w:pPr>
          </w:p>
        </w:tc>
        <w:tc>
          <w:tcPr>
            <w:tcW w:w="10440" w:type="dxa"/>
            <w:vAlign w:val="bottom"/>
            <w:gridSpan w:val="23"/>
          </w:tcPr>
          <w:p>
            <w:pPr>
              <w:spacing w:after="0"/>
              <w:rPr>
                <w:rFonts w:ascii="Arial" w:cs="Arial" w:eastAsia="Arial" w:hAnsi="Arial"/>
                <w:sz w:val="18"/>
                <w:szCs w:val="18"/>
                <w:color w:val="0000FF"/>
              </w:rPr>
            </w:pPr>
            <w:hyperlink r:id="rId307">
              <w:r>
                <w:rPr>
                  <w:rFonts w:ascii="Arial" w:cs="Arial" w:eastAsia="Arial" w:hAnsi="Arial"/>
                  <w:sz w:val="18"/>
                  <w:szCs w:val="18"/>
                  <w:color w:val="0000FF"/>
                </w:rPr>
                <w:t>Amended and Restated Employment Agreement, dated as of November 28, 2007, among US Airways Group, US Airways,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23"/>
          </w:tcPr>
          <w:p>
            <w:pPr>
              <w:spacing w:after="0" w:line="182" w:lineRule="exact"/>
              <w:rPr>
                <w:rFonts w:ascii="Arial" w:cs="Arial" w:eastAsia="Arial" w:hAnsi="Arial"/>
                <w:sz w:val="18"/>
                <w:szCs w:val="18"/>
                <w:color w:val="0000FF"/>
              </w:rPr>
            </w:pPr>
            <w:hyperlink r:id="rId307">
              <w:r>
                <w:rPr>
                  <w:rFonts w:ascii="Arial" w:cs="Arial" w:eastAsia="Arial" w:hAnsi="Arial"/>
                  <w:sz w:val="18"/>
                  <w:szCs w:val="18"/>
                  <w:color w:val="0000FF"/>
                </w:rPr>
                <w:t>and W. Douglas Parker (incorporated by reference to Exhibit 10.1 to US Airways Group’s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307">
              <w:r>
                <w:rPr>
                  <w:rFonts w:ascii="Arial" w:cs="Arial" w:eastAsia="Arial" w:hAnsi="Arial"/>
                  <w:sz w:val="18"/>
                  <w:szCs w:val="18"/>
                  <w:color w:val="0000FF"/>
                </w:rPr>
                <w:t>November 29, 2007 (Commission File No. 1-8444)).</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20"/>
                <w:szCs w:val="20"/>
                <w:color w:val="auto"/>
              </w:rPr>
            </w:pPr>
          </w:p>
        </w:tc>
        <w:tc>
          <w:tcPr>
            <w:tcW w:w="10420" w:type="dxa"/>
            <w:vAlign w:val="bottom"/>
            <w:tcBorders>
              <w:bottom w:val="single" w:sz="8" w:color="0000FF"/>
            </w:tcBorders>
            <w:gridSpan w:val="22"/>
          </w:tcPr>
          <w:p>
            <w:pPr>
              <w:spacing w:after="0"/>
              <w:rPr>
                <w:rFonts w:ascii="Arial" w:cs="Arial" w:eastAsia="Arial" w:hAnsi="Arial"/>
                <w:sz w:val="18"/>
                <w:szCs w:val="18"/>
                <w:color w:val="0000FF"/>
              </w:rPr>
            </w:pPr>
            <w:hyperlink r:id="rId308">
              <w:r>
                <w:rPr>
                  <w:rFonts w:ascii="Arial" w:cs="Arial" w:eastAsia="Arial" w:hAnsi="Arial"/>
                  <w:sz w:val="18"/>
                  <w:szCs w:val="18"/>
                  <w:color w:val="0000FF"/>
                </w:rPr>
                <w:t>Form of Letter Agreement, dated April 25, 2017, by and between American Airlines Group Inc. and each of Robert D. Isom, Jr.,</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23"/>
          </w:tcPr>
          <w:p>
            <w:pPr>
              <w:spacing w:after="0" w:line="182" w:lineRule="exact"/>
              <w:rPr>
                <w:rFonts w:ascii="Arial" w:cs="Arial" w:eastAsia="Arial" w:hAnsi="Arial"/>
                <w:sz w:val="18"/>
                <w:szCs w:val="18"/>
                <w:color w:val="0000FF"/>
                <w:w w:val="99"/>
              </w:rPr>
            </w:pPr>
            <w:hyperlink r:id="rId308">
              <w:r>
                <w:rPr>
                  <w:rFonts w:ascii="Arial" w:cs="Arial" w:eastAsia="Arial" w:hAnsi="Arial"/>
                  <w:sz w:val="18"/>
                  <w:szCs w:val="18"/>
                  <w:color w:val="0000FF"/>
                  <w:w w:val="99"/>
                </w:rPr>
                <w:t>Elise Eberwein, Stephen L. Johnson and Derek J. Kerr (incorporated by reference to Exhibit 10.1 to AAG’s Current Report on Form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23"/>
          </w:tcPr>
          <w:p>
            <w:pPr>
              <w:spacing w:after="0" w:line="182" w:lineRule="exact"/>
              <w:rPr>
                <w:rFonts w:ascii="Arial" w:cs="Arial" w:eastAsia="Arial" w:hAnsi="Arial"/>
                <w:sz w:val="18"/>
                <w:szCs w:val="18"/>
                <w:color w:val="0000FF"/>
              </w:rPr>
            </w:pPr>
            <w:hyperlink r:id="rId308">
              <w:r>
                <w:rPr>
                  <w:rFonts w:ascii="Arial" w:cs="Arial" w:eastAsia="Arial" w:hAnsi="Arial"/>
                  <w:sz w:val="18"/>
                  <w:szCs w:val="18"/>
                  <w:color w:val="0000FF"/>
                </w:rPr>
                <w:t>8-K filed on May 1, 2017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10.71</w:t>
            </w:r>
          </w:p>
        </w:tc>
        <w:tc>
          <w:tcPr>
            <w:tcW w:w="220" w:type="dxa"/>
            <w:vAlign w:val="bottom"/>
          </w:tcPr>
          <w:p>
            <w:pPr>
              <w:spacing w:after="0"/>
              <w:rPr>
                <w:sz w:val="20"/>
                <w:szCs w:val="20"/>
                <w:color w:val="auto"/>
              </w:rPr>
            </w:pPr>
          </w:p>
        </w:tc>
        <w:tc>
          <w:tcPr>
            <w:tcW w:w="10440" w:type="dxa"/>
            <w:vAlign w:val="bottom"/>
            <w:gridSpan w:val="23"/>
          </w:tcPr>
          <w:p>
            <w:pPr>
              <w:spacing w:after="0"/>
              <w:rPr>
                <w:rFonts w:ascii="Arial" w:cs="Arial" w:eastAsia="Arial" w:hAnsi="Arial"/>
                <w:sz w:val="18"/>
                <w:szCs w:val="18"/>
                <w:color w:val="0000FF"/>
              </w:rPr>
            </w:pPr>
            <w:hyperlink r:id="rId309">
              <w:r>
                <w:rPr>
                  <w:rFonts w:ascii="Arial" w:cs="Arial" w:eastAsia="Arial" w:hAnsi="Arial"/>
                  <w:sz w:val="18"/>
                  <w:szCs w:val="18"/>
                  <w:color w:val="0000FF"/>
                </w:rPr>
                <w:t>Letter Agreement, dated as of April 28, 2016, between American Airlines Group Inc. and W. Douglas Parker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309">
              <w:r>
                <w:rPr>
                  <w:rFonts w:ascii="Arial" w:cs="Arial" w:eastAsia="Arial" w:hAnsi="Arial"/>
                  <w:sz w:val="18"/>
                  <w:szCs w:val="18"/>
                  <w:color w:val="0000FF"/>
                </w:rPr>
                <w:t>reference to Exhibit 10.1 to AAG’s Current Report on Form 8-K filed on April 29, 2016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74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14.1</w:t>
            </w:r>
          </w:p>
        </w:tc>
        <w:tc>
          <w:tcPr>
            <w:tcW w:w="220" w:type="dxa"/>
            <w:vAlign w:val="bottom"/>
          </w:tcPr>
          <w:p>
            <w:pPr>
              <w:spacing w:after="0"/>
              <w:rPr>
                <w:sz w:val="20"/>
                <w:szCs w:val="20"/>
                <w:color w:val="auto"/>
              </w:rPr>
            </w:pPr>
          </w:p>
        </w:tc>
        <w:tc>
          <w:tcPr>
            <w:tcW w:w="10440" w:type="dxa"/>
            <w:vAlign w:val="bottom"/>
            <w:gridSpan w:val="23"/>
          </w:tcPr>
          <w:p>
            <w:pPr>
              <w:spacing w:after="0"/>
              <w:rPr>
                <w:rFonts w:ascii="Arial" w:cs="Arial" w:eastAsia="Arial" w:hAnsi="Arial"/>
                <w:sz w:val="18"/>
                <w:szCs w:val="18"/>
                <w:color w:val="0000FF"/>
              </w:rPr>
            </w:pPr>
            <w:hyperlink r:id="rId310">
              <w:r>
                <w:rPr>
                  <w:rFonts w:ascii="Arial" w:cs="Arial" w:eastAsia="Arial" w:hAnsi="Arial"/>
                  <w:sz w:val="18"/>
                  <w:szCs w:val="18"/>
                  <w:color w:val="0000FF"/>
                </w:rPr>
                <w:t>Code of Ethics (incorporated by reference to Exhibit 14.1 to AAG’s Current Report on Form 8-K filed on December 9, 2013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r:id="rId310">
              <w:r>
                <w:rPr>
                  <w:rFonts w:ascii="Arial" w:cs="Arial" w:eastAsia="Arial" w:hAnsi="Arial"/>
                  <w:sz w:val="18"/>
                  <w:szCs w:val="18"/>
                  <w:color w:val="0000FF"/>
                  <w:w w:val="99"/>
                </w:rPr>
                <w:t>(Commission File No. 1-8400)).</w:t>
              </w:r>
            </w:hyperlink>
          </w:p>
        </w:tc>
        <w:tc>
          <w:tcPr>
            <w:tcW w:w="7920" w:type="dxa"/>
            <w:vAlign w:val="bottom"/>
            <w:tcBorders>
              <w:top w:val="single" w:sz="8" w:color="0000FF"/>
            </w:tcBorders>
            <w:gridSpan w:val="21"/>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21.1</w:t>
            </w:r>
          </w:p>
        </w:tc>
        <w:tc>
          <w:tcPr>
            <w:tcW w:w="220" w:type="dxa"/>
            <w:vAlign w:val="bottom"/>
          </w:tcPr>
          <w:p>
            <w:pPr>
              <w:spacing w:after="0"/>
              <w:rPr>
                <w:sz w:val="20"/>
                <w:szCs w:val="20"/>
                <w:color w:val="auto"/>
              </w:rPr>
            </w:pPr>
          </w:p>
        </w:tc>
        <w:tc>
          <w:tcPr>
            <w:tcW w:w="574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241">
              <w:r>
                <w:rPr>
                  <w:rFonts w:ascii="Arial" w:cs="Arial" w:eastAsia="Arial" w:hAnsi="Arial"/>
                  <w:sz w:val="18"/>
                  <w:szCs w:val="18"/>
                  <w:color w:val="0000FF"/>
                  <w:w w:val="99"/>
                </w:rPr>
                <w:t>Significant subsidiaries of AAG and American as of December 31, 2018.</w:t>
              </w:r>
            </w:hyperlink>
          </w:p>
        </w:tc>
        <w:tc>
          <w:tcPr>
            <w:tcW w:w="4700" w:type="dxa"/>
            <w:vAlign w:val="bottom"/>
            <w:gridSpan w:val="11"/>
          </w:tcPr>
          <w:p>
            <w:pPr>
              <w:spacing w:after="0"/>
              <w:rPr>
                <w:sz w:val="20"/>
                <w:szCs w:val="20"/>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220" w:type="dxa"/>
            <w:vAlign w:val="bottom"/>
          </w:tcPr>
          <w:p>
            <w:pPr>
              <w:spacing w:after="0"/>
              <w:rPr>
                <w:sz w:val="20"/>
                <w:szCs w:val="20"/>
                <w:color w:val="auto"/>
              </w:rPr>
            </w:pPr>
          </w:p>
        </w:tc>
        <w:tc>
          <w:tcPr>
            <w:tcW w:w="586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242">
              <w:r>
                <w:rPr>
                  <w:rFonts w:ascii="Arial" w:cs="Arial" w:eastAsia="Arial" w:hAnsi="Arial"/>
                  <w:sz w:val="18"/>
                  <w:szCs w:val="18"/>
                  <w:color w:val="0000FF"/>
                  <w:w w:val="99"/>
                </w:rPr>
                <w:t>Consent of Independent Registered Public Accounting Firm – KPMG LLP.</w:t>
              </w:r>
            </w:hyperlink>
          </w:p>
        </w:tc>
        <w:tc>
          <w:tcPr>
            <w:tcW w:w="4580" w:type="dxa"/>
            <w:vAlign w:val="bottom"/>
            <w:gridSpan w:val="10"/>
          </w:tcPr>
          <w:p>
            <w:pPr>
              <w:spacing w:after="0"/>
              <w:rPr>
                <w:sz w:val="20"/>
                <w:szCs w:val="20"/>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24.1</w:t>
            </w:r>
          </w:p>
        </w:tc>
        <w:tc>
          <w:tcPr>
            <w:tcW w:w="220" w:type="dxa"/>
            <w:vAlign w:val="bottom"/>
          </w:tcPr>
          <w:p>
            <w:pPr>
              <w:spacing w:after="0"/>
              <w:rPr>
                <w:sz w:val="20"/>
                <w:szCs w:val="20"/>
                <w:color w:val="auto"/>
              </w:rPr>
            </w:pPr>
          </w:p>
        </w:tc>
        <w:tc>
          <w:tcPr>
            <w:tcW w:w="672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200">
              <w:r>
                <w:rPr>
                  <w:rFonts w:ascii="Arial" w:cs="Arial" w:eastAsia="Arial" w:hAnsi="Arial"/>
                  <w:sz w:val="18"/>
                  <w:szCs w:val="18"/>
                  <w:color w:val="0000EE"/>
                  <w:w w:val="99"/>
                </w:rPr>
                <w:t>Powers of Attorney (included in signature page of this Annual Report on Form 10-K).</w:t>
              </w:r>
            </w:hyperlink>
          </w:p>
        </w:tc>
        <w:tc>
          <w:tcPr>
            <w:tcW w:w="3720" w:type="dxa"/>
            <w:vAlign w:val="bottom"/>
            <w:gridSpan w:val="7"/>
          </w:tcPr>
          <w:p>
            <w:pPr>
              <w:spacing w:after="0"/>
              <w:rPr>
                <w:sz w:val="20"/>
                <w:szCs w:val="20"/>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220" w:type="dxa"/>
            <w:vAlign w:val="bottom"/>
          </w:tcPr>
          <w:p>
            <w:pPr>
              <w:spacing w:after="0"/>
              <w:rPr>
                <w:sz w:val="20"/>
                <w:szCs w:val="20"/>
                <w:color w:val="auto"/>
              </w:rPr>
            </w:pPr>
          </w:p>
        </w:tc>
        <w:tc>
          <w:tcPr>
            <w:tcW w:w="10440" w:type="dxa"/>
            <w:vAlign w:val="bottom"/>
            <w:gridSpan w:val="23"/>
          </w:tcPr>
          <w:p>
            <w:pPr>
              <w:spacing w:after="0"/>
              <w:rPr>
                <w:rFonts w:ascii="Arial" w:cs="Arial" w:eastAsia="Arial" w:hAnsi="Arial"/>
                <w:sz w:val="18"/>
                <w:szCs w:val="18"/>
                <w:color w:val="0000FF"/>
              </w:rPr>
            </w:pPr>
            <w:hyperlink w:anchor="page244">
              <w:r>
                <w:rPr>
                  <w:rFonts w:ascii="Arial" w:cs="Arial" w:eastAsia="Arial" w:hAnsi="Arial"/>
                  <w:sz w:val="18"/>
                  <w:szCs w:val="18"/>
                  <w:color w:val="0000FF"/>
                </w:rPr>
                <w:t>Certification of AAG Chief Executive Officer pursuant to Rule 13a-14(a).</w:t>
              </w:r>
            </w:hyperlink>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31.2</w:t>
            </w:r>
          </w:p>
        </w:tc>
        <w:tc>
          <w:tcPr>
            <w:tcW w:w="220" w:type="dxa"/>
            <w:vAlign w:val="bottom"/>
          </w:tcPr>
          <w:p>
            <w:pPr>
              <w:spacing w:after="0"/>
              <w:rPr>
                <w:sz w:val="20"/>
                <w:szCs w:val="20"/>
                <w:color w:val="auto"/>
              </w:rPr>
            </w:pPr>
          </w:p>
        </w:tc>
        <w:tc>
          <w:tcPr>
            <w:tcW w:w="5700" w:type="dxa"/>
            <w:vAlign w:val="bottom"/>
            <w:tcBorders>
              <w:top w:val="single" w:sz="8" w:color="0000FF"/>
            </w:tcBorders>
            <w:gridSpan w:val="11"/>
          </w:tcPr>
          <w:p>
            <w:pPr>
              <w:spacing w:after="0"/>
              <w:rPr>
                <w:rFonts w:ascii="Arial" w:cs="Arial" w:eastAsia="Arial" w:hAnsi="Arial"/>
                <w:sz w:val="18"/>
                <w:szCs w:val="18"/>
                <w:color w:val="0000FF"/>
              </w:rPr>
            </w:pPr>
            <w:hyperlink w:anchor="page245">
              <w:r>
                <w:rPr>
                  <w:rFonts w:ascii="Arial" w:cs="Arial" w:eastAsia="Arial" w:hAnsi="Arial"/>
                  <w:sz w:val="18"/>
                  <w:szCs w:val="18"/>
                  <w:color w:val="0000FF"/>
                </w:rPr>
                <w:t>Certification of AAG Chief Financial Officer pursuant to Rule 13a-14(a).</w:t>
              </w:r>
            </w:hyperlink>
          </w:p>
        </w:tc>
        <w:tc>
          <w:tcPr>
            <w:tcW w:w="4740" w:type="dxa"/>
            <w:vAlign w:val="bottom"/>
            <w:gridSpan w:val="12"/>
          </w:tcPr>
          <w:p>
            <w:pPr>
              <w:spacing w:after="0"/>
              <w:rPr>
                <w:sz w:val="20"/>
                <w:szCs w:val="20"/>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1740" w:type="dxa"/>
            <w:vAlign w:val="bottom"/>
            <w:gridSpan w:val="7"/>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31.3</w:t>
            </w:r>
          </w:p>
        </w:tc>
        <w:tc>
          <w:tcPr>
            <w:tcW w:w="220" w:type="dxa"/>
            <w:vAlign w:val="bottom"/>
          </w:tcPr>
          <w:p>
            <w:pPr>
              <w:spacing w:after="0"/>
              <w:rPr>
                <w:sz w:val="20"/>
                <w:szCs w:val="20"/>
                <w:color w:val="auto"/>
              </w:rPr>
            </w:pPr>
          </w:p>
        </w:tc>
        <w:tc>
          <w:tcPr>
            <w:tcW w:w="10440" w:type="dxa"/>
            <w:vAlign w:val="bottom"/>
            <w:gridSpan w:val="23"/>
          </w:tcPr>
          <w:p>
            <w:pPr>
              <w:spacing w:after="0"/>
              <w:rPr>
                <w:rFonts w:ascii="Arial" w:cs="Arial" w:eastAsia="Arial" w:hAnsi="Arial"/>
                <w:sz w:val="18"/>
                <w:szCs w:val="18"/>
                <w:color w:val="0000FF"/>
              </w:rPr>
            </w:pPr>
            <w:hyperlink w:anchor="page246">
              <w:r>
                <w:rPr>
                  <w:rFonts w:ascii="Arial" w:cs="Arial" w:eastAsia="Arial" w:hAnsi="Arial"/>
                  <w:sz w:val="18"/>
                  <w:szCs w:val="18"/>
                  <w:color w:val="0000FF"/>
                </w:rPr>
                <w:t>Certification of American Chief Executive Officer pursuant to Rule 13a-14(a).</w:t>
              </w:r>
            </w:hyperlink>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31.4</w:t>
            </w:r>
          </w:p>
        </w:tc>
        <w:tc>
          <w:tcPr>
            <w:tcW w:w="220" w:type="dxa"/>
            <w:vAlign w:val="bottom"/>
          </w:tcPr>
          <w:p>
            <w:pPr>
              <w:spacing w:after="0"/>
              <w:rPr>
                <w:sz w:val="20"/>
                <w:szCs w:val="20"/>
                <w:color w:val="auto"/>
              </w:rPr>
            </w:pPr>
          </w:p>
        </w:tc>
        <w:tc>
          <w:tcPr>
            <w:tcW w:w="6100" w:type="dxa"/>
            <w:vAlign w:val="bottom"/>
            <w:tcBorders>
              <w:top w:val="single" w:sz="8" w:color="0000FF"/>
            </w:tcBorders>
            <w:gridSpan w:val="15"/>
          </w:tcPr>
          <w:p>
            <w:pPr>
              <w:spacing w:after="0"/>
              <w:rPr>
                <w:rFonts w:ascii="Arial" w:cs="Arial" w:eastAsia="Arial" w:hAnsi="Arial"/>
                <w:sz w:val="18"/>
                <w:szCs w:val="18"/>
                <w:color w:val="0000FF"/>
              </w:rPr>
            </w:pPr>
            <w:hyperlink w:anchor="page247">
              <w:r>
                <w:rPr>
                  <w:rFonts w:ascii="Arial" w:cs="Arial" w:eastAsia="Arial" w:hAnsi="Arial"/>
                  <w:sz w:val="18"/>
                  <w:szCs w:val="18"/>
                  <w:color w:val="0000FF"/>
                </w:rPr>
                <w:t>Certification of American Chief Financial Officer pursuant to Rule 13a-14(a).</w:t>
              </w:r>
            </w:hyperlink>
          </w:p>
        </w:tc>
        <w:tc>
          <w:tcPr>
            <w:tcW w:w="4340" w:type="dxa"/>
            <w:vAlign w:val="bottom"/>
            <w:gridSpan w:val="8"/>
          </w:tcPr>
          <w:p>
            <w:pPr>
              <w:spacing w:after="0"/>
              <w:rPr>
                <w:sz w:val="20"/>
                <w:szCs w:val="20"/>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2120" w:type="dxa"/>
            <w:vAlign w:val="bottom"/>
            <w:gridSpan w:val="11"/>
            <w:shd w:val="clear" w:color="auto" w:fill="0000FF"/>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32.1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23"/>
          </w:tcPr>
          <w:p>
            <w:pPr>
              <w:spacing w:after="0"/>
              <w:rPr>
                <w:rFonts w:ascii="Arial" w:cs="Arial" w:eastAsia="Arial" w:hAnsi="Arial"/>
                <w:sz w:val="18"/>
                <w:szCs w:val="18"/>
                <w:color w:val="0000FF"/>
              </w:rPr>
            </w:pPr>
            <w:hyperlink w:anchor="page248">
              <w:r>
                <w:rPr>
                  <w:rFonts w:ascii="Arial" w:cs="Arial" w:eastAsia="Arial" w:hAnsi="Arial"/>
                  <w:sz w:val="18"/>
                  <w:szCs w:val="18"/>
                  <w:color w:val="0000FF"/>
                </w:rPr>
                <w:t>Certification pursuant to Rule 13a-14(b) and section 906 of the Sarbanes-Oxley Act of 2002 (subsections (a) and (b) of section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w:anchor="page248">
              <w:r>
                <w:rPr>
                  <w:rFonts w:ascii="Arial" w:cs="Arial" w:eastAsia="Arial" w:hAnsi="Arial"/>
                  <w:sz w:val="18"/>
                  <w:szCs w:val="18"/>
                  <w:color w:val="0000FF"/>
                  <w:w w:val="99"/>
                </w:rPr>
                <w:t>1350, chapter 63 of title 18, United States Code).</w:t>
              </w:r>
            </w:hyperlink>
          </w:p>
        </w:tc>
        <w:tc>
          <w:tcPr>
            <w:tcW w:w="6540" w:type="dxa"/>
            <w:vAlign w:val="bottom"/>
            <w:gridSpan w:val="20"/>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gridSpan w:val="8"/>
          </w:tcPr>
          <w:p>
            <w:pPr>
              <w:ind w:left="4600"/>
              <w:spacing w:after="0"/>
              <w:rPr>
                <w:sz w:val="20"/>
                <w:szCs w:val="20"/>
                <w:color w:val="auto"/>
              </w:rPr>
            </w:pPr>
            <w:r>
              <w:rPr>
                <w:rFonts w:ascii="Arial" w:cs="Arial" w:eastAsia="Arial" w:hAnsi="Arial"/>
                <w:sz w:val="18"/>
                <w:szCs w:val="18"/>
                <w:color w:val="auto"/>
              </w:rPr>
              <w:t>197</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97" w:name="page198"/>
    <w:bookmarkEnd w:id="1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4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23"/>
        </w:trPr>
        <w:tc>
          <w:tcPr>
            <w:tcW w:w="540" w:type="dxa"/>
            <w:vAlign w:val="bottom"/>
          </w:tcPr>
          <w:p>
            <w:pPr>
              <w:jc w:val="right"/>
              <w:ind w:right="19"/>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9"/>
                <w:szCs w:val="19"/>
                <w:color w:val="auto"/>
              </w:rPr>
            </w:pPr>
          </w:p>
        </w:tc>
        <w:tc>
          <w:tcPr>
            <w:tcW w:w="10440" w:type="dxa"/>
            <w:vAlign w:val="bottom"/>
            <w:tcBorders>
              <w:bottom w:val="single" w:sz="8" w:color="0000FF"/>
            </w:tcBorders>
            <w:gridSpan w:val="4"/>
          </w:tcPr>
          <w:p>
            <w:pPr>
              <w:spacing w:after="0"/>
              <w:rPr>
                <w:rFonts w:ascii="Arial" w:cs="Arial" w:eastAsia="Arial" w:hAnsi="Arial"/>
                <w:sz w:val="18"/>
                <w:szCs w:val="18"/>
                <w:color w:val="0000FF"/>
              </w:rPr>
            </w:pPr>
            <w:hyperlink w:anchor="page249">
              <w:r>
                <w:rPr>
                  <w:rFonts w:ascii="Arial" w:cs="Arial" w:eastAsia="Arial" w:hAnsi="Arial"/>
                  <w:sz w:val="18"/>
                  <w:szCs w:val="18"/>
                  <w:color w:val="0000FF"/>
                </w:rPr>
                <w:t>Certification pursuant to Rule 13a-14(b) and section 906 of the Sarbanes-Oxley Act of 2002 (subsections (a) and (b) of section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0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249">
              <w:r>
                <w:rPr>
                  <w:rFonts w:ascii="Arial" w:cs="Arial" w:eastAsia="Arial" w:hAnsi="Arial"/>
                  <w:sz w:val="18"/>
                  <w:szCs w:val="18"/>
                  <w:color w:val="0000FF"/>
                  <w:w w:val="99"/>
                </w:rPr>
                <w:t>1350, chapter 63 of title 18, United States Code).</w:t>
              </w:r>
            </w:hyperlink>
          </w:p>
        </w:tc>
        <w:tc>
          <w:tcPr>
            <w:tcW w:w="6540" w:type="dxa"/>
            <w:vAlign w:val="bottom"/>
            <w:gridSpan w:val="3"/>
          </w:tcPr>
          <w:p>
            <w:pPr>
              <w:spacing w:after="0"/>
              <w:rPr>
                <w:sz w:val="15"/>
                <w:szCs w:val="15"/>
                <w:color w:val="auto"/>
              </w:rPr>
            </w:pPr>
          </w:p>
        </w:tc>
      </w:tr>
      <w:tr>
        <w:trPr>
          <w:trHeight w:val="277"/>
        </w:trPr>
        <w:tc>
          <w:tcPr>
            <w:tcW w:w="540" w:type="dxa"/>
            <w:vAlign w:val="bottom"/>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0440" w:type="dxa"/>
            <w:vAlign w:val="bottom"/>
            <w:gridSpan w:val="4"/>
          </w:tcPr>
          <w:p>
            <w:pPr>
              <w:spacing w:after="0"/>
              <w:rPr>
                <w:sz w:val="20"/>
                <w:szCs w:val="20"/>
                <w:color w:val="auto"/>
              </w:rPr>
            </w:pPr>
            <w:r>
              <w:rPr>
                <w:rFonts w:ascii="Arial" w:cs="Arial" w:eastAsia="Arial" w:hAnsi="Arial"/>
                <w:sz w:val="18"/>
                <w:szCs w:val="18"/>
                <w:color w:val="auto"/>
              </w:rPr>
              <w:t>Interactive data files pursuant to Rule 405 of Regulation 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205740</wp:posOffset>
            </wp:positionV>
            <wp:extent cx="13379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1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420" w:hanging="270"/>
        <w:spacing w:after="0"/>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Pursuant to Item 601(b)(2) of Regulation S-K promulgated by the Securities and Exchange Commission, certain exhibits and schedules to this agreement have been omitted. Such exhibits and schedules are described in the referenced agreement. AAG and American hereby agree to furnish to the Securities and Exchange Commission, upon its request, any or all of such omitted exhibits or schedules.</w:t>
      </w:r>
    </w:p>
    <w:p>
      <w:pPr>
        <w:spacing w:after="0" w:line="41" w:lineRule="exact"/>
        <w:rPr>
          <w:sz w:val="20"/>
          <w:szCs w:val="20"/>
          <w:color w:val="auto"/>
        </w:rPr>
      </w:pPr>
    </w:p>
    <w:p>
      <w:pPr>
        <w:ind w:left="420" w:hanging="270"/>
        <w:spacing w:after="0"/>
        <w:tabs>
          <w:tab w:leader="none" w:pos="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agreement.</w:t>
      </w:r>
    </w:p>
    <w:p>
      <w:pPr>
        <w:spacing w:after="0" w:line="63" w:lineRule="exact"/>
        <w:rPr>
          <w:rFonts w:ascii="Arial" w:cs="Arial" w:eastAsia="Arial" w:hAnsi="Arial"/>
          <w:sz w:val="18"/>
          <w:szCs w:val="18"/>
          <w:color w:val="auto"/>
        </w:rPr>
      </w:pPr>
    </w:p>
    <w:p>
      <w:pPr>
        <w:ind w:left="420" w:hanging="360"/>
        <w:spacing w:after="0"/>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agreement.</w:t>
      </w:r>
    </w:p>
    <w:p>
      <w:pPr>
        <w:spacing w:after="0" w:line="63"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7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00"/>
          </w:cols>
          <w:pgMar w:left="440" w:top="748" w:right="2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t>ITEM 16. FORM 10-K SUMMARY</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0219"/>
          </w:cols>
          <w:pgMar w:left="240" w:top="819" w:right="1440"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8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American Airlines Group Inc.</w:t>
      </w:r>
    </w:p>
    <w:p>
      <w:pPr>
        <w:spacing w:after="0" w:line="72" w:lineRule="exact"/>
        <w:rPr>
          <w:sz w:val="20"/>
          <w:szCs w:val="20"/>
          <w:color w:val="auto"/>
        </w:rPr>
      </w:pPr>
    </w:p>
    <w:p>
      <w:pPr>
        <w:ind w:left="40"/>
        <w:spacing w:after="0"/>
        <w:tabs>
          <w:tab w:leader="none" w:pos="5640" w:val="left"/>
          <w:tab w:leader="none" w:pos="6620" w:val="left"/>
          <w:tab w:leader="none" w:pos="7000" w:val="left"/>
        </w:tabs>
        <w:rPr>
          <w:sz w:val="20"/>
          <w:szCs w:val="20"/>
          <w:color w:val="auto"/>
        </w:rPr>
      </w:pPr>
      <w:r>
        <w:rPr>
          <w:rFonts w:ascii="Arial" w:cs="Arial" w:eastAsia="Arial" w:hAnsi="Arial"/>
          <w:sz w:val="18"/>
          <w:szCs w:val="18"/>
          <w:color w:val="auto"/>
        </w:rPr>
        <w:t>Date: February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14605</wp:posOffset>
            </wp:positionV>
            <wp:extent cx="2675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W. Douglas Parker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347"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8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American Airlines, Inc.</w:t>
      </w:r>
    </w:p>
    <w:p>
      <w:pPr>
        <w:spacing w:after="0" w:line="72" w:lineRule="exact"/>
        <w:rPr>
          <w:sz w:val="20"/>
          <w:szCs w:val="20"/>
          <w:color w:val="auto"/>
        </w:rPr>
      </w:pPr>
    </w:p>
    <w:p>
      <w:pPr>
        <w:ind w:left="40"/>
        <w:spacing w:after="0"/>
        <w:tabs>
          <w:tab w:leader="none" w:pos="5640" w:val="left"/>
          <w:tab w:leader="none" w:pos="6620" w:val="left"/>
          <w:tab w:leader="none" w:pos="7000" w:val="left"/>
        </w:tabs>
        <w:rPr>
          <w:sz w:val="20"/>
          <w:szCs w:val="20"/>
          <w:color w:val="auto"/>
        </w:rPr>
      </w:pPr>
      <w:r>
        <w:rPr>
          <w:rFonts w:ascii="Arial" w:cs="Arial" w:eastAsia="Arial" w:hAnsi="Arial"/>
          <w:sz w:val="18"/>
          <w:szCs w:val="18"/>
          <w:color w:val="auto"/>
        </w:rPr>
        <w:t>Date: February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14605</wp:posOffset>
            </wp:positionV>
            <wp:extent cx="2675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W. Douglas Parker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576" w:right="239" w:bottom="1440" w:gutter="0" w:footer="0" w:header="0"/>
        </w:sectPr>
      </w:pPr>
    </w:p>
    <w:bookmarkStart w:id="200" w:name="page201"/>
    <w:bookmarkEnd w:id="200"/>
    <w:p>
      <w:pPr>
        <w:jc w:val="both"/>
        <w:ind w:firstLine="216"/>
        <w:spacing w:after="0" w:line="252"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W. Douglas Parker and Derek J. Kerr and each or any of them, his or her true and lawful attorneys and agents, with full power of substitution and resubstitution, for him or her and in his or her name, place and stead, in any and all capacities, to sign any and all amendments to the registrants’ Annual Report on Form 10-K for the fiscal year ended December 31, 2018, and to file the same with all exhibits thereto, and all other documents in connection therewith, with the Securities and Exchange Commission, granting unto said attorneys and agents, and each or any of them, full power and authority to do and perform each and every act and thing requisite and necessary to be done, as fully to all intents and purposes as he or she might or could do in person, hereby ratifying and confirming all that said attorneys and agents, and each of them, or his substitute or substitutes, may lawfully do or cause to be done by virtue hereof.</w:t>
      </w:r>
    </w:p>
    <w:p>
      <w:pPr>
        <w:spacing w:after="0" w:line="314"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Group Inc. and in the capacities and on the dates noted:</w:t>
      </w:r>
    </w:p>
    <w:p>
      <w:pPr>
        <w:spacing w:after="0" w:line="304" w:lineRule="exact"/>
        <w:rPr>
          <w:sz w:val="20"/>
          <w:szCs w:val="20"/>
          <w:color w:val="auto"/>
        </w:rPr>
      </w:pPr>
    </w:p>
    <w:p>
      <w:pPr>
        <w:ind w:left="40"/>
        <w:spacing w:after="0"/>
        <w:tabs>
          <w:tab w:leader="none" w:pos="5440" w:val="left"/>
          <w:tab w:leader="none" w:pos="5820" w:val="left"/>
        </w:tabs>
        <w:rPr>
          <w:sz w:val="20"/>
          <w:szCs w:val="20"/>
          <w:color w:val="auto"/>
        </w:rPr>
      </w:pPr>
      <w:r>
        <w:rPr>
          <w:rFonts w:ascii="Arial" w:cs="Arial" w:eastAsia="Arial" w:hAnsi="Arial"/>
          <w:sz w:val="18"/>
          <w:szCs w:val="18"/>
          <w:color w:val="auto"/>
        </w:rPr>
        <w:t>Date: February 25, 2019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14605</wp:posOffset>
            </wp:positionV>
            <wp:extent cx="34302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14">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 Douglas Parker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374" w:lineRule="exact"/>
        <w:rPr>
          <w:sz w:val="20"/>
          <w:szCs w:val="20"/>
          <w:color w:val="auto"/>
        </w:rPr>
      </w:pPr>
    </w:p>
    <w:p>
      <w:pPr>
        <w:ind w:left="40"/>
        <w:spacing w:after="0"/>
        <w:tabs>
          <w:tab w:leader="none" w:pos="5440" w:val="left"/>
          <w:tab w:leader="none" w:pos="5820" w:val="left"/>
        </w:tabs>
        <w:rPr>
          <w:sz w:val="20"/>
          <w:szCs w:val="20"/>
          <w:color w:val="auto"/>
        </w:rPr>
      </w:pPr>
      <w:r>
        <w:rPr>
          <w:rFonts w:ascii="Arial" w:cs="Arial" w:eastAsia="Arial" w:hAnsi="Arial"/>
          <w:sz w:val="18"/>
          <w:szCs w:val="18"/>
          <w:color w:val="auto"/>
        </w:rPr>
        <w:t>Date: February 25, 2019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14605</wp:posOffset>
            </wp:positionV>
            <wp:extent cx="34302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1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98" w:right="239" w:bottom="1440" w:gutter="0" w:footer="0" w:header="0"/>
        </w:sect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25,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25,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25,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25,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25,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25,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25, 2019</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tab/>
        <w:t>James F. Albaugh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02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1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F. Albaugh, Director</w:t>
      </w:r>
    </w:p>
    <w:p>
      <w:pPr>
        <w:spacing w:after="0" w:line="37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tab/>
        <w:t>Jeffrey D. Benjamin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02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1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D. Benjamin, Director</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John T. Cahill</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John T. Cahill, Director</w:t>
            </w:r>
          </w:p>
        </w:tc>
      </w:tr>
      <w:tr>
        <w:trPr>
          <w:trHeight w:val="581"/>
        </w:trPr>
        <w:tc>
          <w:tcPr>
            <w:tcW w:w="320" w:type="dxa"/>
            <w:vAlign w:val="bottom"/>
          </w:tcPr>
          <w:p>
            <w:pPr>
              <w:ind w:left="40"/>
              <w:spacing w:after="0"/>
              <w:rPr>
                <w:sz w:val="20"/>
                <w:szCs w:val="20"/>
                <w:color w:val="auto"/>
              </w:rPr>
            </w:pPr>
            <w:r>
              <w:rPr>
                <w:rFonts w:ascii="Arial" w:cs="Arial" w:eastAsia="Arial" w:hAnsi="Arial"/>
                <w:sz w:val="18"/>
                <w:szCs w:val="18"/>
                <w:color w:val="auto"/>
              </w:rPr>
              <w:t>/s/</w:t>
            </w:r>
          </w:p>
        </w:tc>
        <w:tc>
          <w:tcPr>
            <w:tcW w:w="5080" w:type="dxa"/>
            <w:vAlign w:val="bottom"/>
          </w:tcPr>
          <w:p>
            <w:pPr>
              <w:ind w:left="100"/>
              <w:spacing w:after="0"/>
              <w:rPr>
                <w:sz w:val="20"/>
                <w:szCs w:val="20"/>
                <w:color w:val="auto"/>
              </w:rPr>
            </w:pPr>
            <w:r>
              <w:rPr>
                <w:rFonts w:ascii="Arial" w:cs="Arial" w:eastAsia="Arial" w:hAnsi="Arial"/>
                <w:sz w:val="18"/>
                <w:szCs w:val="18"/>
                <w:color w:val="auto"/>
              </w:rPr>
              <w:t>Michael J. Embler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4302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1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3" w:lineRule="exact"/>
        <w:rPr>
          <w:sz w:val="20"/>
          <w:szCs w:val="20"/>
          <w:color w:val="auto"/>
        </w:rPr>
      </w:pPr>
    </w:p>
    <w:p>
      <w:pPr>
        <w:jc w:val="center"/>
        <w:ind w:right="3780"/>
        <w:spacing w:after="0"/>
        <w:rPr>
          <w:sz w:val="20"/>
          <w:szCs w:val="20"/>
          <w:color w:val="auto"/>
        </w:rPr>
      </w:pPr>
      <w:r>
        <w:rPr>
          <w:rFonts w:ascii="Arial" w:cs="Arial" w:eastAsia="Arial" w:hAnsi="Arial"/>
          <w:sz w:val="18"/>
          <w:szCs w:val="18"/>
          <w:color w:val="auto"/>
        </w:rPr>
        <w:t>Michael J. Embler, Director</w:t>
      </w:r>
    </w:p>
    <w:p>
      <w:pPr>
        <w:spacing w:after="0" w:line="37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tab/>
        <w:t>Matthew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02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1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J. Hart, Director</w:t>
      </w:r>
    </w:p>
    <w:p>
      <w:pPr>
        <w:spacing w:after="0" w:line="37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Alberto Ibargüen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02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2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Alberto Ibargüen, Director</w:t>
      </w:r>
    </w:p>
    <w:p>
      <w:pPr>
        <w:spacing w:after="0" w:line="37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tab/>
        <w:t>Richard C. Kraemer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02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2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C. Kraemer, Director</w:t>
      </w:r>
    </w:p>
    <w:p>
      <w:pPr>
        <w:spacing w:after="0" w:line="26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201</w:t>
      </w:r>
    </w:p>
    <w:p>
      <w:pPr>
        <w:sectPr>
          <w:pgSz w:w="11900" w:h="16838" w:orient="portrait"/>
          <w:cols w:equalWidth="0" w:num="2">
            <w:col w:w="4700" w:space="720"/>
            <w:col w:w="6000"/>
          </w:cols>
          <w:pgMar w:left="240" w:top="598" w:right="239" w:bottom="1440" w:gutter="0" w:footer="0" w:header="0"/>
          <w:type w:val="continuous"/>
        </w:sectPr>
      </w:pPr>
    </w:p>
    <w:bookmarkStart w:id="201" w:name="page202"/>
    <w:bookmarkEnd w:id="201"/>
    <w:p>
      <w:pPr>
        <w:ind w:left="40"/>
        <w:spacing w:after="0"/>
        <w:rPr>
          <w:sz w:val="20"/>
          <w:szCs w:val="20"/>
          <w:color w:val="auto"/>
        </w:rPr>
      </w:pPr>
      <w:r>
        <w:rPr>
          <w:rFonts w:ascii="Arial" w:cs="Arial" w:eastAsia="Arial" w:hAnsi="Arial"/>
          <w:sz w:val="17"/>
          <w:szCs w:val="17"/>
          <w:color w:val="auto"/>
        </w:rPr>
        <w:t>Date: February 25,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25,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25,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25,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Susan D. Kronick</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Susan D. Kronick, Director</w:t>
            </w:r>
          </w:p>
        </w:tc>
      </w:tr>
      <w:tr>
        <w:trPr>
          <w:trHeight w:val="588"/>
        </w:trPr>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Martin H. Nesbitt</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Martin H. Nesbitt, Director</w:t>
            </w:r>
          </w:p>
        </w:tc>
      </w:tr>
      <w:tr>
        <w:trPr>
          <w:trHeight w:val="588"/>
        </w:trPr>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Denise M. O’Leary</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Denise M. O’Leary, Director</w:t>
            </w:r>
          </w:p>
        </w:tc>
      </w:tr>
      <w:tr>
        <w:trPr>
          <w:trHeight w:val="581"/>
        </w:trPr>
        <w:tc>
          <w:tcPr>
            <w:tcW w:w="320" w:type="dxa"/>
            <w:vAlign w:val="bottom"/>
          </w:tcPr>
          <w:p>
            <w:pPr>
              <w:ind w:left="40"/>
              <w:spacing w:after="0"/>
              <w:rPr>
                <w:sz w:val="20"/>
                <w:szCs w:val="20"/>
                <w:color w:val="auto"/>
              </w:rPr>
            </w:pPr>
            <w:r>
              <w:rPr>
                <w:rFonts w:ascii="Arial" w:cs="Arial" w:eastAsia="Arial" w:hAnsi="Arial"/>
                <w:sz w:val="18"/>
                <w:szCs w:val="18"/>
                <w:color w:val="auto"/>
              </w:rPr>
              <w:t>/s/</w:t>
            </w:r>
          </w:p>
        </w:tc>
        <w:tc>
          <w:tcPr>
            <w:tcW w:w="5080" w:type="dxa"/>
            <w:vAlign w:val="bottom"/>
          </w:tcPr>
          <w:p>
            <w:pPr>
              <w:ind w:left="100"/>
              <w:spacing w:after="0"/>
              <w:rPr>
                <w:sz w:val="20"/>
                <w:szCs w:val="20"/>
                <w:color w:val="auto"/>
              </w:rPr>
            </w:pPr>
            <w:r>
              <w:rPr>
                <w:rFonts w:ascii="Arial" w:cs="Arial" w:eastAsia="Arial" w:hAnsi="Arial"/>
                <w:sz w:val="18"/>
                <w:szCs w:val="18"/>
                <w:color w:val="auto"/>
              </w:rPr>
              <w:t>Ray M. Robinson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4302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2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3" w:lineRule="exact"/>
        <w:rPr>
          <w:sz w:val="20"/>
          <w:szCs w:val="20"/>
          <w:color w:val="auto"/>
        </w:rPr>
      </w:pPr>
    </w:p>
    <w:p>
      <w:pPr>
        <w:jc w:val="center"/>
        <w:ind w:right="3800"/>
        <w:spacing w:after="0"/>
        <w:rPr>
          <w:sz w:val="20"/>
          <w:szCs w:val="20"/>
          <w:color w:val="auto"/>
        </w:rPr>
      </w:pPr>
      <w:r>
        <w:rPr>
          <w:rFonts w:ascii="Arial" w:cs="Arial" w:eastAsia="Arial" w:hAnsi="Arial"/>
          <w:sz w:val="18"/>
          <w:szCs w:val="18"/>
          <w:color w:val="auto"/>
        </w:rPr>
        <w:t>Ray M. Robinson, Director</w:t>
      </w:r>
    </w:p>
    <w:p>
      <w:pPr>
        <w:spacing w:after="0" w:line="185" w:lineRule="exact"/>
        <w:rPr>
          <w:sz w:val="20"/>
          <w:szCs w:val="20"/>
          <w:color w:val="auto"/>
        </w:rPr>
      </w:pPr>
    </w:p>
    <w:p>
      <w:pPr>
        <w:sectPr>
          <w:pgSz w:w="11900" w:h="16838" w:orient="portrait"/>
          <w:cols w:equalWidth="0" w:num="2">
            <w:col w:w="4700" w:space="720"/>
            <w:col w:w="5980"/>
          </w:cols>
          <w:pgMar w:left="240" w:top="760" w:right="259" w:bottom="1440" w:gutter="0" w:footer="0" w:header="0"/>
        </w:sectPr>
      </w:pPr>
    </w:p>
    <w:p>
      <w:pPr>
        <w:ind w:firstLine="216"/>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Inc. and in the capacities and on the dates noted:</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Date: February 25, 2019</w:t>
            </w:r>
          </w:p>
        </w:tc>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W. Douglas Parker</w:t>
            </w:r>
          </w:p>
        </w:tc>
      </w:tr>
      <w:tr>
        <w:trPr>
          <w:trHeight w:val="243"/>
        </w:trPr>
        <w:tc>
          <w:tcPr>
            <w:tcW w:w="5380" w:type="dxa"/>
            <w:vAlign w:val="bottom"/>
          </w:tcPr>
          <w:p>
            <w:pPr>
              <w:spacing w:after="0"/>
              <w:rPr>
                <w:sz w:val="21"/>
                <w:szCs w:val="21"/>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W. Douglas Parker</w:t>
            </w:r>
          </w:p>
        </w:tc>
      </w:tr>
      <w:tr>
        <w:trPr>
          <w:trHeight w:val="257"/>
        </w:trPr>
        <w:tc>
          <w:tcPr>
            <w:tcW w:w="5380" w:type="dxa"/>
            <w:vAlign w:val="bottom"/>
          </w:tcPr>
          <w:p>
            <w:pPr>
              <w:spacing w:after="0"/>
              <w:rPr>
                <w:sz w:val="22"/>
                <w:szCs w:val="22"/>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380" w:type="dxa"/>
            <w:vAlign w:val="bottom"/>
          </w:tcPr>
          <w:p>
            <w:pPr>
              <w:spacing w:after="0"/>
              <w:rPr>
                <w:sz w:val="23"/>
                <w:szCs w:val="23"/>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r>
      <w:tr>
        <w:trPr>
          <w:trHeight w:val="601"/>
        </w:trPr>
        <w:tc>
          <w:tcPr>
            <w:tcW w:w="5380" w:type="dxa"/>
            <w:vAlign w:val="bottom"/>
          </w:tcPr>
          <w:p>
            <w:pPr>
              <w:spacing w:after="0"/>
              <w:rPr>
                <w:sz w:val="20"/>
                <w:szCs w:val="20"/>
                <w:color w:val="auto"/>
              </w:rPr>
            </w:pPr>
            <w:r>
              <w:rPr>
                <w:rFonts w:ascii="Arial" w:cs="Arial" w:eastAsia="Arial" w:hAnsi="Arial"/>
                <w:sz w:val="18"/>
                <w:szCs w:val="18"/>
                <w:color w:val="auto"/>
              </w:rPr>
              <w:t>Date: February 25, 2019</w:t>
            </w:r>
          </w:p>
        </w:tc>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Derek J. Kerr</w:t>
            </w:r>
          </w:p>
        </w:tc>
      </w:tr>
      <w:tr>
        <w:trPr>
          <w:trHeight w:val="243"/>
        </w:trPr>
        <w:tc>
          <w:tcPr>
            <w:tcW w:w="5380" w:type="dxa"/>
            <w:vAlign w:val="bottom"/>
          </w:tcPr>
          <w:p>
            <w:pPr>
              <w:spacing w:after="0"/>
              <w:rPr>
                <w:sz w:val="21"/>
                <w:szCs w:val="21"/>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Derek J. Kerr</w:t>
            </w:r>
          </w:p>
        </w:tc>
      </w:tr>
      <w:tr>
        <w:trPr>
          <w:trHeight w:val="270"/>
        </w:trPr>
        <w:tc>
          <w:tcPr>
            <w:tcW w:w="5380" w:type="dxa"/>
            <w:vAlign w:val="bottom"/>
          </w:tcPr>
          <w:p>
            <w:pPr>
              <w:spacing w:after="0"/>
              <w:rPr>
                <w:sz w:val="23"/>
                <w:szCs w:val="23"/>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7"/>
        </w:trPr>
        <w:tc>
          <w:tcPr>
            <w:tcW w:w="5380" w:type="dxa"/>
            <w:vAlign w:val="bottom"/>
          </w:tcPr>
          <w:p>
            <w:pPr>
              <w:spacing w:after="0"/>
              <w:rPr>
                <w:sz w:val="22"/>
                <w:szCs w:val="22"/>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601"/>
        </w:trPr>
        <w:tc>
          <w:tcPr>
            <w:tcW w:w="5380" w:type="dxa"/>
            <w:vAlign w:val="bottom"/>
          </w:tcPr>
          <w:p>
            <w:pPr>
              <w:spacing w:after="0"/>
              <w:rPr>
                <w:sz w:val="20"/>
                <w:szCs w:val="20"/>
                <w:color w:val="auto"/>
              </w:rPr>
            </w:pPr>
            <w:r>
              <w:rPr>
                <w:rFonts w:ascii="Arial" w:cs="Arial" w:eastAsia="Arial" w:hAnsi="Arial"/>
                <w:sz w:val="18"/>
                <w:szCs w:val="18"/>
                <w:color w:val="auto"/>
              </w:rPr>
              <w:t>Date: February 25, 2019</w:t>
            </w:r>
          </w:p>
        </w:tc>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Stephen L. Johnson</w:t>
            </w:r>
          </w:p>
        </w:tc>
      </w:tr>
      <w:tr>
        <w:trPr>
          <w:trHeight w:val="243"/>
        </w:trPr>
        <w:tc>
          <w:tcPr>
            <w:tcW w:w="5380" w:type="dxa"/>
            <w:vAlign w:val="bottom"/>
          </w:tcPr>
          <w:p>
            <w:pPr>
              <w:spacing w:after="0"/>
              <w:rPr>
                <w:sz w:val="21"/>
                <w:szCs w:val="21"/>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Stephen L. Johnson, Director</w:t>
            </w:r>
          </w:p>
        </w:tc>
      </w:tr>
      <w:tr>
        <w:trPr>
          <w:trHeight w:val="588"/>
        </w:trPr>
        <w:tc>
          <w:tcPr>
            <w:tcW w:w="5380" w:type="dxa"/>
            <w:vAlign w:val="bottom"/>
          </w:tcPr>
          <w:p>
            <w:pPr>
              <w:spacing w:after="0"/>
              <w:rPr>
                <w:sz w:val="20"/>
                <w:szCs w:val="20"/>
                <w:color w:val="auto"/>
              </w:rPr>
            </w:pPr>
            <w:r>
              <w:rPr>
                <w:rFonts w:ascii="Arial" w:cs="Arial" w:eastAsia="Arial" w:hAnsi="Arial"/>
                <w:sz w:val="18"/>
                <w:szCs w:val="18"/>
                <w:color w:val="auto"/>
              </w:rPr>
              <w:t>Date: February 25, 2019</w:t>
            </w:r>
          </w:p>
        </w:tc>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Robert D. Isom</w:t>
            </w:r>
          </w:p>
        </w:tc>
      </w:tr>
      <w:tr>
        <w:trPr>
          <w:trHeight w:val="243"/>
        </w:trPr>
        <w:tc>
          <w:tcPr>
            <w:tcW w:w="5380" w:type="dxa"/>
            <w:vAlign w:val="bottom"/>
          </w:tcPr>
          <w:p>
            <w:pPr>
              <w:spacing w:after="0"/>
              <w:rPr>
                <w:sz w:val="21"/>
                <w:szCs w:val="21"/>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Robert D. Isom, Director</w:t>
            </w:r>
          </w:p>
        </w:tc>
      </w:tr>
      <w:tr>
        <w:trPr>
          <w:trHeight w:val="473"/>
        </w:trPr>
        <w:tc>
          <w:tcPr>
            <w:tcW w:w="5380" w:type="dxa"/>
            <w:vAlign w:val="bottom"/>
          </w:tcPr>
          <w:p>
            <w:pPr>
              <w:spacing w:after="0"/>
              <w:rPr>
                <w:sz w:val="24"/>
                <w:szCs w:val="24"/>
                <w:color w:val="auto"/>
              </w:rPr>
            </w:pP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202</w:t>
            </w:r>
          </w:p>
        </w:tc>
      </w:tr>
    </w:tbl>
    <w:p>
      <w:pPr>
        <w:sectPr>
          <w:pgSz w:w="11900" w:h="16838" w:orient="portrait"/>
          <w:cols w:equalWidth="0" w:num="1">
            <w:col w:w="11400"/>
          </w:cols>
          <w:pgMar w:left="240" w:top="760" w:right="259" w:bottom="1440" w:gutter="0" w:footer="0" w:header="0"/>
          <w:type w:val="continuous"/>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10.9</w:t>
      </w:r>
    </w:p>
    <w:p>
      <w:pPr>
        <w:spacing w:after="0" w:line="261"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SIXTH AMENDMENT TO AMENDED AND RESTATED CREDIT AND GUARANTY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THIS SIXTH AMENDMENT TO AMENDED AND RESTATED CREDIT AND GUARANTY AGREEMENT (this “</w:t>
      </w:r>
      <w:r>
        <w:rPr>
          <w:rFonts w:ascii="Arial" w:cs="Arial" w:eastAsia="Arial" w:hAnsi="Arial"/>
          <w:sz w:val="21"/>
          <w:szCs w:val="21"/>
          <w:i w:val="1"/>
          <w:iCs w:val="1"/>
          <w:color w:val="auto"/>
        </w:rPr>
        <w:t>Sixth Amendment</w:t>
      </w:r>
      <w:r>
        <w:rPr>
          <w:rFonts w:ascii="Arial" w:cs="Arial" w:eastAsia="Arial" w:hAnsi="Arial"/>
          <w:sz w:val="21"/>
          <w:szCs w:val="21"/>
          <w:color w:val="auto"/>
        </w:rPr>
        <w:t>”), is dated as of December 10, 2018 and is among American Airlines, Inc., a Delaware corporation (the “</w:t>
      </w:r>
      <w:r>
        <w:rPr>
          <w:rFonts w:ascii="Arial" w:cs="Arial" w:eastAsia="Arial" w:hAnsi="Arial"/>
          <w:sz w:val="21"/>
          <w:szCs w:val="21"/>
          <w:i w:val="1"/>
          <w:iCs w:val="1"/>
          <w:color w:val="auto"/>
        </w:rPr>
        <w:t>Borrower</w:t>
      </w:r>
      <w:r>
        <w:rPr>
          <w:rFonts w:ascii="Arial" w:cs="Arial" w:eastAsia="Arial" w:hAnsi="Arial"/>
          <w:sz w:val="21"/>
          <w:szCs w:val="21"/>
          <w:color w:val="auto"/>
        </w:rPr>
        <w:t>”), American Airlines Group Inc., a Delaware corporation (the “</w:t>
      </w:r>
      <w:r>
        <w:rPr>
          <w:rFonts w:ascii="Arial" w:cs="Arial" w:eastAsia="Arial" w:hAnsi="Arial"/>
          <w:sz w:val="21"/>
          <w:szCs w:val="21"/>
          <w:i w:val="1"/>
          <w:iCs w:val="1"/>
          <w:color w:val="auto"/>
        </w:rPr>
        <w:t>Parent</w:t>
      </w:r>
      <w:r>
        <w:rPr>
          <w:rFonts w:ascii="Arial" w:cs="Arial" w:eastAsia="Arial" w:hAnsi="Arial"/>
          <w:sz w:val="21"/>
          <w:szCs w:val="21"/>
          <w:color w:val="auto"/>
        </w:rPr>
        <w:t>” or the “</w:t>
      </w:r>
      <w:r>
        <w:rPr>
          <w:rFonts w:ascii="Arial" w:cs="Arial" w:eastAsia="Arial" w:hAnsi="Arial"/>
          <w:sz w:val="21"/>
          <w:szCs w:val="21"/>
          <w:i w:val="1"/>
          <w:iCs w:val="1"/>
          <w:color w:val="auto"/>
        </w:rPr>
        <w:t>Guarantor</w:t>
      </w:r>
      <w:r>
        <w:rPr>
          <w:rFonts w:ascii="Arial" w:cs="Arial" w:eastAsia="Arial" w:hAnsi="Arial"/>
          <w:sz w:val="21"/>
          <w:szCs w:val="21"/>
          <w:color w:val="auto"/>
        </w:rPr>
        <w:t>”), the Consenting Revolving Lenders (as defined below) party hereto, HSBC Bank USA, N.A. (“</w:t>
      </w:r>
      <w:r>
        <w:rPr>
          <w:rFonts w:ascii="Arial" w:cs="Arial" w:eastAsia="Arial" w:hAnsi="Arial"/>
          <w:sz w:val="21"/>
          <w:szCs w:val="21"/>
          <w:i w:val="1"/>
          <w:iCs w:val="1"/>
          <w:color w:val="auto"/>
        </w:rPr>
        <w:t>HSBC</w:t>
      </w:r>
      <w:r>
        <w:rPr>
          <w:rFonts w:ascii="Arial" w:cs="Arial" w:eastAsia="Arial" w:hAnsi="Arial"/>
          <w:sz w:val="21"/>
          <w:szCs w:val="21"/>
          <w:color w:val="auto"/>
        </w:rPr>
        <w:t>”), MUFG Union Bank, N.A. (“</w:t>
      </w:r>
      <w:r>
        <w:rPr>
          <w:rFonts w:ascii="Arial" w:cs="Arial" w:eastAsia="Arial" w:hAnsi="Arial"/>
          <w:sz w:val="21"/>
          <w:szCs w:val="21"/>
          <w:i w:val="1"/>
          <w:iCs w:val="1"/>
          <w:color w:val="auto"/>
        </w:rPr>
        <w:t>MUFG</w:t>
      </w:r>
      <w:r>
        <w:rPr>
          <w:rFonts w:ascii="Arial" w:cs="Arial" w:eastAsia="Arial" w:hAnsi="Arial"/>
          <w:sz w:val="21"/>
          <w:szCs w:val="21"/>
          <w:color w:val="auto"/>
        </w:rPr>
        <w:t>”) and BOKF, NA dba Bank of Texas (“</w:t>
      </w:r>
      <w:r>
        <w:rPr>
          <w:rFonts w:ascii="Arial" w:cs="Arial" w:eastAsia="Arial" w:hAnsi="Arial"/>
          <w:sz w:val="21"/>
          <w:szCs w:val="21"/>
          <w:i w:val="1"/>
          <w:iCs w:val="1"/>
          <w:color w:val="auto"/>
        </w:rPr>
        <w:t>BoT</w:t>
      </w:r>
      <w:r>
        <w:rPr>
          <w:rFonts w:ascii="Arial" w:cs="Arial" w:eastAsia="Arial" w:hAnsi="Arial"/>
          <w:sz w:val="21"/>
          <w:szCs w:val="21"/>
          <w:color w:val="auto"/>
        </w:rPr>
        <w:t>” and together with HSBC and MUFG, collectively, the “</w:t>
      </w:r>
      <w:r>
        <w:rPr>
          <w:rFonts w:ascii="Arial" w:cs="Arial" w:eastAsia="Arial" w:hAnsi="Arial"/>
          <w:sz w:val="21"/>
          <w:szCs w:val="21"/>
          <w:i w:val="1"/>
          <w:iCs w:val="1"/>
          <w:color w:val="auto"/>
        </w:rPr>
        <w:t>New Revolving Lenders</w:t>
      </w:r>
      <w:r>
        <w:rPr>
          <w:rFonts w:ascii="Arial" w:cs="Arial" w:eastAsia="Arial" w:hAnsi="Arial"/>
          <w:sz w:val="21"/>
          <w:szCs w:val="21"/>
          <w:color w:val="auto"/>
        </w:rPr>
        <w:t>”) and Citibank N.A., as administrative agent (in such capacity, the “</w:t>
      </w:r>
      <w:r>
        <w:rPr>
          <w:rFonts w:ascii="Arial" w:cs="Arial" w:eastAsia="Arial" w:hAnsi="Arial"/>
          <w:sz w:val="21"/>
          <w:szCs w:val="21"/>
          <w:i w:val="1"/>
          <w:iCs w:val="1"/>
          <w:color w:val="auto"/>
        </w:rPr>
        <w:t>Administrative Agent</w:t>
      </w:r>
      <w:r>
        <w:rPr>
          <w:rFonts w:ascii="Arial" w:cs="Arial" w:eastAsia="Arial" w:hAnsi="Arial"/>
          <w:sz w:val="21"/>
          <w:szCs w:val="21"/>
          <w:color w:val="auto"/>
        </w:rPr>
        <w:t>”) and as an issuing lender (in such capacity, an “</w:t>
      </w:r>
      <w:r>
        <w:rPr>
          <w:rFonts w:ascii="Arial" w:cs="Arial" w:eastAsia="Arial" w:hAnsi="Arial"/>
          <w:sz w:val="21"/>
          <w:szCs w:val="21"/>
          <w:i w:val="1"/>
          <w:iCs w:val="1"/>
          <w:color w:val="auto"/>
        </w:rPr>
        <w:t>Issuing Lender</w:t>
      </w:r>
      <w:r>
        <w:rPr>
          <w:rFonts w:ascii="Arial" w:cs="Arial" w:eastAsia="Arial" w:hAnsi="Arial"/>
          <w:sz w:val="21"/>
          <w:szCs w:val="21"/>
          <w:color w:val="auto"/>
        </w:rPr>
        <w:t>”). Unless otherwise indicated, all capitalized terms used herein and not otherwise defined shall have the respective meanings provided to such terms in the Credit Agreement as defined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WHEREAS, the Borrower, the Guarantor, the lenders from time to time party thereto, the Administrative Agent and certain other parties thereto are parties to that certain Amended and Restated Credit and Guaranty Agreement, dated as of April 20, 2015 (as amended by that certain First Amendment to Amended and Restated Credit and Guaranty Agreement, dated as of October 26, 2015, as further amended by that certain Second Amendment to Amended and Restated Credit and Guaranty Agreement, dated as of September 22, 2016, as further amended by that certain Third Amendment to Amended and Restated Credit and Guaranty Agreement, dated June 14, 2017, as further amended by that certain Fourth Amendment to Amended and Restated Credit and Guaranty Agreement, dated August 21, 2017, as further amended by that certain Fifth Amendment to Amended and Restated Credit and Guaranty Agreement, dated September 17, 2018 and as further amended, amended and restated, supplemented or otherwise modified up to, but not including the Sixth Amendment Effective Date as defined below, the “</w:t>
      </w:r>
      <w:r>
        <w:rPr>
          <w:rFonts w:ascii="Arial" w:cs="Arial" w:eastAsia="Arial" w:hAnsi="Arial"/>
          <w:sz w:val="19"/>
          <w:szCs w:val="19"/>
          <w:i w:val="1"/>
          <w:iCs w:val="1"/>
          <w:color w:val="auto"/>
        </w:rPr>
        <w:t>Credit Agreement</w:t>
      </w:r>
      <w:r>
        <w:rPr>
          <w:rFonts w:ascii="Arial" w:cs="Arial" w:eastAsia="Arial" w:hAnsi="Arial"/>
          <w:sz w:val="19"/>
          <w:szCs w:val="19"/>
          <w:color w:val="auto"/>
        </w:rPr>
        <w:t>”);</w:t>
      </w:r>
    </w:p>
    <w:p>
      <w:pPr>
        <w:spacing w:after="0" w:line="37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18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WHEREAS, the Borrower hereby (i) requests that each Revolving Lender that is a party to the Credit Agreement immediately prior to the Sixth Amendment Effective Date (each, an “</w:t>
      </w:r>
      <w:r>
        <w:rPr>
          <w:rFonts w:ascii="Arial" w:cs="Arial" w:eastAsia="Arial" w:hAnsi="Arial"/>
          <w:sz w:val="19"/>
          <w:szCs w:val="19"/>
          <w:i w:val="1"/>
          <w:iCs w:val="1"/>
          <w:color w:val="auto"/>
        </w:rPr>
        <w:t>Existing Revolving Lender</w:t>
      </w:r>
      <w:r>
        <w:rPr>
          <w:rFonts w:ascii="Arial" w:cs="Arial" w:eastAsia="Arial" w:hAnsi="Arial"/>
          <w:sz w:val="19"/>
          <w:szCs w:val="19"/>
          <w:color w:val="auto"/>
        </w:rPr>
        <w:t>”) extend the maturity of such Existing Revolving Lender’s Revolving Commitment pursuant to, and in accordance with the terms of, Section 2.28(b), (c), (d) and</w:t>
      </w:r>
    </w:p>
    <w:p>
      <w:pPr>
        <w:spacing w:after="0" w:line="1" w:lineRule="exact"/>
        <w:rPr>
          <w:sz w:val="20"/>
          <w:szCs w:val="20"/>
          <w:color w:val="auto"/>
        </w:rPr>
      </w:pPr>
    </w:p>
    <w:p>
      <w:pPr>
        <w:jc w:val="both"/>
        <w:ind w:firstLine="8"/>
        <w:spacing w:after="0" w:line="244" w:lineRule="auto"/>
        <w:tabs>
          <w:tab w:leader="none" w:pos="301" w:val="left"/>
        </w:tabs>
        <w:numPr>
          <w:ilvl w:val="0"/>
          <w:numId w:val="77"/>
        </w:numPr>
        <w:rPr>
          <w:rFonts w:ascii="Arial" w:cs="Arial" w:eastAsia="Arial" w:hAnsi="Arial"/>
          <w:sz w:val="22"/>
          <w:szCs w:val="22"/>
          <w:color w:val="auto"/>
        </w:rPr>
      </w:pPr>
      <w:r>
        <w:rPr>
          <w:rFonts w:ascii="Arial" w:cs="Arial" w:eastAsia="Arial" w:hAnsi="Arial"/>
          <w:sz w:val="22"/>
          <w:szCs w:val="22"/>
          <w:color w:val="auto"/>
        </w:rPr>
        <w:t>of the Credit Agreement and this Sixth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be subject to the Revolving Extension contemplated hereby;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49" w:right="239" w:bottom="1440" w:gutter="0" w:footer="0" w:header="0"/>
        </w:sectPr>
      </w:pPr>
    </w:p>
    <w:bookmarkStart w:id="203" w:name="page204"/>
    <w:bookmarkEnd w:id="203"/>
    <w:p>
      <w:pPr>
        <w:jc w:val="both"/>
        <w:ind w:firstLine="1297"/>
        <w:spacing w:after="0" w:line="250" w:lineRule="auto"/>
        <w:rPr>
          <w:sz w:val="20"/>
          <w:szCs w:val="20"/>
          <w:color w:val="auto"/>
        </w:rPr>
      </w:pPr>
      <w:r>
        <w:rPr>
          <w:rFonts w:ascii="Arial" w:cs="Arial" w:eastAsia="Arial" w:hAnsi="Arial"/>
          <w:sz w:val="22"/>
          <w:szCs w:val="22"/>
          <w:color w:val="auto"/>
        </w:rPr>
        <w:t>WHEREAS, the undersigned Existing Revolving Lenders (the “</w:t>
      </w:r>
      <w:r>
        <w:rPr>
          <w:rFonts w:ascii="Arial" w:cs="Arial" w:eastAsia="Arial" w:hAnsi="Arial"/>
          <w:sz w:val="22"/>
          <w:szCs w:val="22"/>
          <w:i w:val="1"/>
          <w:iCs w:val="1"/>
          <w:color w:val="auto"/>
        </w:rPr>
        <w:t>Consenting Revolving Lenders</w:t>
      </w:r>
      <w:r>
        <w:rPr>
          <w:rFonts w:ascii="Arial" w:cs="Arial" w:eastAsia="Arial" w:hAnsi="Arial"/>
          <w:sz w:val="22"/>
          <w:szCs w:val="22"/>
          <w:color w:val="auto"/>
        </w:rPr>
        <w:t>” and together with the New Revolving Lenders, the “</w:t>
      </w:r>
      <w:r>
        <w:rPr>
          <w:rFonts w:ascii="Arial" w:cs="Arial" w:eastAsia="Arial" w:hAnsi="Arial"/>
          <w:sz w:val="22"/>
          <w:szCs w:val="22"/>
          <w:i w:val="1"/>
          <w:iCs w:val="1"/>
          <w:color w:val="auto"/>
        </w:rPr>
        <w:t>Extending Revolving Lenders</w:t>
      </w:r>
      <w:r>
        <w:rPr>
          <w:rFonts w:ascii="Arial" w:cs="Arial" w:eastAsia="Arial" w:hAnsi="Arial"/>
          <w:sz w:val="22"/>
          <w:szCs w:val="22"/>
          <w:color w:val="auto"/>
        </w:rPr>
        <w:t>”) are willing to extend the maturity date of their respective Revolving Commitments (the “</w:t>
      </w:r>
      <w:r>
        <w:rPr>
          <w:rFonts w:ascii="Arial" w:cs="Arial" w:eastAsia="Arial" w:hAnsi="Arial"/>
          <w:sz w:val="22"/>
          <w:szCs w:val="22"/>
          <w:i w:val="1"/>
          <w:iCs w:val="1"/>
          <w:color w:val="auto"/>
        </w:rPr>
        <w:t>Extended Revolving Commitments</w:t>
      </w:r>
      <w:r>
        <w:rPr>
          <w:rFonts w:ascii="Arial" w:cs="Arial" w:eastAsia="Arial" w:hAnsi="Arial"/>
          <w:sz w:val="22"/>
          <w:szCs w:val="22"/>
          <w:color w:val="auto"/>
        </w:rPr>
        <w:t>”), subject to and on the terms and conditions set forth herein and in Section 2.28(b), (c), (d) and (e) of the Credit Agreement;</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pursuant to Section 2.27 of the Credit Agreement, the Borrower may request an increase to the existing Revolving Commitments, subject to and on the terms and conditions provided therein;</w:t>
      </w:r>
    </w:p>
    <w:p>
      <w:pPr>
        <w:spacing w:after="0" w:line="391"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WHEREAS, the Borrower hereby notifies the Administrative Agent of its request for $542,500,000 of new Revolving Commitments (the “</w:t>
      </w:r>
      <w:r>
        <w:rPr>
          <w:rFonts w:ascii="Arial" w:cs="Arial" w:eastAsia="Arial" w:hAnsi="Arial"/>
          <w:sz w:val="22"/>
          <w:szCs w:val="22"/>
          <w:i w:val="1"/>
          <w:iCs w:val="1"/>
          <w:color w:val="auto"/>
        </w:rPr>
        <w:t>New Revolving Commitments</w:t>
      </w:r>
      <w:r>
        <w:rPr>
          <w:rFonts w:ascii="Arial" w:cs="Arial" w:eastAsia="Arial" w:hAnsi="Arial"/>
          <w:sz w:val="22"/>
          <w:szCs w:val="22"/>
          <w:color w:val="auto"/>
        </w:rPr>
        <w:t>”) to be made available by New Revolving Lenders with respect to such New Revolving Commitments in the amount specified therefor on Schedule 1 hereto and requests that the Administrative Agent waive any applicable notice period otherwise required;</w:t>
      </w:r>
    </w:p>
    <w:p>
      <w:pPr>
        <w:spacing w:after="0" w:line="200" w:lineRule="exact"/>
        <w:rPr>
          <w:sz w:val="20"/>
          <w:szCs w:val="20"/>
          <w:color w:val="auto"/>
        </w:rPr>
      </w:pPr>
    </w:p>
    <w:p>
      <w:pPr>
        <w:spacing w:after="0" w:line="20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each New Revolving Lender is willing to provide a New Revolving Commitment in the amount set forth opposite its name in Schedule 1 hereto, subject to and on the terms and conditions set forth herein and in the Credit Agreement;</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undersigned Consenting Revolving Lenders, New Revolving Lenders and the Borrower desire to reallocate the Revolving Commitments (the “</w:t>
      </w:r>
      <w:r>
        <w:rPr>
          <w:rFonts w:ascii="Arial" w:cs="Arial" w:eastAsia="Arial" w:hAnsi="Arial"/>
          <w:sz w:val="22"/>
          <w:szCs w:val="22"/>
          <w:i w:val="1"/>
          <w:iCs w:val="1"/>
          <w:color w:val="auto"/>
        </w:rPr>
        <w:t>Reallocation</w:t>
      </w:r>
      <w:r>
        <w:rPr>
          <w:rFonts w:ascii="Arial" w:cs="Arial" w:eastAsia="Arial" w:hAnsi="Arial"/>
          <w:sz w:val="22"/>
          <w:szCs w:val="22"/>
          <w:color w:val="auto"/>
        </w:rPr>
        <w:t>”) and that each Revolving Lender will hold such Revolving Commitment as is set out opposite its name on Schedule 1;</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Borrower, the Administrative Agent, the undersigned Revolving Lenders wish to amend the Credit Agreement to provide for certain other modifications to the Credit Agreement, in each case, on the terms and subject to the conditions set forth herein;</w:t>
      </w:r>
    </w:p>
    <w:p>
      <w:pPr>
        <w:spacing w:after="0" w:line="200" w:lineRule="exact"/>
        <w:rPr>
          <w:sz w:val="20"/>
          <w:szCs w:val="20"/>
          <w:color w:val="auto"/>
        </w:rPr>
      </w:pP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pursuant to Section 2.28(b) of the Credit Agreement, any Existing Revolving Lender who is not a Consenting Lender (each, a “</w:t>
      </w:r>
      <w:r>
        <w:rPr>
          <w:rFonts w:ascii="Arial" w:cs="Arial" w:eastAsia="Arial" w:hAnsi="Arial"/>
          <w:sz w:val="22"/>
          <w:szCs w:val="22"/>
          <w:i w:val="1"/>
          <w:iCs w:val="1"/>
          <w:color w:val="auto"/>
        </w:rPr>
        <w:t>Non-Consenting Revolving Lender</w:t>
      </w:r>
      <w:r>
        <w:rPr>
          <w:rFonts w:ascii="Arial" w:cs="Arial" w:eastAsia="Arial" w:hAnsi="Arial"/>
          <w:sz w:val="22"/>
          <w:szCs w:val="22"/>
          <w:color w:val="auto"/>
        </w:rPr>
        <w:t>”) shall continue to have Revolving Credit Commitments (the “</w:t>
      </w:r>
      <w:r>
        <w:rPr>
          <w:rFonts w:ascii="Arial" w:cs="Arial" w:eastAsia="Arial" w:hAnsi="Arial"/>
          <w:sz w:val="22"/>
          <w:szCs w:val="22"/>
          <w:i w:val="1"/>
          <w:iCs w:val="1"/>
          <w:color w:val="auto"/>
        </w:rPr>
        <w:t>Non-Extended Revolver Commitments</w:t>
      </w:r>
      <w:r>
        <w:rPr>
          <w:rFonts w:ascii="Arial" w:cs="Arial" w:eastAsia="Arial" w:hAnsi="Arial"/>
          <w:sz w:val="22"/>
          <w:szCs w:val="22"/>
          <w:color w:val="auto"/>
        </w:rPr>
        <w:t>”); and</w:t>
      </w:r>
    </w:p>
    <w:p>
      <w:pPr>
        <w:spacing w:after="0" w:line="200" w:lineRule="exact"/>
        <w:rPr>
          <w:sz w:val="20"/>
          <w:szCs w:val="20"/>
          <w:color w:val="auto"/>
        </w:rPr>
      </w:pPr>
    </w:p>
    <w:p>
      <w:pPr>
        <w:spacing w:after="0" w:line="20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391"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u w:val="single" w:color="auto"/>
          <w:color w:val="auto"/>
        </w:rPr>
        <w:t>SECTION ONE - Increase in Revolving Commitments</w:t>
      </w:r>
      <w:r>
        <w:rPr>
          <w:rFonts w:ascii="Arial" w:cs="Arial" w:eastAsia="Arial" w:hAnsi="Arial"/>
          <w:sz w:val="22"/>
          <w:szCs w:val="22"/>
          <w:color w:val="auto"/>
        </w:rPr>
        <w:t>. On the Sixth Amendment Effective Date, the Borrower, the Existing Revolving Lenders and the New Revolving Lenders agree that (1) the Total Revolving Commitments shall be $1,542,500,000, consisting of $1,530,500,000 of Sixth Amendment Extended Revolver Commitments and $12,000,000 of Non-Extended Revolver Commitments, (2) New Revolving Commitments shall constitute Extended Revolving Commitments for all purposes of the Credit Agreement and the other Loan Documents and (3) each New Revolving Lender shall become a Revolving Lender under the Credit Agreement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204" w:name="page205"/>
    <w:bookmarkEnd w:id="204"/>
    <w:p>
      <w:pPr>
        <w:spacing w:after="0"/>
        <w:rPr>
          <w:sz w:val="20"/>
          <w:szCs w:val="20"/>
          <w:color w:val="auto"/>
        </w:rPr>
      </w:pPr>
      <w:r>
        <w:rPr>
          <w:rFonts w:ascii="Arial" w:cs="Arial" w:eastAsia="Arial" w:hAnsi="Arial"/>
          <w:sz w:val="21"/>
          <w:szCs w:val="21"/>
          <w:color w:val="auto"/>
        </w:rPr>
        <w:t>(as amended hereby). For purposes of the Credit Agreement, this Sixth Amendment shall constitute an “Increase Joinder.”</w:t>
      </w:r>
    </w:p>
    <w:p>
      <w:pPr>
        <w:spacing w:after="0" w:line="200" w:lineRule="exact"/>
        <w:rPr>
          <w:sz w:val="20"/>
          <w:szCs w:val="20"/>
          <w:color w:val="auto"/>
        </w:rPr>
      </w:pPr>
    </w:p>
    <w:p>
      <w:pPr>
        <w:spacing w:after="0" w:line="24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SECTION TWO - Extension of Revolving Facility</w:t>
      </w:r>
      <w:r>
        <w:rPr>
          <w:rFonts w:ascii="Arial" w:cs="Arial" w:eastAsia="Arial" w:hAnsi="Arial"/>
          <w:sz w:val="22"/>
          <w:szCs w:val="22"/>
          <w:color w:val="auto"/>
        </w:rPr>
        <w:t>. On the Sixth Amendment Effective Date (immediately after giving effect to the Reallocation contemplated in Section One), the Borrower, each Extending Revolving Lender and each Non-Consenting Revolving Lender agrees that the Credit Agreement is modified as follows:</w:t>
      </w:r>
    </w:p>
    <w:p>
      <w:pPr>
        <w:spacing w:after="0" w:line="200" w:lineRule="exact"/>
        <w:rPr>
          <w:sz w:val="20"/>
          <w:szCs w:val="20"/>
          <w:color w:val="auto"/>
        </w:rPr>
      </w:pPr>
    </w:p>
    <w:p>
      <w:pPr>
        <w:spacing w:after="0" w:line="202" w:lineRule="exact"/>
        <w:rPr>
          <w:sz w:val="20"/>
          <w:szCs w:val="20"/>
          <w:color w:val="auto"/>
        </w:rPr>
      </w:pPr>
    </w:p>
    <w:p>
      <w:pPr>
        <w:ind w:left="1720" w:hanging="415"/>
        <w:spacing w:after="0"/>
        <w:tabs>
          <w:tab w:leader="none" w:pos="17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Section 1.01 of the Credit Agreement is hereby amended by adding the following definitions in appropriate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200" w:lineRule="exact"/>
        <w:rPr>
          <w:sz w:val="20"/>
          <w:szCs w:val="20"/>
          <w:color w:val="auto"/>
        </w:rPr>
      </w:pPr>
    </w:p>
    <w:p>
      <w:pPr>
        <w:spacing w:after="0" w:line="23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Sixth Amendment</w:t>
      </w:r>
      <w:r>
        <w:rPr>
          <w:rFonts w:ascii="Arial" w:cs="Arial" w:eastAsia="Arial" w:hAnsi="Arial"/>
          <w:sz w:val="21"/>
          <w:szCs w:val="21"/>
          <w:color w:val="auto"/>
        </w:rPr>
        <w:t>” means the Sixth Amendment to this Credit Agreement, dated as of December 10, 2018 among the Borrower, Citibank N.A., as administrative agent and as an issuing lender and the Lenders party thereto.”</w:t>
      </w:r>
    </w:p>
    <w:p>
      <w:pPr>
        <w:spacing w:after="0" w:line="3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Sixth Amendment Effective Date</w:t>
      </w:r>
      <w:r>
        <w:rPr>
          <w:rFonts w:ascii="Arial" w:cs="Arial" w:eastAsia="Arial" w:hAnsi="Arial"/>
          <w:sz w:val="22"/>
          <w:szCs w:val="22"/>
          <w:color w:val="auto"/>
        </w:rPr>
        <w:t>” shall have the meaning provided in the Sixth Amendment.”;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Sixth Amendment Extended Revolving Commitments</w:t>
      </w:r>
      <w:r>
        <w:rPr>
          <w:rFonts w:ascii="Arial" w:cs="Arial" w:eastAsia="Arial" w:hAnsi="Arial"/>
          <w:sz w:val="22"/>
          <w:szCs w:val="22"/>
          <w:color w:val="auto"/>
        </w:rPr>
        <w:t>” means the Revolving Commitments of each Sixth Amendment Extending Revolving Lender.”</w:t>
      </w:r>
    </w:p>
    <w:p>
      <w:pPr>
        <w:spacing w:after="0" w:line="391"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i w:val="1"/>
          <w:iCs w:val="1"/>
          <w:color w:val="auto"/>
        </w:rPr>
        <w:t>““Sixth Amendment Extending Revolving Lender</w:t>
      </w:r>
      <w:r>
        <w:rPr>
          <w:rFonts w:ascii="Arial" w:cs="Arial" w:eastAsia="Arial" w:hAnsi="Arial"/>
          <w:sz w:val="22"/>
          <w:szCs w:val="22"/>
          <w:color w:val="auto"/>
        </w:rPr>
        <w:t>” shall mean each Revolving Lender (including the Sixth</w:t>
      </w:r>
      <w:r>
        <w:rPr>
          <w:rFonts w:ascii="Arial" w:cs="Arial" w:eastAsia="Arial" w:hAnsi="Arial"/>
          <w:sz w:val="22"/>
          <w:szCs w:val="22"/>
          <w:i w:val="1"/>
          <w:iCs w:val="1"/>
          <w:color w:val="auto"/>
        </w:rPr>
        <w:t xml:space="preserve"> </w:t>
      </w:r>
      <w:r>
        <w:rPr>
          <w:rFonts w:ascii="Arial" w:cs="Arial" w:eastAsia="Arial" w:hAnsi="Arial"/>
          <w:sz w:val="22"/>
          <w:szCs w:val="22"/>
          <w:color w:val="auto"/>
        </w:rPr>
        <w:t>Amendment New Revolving Lenders) that has provided a signature page on or prior to December 10, 2018 voting in favor of accepting the Sixth Amendment Extension Offer and extending the Revolving Facility Maturity Date as set forth in the Sixth Amendment.”</w:t>
      </w: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Sixth Amendment Extension Offer</w:t>
      </w:r>
      <w:r>
        <w:rPr>
          <w:rFonts w:ascii="Arial" w:cs="Arial" w:eastAsia="Arial" w:hAnsi="Arial"/>
          <w:sz w:val="21"/>
          <w:szCs w:val="21"/>
          <w:color w:val="auto"/>
        </w:rPr>
        <w:t>” means the Extension Offer made pursuant to the Sixth Amendment.”</w:t>
      </w:r>
    </w:p>
    <w:p>
      <w:pPr>
        <w:spacing w:after="0" w:line="200" w:lineRule="exact"/>
        <w:rPr>
          <w:sz w:val="20"/>
          <w:szCs w:val="20"/>
          <w:color w:val="auto"/>
        </w:rPr>
      </w:pPr>
    </w:p>
    <w:p>
      <w:pPr>
        <w:spacing w:after="0" w:line="24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Sixth Amendment Non-Extended Revolving Commitments</w:t>
      </w:r>
      <w:r>
        <w:rPr>
          <w:rFonts w:ascii="Arial" w:cs="Arial" w:eastAsia="Arial" w:hAnsi="Arial"/>
          <w:sz w:val="22"/>
          <w:szCs w:val="22"/>
          <w:color w:val="auto"/>
        </w:rPr>
        <w:t>” means the Revolving Commitments of each Sixth Amendment Non-Extending Revolving Lender.”</w:t>
      </w:r>
    </w:p>
    <w:p>
      <w:pPr>
        <w:spacing w:after="0" w:line="39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Sixth Amendment Non-Extending Revolving Lender</w:t>
      </w:r>
      <w:r>
        <w:rPr>
          <w:rFonts w:ascii="Arial" w:cs="Arial" w:eastAsia="Arial" w:hAnsi="Arial"/>
          <w:sz w:val="22"/>
          <w:szCs w:val="22"/>
          <w:color w:val="auto"/>
        </w:rPr>
        <w:t>” shall mean each Revolving Lender other than the Sixth Amendment Extending Revolving Lenders.”</w:t>
      </w:r>
    </w:p>
    <w:p>
      <w:pPr>
        <w:spacing w:after="0" w:line="39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Sixth Amendment New Revolving Lenders</w:t>
      </w:r>
      <w:r>
        <w:rPr>
          <w:rFonts w:ascii="Arial" w:cs="Arial" w:eastAsia="Arial" w:hAnsi="Arial"/>
          <w:sz w:val="21"/>
          <w:szCs w:val="21"/>
          <w:color w:val="auto"/>
        </w:rPr>
        <w:t>” shall mean each New Revolving Lender (as defined in the Sixth</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Amendment).”</w:t>
      </w:r>
    </w:p>
    <w:p>
      <w:pPr>
        <w:spacing w:after="0" w:line="200" w:lineRule="exact"/>
        <w:rPr>
          <w:sz w:val="20"/>
          <w:szCs w:val="20"/>
          <w:color w:val="auto"/>
        </w:rPr>
      </w:pPr>
    </w:p>
    <w:p>
      <w:pPr>
        <w:spacing w:after="0" w:line="218" w:lineRule="exact"/>
        <w:rPr>
          <w:sz w:val="20"/>
          <w:szCs w:val="20"/>
          <w:color w:val="auto"/>
        </w:rPr>
      </w:pPr>
    </w:p>
    <w:p>
      <w:pPr>
        <w:ind w:right="240" w:firstLine="1305"/>
        <w:spacing w:after="0" w:line="276" w:lineRule="auto"/>
        <w:tabs>
          <w:tab w:leader="none" w:pos="1728"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Applicable Margin</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Applicable Margin</w:t>
      </w:r>
      <w:r>
        <w:rPr>
          <w:rFonts w:ascii="Arial" w:cs="Arial" w:eastAsia="Arial" w:hAnsi="Arial"/>
          <w:sz w:val="21"/>
          <w:szCs w:val="21"/>
          <w:color w:val="auto"/>
        </w:rPr>
        <w:t>” shall mean (a)(x) with respect to Revolving Loans in respect of Sixth Amendment Extended Revolving Commitments (i) that are Eurodollar Loans, 2.00% per annum and (ii) that are ABR Loans, 1.00% per annum and (y) with respect to Revolving Loans in respect of Sixth Amendment Non-Extended Revolving Commitments (i) that are Eurodollar Loans, 2.25% per annum and (ii) that are ABR Loans, 1.25% per annum and (b) with respect to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205" w:name="page206"/>
    <w:bookmarkEnd w:id="205"/>
    <w:p>
      <w:pPr>
        <w:spacing w:after="0"/>
        <w:rPr>
          <w:sz w:val="20"/>
          <w:szCs w:val="20"/>
          <w:color w:val="auto"/>
        </w:rPr>
      </w:pPr>
      <w:r>
        <w:rPr>
          <w:rFonts w:ascii="Arial" w:cs="Arial" w:eastAsia="Arial" w:hAnsi="Arial"/>
          <w:sz w:val="21"/>
          <w:szCs w:val="21"/>
          <w:color w:val="auto"/>
        </w:rPr>
        <w:t>Replacement Term Loans (i) that are Eurodollar Loans, 2.00% per annum and (ii) that are ABR Loans 1.00% per annum.</w:t>
      </w:r>
    </w:p>
    <w:p>
      <w:pPr>
        <w:spacing w:after="0" w:line="200" w:lineRule="exact"/>
        <w:rPr>
          <w:sz w:val="20"/>
          <w:szCs w:val="20"/>
          <w:color w:val="auto"/>
        </w:rPr>
      </w:pPr>
    </w:p>
    <w:p>
      <w:pPr>
        <w:spacing w:after="0" w:line="247" w:lineRule="exact"/>
        <w:rPr>
          <w:sz w:val="20"/>
          <w:szCs w:val="20"/>
          <w:color w:val="auto"/>
        </w:rPr>
      </w:pPr>
    </w:p>
    <w:p>
      <w:pPr>
        <w:ind w:right="800" w:firstLine="1305"/>
        <w:spacing w:after="0" w:line="276" w:lineRule="auto"/>
        <w:tabs>
          <w:tab w:leader="none" w:pos="171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Commitment Fee Rate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ind w:left="66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Commitment Fee Rate</w:t>
      </w:r>
      <w:r>
        <w:rPr>
          <w:rFonts w:ascii="Arial" w:cs="Arial" w:eastAsia="Arial" w:hAnsi="Arial"/>
          <w:sz w:val="19"/>
          <w:szCs w:val="19"/>
          <w:color w:val="auto"/>
        </w:rPr>
        <w:t>” shall mean (x) in respect of Sixth Amendment Extended Revolving Commitments, 0.625% per annum and (y) in respect of Sixth Amendment Non-Extended Revolving Commitments, 0.75% per annum.”;</w:t>
      </w:r>
    </w:p>
    <w:p>
      <w:pPr>
        <w:spacing w:after="0" w:line="321" w:lineRule="exact"/>
        <w:rPr>
          <w:sz w:val="20"/>
          <w:szCs w:val="20"/>
          <w:color w:val="auto"/>
        </w:rPr>
      </w:pPr>
    </w:p>
    <w:p>
      <w:pPr>
        <w:ind w:right="40" w:firstLine="1305"/>
        <w:spacing w:after="0" w:line="260" w:lineRule="auto"/>
        <w:tabs>
          <w:tab w:leader="none" w:pos="1728"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LIBO Rate</w:t>
      </w:r>
      <w:r>
        <w:rPr>
          <w:rFonts w:ascii="Arial" w:cs="Arial" w:eastAsia="Arial" w:hAnsi="Arial"/>
          <w:sz w:val="22"/>
          <w:szCs w:val="22"/>
          <w:color w:val="auto"/>
        </w:rPr>
        <w:t>” appearing in Section 1.01 of the Credit Agreement is hereby amended by adding “and Revolving Loans in respect of Sixth Amendment Extended Revolving Commitments” after “solely in respect of the 2017 Replacement Term Loans” where it is used therein.</w:t>
      </w:r>
    </w:p>
    <w:p>
      <w:pPr>
        <w:spacing w:after="0" w:line="393" w:lineRule="exact"/>
        <w:rPr>
          <w:rFonts w:ascii="Arial" w:cs="Arial" w:eastAsia="Arial" w:hAnsi="Arial"/>
          <w:sz w:val="22"/>
          <w:szCs w:val="22"/>
          <w:color w:val="auto"/>
        </w:rPr>
      </w:pPr>
    </w:p>
    <w:p>
      <w:pPr>
        <w:ind w:right="500" w:firstLine="1305"/>
        <w:spacing w:after="0" w:line="276" w:lineRule="auto"/>
        <w:tabs>
          <w:tab w:leader="none" w:pos="1716"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Facility Maturity Date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left="900" w:firstLine="972"/>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Revolving Facility Maturity Date</w:t>
      </w:r>
      <w:r>
        <w:rPr>
          <w:rFonts w:ascii="Arial" w:cs="Arial" w:eastAsia="Arial" w:hAnsi="Arial"/>
          <w:sz w:val="22"/>
          <w:szCs w:val="22"/>
          <w:color w:val="auto"/>
        </w:rPr>
        <w:t>” shall mean, (a) with respect to Sixth Amendment Extended Revolving Commitments, that have not been extended pursuant to Section 2.28(b), but including Revolving Commitments extended or made available pursuant to the Sixth Amendment, October 13, 2023, (b) with respect to Sixth Amendment Non-Extended Revolving Commitments that have not been extended pursuant to Section 2.28(b), October 13, 2022 and (c) with respect to Extended Revolving Commitments extended after the Sixth Amendment Effective Date, the final maturity date therefor as specified in the applicable Extension Offer accepted by the respective Revolving Lender or Revolving Lenders.”;</w:t>
      </w:r>
    </w:p>
    <w:p>
      <w:pPr>
        <w:spacing w:after="0" w:line="200" w:lineRule="exact"/>
        <w:rPr>
          <w:sz w:val="20"/>
          <w:szCs w:val="20"/>
          <w:color w:val="auto"/>
        </w:rPr>
      </w:pPr>
    </w:p>
    <w:p>
      <w:pPr>
        <w:spacing w:after="0" w:line="213" w:lineRule="exact"/>
        <w:rPr>
          <w:sz w:val="20"/>
          <w:szCs w:val="20"/>
          <w:color w:val="auto"/>
        </w:rPr>
      </w:pPr>
    </w:p>
    <w:p>
      <w:pPr>
        <w:ind w:left="80" w:right="220" w:firstLine="1306"/>
        <w:spacing w:after="0" w:line="276" w:lineRule="auto"/>
        <w:tabs>
          <w:tab w:leader="none" w:pos="1772"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Commitment</w:t>
      </w:r>
      <w:r>
        <w:rPr>
          <w:rFonts w:ascii="Arial" w:cs="Arial" w:eastAsia="Arial" w:hAnsi="Arial"/>
          <w:sz w:val="22"/>
          <w:szCs w:val="22"/>
          <w:color w:val="auto"/>
        </w:rPr>
        <w:t>” is hereby amended by deleting the last sentence of said definition in its entirety and inserting in lieu thereof the following new sentence:</w:t>
      </w:r>
    </w:p>
    <w:p>
      <w:pPr>
        <w:spacing w:after="0" w:line="377" w:lineRule="exact"/>
        <w:rPr>
          <w:sz w:val="20"/>
          <w:szCs w:val="20"/>
          <w:color w:val="auto"/>
        </w:rPr>
      </w:pPr>
    </w:p>
    <w:p>
      <w:pPr>
        <w:jc w:val="both"/>
        <w:ind w:left="1380" w:firstLine="567"/>
        <w:spacing w:after="0" w:line="265" w:lineRule="auto"/>
        <w:rPr>
          <w:sz w:val="20"/>
          <w:szCs w:val="20"/>
          <w:color w:val="auto"/>
        </w:rPr>
      </w:pPr>
      <w:r>
        <w:rPr>
          <w:rFonts w:ascii="Arial" w:cs="Arial" w:eastAsia="Arial" w:hAnsi="Arial"/>
          <w:sz w:val="21"/>
          <w:szCs w:val="21"/>
          <w:color w:val="auto"/>
        </w:rPr>
        <w:t>“The aggregate amount of the Total Revolving Commitments as of the Sixth Amendment Effective Date and after giving effect to the New Revolving Commitments under, and as defined in the Sixth Amendment is $1,542,500,000, consisting of $1,530,500,000 of Sixth Amendment Extended Revolver Commitments and $12,000,000 of Sixth Amendment Non-Extended Revolver Commitments.”;</w:t>
      </w:r>
    </w:p>
    <w:p>
      <w:pPr>
        <w:spacing w:after="0" w:line="392" w:lineRule="exact"/>
        <w:rPr>
          <w:sz w:val="20"/>
          <w:szCs w:val="20"/>
          <w:color w:val="auto"/>
        </w:rPr>
      </w:pPr>
    </w:p>
    <w:p>
      <w:pPr>
        <w:ind w:left="1380"/>
        <w:spacing w:after="0"/>
        <w:tabs>
          <w:tab w:leader="none" w:pos="18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Section 2.09 of the Credit Agreement is hereby amended by inserting the following at the end of the</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paragraph:</w:t>
      </w:r>
    </w:p>
    <w:p>
      <w:pPr>
        <w:spacing w:after="0" w:line="200" w:lineRule="exact"/>
        <w:rPr>
          <w:sz w:val="20"/>
          <w:szCs w:val="20"/>
          <w:color w:val="auto"/>
        </w:rPr>
      </w:pPr>
    </w:p>
    <w:p>
      <w:pPr>
        <w:spacing w:after="0" w:line="231" w:lineRule="exact"/>
        <w:rPr>
          <w:sz w:val="20"/>
          <w:szCs w:val="20"/>
          <w:color w:val="auto"/>
        </w:rPr>
      </w:pPr>
    </w:p>
    <w:p>
      <w:pPr>
        <w:jc w:val="both"/>
        <w:ind w:left="1380" w:firstLine="648"/>
        <w:spacing w:after="0" w:line="312" w:lineRule="auto"/>
        <w:rPr>
          <w:sz w:val="20"/>
          <w:szCs w:val="20"/>
          <w:color w:val="auto"/>
        </w:rPr>
      </w:pPr>
      <w:r>
        <w:rPr>
          <w:rFonts w:ascii="Arial" w:cs="Arial" w:eastAsia="Arial" w:hAnsi="Arial"/>
          <w:sz w:val="19"/>
          <w:szCs w:val="19"/>
          <w:color w:val="auto"/>
        </w:rPr>
        <w:t>“Notwithstanding any provision to the contrary set forth in this Agreement, the Revolving Lenders agree that in the event the Administrative Agent determines, pursuant to and in accordance with this Section 2.09, that reasonable means do not exist for ascertaining the applicable LIBO Rate and the Administrative Agent and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206" w:name="page207"/>
    <w:bookmarkEnd w:id="206"/>
    <w:p>
      <w:pPr>
        <w:jc w:val="both"/>
        <w:ind w:left="1380"/>
        <w:spacing w:after="0" w:line="247" w:lineRule="auto"/>
        <w:rPr>
          <w:sz w:val="20"/>
          <w:szCs w:val="20"/>
          <w:color w:val="auto"/>
        </w:rPr>
      </w:pPr>
      <w:r>
        <w:rPr>
          <w:rFonts w:ascii="Arial" w:cs="Arial" w:eastAsia="Arial" w:hAnsi="Arial"/>
          <w:sz w:val="22"/>
          <w:szCs w:val="22"/>
          <w:color w:val="auto"/>
        </w:rPr>
        <w:t>the Borrower mutually determine that the syndicated loan market has broadly accepted a replacement standard for the LIBO Rate, then the Administrative Agent and Borrower may, without the consent of any Revolving Lender and solely with respect to the Revolving Loans, amend this Agreement to adopt such new broadly accepted market standard and to make such other changes as shall be necessary or appropriate in the good faith determination of the Administrative Agent and the Borrower in order to implement such new market standard herein and in the other Loan Documents.”;</w:t>
      </w:r>
    </w:p>
    <w:p>
      <w:pPr>
        <w:spacing w:after="0" w:line="200" w:lineRule="exact"/>
        <w:rPr>
          <w:sz w:val="20"/>
          <w:szCs w:val="20"/>
          <w:color w:val="auto"/>
        </w:rPr>
      </w:pPr>
    </w:p>
    <w:p>
      <w:pPr>
        <w:spacing w:after="0" w:line="210" w:lineRule="exact"/>
        <w:rPr>
          <w:sz w:val="20"/>
          <w:szCs w:val="20"/>
          <w:color w:val="auto"/>
        </w:rPr>
      </w:pPr>
    </w:p>
    <w:p>
      <w:pPr>
        <w:ind w:left="1380"/>
        <w:spacing w:after="0"/>
        <w:tabs>
          <w:tab w:leader="none" w:pos="18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9"/>
          <w:szCs w:val="19"/>
          <w:color w:val="auto"/>
        </w:rPr>
        <w:t>Section 2.20(a) of the Credit Agreement is here by amended and restated in its entirety as follows:</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“The Borrower shall pay to the Administrative Agent for the accounts of the Revolving Lenders a commitment fee (the “</w:t>
      </w:r>
      <w:r>
        <w:rPr>
          <w:rFonts w:ascii="Arial" w:cs="Arial" w:eastAsia="Arial" w:hAnsi="Arial"/>
          <w:sz w:val="19"/>
          <w:szCs w:val="19"/>
          <w:i w:val="1"/>
          <w:iCs w:val="1"/>
          <w:color w:val="auto"/>
        </w:rPr>
        <w:t>Commitment Fee</w:t>
      </w:r>
      <w:r>
        <w:rPr>
          <w:rFonts w:ascii="Arial" w:cs="Arial" w:eastAsia="Arial" w:hAnsi="Arial"/>
          <w:sz w:val="19"/>
          <w:szCs w:val="19"/>
          <w:color w:val="auto"/>
        </w:rPr>
        <w:t>”) for the period commencing on the Closing Date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w:t>
      </w:r>
    </w:p>
    <w:p>
      <w:pPr>
        <w:spacing w:after="0" w:line="4" w:lineRule="exact"/>
        <w:rPr>
          <w:sz w:val="20"/>
          <w:szCs w:val="20"/>
          <w:color w:val="auto"/>
        </w:rPr>
      </w:pPr>
    </w:p>
    <w:p>
      <w:pPr>
        <w:jc w:val="both"/>
        <w:ind w:firstLine="8"/>
        <w:spacing w:after="0" w:line="244" w:lineRule="auto"/>
        <w:tabs>
          <w:tab w:leader="none" w:pos="321" w:val="left"/>
        </w:tabs>
        <w:numPr>
          <w:ilvl w:val="0"/>
          <w:numId w:val="83"/>
        </w:numPr>
        <w:rPr>
          <w:rFonts w:ascii="Arial" w:cs="Arial" w:eastAsia="Arial" w:hAnsi="Arial"/>
          <w:sz w:val="22"/>
          <w:szCs w:val="22"/>
          <w:color w:val="auto"/>
        </w:rPr>
      </w:pPr>
      <w:r>
        <w:rPr>
          <w:rFonts w:ascii="Arial" w:cs="Arial" w:eastAsia="Arial" w:hAnsi="Arial"/>
          <w:sz w:val="22"/>
          <w:szCs w:val="22"/>
          <w:color w:val="auto"/>
        </w:rPr>
        <w:t>following the Closing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 (provided that such fee will be prorated based on the Commitment Fee set forth in the Sixth Amendment for the fiscal quarter in which the Sixth Amendment Effective Date occurs).”; and</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left="1760" w:hanging="374"/>
        <w:spacing w:after="0"/>
        <w:tabs>
          <w:tab w:leader="none" w:pos="176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following shall be added as a new Section 2.29 to the Credit Agreement:</w:t>
      </w:r>
    </w:p>
    <w:p>
      <w:pPr>
        <w:spacing w:after="0" w:line="200" w:lineRule="exact"/>
        <w:rPr>
          <w:sz w:val="20"/>
          <w:szCs w:val="20"/>
          <w:color w:val="auto"/>
        </w:rPr>
      </w:pPr>
    </w:p>
    <w:p>
      <w:pPr>
        <w:spacing w:after="0" w:line="249" w:lineRule="exact"/>
        <w:rPr>
          <w:sz w:val="20"/>
          <w:szCs w:val="20"/>
          <w:color w:val="auto"/>
        </w:rPr>
      </w:pPr>
    </w:p>
    <w:p>
      <w:pPr>
        <w:ind w:left="1380"/>
        <w:spacing w:after="0"/>
        <w:tabs>
          <w:tab w:leader="none" w:pos="2760" w:val="left"/>
        </w:tabs>
        <w:rPr>
          <w:sz w:val="20"/>
          <w:szCs w:val="20"/>
          <w:color w:val="auto"/>
        </w:rPr>
      </w:pPr>
      <w:r>
        <w:rPr>
          <w:rFonts w:ascii="Arial" w:cs="Arial" w:eastAsia="Arial" w:hAnsi="Arial"/>
          <w:sz w:val="22"/>
          <w:szCs w:val="22"/>
          <w:color w:val="auto"/>
        </w:rPr>
        <w:t>“Section 2.29</w:t>
      </w:r>
      <w:r>
        <w:rPr>
          <w:sz w:val="20"/>
          <w:szCs w:val="20"/>
          <w:color w:val="auto"/>
        </w:rPr>
        <w:tab/>
      </w:r>
      <w:r>
        <w:rPr>
          <w:rFonts w:ascii="Arial" w:cs="Arial" w:eastAsia="Arial" w:hAnsi="Arial"/>
          <w:sz w:val="19"/>
          <w:szCs w:val="19"/>
          <w:color w:val="auto"/>
        </w:rPr>
        <w:t>Sixth Amendment Non-Extending Revolving Lenders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If any LC Exposure of any Sixth Amendment Non-Extending Revolving Lender exists on the Revolving Facility Maturity Date applicable to the Sixth Amendment Non-Extended Revolving Commitments of such Sixth Amendment Non-Extending Revolving Lender then:</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60" w:lineRule="auto"/>
        <w:tabs>
          <w:tab w:leader="none" w:pos="1603"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LC Exposure of such Sixth Amendment Non-Extending Revolving Lender will, upon at least two (2) Business Days prior notice to the Borrower and the other Revolving Lenders by the Administrative Agent, and subject in any event to the limitation in the first proviso below, automatically be reallocated (effective on the day specified in such notice) among the Sixth Amendment Extending Revolving Lenders pro rata in accordance with their respective Revolving Commitments; provided that (A) the Revolving Extensions of Credit of each such Revolving Lender may not in any event exceed the Revolving Commitment of such Revolving Lender as in effect at the time of such reallocation and (B) at the time of such reallocation, no Event of Default pursuant to Section 7.01(b), (f) or (g) has occurred and is continuing; 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207" w:name="page208"/>
    <w:bookmarkEnd w:id="207"/>
    <w:p>
      <w:pPr>
        <w:jc w:val="both"/>
        <w:ind w:firstLine="1305"/>
        <w:spacing w:after="0" w:line="246" w:lineRule="auto"/>
        <w:tabs>
          <w:tab w:leader="none" w:pos="1621" w:val="left"/>
        </w:tabs>
        <w:numPr>
          <w:ilvl w:val="0"/>
          <w:numId w:val="85"/>
        </w:numPr>
        <w:rPr>
          <w:rFonts w:ascii="Arial" w:cs="Arial" w:eastAsia="Arial" w:hAnsi="Arial"/>
          <w:sz w:val="22"/>
          <w:szCs w:val="22"/>
          <w:color w:val="auto"/>
        </w:rPr>
      </w:pPr>
      <w:r>
        <w:rPr>
          <w:rFonts w:ascii="Arial" w:cs="Arial" w:eastAsia="Arial" w:hAnsi="Arial"/>
          <w:sz w:val="22"/>
          <w:szCs w:val="22"/>
          <w:color w:val="auto"/>
        </w:rPr>
        <w:t>to the extent that any portion (the “</w:t>
      </w:r>
      <w:r>
        <w:rPr>
          <w:rFonts w:ascii="Arial" w:cs="Arial" w:eastAsia="Arial" w:hAnsi="Arial"/>
          <w:sz w:val="22"/>
          <w:szCs w:val="22"/>
          <w:i w:val="1"/>
          <w:iCs w:val="1"/>
          <w:color w:val="auto"/>
        </w:rPr>
        <w:t>Unreallocated Portion</w:t>
      </w:r>
      <w:r>
        <w:rPr>
          <w:rFonts w:ascii="Arial" w:cs="Arial" w:eastAsia="Arial" w:hAnsi="Arial"/>
          <w:sz w:val="22"/>
          <w:szCs w:val="22"/>
          <w:color w:val="auto"/>
        </w:rPr>
        <w:t>”) of the Sixth Amendment Non-Extending Revolving Lender’s LC Exposure cannot be so reallocated, whether by reason of the first proviso in clause (i) above or otherwise, the Borrower will, not later than three (3) Business Days after demand by the Administrative Agent, (A) Cash Collateralize the obligations of the Borrower to the Issuing Lenders in respect of such LC Exposure in an amount at least equal to the aggregate amount of the Unreallocated Portion of such LC Exposure or (B) make other arrangements reasonably satisfactory to the Administrative Agent and the Issuing Lenders to protect them against non-payment by such Sixth Amendment Non-Extending Revolving Lender.”</w:t>
      </w:r>
    </w:p>
    <w:p>
      <w:pPr>
        <w:spacing w:after="0" w:line="200" w:lineRule="exact"/>
        <w:rPr>
          <w:rFonts w:ascii="Arial" w:cs="Arial" w:eastAsia="Arial" w:hAnsi="Arial"/>
          <w:sz w:val="22"/>
          <w:szCs w:val="22"/>
          <w:color w:val="auto"/>
        </w:rPr>
      </w:pPr>
    </w:p>
    <w:p>
      <w:pPr>
        <w:spacing w:after="0" w:line="213" w:lineRule="exact"/>
        <w:rPr>
          <w:rFonts w:ascii="Arial" w:cs="Arial" w:eastAsia="Arial" w:hAnsi="Arial"/>
          <w:sz w:val="22"/>
          <w:szCs w:val="22"/>
          <w:color w:val="auto"/>
        </w:rPr>
      </w:pPr>
    </w:p>
    <w:p>
      <w:pPr>
        <w:ind w:left="1760" w:hanging="374"/>
        <w:spacing w:after="0"/>
        <w:tabs>
          <w:tab w:leader="none" w:pos="1760" w:val="left"/>
        </w:tabs>
        <w:numPr>
          <w:ilvl w:val="1"/>
          <w:numId w:val="85"/>
        </w:numPr>
        <w:rPr>
          <w:rFonts w:ascii="Arial" w:cs="Arial" w:eastAsia="Arial" w:hAnsi="Arial"/>
          <w:sz w:val="19"/>
          <w:szCs w:val="19"/>
          <w:color w:val="auto"/>
        </w:rPr>
      </w:pPr>
      <w:r>
        <w:rPr>
          <w:rFonts w:ascii="Arial" w:cs="Arial" w:eastAsia="Arial" w:hAnsi="Arial"/>
          <w:sz w:val="19"/>
          <w:szCs w:val="19"/>
          <w:color w:val="auto"/>
        </w:rPr>
        <w:t>“Annex A” of the Credit Agreement is hereby amended and restated in its entirety in the form attached hereto</w:t>
      </w:r>
    </w:p>
    <w:p>
      <w:pPr>
        <w:spacing w:after="0" w:line="56"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as Schedule 1.</w:t>
      </w:r>
    </w:p>
    <w:p>
      <w:pPr>
        <w:spacing w:after="0" w:line="200" w:lineRule="exact"/>
        <w:rPr>
          <w:sz w:val="20"/>
          <w:szCs w:val="20"/>
          <w:color w:val="auto"/>
        </w:rPr>
      </w:pPr>
    </w:p>
    <w:p>
      <w:pPr>
        <w:spacing w:after="0" w:line="231" w:lineRule="exact"/>
        <w:rPr>
          <w:sz w:val="20"/>
          <w:szCs w:val="20"/>
          <w:color w:val="auto"/>
        </w:rPr>
      </w:pPr>
    </w:p>
    <w:p>
      <w:pPr>
        <w:jc w:val="both"/>
        <w:ind w:left="80" w:firstLine="1216"/>
        <w:spacing w:after="0" w:line="302" w:lineRule="auto"/>
        <w:rPr>
          <w:sz w:val="20"/>
          <w:szCs w:val="20"/>
          <w:color w:val="auto"/>
        </w:rPr>
      </w:pPr>
      <w:r>
        <w:rPr>
          <w:rFonts w:ascii="Arial" w:cs="Arial" w:eastAsia="Arial" w:hAnsi="Arial"/>
          <w:sz w:val="19"/>
          <w:szCs w:val="19"/>
          <w:color w:val="auto"/>
        </w:rPr>
        <w:t>Notwithstanding anything in this Sixth Amendment or the Credit Agreement to the contrary, the Administrative Agent hereby waives (a) the minimum notice required by Section 2.27(a) of the Credit Agreement in connection with the establishment of the New Revolving Commitments and (b) the minimum notice required by Section 2.28(e) of the Credit Agreement in connection with the Revolver Extension to be effected pursuant to this Sixth Amendment.</w:t>
      </w:r>
    </w:p>
    <w:p>
      <w:pPr>
        <w:spacing w:after="0" w:line="359"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u w:val="single" w:color="auto"/>
          <w:color w:val="auto"/>
        </w:rPr>
        <w:t>SECTION THREE -</w:t>
      </w:r>
      <w:r>
        <w:rPr>
          <w:rFonts w:ascii="Arial" w:cs="Arial" w:eastAsia="Arial" w:hAnsi="Arial"/>
          <w:sz w:val="22"/>
          <w:szCs w:val="22"/>
          <w:color w:val="auto"/>
        </w:rPr>
        <w:t xml:space="preserve"> The parties hereto agree that, as of the Sixth Amendment Effective Date (as defined below) and in connection with the Sixth Amendment:</w:t>
      </w:r>
    </w:p>
    <w:p>
      <w:pPr>
        <w:spacing w:after="0" w:line="391" w:lineRule="exact"/>
        <w:rPr>
          <w:sz w:val="20"/>
          <w:szCs w:val="20"/>
          <w:color w:val="auto"/>
        </w:rPr>
      </w:pPr>
    </w:p>
    <w:p>
      <w:pPr>
        <w:jc w:val="both"/>
        <w:ind w:firstLine="1305"/>
        <w:spacing w:after="0" w:line="260" w:lineRule="auto"/>
        <w:tabs>
          <w:tab w:leader="none" w:pos="1871" w:val="left"/>
        </w:tabs>
        <w:numPr>
          <w:ilvl w:val="0"/>
          <w:numId w:val="86"/>
        </w:numPr>
        <w:rPr>
          <w:rFonts w:ascii="Arial" w:cs="Arial" w:eastAsia="Arial" w:hAnsi="Arial"/>
          <w:sz w:val="21"/>
          <w:szCs w:val="21"/>
          <w:color w:val="auto"/>
        </w:rPr>
      </w:pPr>
      <w:r>
        <w:rPr>
          <w:rFonts w:ascii="Arial" w:cs="Arial" w:eastAsia="Arial" w:hAnsi="Arial"/>
          <w:sz w:val="21"/>
          <w:szCs w:val="21"/>
          <w:color w:val="auto"/>
        </w:rPr>
        <w:t>each of Citigroup Global Markets Inc. (“</w:t>
      </w:r>
      <w:r>
        <w:rPr>
          <w:rFonts w:ascii="Arial" w:cs="Arial" w:eastAsia="Arial" w:hAnsi="Arial"/>
          <w:sz w:val="21"/>
          <w:szCs w:val="21"/>
          <w:i w:val="1"/>
          <w:iCs w:val="1"/>
          <w:color w:val="auto"/>
        </w:rPr>
        <w:t>Citi</w:t>
      </w:r>
      <w:r>
        <w:rPr>
          <w:rFonts w:ascii="Arial" w:cs="Arial" w:eastAsia="Arial" w:hAnsi="Arial"/>
          <w:sz w:val="21"/>
          <w:szCs w:val="21"/>
          <w:color w:val="auto"/>
        </w:rPr>
        <w:t>”), Barclays Bank PLC (“</w:t>
      </w:r>
      <w:r>
        <w:rPr>
          <w:rFonts w:ascii="Arial" w:cs="Arial" w:eastAsia="Arial" w:hAnsi="Arial"/>
          <w:sz w:val="21"/>
          <w:szCs w:val="21"/>
          <w:i w:val="1"/>
          <w:iCs w:val="1"/>
          <w:color w:val="auto"/>
        </w:rPr>
        <w:t>Barclays</w:t>
      </w:r>
      <w:r>
        <w:rPr>
          <w:rFonts w:ascii="Arial" w:cs="Arial" w:eastAsia="Arial" w:hAnsi="Arial"/>
          <w:sz w:val="21"/>
          <w:szCs w:val="21"/>
          <w:color w:val="auto"/>
        </w:rPr>
        <w:t>”), Credit Suisse Securities (USA) LLC (“</w:t>
      </w:r>
      <w:r>
        <w:rPr>
          <w:rFonts w:ascii="Arial" w:cs="Arial" w:eastAsia="Arial" w:hAnsi="Arial"/>
          <w:sz w:val="21"/>
          <w:szCs w:val="21"/>
          <w:i w:val="1"/>
          <w:iCs w:val="1"/>
          <w:color w:val="auto"/>
        </w:rPr>
        <w:t>CS Securities</w:t>
      </w:r>
      <w:r>
        <w:rPr>
          <w:rFonts w:ascii="Arial" w:cs="Arial" w:eastAsia="Arial" w:hAnsi="Arial"/>
          <w:sz w:val="21"/>
          <w:szCs w:val="21"/>
          <w:color w:val="auto"/>
        </w:rPr>
        <w:t>”), Deutsche Bank Securities Inc. (“</w:t>
      </w:r>
      <w:r>
        <w:rPr>
          <w:rFonts w:ascii="Arial" w:cs="Arial" w:eastAsia="Arial" w:hAnsi="Arial"/>
          <w:sz w:val="21"/>
          <w:szCs w:val="21"/>
          <w:i w:val="1"/>
          <w:iCs w:val="1"/>
          <w:color w:val="auto"/>
        </w:rPr>
        <w:t>DBSI</w:t>
      </w:r>
      <w:r>
        <w:rPr>
          <w:rFonts w:ascii="Arial" w:cs="Arial" w:eastAsia="Arial" w:hAnsi="Arial"/>
          <w:sz w:val="21"/>
          <w:szCs w:val="21"/>
          <w:color w:val="auto"/>
        </w:rPr>
        <w:t>”), Goldman Sachs Lending Partners LLC (“</w:t>
      </w:r>
      <w:r>
        <w:rPr>
          <w:rFonts w:ascii="Arial" w:cs="Arial" w:eastAsia="Arial" w:hAnsi="Arial"/>
          <w:sz w:val="21"/>
          <w:szCs w:val="21"/>
          <w:i w:val="1"/>
          <w:iCs w:val="1"/>
          <w:color w:val="auto"/>
        </w:rPr>
        <w:t>GSLP</w:t>
      </w:r>
      <w:r>
        <w:rPr>
          <w:rFonts w:ascii="Arial" w:cs="Arial" w:eastAsia="Arial" w:hAnsi="Arial"/>
          <w:sz w:val="21"/>
          <w:szCs w:val="21"/>
          <w:color w:val="auto"/>
        </w:rPr>
        <w:t>”), Industrial and Commercial Bank of China Limited, New York Branch (“</w:t>
      </w:r>
      <w:r>
        <w:rPr>
          <w:rFonts w:ascii="Arial" w:cs="Arial" w:eastAsia="Arial" w:hAnsi="Arial"/>
          <w:sz w:val="21"/>
          <w:szCs w:val="21"/>
          <w:i w:val="1"/>
          <w:iCs w:val="1"/>
          <w:color w:val="auto"/>
        </w:rPr>
        <w:t>ICBC</w:t>
      </w:r>
      <w:r>
        <w:rPr>
          <w:rFonts w:ascii="Arial" w:cs="Arial" w:eastAsia="Arial" w:hAnsi="Arial"/>
          <w:sz w:val="21"/>
          <w:szCs w:val="21"/>
          <w:color w:val="auto"/>
        </w:rPr>
        <w:t>”), JPMorgan Chase Bank, N.A. (“</w:t>
      </w:r>
      <w:r>
        <w:rPr>
          <w:rFonts w:ascii="Arial" w:cs="Arial" w:eastAsia="Arial" w:hAnsi="Arial"/>
          <w:sz w:val="21"/>
          <w:szCs w:val="21"/>
          <w:i w:val="1"/>
          <w:iCs w:val="1"/>
          <w:color w:val="auto"/>
        </w:rPr>
        <w:t>JPMCB</w:t>
      </w:r>
      <w:r>
        <w:rPr>
          <w:rFonts w:ascii="Arial" w:cs="Arial" w:eastAsia="Arial" w:hAnsi="Arial"/>
          <w:sz w:val="21"/>
          <w:szCs w:val="21"/>
          <w:color w:val="auto"/>
        </w:rPr>
        <w:t>”), Merrill Lynch, Pierce, Fenner &amp; Smith Incorporated (“</w:t>
      </w:r>
      <w:r>
        <w:rPr>
          <w:rFonts w:ascii="Arial" w:cs="Arial" w:eastAsia="Arial" w:hAnsi="Arial"/>
          <w:sz w:val="21"/>
          <w:szCs w:val="21"/>
          <w:i w:val="1"/>
          <w:iCs w:val="1"/>
          <w:color w:val="auto"/>
        </w:rPr>
        <w:t>ML</w:t>
      </w:r>
      <w:r>
        <w:rPr>
          <w:rFonts w:ascii="Arial" w:cs="Arial" w:eastAsia="Arial" w:hAnsi="Arial"/>
          <w:sz w:val="21"/>
          <w:szCs w:val="21"/>
          <w:color w:val="auto"/>
        </w:rPr>
        <w:t>”), Morgan Stanley Senior Funding, Inc. (“</w:t>
      </w:r>
      <w:r>
        <w:rPr>
          <w:rFonts w:ascii="Arial" w:cs="Arial" w:eastAsia="Arial" w:hAnsi="Arial"/>
          <w:sz w:val="21"/>
          <w:szCs w:val="21"/>
          <w:i w:val="1"/>
          <w:iCs w:val="1"/>
          <w:color w:val="auto"/>
        </w:rPr>
        <w:t>MS</w:t>
      </w:r>
      <w:r>
        <w:rPr>
          <w:rFonts w:ascii="Arial" w:cs="Arial" w:eastAsia="Arial" w:hAnsi="Arial"/>
          <w:sz w:val="21"/>
          <w:szCs w:val="21"/>
          <w:color w:val="auto"/>
        </w:rPr>
        <w:t>”), Sumitomo Mitsui Banking Corporation (“</w:t>
      </w:r>
      <w:r>
        <w:rPr>
          <w:rFonts w:ascii="Arial" w:cs="Arial" w:eastAsia="Arial" w:hAnsi="Arial"/>
          <w:sz w:val="21"/>
          <w:szCs w:val="21"/>
          <w:i w:val="1"/>
          <w:iCs w:val="1"/>
          <w:color w:val="auto"/>
        </w:rPr>
        <w:t>SMBC</w:t>
      </w:r>
      <w:r>
        <w:rPr>
          <w:rFonts w:ascii="Arial" w:cs="Arial" w:eastAsia="Arial" w:hAnsi="Arial"/>
          <w:sz w:val="21"/>
          <w:szCs w:val="21"/>
          <w:color w:val="auto"/>
        </w:rPr>
        <w:t>”), BNP Paribas Securities Corp. (“</w:t>
      </w:r>
      <w:r>
        <w:rPr>
          <w:rFonts w:ascii="Arial" w:cs="Arial" w:eastAsia="Arial" w:hAnsi="Arial"/>
          <w:sz w:val="21"/>
          <w:szCs w:val="21"/>
          <w:i w:val="1"/>
          <w:iCs w:val="1"/>
          <w:color w:val="auto"/>
        </w:rPr>
        <w:t>BNP Securities</w:t>
      </w:r>
      <w:r>
        <w:rPr>
          <w:rFonts w:ascii="Arial" w:cs="Arial" w:eastAsia="Arial" w:hAnsi="Arial"/>
          <w:sz w:val="21"/>
          <w:szCs w:val="21"/>
          <w:color w:val="auto"/>
        </w:rPr>
        <w:t>”), Credit Agricole Corporate and Investment Bank (“</w:t>
      </w:r>
      <w:r>
        <w:rPr>
          <w:rFonts w:ascii="Arial" w:cs="Arial" w:eastAsia="Arial" w:hAnsi="Arial"/>
          <w:sz w:val="21"/>
          <w:szCs w:val="21"/>
          <w:i w:val="1"/>
          <w:iCs w:val="1"/>
          <w:color w:val="auto"/>
        </w:rPr>
        <w:t>CA-CIB</w:t>
      </w:r>
      <w:r>
        <w:rPr>
          <w:rFonts w:ascii="Arial" w:cs="Arial" w:eastAsia="Arial" w:hAnsi="Arial"/>
          <w:sz w:val="21"/>
          <w:szCs w:val="21"/>
          <w:color w:val="auto"/>
        </w:rPr>
        <w:t>”), HSBC, MUFG, Standard Chartered Bank (“</w:t>
      </w:r>
      <w:r>
        <w:rPr>
          <w:rFonts w:ascii="Arial" w:cs="Arial" w:eastAsia="Arial" w:hAnsi="Arial"/>
          <w:sz w:val="21"/>
          <w:szCs w:val="21"/>
          <w:i w:val="1"/>
          <w:iCs w:val="1"/>
          <w:color w:val="auto"/>
        </w:rPr>
        <w:t>SCB</w:t>
      </w:r>
      <w:r>
        <w:rPr>
          <w:rFonts w:ascii="Arial" w:cs="Arial" w:eastAsia="Arial" w:hAnsi="Arial"/>
          <w:sz w:val="21"/>
          <w:szCs w:val="21"/>
          <w:color w:val="auto"/>
        </w:rPr>
        <w:t>”), U.S. Bank National Association (“</w:t>
      </w:r>
      <w:r>
        <w:rPr>
          <w:rFonts w:ascii="Arial" w:cs="Arial" w:eastAsia="Arial" w:hAnsi="Arial"/>
          <w:sz w:val="21"/>
          <w:szCs w:val="21"/>
          <w:i w:val="1"/>
          <w:iCs w:val="1"/>
          <w:color w:val="auto"/>
        </w:rPr>
        <w:t>US Bank</w:t>
      </w:r>
      <w:r>
        <w:rPr>
          <w:rFonts w:ascii="Arial" w:cs="Arial" w:eastAsia="Arial" w:hAnsi="Arial"/>
          <w:sz w:val="21"/>
          <w:szCs w:val="21"/>
          <w:color w:val="auto"/>
        </w:rPr>
        <w:t>”), and BoT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designated as, and perform the roles associated with, a joint lead arranger and bookrunner;</w:t>
      </w:r>
    </w:p>
    <w:p>
      <w:pPr>
        <w:spacing w:after="0" w:line="397" w:lineRule="exact"/>
        <w:rPr>
          <w:rFonts w:ascii="Arial" w:cs="Arial" w:eastAsia="Arial" w:hAnsi="Arial"/>
          <w:sz w:val="21"/>
          <w:szCs w:val="21"/>
          <w:color w:val="auto"/>
        </w:rPr>
      </w:pPr>
    </w:p>
    <w:p>
      <w:pPr>
        <w:ind w:firstLine="1305"/>
        <w:spacing w:after="0" w:line="263" w:lineRule="auto"/>
        <w:tabs>
          <w:tab w:leader="none" w:pos="1827" w:val="left"/>
        </w:tabs>
        <w:numPr>
          <w:ilvl w:val="0"/>
          <w:numId w:val="86"/>
        </w:numPr>
        <w:rPr>
          <w:rFonts w:ascii="Arial" w:cs="Arial" w:eastAsia="Arial" w:hAnsi="Arial"/>
          <w:sz w:val="22"/>
          <w:szCs w:val="22"/>
          <w:color w:val="auto"/>
        </w:rPr>
      </w:pPr>
      <w:r>
        <w:rPr>
          <w:rFonts w:ascii="Arial" w:cs="Arial" w:eastAsia="Arial" w:hAnsi="Arial"/>
          <w:sz w:val="22"/>
          <w:szCs w:val="22"/>
          <w:color w:val="auto"/>
        </w:rPr>
        <w:t>each of Citi, Barclays, CS Securities, DBSI, GSLP, ICBC, JPMCB, Bank of America, N.A., MS and SMBC shall be designated as, and perform the roles associated with, a syndication agent; and</w:t>
      </w:r>
    </w:p>
    <w:p>
      <w:pPr>
        <w:spacing w:after="0" w:line="390" w:lineRule="exact"/>
        <w:rPr>
          <w:rFonts w:ascii="Arial" w:cs="Arial" w:eastAsia="Arial" w:hAnsi="Arial"/>
          <w:sz w:val="22"/>
          <w:szCs w:val="22"/>
          <w:color w:val="auto"/>
        </w:rPr>
      </w:pPr>
    </w:p>
    <w:p>
      <w:pPr>
        <w:ind w:firstLine="1305"/>
        <w:spacing w:after="0" w:line="263" w:lineRule="auto"/>
        <w:tabs>
          <w:tab w:leader="none" w:pos="1758" w:val="left"/>
        </w:tabs>
        <w:numPr>
          <w:ilvl w:val="0"/>
          <w:numId w:val="86"/>
        </w:numPr>
        <w:rPr>
          <w:rFonts w:ascii="Arial" w:cs="Arial" w:eastAsia="Arial" w:hAnsi="Arial"/>
          <w:sz w:val="22"/>
          <w:szCs w:val="22"/>
          <w:color w:val="auto"/>
        </w:rPr>
      </w:pPr>
      <w:r>
        <w:rPr>
          <w:rFonts w:ascii="Arial" w:cs="Arial" w:eastAsia="Arial" w:hAnsi="Arial"/>
          <w:sz w:val="22"/>
          <w:szCs w:val="22"/>
          <w:color w:val="auto"/>
        </w:rPr>
        <w:t>each of BNP Securities, CA-CIB, HSBC, MUFG, SCB, US Bank, and BoT shall be designated as, and perform the roles associated with, a documentation agent.</w:t>
      </w:r>
    </w:p>
    <w:p>
      <w:pPr>
        <w:spacing w:after="0" w:line="39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SECTION FOUR - Conditions to Effectiveness</w:t>
      </w:r>
      <w:r>
        <w:rPr>
          <w:rFonts w:ascii="Arial" w:cs="Arial" w:eastAsia="Arial" w:hAnsi="Arial"/>
          <w:sz w:val="22"/>
          <w:szCs w:val="22"/>
          <w:color w:val="auto"/>
        </w:rPr>
        <w:t>. The provisions of Sections One and Two of this Sixth Amendment shall become effective on the date (the “</w:t>
      </w:r>
      <w:r>
        <w:rPr>
          <w:rFonts w:ascii="Arial" w:cs="Arial" w:eastAsia="Arial" w:hAnsi="Arial"/>
          <w:sz w:val="22"/>
          <w:szCs w:val="22"/>
          <w:i w:val="1"/>
          <w:iCs w:val="1"/>
          <w:color w:val="auto"/>
        </w:rPr>
        <w:t>Sixth Amendment Effective Date</w:t>
      </w:r>
      <w:r>
        <w:rPr>
          <w:rFonts w:ascii="Arial" w:cs="Arial" w:eastAsia="Arial" w:hAnsi="Arial"/>
          <w:sz w:val="22"/>
          <w:szCs w:val="22"/>
          <w:color w:val="auto"/>
        </w:rPr>
        <w:t>”) when each of the following conditions specified below shall have been satisfied:</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54" w:lineRule="auto"/>
        <w:tabs>
          <w:tab w:leader="none" w:pos="1865"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Borrower, the Guarantor, the Administrative Agent, each Issuing Lender, each Consenting Revolving Lender and each New Revolving Lender shall have signed a counterpart hereof (whether the same or different counterparts) and the Borrower and the Collateral Agent shall have signed an SGR Security Agreement Supplement in form and substance satisfactory to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208" w:name="page209"/>
    <w:bookmarkEnd w:id="208"/>
    <w:p>
      <w:pPr>
        <w:jc w:val="both"/>
        <w:spacing w:after="0" w:line="312" w:lineRule="auto"/>
        <w:rPr>
          <w:sz w:val="20"/>
          <w:szCs w:val="20"/>
          <w:color w:val="auto"/>
        </w:rPr>
      </w:pPr>
      <w:r>
        <w:rPr>
          <w:rFonts w:ascii="Arial" w:cs="Arial" w:eastAsia="Arial" w:hAnsi="Arial"/>
          <w:sz w:val="19"/>
          <w:szCs w:val="19"/>
          <w:color w:val="auto"/>
        </w:rPr>
        <w:t>Borrower, the Collateral Agent and the Administrative Agent with respect to the Borrower’s scheduled services between any airport in the United States and such other airports in addition to LHR located in the European Union, and in each case shall have delivered the same to Milbank, Tweed, Hadley &amp; McCloy LLP, 28 Liberty Street, New York, NY 10005, attention: Zara Shirazi;</w:t>
      </w:r>
    </w:p>
    <w:p>
      <w:pPr>
        <w:spacing w:after="0" w:line="350" w:lineRule="exact"/>
        <w:rPr>
          <w:sz w:val="20"/>
          <w:szCs w:val="20"/>
          <w:color w:val="auto"/>
        </w:rPr>
      </w:pPr>
    </w:p>
    <w:p>
      <w:pPr>
        <w:jc w:val="both"/>
        <w:ind w:firstLine="1305"/>
        <w:spacing w:after="0" w:line="264" w:lineRule="auto"/>
        <w:tabs>
          <w:tab w:leader="none" w:pos="1958" w:val="left"/>
        </w:tabs>
        <w:numPr>
          <w:ilvl w:val="0"/>
          <w:numId w:val="88"/>
        </w:numPr>
        <w:rPr>
          <w:rFonts w:ascii="Arial" w:cs="Arial" w:eastAsia="Arial" w:hAnsi="Arial"/>
          <w:sz w:val="21"/>
          <w:szCs w:val="21"/>
          <w:color w:val="auto"/>
        </w:rPr>
      </w:pPr>
      <w:r>
        <w:rPr>
          <w:rFonts w:ascii="Arial" w:cs="Arial" w:eastAsia="Arial" w:hAnsi="Arial"/>
          <w:sz w:val="21"/>
          <w:szCs w:val="21"/>
          <w:color w:val="auto"/>
        </w:rPr>
        <w:t>all reasonable invoiced out-of-pocket expenses incurred by the Extending Revolving Lenders and the Administrative Agent pursuant to Section 10.04 of the Credit Agreement (including the reasonable and documented fees, charges and disbursements of counsel) and all accrued and unpaid fees (other than the Commitment Fee, which shall be payable in accordance with the Credit Agreement), owing and payable (including any fees agreed to in connection with this Sixth Amendment) shall have been paid to the extent invoiced at least two (2) Business Days prior to the Sixth Amendment Effective Date (or such shorter period as may be agreed by the Borrower);</w:t>
      </w:r>
    </w:p>
    <w:p>
      <w:pPr>
        <w:spacing w:after="0" w:line="391" w:lineRule="exact"/>
        <w:rPr>
          <w:rFonts w:ascii="Arial" w:cs="Arial" w:eastAsia="Arial" w:hAnsi="Arial"/>
          <w:sz w:val="21"/>
          <w:szCs w:val="21"/>
          <w:color w:val="auto"/>
        </w:rPr>
      </w:pPr>
    </w:p>
    <w:p>
      <w:pPr>
        <w:jc w:val="both"/>
        <w:ind w:firstLine="1305"/>
        <w:spacing w:after="0" w:line="260" w:lineRule="auto"/>
        <w:tabs>
          <w:tab w:leader="none" w:pos="1716"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Borrower shall have paid (or caused to be paid), for the account of each Extending Revolving Lender, a one time, non-refundable fee equal to the amount set forth in that certain Extending Revolving Lenders’ fee letter, among the Extending Revolving Lenders and the Borrower, dated as of the Sixth Amendment Effective Date;</w:t>
      </w:r>
    </w:p>
    <w:p>
      <w:pPr>
        <w:spacing w:after="0" w:line="393"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of Latham &amp; Watkins LLP, special counsel for Parent, the Borrower and the Guarantor addressed to the Administrative Agent and the Extending Revolving Lenders party hereto, and dated the Sixth Amendment Effective Date;</w:t>
      </w:r>
    </w:p>
    <w:p>
      <w:pPr>
        <w:spacing w:after="0" w:line="393" w:lineRule="exact"/>
        <w:rPr>
          <w:rFonts w:ascii="Arial" w:cs="Arial" w:eastAsia="Arial" w:hAnsi="Arial"/>
          <w:sz w:val="22"/>
          <w:szCs w:val="22"/>
          <w:color w:val="auto"/>
        </w:rPr>
      </w:pPr>
    </w:p>
    <w:p>
      <w:pPr>
        <w:jc w:val="both"/>
        <w:ind w:firstLine="1305"/>
        <w:spacing w:after="0" w:line="254" w:lineRule="auto"/>
        <w:tabs>
          <w:tab w:leader="none" w:pos="1865"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Borrower shall have paid to the Administrative Agent (for the account of the Consenting Revolving Lenders) all fees and interest accrued pursuant to Sections 2.07, 2.15, 2.16 and 2.21 of the Credit Agreement in respect of the Revolving Facility to, and including, the Sixth Amendment Effective Date, whether or not then due and payable under the terms of the Credit Agreement;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firstLine="1305"/>
        <w:spacing w:after="0" w:line="320" w:lineRule="auto"/>
        <w:tabs>
          <w:tab w:leader="none" w:pos="1692"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condition to the Revolving Extension effected pursuant to this Sixth Amendment set forth in Section 2.28(b) and 2.28(c) of the Credit Agreement shall have been satisfied and the conditions to the establishment of the New Revolving Commitments pursuant to this Sixth Amendment set forth in Section 2.27(b) of the Credit Agreement shall have been satisfied;</w:t>
      </w:r>
    </w:p>
    <w:p>
      <w:pPr>
        <w:spacing w:after="0" w:line="341" w:lineRule="exact"/>
        <w:rPr>
          <w:rFonts w:ascii="Arial" w:cs="Arial" w:eastAsia="Arial" w:hAnsi="Arial"/>
          <w:sz w:val="19"/>
          <w:szCs w:val="19"/>
          <w:color w:val="auto"/>
        </w:rPr>
      </w:pPr>
    </w:p>
    <w:p>
      <w:pPr>
        <w:jc w:val="both"/>
        <w:ind w:firstLine="1305"/>
        <w:spacing w:after="0" w:line="260" w:lineRule="auto"/>
        <w:tabs>
          <w:tab w:leader="none" w:pos="1796"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certificate of the Secretary or Assistant Secretary (or similar Responsible Officer), dated the Sixth Amendment Effective Date (i) certifying as to the incumbency and specimen signature of each Responsible Officer of the Borrower and the Guarantor executing this Sixth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21"/>
          <w:szCs w:val="21"/>
          <w:u w:val="single" w:color="auto"/>
          <w:color w:val="auto"/>
        </w:rPr>
        <w:t>clause (g)</w:t>
      </w:r>
      <w:r>
        <w:rPr>
          <w:rFonts w:ascii="Arial" w:cs="Arial" w:eastAsia="Arial" w:hAnsi="Arial"/>
          <w:sz w:val="21"/>
          <w:szCs w:val="21"/>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Sixth Amendment and (iv) attaching a certificate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209" w:name="page210"/>
    <w:bookmarkEnd w:id="209"/>
    <w:p>
      <w:pPr>
        <w:spacing w:after="0" w:line="263" w:lineRule="auto"/>
        <w:rPr>
          <w:sz w:val="20"/>
          <w:szCs w:val="20"/>
          <w:color w:val="auto"/>
        </w:rPr>
      </w:pPr>
      <w:r>
        <w:rPr>
          <w:rFonts w:ascii="Arial" w:cs="Arial" w:eastAsia="Arial" w:hAnsi="Arial"/>
          <w:sz w:val="22"/>
          <w:szCs w:val="22"/>
          <w:color w:val="auto"/>
        </w:rPr>
        <w:t>of good standing for the Borrower and the Guarantor of the state of such entity’s incorporation or formation, dated as of a recent date, as to the good standing of that entity (to the extent available in the applicable jurisdiction);</w:t>
      </w:r>
    </w:p>
    <w:p>
      <w:pPr>
        <w:spacing w:after="0" w:line="391" w:lineRule="exact"/>
        <w:rPr>
          <w:sz w:val="20"/>
          <w:szCs w:val="20"/>
          <w:color w:val="auto"/>
        </w:rPr>
      </w:pPr>
    </w:p>
    <w:p>
      <w:pPr>
        <w:jc w:val="both"/>
        <w:ind w:firstLine="1305"/>
        <w:spacing w:after="0" w:line="266" w:lineRule="auto"/>
        <w:tabs>
          <w:tab w:leader="none" w:pos="1756"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evidence that the Fifth Amendment to that certain Amended and Restated Credit and Guaranty Agreement dated the date hereof, among, </w:t>
      </w:r>
      <w:r>
        <w:rPr>
          <w:rFonts w:ascii="Arial" w:cs="Arial" w:eastAsia="Arial" w:hAnsi="Arial"/>
          <w:sz w:val="21"/>
          <w:szCs w:val="21"/>
          <w:i w:val="1"/>
          <w:iCs w:val="1"/>
          <w:color w:val="auto"/>
        </w:rPr>
        <w:t>inter alios</w:t>
      </w:r>
      <w:r>
        <w:rPr>
          <w:rFonts w:ascii="Arial" w:cs="Arial" w:eastAsia="Arial" w:hAnsi="Arial"/>
          <w:sz w:val="21"/>
          <w:szCs w:val="21"/>
          <w:color w:val="auto"/>
        </w:rPr>
        <w:t xml:space="preserve">, the Borrower and Deutsche Bank AG New York Branch as administrative agent and the Fourth Amendment to that certain Credit and Guaranty Agreement, dated as of the date hereof, among, </w:t>
      </w:r>
      <w:r>
        <w:rPr>
          <w:rFonts w:ascii="Arial" w:cs="Arial" w:eastAsia="Arial" w:hAnsi="Arial"/>
          <w:sz w:val="21"/>
          <w:szCs w:val="21"/>
          <w:i w:val="1"/>
          <w:iCs w:val="1"/>
          <w:color w:val="auto"/>
        </w:rPr>
        <w:t>inter alios</w:t>
      </w:r>
      <w:r>
        <w:rPr>
          <w:rFonts w:ascii="Arial" w:cs="Arial" w:eastAsia="Arial" w:hAnsi="Arial"/>
          <w:sz w:val="21"/>
          <w:szCs w:val="21"/>
          <w:color w:val="auto"/>
        </w:rPr>
        <w:t>, the Borrower and Barclays Bank PLC as administrative agent have, or will contemporaneously with the Sixth Amendment Effective Date, become effective; and</w:t>
      </w:r>
    </w:p>
    <w:p>
      <w:pPr>
        <w:spacing w:after="0" w:line="390" w:lineRule="exact"/>
        <w:rPr>
          <w:rFonts w:ascii="Arial" w:cs="Arial" w:eastAsia="Arial" w:hAnsi="Arial"/>
          <w:sz w:val="21"/>
          <w:szCs w:val="21"/>
          <w:color w:val="auto"/>
        </w:rPr>
      </w:pPr>
    </w:p>
    <w:p>
      <w:pPr>
        <w:jc w:val="both"/>
        <w:ind w:firstLine="1305"/>
        <w:spacing w:after="0" w:line="287" w:lineRule="auto"/>
        <w:tabs>
          <w:tab w:leader="none" w:pos="1775"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provided, further, that for purposes of this clause (i), the representations and warranties contained in (i) Section 3.04(a) of the Credit Agreement shall be deemed to refer to Parent’s Annual Report on Form 10-K for 2017 filed with the SEC (as amended) and all Quarterly Reports on Form 10-Q or Current Reports on Form 8-K that have been filed since December 31, 2017 by Parent with the SEC (as amended) and (ii) Section 3.05(a) of the Credit Agreement shall be deemed to refer to the audited consolidated financial statements of Parent and its Subsidiaries for the fiscal year ended December 31, 2017, included in Parent’s Annual Report on Form 10-K for 2017 filed with the SEC (as amended) and the unaudited consolidated financial statements of Parent and its Subsidiaries for the fiscal quarters ended March 31, 2018, June 30, 2018 and September 30, 2018, and (B) as to the absence of any event occurring and continuing, or resulting from this Sixth Amendment on, the Sixth Amendment Effective Date, that constitutes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u w:val="single" w:color="auto"/>
          <w:color w:val="auto"/>
        </w:rPr>
        <w:t>SECTION FIVE - No Default; Representations and Warranties</w:t>
      </w:r>
      <w:r>
        <w:rPr>
          <w:rFonts w:ascii="Arial" w:cs="Arial" w:eastAsia="Arial" w:hAnsi="Arial"/>
          <w:sz w:val="21"/>
          <w:szCs w:val="21"/>
          <w:color w:val="auto"/>
        </w:rPr>
        <w:t xml:space="preserve">. In order to induce the Extending Revolving Lenders and the Administrative Agent to enter into this Sixth Amendment, the Borrower represents and warrants to each of the Extending Revolving Lenders and the Administrative Agent that, on and as of the date hereof after giving effect to this Sixth Amendment, (i) no Default or Event of Default has occurred and is continuing or would result from giving effect to this Sixth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21"/>
          <w:szCs w:val="21"/>
          <w:u w:val="single" w:color="auto"/>
          <w:color w:val="auto"/>
        </w:rPr>
        <w:t>provided</w:t>
      </w:r>
      <w:r>
        <w:rPr>
          <w:rFonts w:ascii="Arial" w:cs="Arial" w:eastAsia="Arial" w:hAnsi="Arial"/>
          <w:sz w:val="21"/>
          <w:szCs w:val="21"/>
          <w:color w:val="auto"/>
        </w:rPr>
        <w:t>, that any representation or warranty that is qualified by materiality (it being understood that any representation or warranty that excludes circumstances that would not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210" w:name="page211"/>
    <w:bookmarkEnd w:id="210"/>
    <w:p>
      <w:pPr>
        <w:jc w:val="both"/>
        <w:spacing w:after="0" w:line="289" w:lineRule="auto"/>
        <w:rPr>
          <w:sz w:val="20"/>
          <w:szCs w:val="20"/>
          <w:color w:val="auto"/>
        </w:rPr>
      </w:pPr>
      <w:r>
        <w:rPr>
          <w:rFonts w:ascii="Arial" w:cs="Arial" w:eastAsia="Arial" w:hAnsi="Arial"/>
          <w:sz w:val="19"/>
          <w:szCs w:val="19"/>
          <w:color w:val="auto"/>
        </w:rPr>
        <w:t xml:space="preserve">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Section Five, the representations and warranties contained in (i) Section 3.04(a) of the Credit Agreement shall be deemed to refer to Parent’s Annual Report on Form 10-K for 2017 filed with the SEC (as amended) and all Quarterly Reports on Form 10-Q or Current Reports on Form 8-K that have been filed since December 31, 2017 by Parent with the SEC (as amended) and (ii) Section 3.05(a) of the Credit Agreement shall be deemed to refer to the audited consolidated financial statements of Parent and its Subsidiaries for the fiscal year ended December 31, 2017, included in Parent’s Annual Report on Form 10-K for 2017 filed with the SEC (as amended) and the unaudited consolidated financial statements of Parent and its Subsidiaries for the fiscal quarters ended March 31, 2018, June 30, 2018 and September 30, 2018.</w:t>
      </w:r>
    </w:p>
    <w:p>
      <w:pPr>
        <w:spacing w:after="0" w:line="374" w:lineRule="exact"/>
        <w:rPr>
          <w:sz w:val="20"/>
          <w:szCs w:val="20"/>
          <w:color w:val="auto"/>
        </w:rPr>
      </w:pPr>
    </w:p>
    <w:p>
      <w:pPr>
        <w:jc w:val="both"/>
        <w:ind w:left="80" w:firstLine="1297"/>
        <w:spacing w:after="0" w:line="260" w:lineRule="auto"/>
        <w:rPr>
          <w:sz w:val="20"/>
          <w:szCs w:val="20"/>
          <w:color w:val="auto"/>
        </w:rPr>
      </w:pPr>
      <w:r>
        <w:rPr>
          <w:rFonts w:ascii="Arial" w:cs="Arial" w:eastAsia="Arial" w:hAnsi="Arial"/>
          <w:sz w:val="21"/>
          <w:szCs w:val="21"/>
          <w:u w:val="single" w:color="auto"/>
          <w:color w:val="auto"/>
        </w:rPr>
        <w:t>SECTION SIX - Confirmation</w:t>
      </w:r>
      <w:r>
        <w:rPr>
          <w:rFonts w:ascii="Arial" w:cs="Arial" w:eastAsia="Arial" w:hAnsi="Arial"/>
          <w:sz w:val="21"/>
          <w:szCs w:val="21"/>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increased and extended pursuant to this Sixth Amendment) and all obligations of the Guarantor with respect of the guarantee of such obligations, respectively, and (ii) reaffirm the grant of Liens on the Collateral to secure the Obligations (as extended and increased pursuant to this Sixth Amendment) pursuant to the Collateral Documents.</w:t>
      </w:r>
    </w:p>
    <w:p>
      <w:pPr>
        <w:spacing w:after="0" w:line="397" w:lineRule="exact"/>
        <w:rPr>
          <w:sz w:val="20"/>
          <w:szCs w:val="20"/>
          <w:color w:val="auto"/>
        </w:rPr>
      </w:pPr>
    </w:p>
    <w:p>
      <w:pPr>
        <w:jc w:val="both"/>
        <w:ind w:left="80" w:firstLine="1297"/>
        <w:spacing w:after="0" w:line="289" w:lineRule="auto"/>
        <w:rPr>
          <w:sz w:val="20"/>
          <w:szCs w:val="20"/>
          <w:color w:val="auto"/>
        </w:rPr>
      </w:pPr>
      <w:r>
        <w:rPr>
          <w:rFonts w:ascii="Arial" w:cs="Arial" w:eastAsia="Arial" w:hAnsi="Arial"/>
          <w:sz w:val="19"/>
          <w:szCs w:val="19"/>
          <w:u w:val="single" w:color="auto"/>
          <w:color w:val="auto"/>
        </w:rPr>
        <w:t>SECTION SEVEN - Reference to and Effect on the Credit Agreement</w:t>
      </w:r>
      <w:r>
        <w:rPr>
          <w:rFonts w:ascii="Arial" w:cs="Arial" w:eastAsia="Arial" w:hAnsi="Arial"/>
          <w:sz w:val="19"/>
          <w:szCs w:val="19"/>
          <w:color w:val="auto"/>
        </w:rPr>
        <w:t>. On and after the Sixth Amendment Effective Date, each reference in the Credit Agreement to “this Agreement,” “hereunder,” “hereof” or words of like import referring to the Credit Agreement, shall mean and be a reference to the Credit Agreement as amended by this Sixth Amendment. The Credit Agreement and each of the other Loan Documents, as specifically amended by this Sixth Amendment, are and shall continue to be in full force and effect and are hereby in all respects ratified and confirmed. This Sixth Amendment shall be deemed to be a “Loan Document” for all purposes of the Credit Agreement (as amended hereby) and the other Loan Documents. The execution, delivery and effectiveness of this Sixth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374" w:lineRule="exact"/>
        <w:rPr>
          <w:sz w:val="20"/>
          <w:szCs w:val="20"/>
          <w:color w:val="auto"/>
        </w:rPr>
      </w:pPr>
    </w:p>
    <w:p>
      <w:pPr>
        <w:jc w:val="both"/>
        <w:ind w:left="80" w:firstLine="1297"/>
        <w:spacing w:after="0" w:line="297" w:lineRule="auto"/>
        <w:rPr>
          <w:sz w:val="20"/>
          <w:szCs w:val="20"/>
          <w:color w:val="auto"/>
        </w:rPr>
      </w:pPr>
      <w:r>
        <w:rPr>
          <w:rFonts w:ascii="Arial" w:cs="Arial" w:eastAsia="Arial" w:hAnsi="Arial"/>
          <w:sz w:val="19"/>
          <w:szCs w:val="19"/>
          <w:u w:val="single" w:color="auto"/>
          <w:color w:val="auto"/>
        </w:rPr>
        <w:t>SECTION EIGHT - Execution in Counterparts</w:t>
      </w:r>
      <w:r>
        <w:rPr>
          <w:rFonts w:ascii="Arial" w:cs="Arial" w:eastAsia="Arial" w:hAnsi="Arial"/>
          <w:sz w:val="19"/>
          <w:szCs w:val="19"/>
          <w:color w:val="auto"/>
        </w:rPr>
        <w:t>. This Sixth Amendment may be executed in counterparts (and by different parties hereto on different counterparts), each of which shall constitute an original, but all of which when taken together shall constitute a single contract. This Sixth Amendment shall be binding upon and inure to the benefit of the parties hereto and their respective successors and assigns. Delivery of an executed counterpart of a signature page of this Sixth Amendment by facsimile or electronic .pdf copy shall be effective as delivery of a manually executed counterpart of this Sixth Amendment.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211" w:name="page212"/>
    <w:bookmarkEnd w:id="211"/>
    <w:p>
      <w:pPr>
        <w:jc w:val="both"/>
        <w:ind w:left="80" w:firstLine="1297"/>
        <w:spacing w:after="0" w:line="253" w:lineRule="auto"/>
        <w:rPr>
          <w:sz w:val="20"/>
          <w:szCs w:val="20"/>
          <w:color w:val="auto"/>
        </w:rPr>
      </w:pPr>
      <w:r>
        <w:rPr>
          <w:rFonts w:ascii="Arial" w:cs="Arial" w:eastAsia="Arial" w:hAnsi="Arial"/>
          <w:sz w:val="22"/>
          <w:szCs w:val="22"/>
          <w:u w:val="single" w:color="auto"/>
          <w:color w:val="auto"/>
        </w:rPr>
        <w:t>SECTION NINE - Governing Law</w:t>
      </w:r>
      <w:r>
        <w:rPr>
          <w:rFonts w:ascii="Arial" w:cs="Arial" w:eastAsia="Arial" w:hAnsi="Arial"/>
          <w:sz w:val="22"/>
          <w:szCs w:val="22"/>
          <w:color w:val="auto"/>
        </w:rPr>
        <w:t>. THIS SIXTH AMENDMENT AND THE RIGHTS AND OBLIGATIONS OF THE PARTIES UNDER THIS SIXTH AMENDMENT SHALL BE GOVERNED BY, AND CONSTRUED AND INTERPRETED IN ACCORDANCE WITH, THE LAWS OF THE STATE OF NEW YORK.</w:t>
      </w:r>
    </w:p>
    <w:p>
      <w:pPr>
        <w:spacing w:after="0" w:line="200" w:lineRule="exact"/>
        <w:rPr>
          <w:sz w:val="20"/>
          <w:szCs w:val="20"/>
          <w:color w:val="auto"/>
        </w:rPr>
      </w:pPr>
    </w:p>
    <w:p>
      <w:pPr>
        <w:spacing w:after="0" w:line="202" w:lineRule="exact"/>
        <w:rPr>
          <w:sz w:val="20"/>
          <w:szCs w:val="20"/>
          <w:color w:val="auto"/>
        </w:rPr>
      </w:pPr>
    </w:p>
    <w:p>
      <w:pPr>
        <w:jc w:val="both"/>
        <w:ind w:left="80" w:firstLine="1297"/>
        <w:spacing w:after="0" w:line="253" w:lineRule="auto"/>
        <w:rPr>
          <w:sz w:val="20"/>
          <w:szCs w:val="20"/>
          <w:color w:val="auto"/>
        </w:rPr>
      </w:pPr>
      <w:r>
        <w:rPr>
          <w:rFonts w:ascii="Arial" w:cs="Arial" w:eastAsia="Arial" w:hAnsi="Arial"/>
          <w:sz w:val="22"/>
          <w:szCs w:val="22"/>
          <w:u w:val="single" w:color="auto"/>
          <w:color w:val="auto"/>
        </w:rPr>
        <w:t>SECTION TEN - Miscellaneous</w:t>
      </w:r>
      <w:r>
        <w:rPr>
          <w:rFonts w:ascii="Arial" w:cs="Arial" w:eastAsia="Arial" w:hAnsi="Arial"/>
          <w:sz w:val="22"/>
          <w:szCs w:val="22"/>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50" w:lineRule="auto"/>
        <w:tabs>
          <w:tab w:leader="none" w:pos="1765" w:val="left"/>
        </w:tabs>
        <w:numPr>
          <w:ilvl w:val="0"/>
          <w:numId w:val="90"/>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this Sixth Amendment, the Borrower and the Administrative Agent shall treat (and the Lenders party hereto hereby authorize the Administrative Agent to treat) the Revolving Facility as not qualifying as a “grandfathered obligation” within the meaning of Treasury Regulation Section 1.1471-2(b)(2)(i).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IS LEFT BLANK INTENTIONALLY]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1" w:right="239" w:bottom="1440" w:gutter="0" w:footer="0" w:header="0"/>
        </w:sectPr>
      </w:pPr>
    </w:p>
    <w:bookmarkStart w:id="212" w:name="page213"/>
    <w:bookmarkEnd w:id="212"/>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Sixth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830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23">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Thomas T. Weir</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 as Parent and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830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2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Thomas T. Weir</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Sixth Amendment to Amended and Restated Credit and Guaranty Agreement (LHR)</w:t>
      </w:r>
    </w:p>
    <w:p>
      <w:pPr>
        <w:sectPr>
          <w:pgSz w:w="11900" w:h="16838" w:orient="portrait"/>
          <w:cols w:equalWidth="0" w:num="1">
            <w:col w:w="11420"/>
          </w:cols>
          <w:pgMar w:left="240" w:top="591" w:right="239" w:bottom="1440" w:gutter="0" w:footer="0" w:header="0"/>
        </w:sectPr>
      </w:pPr>
    </w:p>
    <w:bookmarkStart w:id="213" w:name="page214"/>
    <w:bookmarkEnd w:id="213"/>
    <w:p>
      <w:pPr>
        <w:ind w:left="2700"/>
        <w:spacing w:after="0"/>
        <w:rPr>
          <w:sz w:val="20"/>
          <w:szCs w:val="20"/>
          <w:color w:val="auto"/>
        </w:rPr>
      </w:pPr>
      <w:r>
        <w:rPr>
          <w:rFonts w:ascii="Arial" w:cs="Arial" w:eastAsia="Arial" w:hAnsi="Arial"/>
          <w:sz w:val="22"/>
          <w:szCs w:val="22"/>
          <w:color w:val="auto"/>
        </w:rPr>
        <w:t>CITIBANK N.A.,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Matthew S.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408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2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Matthew S. Burke</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Sixth Amendment to Amended and Restated Credit and Guaranty Agreement (LHR)</w:t>
      </w:r>
    </w:p>
    <w:p>
      <w:pPr>
        <w:sectPr>
          <w:pgSz w:w="11900" w:h="16838" w:orient="portrait"/>
          <w:cols w:equalWidth="0" w:num="1">
            <w:col w:w="9019"/>
          </w:cols>
          <w:pgMar w:left="1440" w:top="807" w:right="1440" w:bottom="1440" w:gutter="0" w:footer="0" w:header="0"/>
        </w:sectPr>
      </w:pPr>
    </w:p>
    <w:bookmarkStart w:id="214" w:name="page215"/>
    <w:bookmarkEnd w:id="214"/>
    <w:p>
      <w:pPr>
        <w:ind w:left="10440"/>
        <w:spacing w:after="0"/>
        <w:rPr>
          <w:sz w:val="20"/>
          <w:szCs w:val="20"/>
          <w:color w:val="auto"/>
        </w:rPr>
      </w:pPr>
      <w:r>
        <w:rPr>
          <w:rFonts w:ascii="Arial" w:cs="Arial" w:eastAsia="Arial" w:hAnsi="Arial"/>
          <w:sz w:val="18"/>
          <w:szCs w:val="18"/>
          <w:b w:val="1"/>
          <w:bCs w:val="1"/>
          <w:i w:val="1"/>
          <w:i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ANNEX A</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Lenders and Commitments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260" w:type="dxa"/>
            <w:vAlign w:val="bottom"/>
            <w:tcBorders>
              <w:top w:val="single" w:sz="8" w:color="auto"/>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Name of Bank</w:t>
            </w:r>
          </w:p>
        </w:tc>
        <w:tc>
          <w:tcPr>
            <w:tcW w:w="2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Sixth Amendment</w:t>
            </w:r>
          </w:p>
        </w:tc>
        <w:tc>
          <w:tcPr>
            <w:tcW w:w="23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Sixth Amendment Non-</w:t>
            </w:r>
          </w:p>
        </w:tc>
        <w:tc>
          <w:tcPr>
            <w:tcW w:w="2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2"/>
              </w:rPr>
              <w:t>LC Commitment</w:t>
            </w:r>
          </w:p>
        </w:tc>
      </w:tr>
      <w:tr>
        <w:trPr>
          <w:trHeight w:val="243"/>
        </w:trPr>
        <w:tc>
          <w:tcPr>
            <w:tcW w:w="4260" w:type="dxa"/>
            <w:vAlign w:val="bottom"/>
            <w:tcBorders>
              <w:left w:val="single" w:sz="8" w:color="auto"/>
              <w:right w:val="single" w:sz="8" w:color="auto"/>
            </w:tcBorders>
            <w:shd w:val="clear" w:color="auto" w:fill="D9D9D9"/>
          </w:tcPr>
          <w:p>
            <w:pPr>
              <w:spacing w:after="0"/>
              <w:rPr>
                <w:sz w:val="21"/>
                <w:szCs w:val="21"/>
                <w:color w:val="auto"/>
              </w:rPr>
            </w:pPr>
          </w:p>
        </w:tc>
        <w:tc>
          <w:tcPr>
            <w:tcW w:w="240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8"/>
              </w:rPr>
              <w:t>Extended Revolving</w:t>
            </w:r>
          </w:p>
        </w:tc>
        <w:tc>
          <w:tcPr>
            <w:tcW w:w="238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7"/>
              </w:rPr>
              <w:t>Extended Revolving</w:t>
            </w:r>
          </w:p>
        </w:tc>
        <w:tc>
          <w:tcPr>
            <w:tcW w:w="2400" w:type="dxa"/>
            <w:vAlign w:val="bottom"/>
            <w:tcBorders>
              <w:right w:val="single" w:sz="8" w:color="auto"/>
            </w:tcBorders>
            <w:shd w:val="clear" w:color="auto" w:fill="D9D9D9"/>
          </w:tcPr>
          <w:p>
            <w:pPr>
              <w:spacing w:after="0"/>
              <w:rPr>
                <w:sz w:val="21"/>
                <w:szCs w:val="21"/>
                <w:color w:val="auto"/>
              </w:rPr>
            </w:pPr>
          </w:p>
        </w:tc>
      </w:tr>
      <w:tr>
        <w:trPr>
          <w:trHeight w:val="281"/>
        </w:trPr>
        <w:tc>
          <w:tcPr>
            <w:tcW w:w="4260" w:type="dxa"/>
            <w:vAlign w:val="bottom"/>
            <w:tcBorders>
              <w:left w:val="single" w:sz="8" w:color="auto"/>
              <w:right w:val="single" w:sz="8" w:color="auto"/>
            </w:tcBorders>
            <w:shd w:val="clear" w:color="auto" w:fill="D9D9D9"/>
          </w:tcPr>
          <w:p>
            <w:pPr>
              <w:spacing w:after="0"/>
              <w:rPr>
                <w:sz w:val="24"/>
                <w:szCs w:val="24"/>
                <w:color w:val="auto"/>
              </w:rPr>
            </w:pPr>
          </w:p>
        </w:tc>
        <w:tc>
          <w:tcPr>
            <w:tcW w:w="24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Commitment</w:t>
            </w:r>
          </w:p>
        </w:tc>
        <w:tc>
          <w:tcPr>
            <w:tcW w:w="23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2"/>
              </w:rPr>
              <w:t>Commitment</w:t>
            </w:r>
          </w:p>
        </w:tc>
        <w:tc>
          <w:tcPr>
            <w:tcW w:w="2400" w:type="dxa"/>
            <w:vAlign w:val="bottom"/>
            <w:tcBorders>
              <w:right w:val="single" w:sz="8" w:color="auto"/>
            </w:tcBorders>
            <w:shd w:val="clear" w:color="auto" w:fill="D9D9D9"/>
          </w:tcPr>
          <w:p>
            <w:pPr>
              <w:spacing w:after="0"/>
              <w:rPr>
                <w:sz w:val="24"/>
                <w:szCs w:val="24"/>
                <w:color w:val="auto"/>
              </w:rPr>
            </w:pPr>
          </w:p>
        </w:tc>
      </w:tr>
      <w:tr>
        <w:trPr>
          <w:trHeight w:val="179"/>
        </w:trPr>
        <w:tc>
          <w:tcPr>
            <w:tcW w:w="426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2400" w:type="dxa"/>
            <w:vAlign w:val="bottom"/>
            <w:tcBorders>
              <w:bottom w:val="single" w:sz="8" w:color="auto"/>
              <w:right w:val="single" w:sz="8" w:color="auto"/>
            </w:tcBorders>
            <w:shd w:val="clear" w:color="auto" w:fill="D9D9D9"/>
          </w:tcPr>
          <w:p>
            <w:pPr>
              <w:spacing w:after="0"/>
              <w:rPr>
                <w:sz w:val="15"/>
                <w:szCs w:val="15"/>
                <w:color w:val="auto"/>
              </w:rPr>
            </w:pPr>
          </w:p>
        </w:tc>
        <w:tc>
          <w:tcPr>
            <w:tcW w:w="2380" w:type="dxa"/>
            <w:vAlign w:val="bottom"/>
            <w:tcBorders>
              <w:bottom w:val="single" w:sz="8" w:color="auto"/>
              <w:right w:val="single" w:sz="8" w:color="auto"/>
            </w:tcBorders>
            <w:shd w:val="clear" w:color="auto" w:fill="D9D9D9"/>
          </w:tcPr>
          <w:p>
            <w:pPr>
              <w:spacing w:after="0"/>
              <w:rPr>
                <w:sz w:val="15"/>
                <w:szCs w:val="15"/>
                <w:color w:val="auto"/>
              </w:rPr>
            </w:pPr>
          </w:p>
        </w:tc>
        <w:tc>
          <w:tcPr>
            <w:tcW w:w="240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Citibank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[*CTR]</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$200,000,000</w:t>
            </w: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Bank of America,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Barclays Bank PLC</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Credit Suisse AG, Cayman Islands Branch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Deutsche Bank AG New York Branch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Goldman Sachs Bank USA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42"/>
        </w:trPr>
        <w:tc>
          <w:tcPr>
            <w:tcW w:w="426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rPr>
              <w:t>Industrial and Commercial Bank of China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line="242" w:lineRule="exact"/>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1"/>
                <w:szCs w:val="21"/>
                <w:color w:val="auto"/>
              </w:rPr>
            </w:pPr>
          </w:p>
        </w:tc>
      </w:tr>
      <w:tr>
        <w:trPr>
          <w:trHeight w:val="275"/>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Limited, New York Branch</w:t>
            </w:r>
          </w:p>
        </w:tc>
        <w:tc>
          <w:tcPr>
            <w:tcW w:w="240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tcPr>
          <w:p>
            <w:pPr>
              <w:spacing w:after="0"/>
              <w:rPr>
                <w:sz w:val="23"/>
                <w:szCs w:val="23"/>
                <w:color w:val="auto"/>
              </w:rPr>
            </w:pP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JPMorgan Chase 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Morgan Stanley 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Morgan Stanley Senior Funding, Inc.</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Sumitomo Mitsui Banking Corporation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BNP Paribas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0"/>
              </w:rPr>
              <w:t>Credit Agricole Corporate and Investment Bank</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HSBC Bank USA,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MUFG Union 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Standard Chartered Bank</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U.S. Bank National Association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BOKF, NA dba Bank of 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Texas Capital 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Total:</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$1,530,500,000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$12,000,000</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$200,000,000</w:t>
            </w: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40"/>
          </w:cols>
          <w:pgMar w:left="240" w:top="807" w:right="219" w:bottom="10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807" w:right="219" w:bottom="1042" w:gutter="0" w:footer="0" w:header="0"/>
          <w:type w:val="continuous"/>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FIFTH AMENDMENT TO AMENDED AND RESTATED CREDIT AND GUARANTY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THIS FIFTH AMENDMENT TO AMENDED AND RESTATED CREDIT AND GUARANTY AGREEMENT (this “</w:t>
      </w:r>
      <w:r>
        <w:rPr>
          <w:rFonts w:ascii="Arial" w:cs="Arial" w:eastAsia="Arial" w:hAnsi="Arial"/>
          <w:sz w:val="21"/>
          <w:szCs w:val="21"/>
          <w:i w:val="1"/>
          <w:iCs w:val="1"/>
          <w:color w:val="auto"/>
        </w:rPr>
        <w:t>Fifth Amendment</w:t>
      </w:r>
      <w:r>
        <w:rPr>
          <w:rFonts w:ascii="Arial" w:cs="Arial" w:eastAsia="Arial" w:hAnsi="Arial"/>
          <w:sz w:val="21"/>
          <w:szCs w:val="21"/>
          <w:color w:val="auto"/>
        </w:rPr>
        <w:t>”), is dated as of December 10, 2018 and is among American Airlines, Inc., a Delaware corporation (the “</w:t>
      </w:r>
      <w:r>
        <w:rPr>
          <w:rFonts w:ascii="Arial" w:cs="Arial" w:eastAsia="Arial" w:hAnsi="Arial"/>
          <w:sz w:val="21"/>
          <w:szCs w:val="21"/>
          <w:i w:val="1"/>
          <w:iCs w:val="1"/>
          <w:color w:val="auto"/>
        </w:rPr>
        <w:t>Borrower</w:t>
      </w:r>
      <w:r>
        <w:rPr>
          <w:rFonts w:ascii="Arial" w:cs="Arial" w:eastAsia="Arial" w:hAnsi="Arial"/>
          <w:sz w:val="21"/>
          <w:szCs w:val="21"/>
          <w:color w:val="auto"/>
        </w:rPr>
        <w:t>”), American Airlines Group Inc., a Delaware corporation (the “</w:t>
      </w:r>
      <w:r>
        <w:rPr>
          <w:rFonts w:ascii="Arial" w:cs="Arial" w:eastAsia="Arial" w:hAnsi="Arial"/>
          <w:sz w:val="21"/>
          <w:szCs w:val="21"/>
          <w:i w:val="1"/>
          <w:iCs w:val="1"/>
          <w:color w:val="auto"/>
        </w:rPr>
        <w:t>Parent</w:t>
      </w:r>
      <w:r>
        <w:rPr>
          <w:rFonts w:ascii="Arial" w:cs="Arial" w:eastAsia="Arial" w:hAnsi="Arial"/>
          <w:sz w:val="21"/>
          <w:szCs w:val="21"/>
          <w:color w:val="auto"/>
        </w:rPr>
        <w:t>” or the “</w:t>
      </w:r>
      <w:r>
        <w:rPr>
          <w:rFonts w:ascii="Arial" w:cs="Arial" w:eastAsia="Arial" w:hAnsi="Arial"/>
          <w:sz w:val="21"/>
          <w:szCs w:val="21"/>
          <w:i w:val="1"/>
          <w:iCs w:val="1"/>
          <w:color w:val="auto"/>
        </w:rPr>
        <w:t>Guarantor</w:t>
      </w:r>
      <w:r>
        <w:rPr>
          <w:rFonts w:ascii="Arial" w:cs="Arial" w:eastAsia="Arial" w:hAnsi="Arial"/>
          <w:sz w:val="21"/>
          <w:szCs w:val="21"/>
          <w:color w:val="auto"/>
        </w:rPr>
        <w:t>”), the Consenting Revolving Lenders (as defined below) party hereto, HSBC Bank USA, N.A. (“</w:t>
      </w:r>
      <w:r>
        <w:rPr>
          <w:rFonts w:ascii="Arial" w:cs="Arial" w:eastAsia="Arial" w:hAnsi="Arial"/>
          <w:sz w:val="21"/>
          <w:szCs w:val="21"/>
          <w:i w:val="1"/>
          <w:iCs w:val="1"/>
          <w:color w:val="auto"/>
        </w:rPr>
        <w:t>HSBC</w:t>
      </w:r>
      <w:r>
        <w:rPr>
          <w:rFonts w:ascii="Arial" w:cs="Arial" w:eastAsia="Arial" w:hAnsi="Arial"/>
          <w:sz w:val="21"/>
          <w:szCs w:val="21"/>
          <w:color w:val="auto"/>
        </w:rPr>
        <w:t>”), MUFG Union Bank, N.A. (“</w:t>
      </w:r>
      <w:r>
        <w:rPr>
          <w:rFonts w:ascii="Arial" w:cs="Arial" w:eastAsia="Arial" w:hAnsi="Arial"/>
          <w:sz w:val="21"/>
          <w:szCs w:val="21"/>
          <w:i w:val="1"/>
          <w:iCs w:val="1"/>
          <w:color w:val="auto"/>
        </w:rPr>
        <w:t>MUFG</w:t>
      </w:r>
      <w:r>
        <w:rPr>
          <w:rFonts w:ascii="Arial" w:cs="Arial" w:eastAsia="Arial" w:hAnsi="Arial"/>
          <w:sz w:val="21"/>
          <w:szCs w:val="21"/>
          <w:color w:val="auto"/>
        </w:rPr>
        <w:t>”) and BOKF, NA dba Bank of Texas (“</w:t>
      </w:r>
      <w:r>
        <w:rPr>
          <w:rFonts w:ascii="Arial" w:cs="Arial" w:eastAsia="Arial" w:hAnsi="Arial"/>
          <w:sz w:val="21"/>
          <w:szCs w:val="21"/>
          <w:i w:val="1"/>
          <w:iCs w:val="1"/>
          <w:color w:val="auto"/>
        </w:rPr>
        <w:t>BoT</w:t>
      </w:r>
      <w:r>
        <w:rPr>
          <w:rFonts w:ascii="Arial" w:cs="Arial" w:eastAsia="Arial" w:hAnsi="Arial"/>
          <w:sz w:val="21"/>
          <w:szCs w:val="21"/>
          <w:color w:val="auto"/>
        </w:rPr>
        <w:t>” and together with HSBC and MUFG, collectively, the “</w:t>
      </w:r>
      <w:r>
        <w:rPr>
          <w:rFonts w:ascii="Arial" w:cs="Arial" w:eastAsia="Arial" w:hAnsi="Arial"/>
          <w:sz w:val="21"/>
          <w:szCs w:val="21"/>
          <w:i w:val="1"/>
          <w:iCs w:val="1"/>
          <w:color w:val="auto"/>
        </w:rPr>
        <w:t>New Revolving Lenders</w:t>
      </w:r>
      <w:r>
        <w:rPr>
          <w:rFonts w:ascii="Arial" w:cs="Arial" w:eastAsia="Arial" w:hAnsi="Arial"/>
          <w:sz w:val="21"/>
          <w:szCs w:val="21"/>
          <w:color w:val="auto"/>
        </w:rPr>
        <w:t>”) and Deutsche Bank AG New York Branch, as administrative agent (in such capacity, the “</w:t>
      </w:r>
      <w:r>
        <w:rPr>
          <w:rFonts w:ascii="Arial" w:cs="Arial" w:eastAsia="Arial" w:hAnsi="Arial"/>
          <w:sz w:val="21"/>
          <w:szCs w:val="21"/>
          <w:i w:val="1"/>
          <w:iCs w:val="1"/>
          <w:color w:val="auto"/>
        </w:rPr>
        <w:t>Administrative Agent</w:t>
      </w:r>
      <w:r>
        <w:rPr>
          <w:rFonts w:ascii="Arial" w:cs="Arial" w:eastAsia="Arial" w:hAnsi="Arial"/>
          <w:sz w:val="21"/>
          <w:szCs w:val="21"/>
          <w:color w:val="auto"/>
        </w:rPr>
        <w:t xml:space="preserve">”) and as an issuing lender (in such capacity, an </w:t>
      </w:r>
      <w:r>
        <w:rPr>
          <w:rFonts w:ascii="Arial" w:cs="Arial" w:eastAsia="Arial" w:hAnsi="Arial"/>
          <w:sz w:val="21"/>
          <w:szCs w:val="21"/>
          <w:i w:val="1"/>
          <w:iCs w:val="1"/>
          <w:color w:val="auto"/>
        </w:rPr>
        <w:t>“Issuing Lender</w:t>
      </w:r>
      <w:r>
        <w:rPr>
          <w:rFonts w:ascii="Arial" w:cs="Arial" w:eastAsia="Arial" w:hAnsi="Arial"/>
          <w:sz w:val="21"/>
          <w:szCs w:val="21"/>
          <w:color w:val="auto"/>
        </w:rPr>
        <w:t>”). Unless otherwise indicated, all capitalized terms used herein and not otherwise defined shall have the respective meanings provided to such terms in the Credit Agreement as defined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WHEREAS, the Borrower, the Guarantor, the lenders from time to time party thereto, the Administrative Agent and certain other parties thereto are parties to that certain Amended and Restated Credit and Guaranty Agreement, dated as of May 21, 2015 (as amended by that First Amendment to Amended and Restated Credit and Guaranty Agreement, dated October 26, 2015, as further amended by that Second Amendment to Amended and Restated Credit and Guaranty Agreement, dated March 14, 2017, as further amended by that Third Amendment to Amended and Restated Credit and Guaranty Agreement dated August 21, 2017, as further amended by that certain Fourth Amendment to Amended and Restated Credit and Guaranty Agreement, dated as of May 15, 2018 and as further amended and restated, supplemented or otherwise modified, but not including the Fifth Amendment Effective Date as defined below, the “</w:t>
      </w:r>
      <w:r>
        <w:rPr>
          <w:rFonts w:ascii="Arial" w:cs="Arial" w:eastAsia="Arial" w:hAnsi="Arial"/>
          <w:sz w:val="19"/>
          <w:szCs w:val="19"/>
          <w:i w:val="1"/>
          <w:iCs w:val="1"/>
          <w:color w:val="auto"/>
        </w:rPr>
        <w:t>Credit Agreement</w:t>
      </w:r>
      <w:r>
        <w:rPr>
          <w:rFonts w:ascii="Arial" w:cs="Arial" w:eastAsia="Arial" w:hAnsi="Arial"/>
          <w:sz w:val="19"/>
          <w:szCs w:val="19"/>
          <w:color w:val="auto"/>
        </w:rPr>
        <w:t>”);</w:t>
      </w:r>
    </w:p>
    <w:p>
      <w:pPr>
        <w:spacing w:after="0" w:line="37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18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WHEREAS, the Borrower hereby (i) requests that each Revolving Lender that is a party to the Credit Agreement immediately prior to the Fifth Amendment Effective Date (each, an “</w:t>
      </w:r>
      <w:r>
        <w:rPr>
          <w:rFonts w:ascii="Arial" w:cs="Arial" w:eastAsia="Arial" w:hAnsi="Arial"/>
          <w:sz w:val="19"/>
          <w:szCs w:val="19"/>
          <w:i w:val="1"/>
          <w:iCs w:val="1"/>
          <w:color w:val="auto"/>
        </w:rPr>
        <w:t>Existing Revolving Lender</w:t>
      </w:r>
      <w:r>
        <w:rPr>
          <w:rFonts w:ascii="Arial" w:cs="Arial" w:eastAsia="Arial" w:hAnsi="Arial"/>
          <w:sz w:val="19"/>
          <w:szCs w:val="19"/>
          <w:color w:val="auto"/>
        </w:rPr>
        <w:t>”) extend the maturity of such Existing Revolving Lender’s Revolving Commitment pursuant to, and in accordance with the terms of, Section 2.28(b), (c), (d) and</w:t>
      </w:r>
    </w:p>
    <w:p>
      <w:pPr>
        <w:spacing w:after="0" w:line="1" w:lineRule="exact"/>
        <w:rPr>
          <w:sz w:val="20"/>
          <w:szCs w:val="20"/>
          <w:color w:val="auto"/>
        </w:rPr>
      </w:pPr>
    </w:p>
    <w:p>
      <w:pPr>
        <w:jc w:val="both"/>
        <w:ind w:firstLine="8"/>
        <w:spacing w:after="0" w:line="244" w:lineRule="auto"/>
        <w:tabs>
          <w:tab w:leader="none" w:pos="303" w:val="left"/>
        </w:tabs>
        <w:numPr>
          <w:ilvl w:val="0"/>
          <w:numId w:val="91"/>
        </w:numPr>
        <w:rPr>
          <w:rFonts w:ascii="Arial" w:cs="Arial" w:eastAsia="Arial" w:hAnsi="Arial"/>
          <w:sz w:val="22"/>
          <w:szCs w:val="22"/>
          <w:color w:val="auto"/>
        </w:rPr>
      </w:pPr>
      <w:r>
        <w:rPr>
          <w:rFonts w:ascii="Arial" w:cs="Arial" w:eastAsia="Arial" w:hAnsi="Arial"/>
          <w:sz w:val="22"/>
          <w:szCs w:val="22"/>
          <w:color w:val="auto"/>
        </w:rPr>
        <w:t>of the Credit Agreement and this Fifth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be subject to the Revolving Extension contemplated hereby;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49" w:right="239" w:bottom="1440" w:gutter="0" w:footer="0" w:header="0"/>
        </w:sectPr>
      </w:pPr>
    </w:p>
    <w:bookmarkStart w:id="216" w:name="page217"/>
    <w:bookmarkEnd w:id="216"/>
    <w:p>
      <w:pPr>
        <w:jc w:val="both"/>
        <w:ind w:firstLine="1297"/>
        <w:spacing w:after="0" w:line="250" w:lineRule="auto"/>
        <w:rPr>
          <w:sz w:val="20"/>
          <w:szCs w:val="20"/>
          <w:color w:val="auto"/>
        </w:rPr>
      </w:pPr>
      <w:r>
        <w:rPr>
          <w:rFonts w:ascii="Arial" w:cs="Arial" w:eastAsia="Arial" w:hAnsi="Arial"/>
          <w:sz w:val="22"/>
          <w:szCs w:val="22"/>
          <w:color w:val="auto"/>
        </w:rPr>
        <w:t>WHEREAS, the undersigned Existing Revolving Lenders (the “</w:t>
      </w:r>
      <w:r>
        <w:rPr>
          <w:rFonts w:ascii="Arial" w:cs="Arial" w:eastAsia="Arial" w:hAnsi="Arial"/>
          <w:sz w:val="22"/>
          <w:szCs w:val="22"/>
          <w:i w:val="1"/>
          <w:iCs w:val="1"/>
          <w:color w:val="auto"/>
        </w:rPr>
        <w:t>Consenting Revolving Lenders</w:t>
      </w:r>
      <w:r>
        <w:rPr>
          <w:rFonts w:ascii="Arial" w:cs="Arial" w:eastAsia="Arial" w:hAnsi="Arial"/>
          <w:sz w:val="22"/>
          <w:szCs w:val="22"/>
          <w:color w:val="auto"/>
        </w:rPr>
        <w:t>” and together with the New Revolving Lenders, the “</w:t>
      </w:r>
      <w:r>
        <w:rPr>
          <w:rFonts w:ascii="Arial" w:cs="Arial" w:eastAsia="Arial" w:hAnsi="Arial"/>
          <w:sz w:val="22"/>
          <w:szCs w:val="22"/>
          <w:i w:val="1"/>
          <w:iCs w:val="1"/>
          <w:color w:val="auto"/>
        </w:rPr>
        <w:t>Extending Revolving Lenders</w:t>
      </w:r>
      <w:r>
        <w:rPr>
          <w:rFonts w:ascii="Arial" w:cs="Arial" w:eastAsia="Arial" w:hAnsi="Arial"/>
          <w:sz w:val="22"/>
          <w:szCs w:val="22"/>
          <w:color w:val="auto"/>
        </w:rPr>
        <w:t>”) are willing to extend the maturity date of their respective Revolving Commitments (the “</w:t>
      </w:r>
      <w:r>
        <w:rPr>
          <w:rFonts w:ascii="Arial" w:cs="Arial" w:eastAsia="Arial" w:hAnsi="Arial"/>
          <w:sz w:val="22"/>
          <w:szCs w:val="22"/>
          <w:i w:val="1"/>
          <w:iCs w:val="1"/>
          <w:color w:val="auto"/>
        </w:rPr>
        <w:t>Extended Revolving Commitments</w:t>
      </w:r>
      <w:r>
        <w:rPr>
          <w:rFonts w:ascii="Arial" w:cs="Arial" w:eastAsia="Arial" w:hAnsi="Arial"/>
          <w:sz w:val="22"/>
          <w:szCs w:val="22"/>
          <w:color w:val="auto"/>
        </w:rPr>
        <w:t>”), subject to and on the terms and conditions set forth herein and in Section 2.28(b), (c), (d) and (e) of the Credit Agreement;</w:t>
      </w:r>
    </w:p>
    <w:p>
      <w:pPr>
        <w:spacing w:after="0" w:line="200" w:lineRule="exact"/>
        <w:rPr>
          <w:sz w:val="20"/>
          <w:szCs w:val="20"/>
          <w:color w:val="auto"/>
        </w:rPr>
      </w:pPr>
    </w:p>
    <w:p>
      <w:pPr>
        <w:spacing w:after="0" w:line="20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undersigned Consenting Revolving Lenders, New Revolving Lenders and the Borrower desire to reallocate the Revolving Commitments (the “</w:t>
      </w:r>
      <w:r>
        <w:rPr>
          <w:rFonts w:ascii="Arial" w:cs="Arial" w:eastAsia="Arial" w:hAnsi="Arial"/>
          <w:sz w:val="22"/>
          <w:szCs w:val="22"/>
          <w:i w:val="1"/>
          <w:iCs w:val="1"/>
          <w:color w:val="auto"/>
        </w:rPr>
        <w:t>Reallocation</w:t>
      </w:r>
      <w:r>
        <w:rPr>
          <w:rFonts w:ascii="Arial" w:cs="Arial" w:eastAsia="Arial" w:hAnsi="Arial"/>
          <w:sz w:val="22"/>
          <w:szCs w:val="22"/>
          <w:color w:val="auto"/>
        </w:rPr>
        <w:t>”) and that each Revolving Lender will hold such Revolving Commitment as is set out opposite its name on Schedule 1;</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Borrower, the Administrative Agent, the undersigned Existing Revolving Lenders and New Revolving Lenders wish to amend the Credit Agreement to provide for certain other modifications to the Credit Agreement, in each case, on the terms and subject to the conditions set forth herein;</w:t>
      </w:r>
    </w:p>
    <w:p>
      <w:pPr>
        <w:spacing w:after="0" w:line="200" w:lineRule="exact"/>
        <w:rPr>
          <w:sz w:val="20"/>
          <w:szCs w:val="20"/>
          <w:color w:val="auto"/>
        </w:rPr>
      </w:pP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pursuant to Section 2.28(b) of the Credit Agreement, any Existing Revolving Lender who is not a Consenting Lender (each, a “</w:t>
      </w:r>
      <w:r>
        <w:rPr>
          <w:rFonts w:ascii="Arial" w:cs="Arial" w:eastAsia="Arial" w:hAnsi="Arial"/>
          <w:sz w:val="22"/>
          <w:szCs w:val="22"/>
          <w:i w:val="1"/>
          <w:iCs w:val="1"/>
          <w:color w:val="auto"/>
        </w:rPr>
        <w:t>Non-Consenting Revolving Lender</w:t>
      </w:r>
      <w:r>
        <w:rPr>
          <w:rFonts w:ascii="Arial" w:cs="Arial" w:eastAsia="Arial" w:hAnsi="Arial"/>
          <w:sz w:val="22"/>
          <w:szCs w:val="22"/>
          <w:color w:val="auto"/>
        </w:rPr>
        <w:t>”) shall continue to have Revolving Credit Commitments (the “</w:t>
      </w:r>
      <w:r>
        <w:rPr>
          <w:rFonts w:ascii="Arial" w:cs="Arial" w:eastAsia="Arial" w:hAnsi="Arial"/>
          <w:sz w:val="22"/>
          <w:szCs w:val="22"/>
          <w:i w:val="1"/>
          <w:iCs w:val="1"/>
          <w:color w:val="auto"/>
        </w:rPr>
        <w:t>Non-Extended Revolver Commitments</w:t>
      </w:r>
      <w:r>
        <w:rPr>
          <w:rFonts w:ascii="Arial" w:cs="Arial" w:eastAsia="Arial" w:hAnsi="Arial"/>
          <w:sz w:val="22"/>
          <w:szCs w:val="22"/>
          <w:color w:val="auto"/>
        </w:rPr>
        <w:t>”); and</w:t>
      </w:r>
    </w:p>
    <w:p>
      <w:pPr>
        <w:spacing w:after="0" w:line="200" w:lineRule="exact"/>
        <w:rPr>
          <w:sz w:val="20"/>
          <w:szCs w:val="20"/>
          <w:color w:val="auto"/>
        </w:rPr>
      </w:pPr>
    </w:p>
    <w:p>
      <w:pPr>
        <w:spacing w:after="0" w:line="20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391" w:lineRule="exact"/>
        <w:rPr>
          <w:sz w:val="20"/>
          <w:szCs w:val="20"/>
          <w:color w:val="auto"/>
        </w:rPr>
      </w:pPr>
    </w:p>
    <w:p>
      <w:pPr>
        <w:jc w:val="both"/>
        <w:ind w:firstLine="1621"/>
        <w:spacing w:after="0" w:line="297" w:lineRule="auto"/>
        <w:rPr>
          <w:sz w:val="20"/>
          <w:szCs w:val="20"/>
          <w:color w:val="auto"/>
        </w:rPr>
      </w:pPr>
      <w:r>
        <w:rPr>
          <w:rFonts w:ascii="Arial" w:cs="Arial" w:eastAsia="Arial" w:hAnsi="Arial"/>
          <w:sz w:val="19"/>
          <w:szCs w:val="19"/>
          <w:u w:val="single" w:color="auto"/>
          <w:color w:val="auto"/>
        </w:rPr>
        <w:t>SECTION ONE - Reallocation of Revolving Commitments</w:t>
      </w:r>
      <w:r>
        <w:rPr>
          <w:rFonts w:ascii="Arial" w:cs="Arial" w:eastAsia="Arial" w:hAnsi="Arial"/>
          <w:sz w:val="19"/>
          <w:szCs w:val="19"/>
          <w:color w:val="auto"/>
        </w:rPr>
        <w:t>. On the Fifth Amendment Effective Date, the Borrower, the Existing Revolving Lenders and the New Revolving Lenders agree that (1) there shall be an automatic termination of the total Revolving Commitments in excess of $1,000,000,000; (2) the Total Revolving Commitments shall be $1,000,000,000, consisting of $985,600,000 of Extended Revolver Commitments and $14,400,000 of Non-Extended Revolver Commitments and (3) each New Revolving Lender shall become a Revolving Lender under the Credit Agreement (as amended hereby).</w:t>
      </w:r>
    </w:p>
    <w:p>
      <w:pPr>
        <w:spacing w:after="0" w:line="363" w:lineRule="exact"/>
        <w:rPr>
          <w:sz w:val="20"/>
          <w:szCs w:val="20"/>
          <w:color w:val="auto"/>
        </w:rPr>
      </w:pPr>
    </w:p>
    <w:p>
      <w:pPr>
        <w:jc w:val="both"/>
        <w:ind w:firstLine="1621"/>
        <w:spacing w:after="0" w:line="253" w:lineRule="auto"/>
        <w:rPr>
          <w:sz w:val="20"/>
          <w:szCs w:val="20"/>
          <w:color w:val="auto"/>
        </w:rPr>
      </w:pPr>
      <w:r>
        <w:rPr>
          <w:rFonts w:ascii="Arial" w:cs="Arial" w:eastAsia="Arial" w:hAnsi="Arial"/>
          <w:sz w:val="22"/>
          <w:szCs w:val="22"/>
          <w:u w:val="single" w:color="auto"/>
          <w:color w:val="auto"/>
        </w:rPr>
        <w:t>SECTION TWO - Extension of Revolving Facility</w:t>
      </w:r>
      <w:r>
        <w:rPr>
          <w:rFonts w:ascii="Arial" w:cs="Arial" w:eastAsia="Arial" w:hAnsi="Arial"/>
          <w:sz w:val="22"/>
          <w:szCs w:val="22"/>
          <w:color w:val="auto"/>
        </w:rPr>
        <w:t>. On the Fifth Amendment Effective Date (immediately after giving effect to the Reallocation contemplated in Section One), the Borrower, each Extending Revolving Lender and each Non-Consenting Revolving Lender agrees the Credit Agreement is modified as follows:</w:t>
      </w:r>
    </w:p>
    <w:p>
      <w:pPr>
        <w:spacing w:after="0" w:line="200" w:lineRule="exact"/>
        <w:rPr>
          <w:sz w:val="20"/>
          <w:szCs w:val="20"/>
          <w:color w:val="auto"/>
        </w:rPr>
      </w:pPr>
    </w:p>
    <w:p>
      <w:pPr>
        <w:spacing w:after="0" w:line="202" w:lineRule="exact"/>
        <w:rPr>
          <w:sz w:val="20"/>
          <w:szCs w:val="20"/>
          <w:color w:val="auto"/>
        </w:rPr>
      </w:pPr>
    </w:p>
    <w:p>
      <w:pPr>
        <w:ind w:left="1720" w:hanging="415"/>
        <w:spacing w:after="0"/>
        <w:tabs>
          <w:tab w:leader="none" w:pos="17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Section 1.01 of the Credit Agreement is hereby amended by adding the following definitions in appropriate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200" w:lineRule="exact"/>
        <w:rPr>
          <w:sz w:val="20"/>
          <w:szCs w:val="20"/>
          <w:color w:val="auto"/>
        </w:rPr>
      </w:pPr>
    </w:p>
    <w:p>
      <w:pPr>
        <w:spacing w:after="0" w:line="23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Fifth Amendment</w:t>
      </w:r>
      <w:r>
        <w:rPr>
          <w:rFonts w:ascii="Arial" w:cs="Arial" w:eastAsia="Arial" w:hAnsi="Arial"/>
          <w:sz w:val="22"/>
          <w:szCs w:val="22"/>
          <w:color w:val="auto"/>
        </w:rPr>
        <w:t>” means the Fifth Amendment to this Credit Agreement, dated as of December 10, 2018 among the Borrower, Deutsche Bank AG New York Branch, as administrative agent and as an issuing lender and the Lenders party thereto.”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217" w:name="page218"/>
    <w:bookmarkEnd w:id="217"/>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Fifth Amendment Effective Date</w:t>
      </w:r>
      <w:r>
        <w:rPr>
          <w:rFonts w:ascii="Arial" w:cs="Arial" w:eastAsia="Arial" w:hAnsi="Arial"/>
          <w:sz w:val="22"/>
          <w:szCs w:val="22"/>
          <w:color w:val="auto"/>
        </w:rPr>
        <w:t>” shall have the meaning provided in the Fifth Amendment.”;</w:t>
      </w:r>
    </w:p>
    <w:p>
      <w:pPr>
        <w:spacing w:after="0" w:line="200" w:lineRule="exact"/>
        <w:rPr>
          <w:sz w:val="20"/>
          <w:szCs w:val="20"/>
          <w:color w:val="auto"/>
        </w:rPr>
      </w:pPr>
    </w:p>
    <w:p>
      <w:pPr>
        <w:spacing w:after="0" w:line="236"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Fifth Amendment Extended Revolving Commitments</w:t>
      </w:r>
      <w:r>
        <w:rPr>
          <w:rFonts w:ascii="Arial" w:cs="Arial" w:eastAsia="Arial" w:hAnsi="Arial"/>
          <w:sz w:val="22"/>
          <w:szCs w:val="22"/>
          <w:color w:val="auto"/>
        </w:rPr>
        <w:t>” means the Revolving Commitments of each Fifth Amendment Extending Revolving Lender.”</w:t>
      </w:r>
    </w:p>
    <w:p>
      <w:pPr>
        <w:spacing w:after="0" w:line="391" w:lineRule="exact"/>
        <w:rPr>
          <w:sz w:val="20"/>
          <w:szCs w:val="20"/>
          <w:color w:val="auto"/>
        </w:rPr>
      </w:pPr>
    </w:p>
    <w:p>
      <w:pPr>
        <w:jc w:val="both"/>
        <w:ind w:right="20" w:firstLine="1297"/>
        <w:spacing w:after="0" w:line="250" w:lineRule="auto"/>
        <w:rPr>
          <w:sz w:val="20"/>
          <w:szCs w:val="20"/>
          <w:color w:val="auto"/>
        </w:rPr>
      </w:pPr>
      <w:r>
        <w:rPr>
          <w:rFonts w:ascii="Arial" w:cs="Arial" w:eastAsia="Arial" w:hAnsi="Arial"/>
          <w:sz w:val="22"/>
          <w:szCs w:val="22"/>
          <w:i w:val="1"/>
          <w:iCs w:val="1"/>
          <w:color w:val="auto"/>
        </w:rPr>
        <w:t>““Fifth Amendment Extending Revolving Lender</w:t>
      </w:r>
      <w:r>
        <w:rPr>
          <w:rFonts w:ascii="Arial" w:cs="Arial" w:eastAsia="Arial" w:hAnsi="Arial"/>
          <w:sz w:val="22"/>
          <w:szCs w:val="22"/>
          <w:color w:val="auto"/>
        </w:rPr>
        <w:t>” shall mean each Revolving Lender (including the Fifth</w:t>
      </w:r>
      <w:r>
        <w:rPr>
          <w:rFonts w:ascii="Arial" w:cs="Arial" w:eastAsia="Arial" w:hAnsi="Arial"/>
          <w:sz w:val="22"/>
          <w:szCs w:val="22"/>
          <w:i w:val="1"/>
          <w:iCs w:val="1"/>
          <w:color w:val="auto"/>
        </w:rPr>
        <w:t xml:space="preserve"> </w:t>
      </w:r>
      <w:r>
        <w:rPr>
          <w:rFonts w:ascii="Arial" w:cs="Arial" w:eastAsia="Arial" w:hAnsi="Arial"/>
          <w:sz w:val="22"/>
          <w:szCs w:val="22"/>
          <w:color w:val="auto"/>
        </w:rPr>
        <w:t>Amendment New Revolving Lenders) that has provided a signature page on or prior to December 10, 2018 voting in favor of accepting the Fifth Amendment Extension Offer and extending the Revolving Facility Maturity Date as set forth in the Fifth Amendment.”</w:t>
      </w: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Fifth Amendment Extension Offer</w:t>
      </w:r>
      <w:r>
        <w:rPr>
          <w:rFonts w:ascii="Arial" w:cs="Arial" w:eastAsia="Arial" w:hAnsi="Arial"/>
          <w:sz w:val="21"/>
          <w:szCs w:val="21"/>
          <w:color w:val="auto"/>
        </w:rPr>
        <w:t>” means the Extension Offer made pursuant to the Fifth Amendment.”</w:t>
      </w:r>
    </w:p>
    <w:p>
      <w:pPr>
        <w:spacing w:after="0" w:line="200" w:lineRule="exact"/>
        <w:rPr>
          <w:sz w:val="20"/>
          <w:szCs w:val="20"/>
          <w:color w:val="auto"/>
        </w:rPr>
      </w:pPr>
    </w:p>
    <w:p>
      <w:pPr>
        <w:spacing w:after="0" w:line="247"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Fifth Amendment Non-Extended Revolving Commitments</w:t>
      </w:r>
      <w:r>
        <w:rPr>
          <w:rFonts w:ascii="Arial" w:cs="Arial" w:eastAsia="Arial" w:hAnsi="Arial"/>
          <w:sz w:val="22"/>
          <w:szCs w:val="22"/>
          <w:color w:val="auto"/>
        </w:rPr>
        <w:t>” means the Revolving Commitments of each Fifth Amendment Non-Extending Revolving Lender.”</w:t>
      </w:r>
    </w:p>
    <w:p>
      <w:pPr>
        <w:spacing w:after="0" w:line="391"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Fifth Amendment Non-Extending Revolving Lender</w:t>
      </w:r>
      <w:r>
        <w:rPr>
          <w:rFonts w:ascii="Arial" w:cs="Arial" w:eastAsia="Arial" w:hAnsi="Arial"/>
          <w:sz w:val="22"/>
          <w:szCs w:val="22"/>
          <w:color w:val="auto"/>
        </w:rPr>
        <w:t>” shall mean each Revolving Lender other than the Fifth Amendment Extending Revolving Lenders.”</w:t>
      </w:r>
    </w:p>
    <w:p>
      <w:pPr>
        <w:spacing w:after="0" w:line="39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Fifth Amendment New Revolving Lenders</w:t>
      </w:r>
      <w:r>
        <w:rPr>
          <w:rFonts w:ascii="Arial" w:cs="Arial" w:eastAsia="Arial" w:hAnsi="Arial"/>
          <w:sz w:val="21"/>
          <w:szCs w:val="21"/>
          <w:color w:val="auto"/>
        </w:rPr>
        <w:t>” shall mean each New Revolving Lender (as defined in the Fifth</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Amendment).”</w:t>
      </w:r>
    </w:p>
    <w:p>
      <w:pPr>
        <w:spacing w:after="0" w:line="200" w:lineRule="exact"/>
        <w:rPr>
          <w:sz w:val="20"/>
          <w:szCs w:val="20"/>
          <w:color w:val="auto"/>
        </w:rPr>
      </w:pPr>
    </w:p>
    <w:p>
      <w:pPr>
        <w:spacing w:after="0" w:line="218" w:lineRule="exact"/>
        <w:rPr>
          <w:sz w:val="20"/>
          <w:szCs w:val="20"/>
          <w:color w:val="auto"/>
        </w:rPr>
      </w:pPr>
    </w:p>
    <w:p>
      <w:pPr>
        <w:ind w:right="260" w:firstLine="1305"/>
        <w:spacing w:after="0" w:line="276" w:lineRule="auto"/>
        <w:tabs>
          <w:tab w:leader="none" w:pos="1728"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Applicable Margin</w:t>
      </w:r>
      <w:r>
        <w:rPr>
          <w:rFonts w:ascii="Arial" w:cs="Arial" w:eastAsia="Arial" w:hAnsi="Arial"/>
          <w:sz w:val="22"/>
          <w:szCs w:val="22"/>
          <w:color w:val="auto"/>
        </w:rPr>
        <w:t>” appearing in Section 1.01 of the Credit Agreement is hereby amended and restated in its entirety as follows:</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Margin</w:t>
      </w:r>
      <w:r>
        <w:rPr>
          <w:rFonts w:ascii="Arial" w:cs="Arial" w:eastAsia="Arial" w:hAnsi="Arial"/>
          <w:sz w:val="22"/>
          <w:szCs w:val="22"/>
          <w:color w:val="auto"/>
        </w:rPr>
        <w:t>” shall mean the rate per annum determined pursuant to the following:</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920" w:type="dxa"/>
            <w:vAlign w:val="bottom"/>
            <w:tcBorders>
              <w:top w:val="single" w:sz="8" w:color="auto"/>
              <w:left w:val="single" w:sz="8" w:color="auto"/>
              <w:right w:val="single" w:sz="8" w:color="auto"/>
            </w:tcBorders>
            <w:vMerge w:val="restart"/>
          </w:tcPr>
          <w:p>
            <w:pPr>
              <w:ind w:left="1320"/>
              <w:spacing w:after="0"/>
              <w:rPr>
                <w:sz w:val="20"/>
                <w:szCs w:val="20"/>
                <w:color w:val="auto"/>
              </w:rPr>
            </w:pPr>
            <w:r>
              <w:rPr>
                <w:rFonts w:ascii="Arial" w:cs="Arial" w:eastAsia="Arial" w:hAnsi="Arial"/>
                <w:sz w:val="22"/>
                <w:szCs w:val="22"/>
                <w:color w:val="auto"/>
              </w:rPr>
              <w:t>Class of Loans</w:t>
            </w:r>
          </w:p>
        </w:tc>
        <w:tc>
          <w:tcPr>
            <w:tcW w:w="376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22"/>
                <w:szCs w:val="22"/>
                <w:color w:val="auto"/>
              </w:rPr>
              <w:t>Applicable Margin</w:t>
            </w:r>
          </w:p>
        </w:tc>
        <w:tc>
          <w:tcPr>
            <w:tcW w:w="376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22"/>
                <w:szCs w:val="22"/>
                <w:color w:val="auto"/>
              </w:rPr>
              <w:t>Applicable Margin</w:t>
            </w:r>
          </w:p>
        </w:tc>
        <w:tc>
          <w:tcPr>
            <w:tcW w:w="0" w:type="dxa"/>
            <w:vAlign w:val="bottom"/>
          </w:tcPr>
          <w:p>
            <w:pPr>
              <w:spacing w:after="0"/>
              <w:rPr>
                <w:sz w:val="1"/>
                <w:szCs w:val="1"/>
                <w:color w:val="auto"/>
              </w:rPr>
            </w:pPr>
          </w:p>
        </w:tc>
      </w:tr>
      <w:tr>
        <w:trPr>
          <w:trHeight w:val="153"/>
        </w:trPr>
        <w:tc>
          <w:tcPr>
            <w:tcW w:w="3920" w:type="dxa"/>
            <w:vAlign w:val="bottom"/>
            <w:tcBorders>
              <w:left w:val="single" w:sz="8" w:color="auto"/>
              <w:right w:val="single" w:sz="8" w:color="auto"/>
            </w:tcBorders>
            <w:vMerge w:val="continue"/>
          </w:tcPr>
          <w:p>
            <w:pPr>
              <w:spacing w:after="0"/>
              <w:rPr>
                <w:sz w:val="13"/>
                <w:szCs w:val="13"/>
                <w:color w:val="auto"/>
              </w:rPr>
            </w:pPr>
          </w:p>
        </w:tc>
        <w:tc>
          <w:tcPr>
            <w:tcW w:w="3760" w:type="dxa"/>
            <w:vAlign w:val="bottom"/>
            <w:tcBorders>
              <w:right w:val="single" w:sz="8" w:color="auto"/>
            </w:tcBorders>
            <w:vMerge w:val="restart"/>
          </w:tcPr>
          <w:p>
            <w:pPr>
              <w:ind w:left="1120"/>
              <w:spacing w:after="0"/>
              <w:rPr>
                <w:sz w:val="20"/>
                <w:szCs w:val="20"/>
                <w:color w:val="auto"/>
              </w:rPr>
            </w:pPr>
            <w:r>
              <w:rPr>
                <w:rFonts w:ascii="Arial" w:cs="Arial" w:eastAsia="Arial" w:hAnsi="Arial"/>
                <w:sz w:val="22"/>
                <w:szCs w:val="22"/>
                <w:color w:val="auto"/>
              </w:rPr>
              <w:t>Eurodollar Loans</w:t>
            </w:r>
          </w:p>
        </w:tc>
        <w:tc>
          <w:tcPr>
            <w:tcW w:w="3760" w:type="dxa"/>
            <w:vAlign w:val="bottom"/>
            <w:tcBorders>
              <w:right w:val="single" w:sz="8" w:color="auto"/>
            </w:tcBorders>
            <w:vMerge w:val="restart"/>
          </w:tcPr>
          <w:p>
            <w:pPr>
              <w:ind w:left="1360"/>
              <w:spacing w:after="0"/>
              <w:rPr>
                <w:sz w:val="20"/>
                <w:szCs w:val="20"/>
                <w:color w:val="auto"/>
              </w:rPr>
            </w:pPr>
            <w:r>
              <w:rPr>
                <w:rFonts w:ascii="Arial" w:cs="Arial" w:eastAsia="Arial" w:hAnsi="Arial"/>
                <w:sz w:val="22"/>
                <w:szCs w:val="22"/>
                <w:color w:val="auto"/>
              </w:rPr>
              <w:t>ABR Loans</w:t>
            </w:r>
          </w:p>
        </w:tc>
        <w:tc>
          <w:tcPr>
            <w:tcW w:w="0" w:type="dxa"/>
            <w:vAlign w:val="bottom"/>
          </w:tcPr>
          <w:p>
            <w:pPr>
              <w:spacing w:after="0"/>
              <w:rPr>
                <w:sz w:val="1"/>
                <w:szCs w:val="1"/>
                <w:color w:val="auto"/>
              </w:rPr>
            </w:pPr>
          </w:p>
        </w:tc>
      </w:tr>
      <w:tr>
        <w:trPr>
          <w:trHeight w:val="122"/>
        </w:trPr>
        <w:tc>
          <w:tcPr>
            <w:tcW w:w="3920" w:type="dxa"/>
            <w:vAlign w:val="bottom"/>
            <w:tcBorders>
              <w:left w:val="single" w:sz="8" w:color="auto"/>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920" w:type="dxa"/>
            <w:vAlign w:val="bottom"/>
            <w:tcBorders>
              <w:left w:val="single" w:sz="8" w:color="auto"/>
              <w:bottom w:val="single" w:sz="8" w:color="auto"/>
              <w:right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392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w w:val="91"/>
              </w:rPr>
              <w:t>Term Loans outstanding prior to the Fourth</w:t>
            </w:r>
          </w:p>
        </w:tc>
        <w:tc>
          <w:tcPr>
            <w:tcW w:w="376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2.00%</w:t>
            </w:r>
          </w:p>
        </w:tc>
        <w:tc>
          <w:tcPr>
            <w:tcW w:w="376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275"/>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Amendment Effective Date</w:t>
            </w:r>
          </w:p>
        </w:tc>
        <w:tc>
          <w:tcPr>
            <w:tcW w:w="376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3920" w:type="dxa"/>
            <w:vAlign w:val="bottom"/>
            <w:tcBorders>
              <w:left w:val="single" w:sz="8" w:color="auto"/>
              <w:bottom w:val="single" w:sz="8" w:color="auto"/>
              <w:right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392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rPr>
              <w:t>2018 Replacement Term Loans</w:t>
            </w:r>
          </w:p>
        </w:tc>
        <w:tc>
          <w:tcPr>
            <w:tcW w:w="376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From and after Fourth Amendment</w:t>
            </w:r>
          </w:p>
        </w:tc>
        <w:tc>
          <w:tcPr>
            <w:tcW w:w="376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w w:val="98"/>
              </w:rPr>
              <w:t>From and after the Fourth Amendment</w:t>
            </w:r>
          </w:p>
        </w:tc>
        <w:tc>
          <w:tcPr>
            <w:tcW w:w="0" w:type="dxa"/>
            <w:vAlign w:val="bottom"/>
          </w:tcPr>
          <w:p>
            <w:pPr>
              <w:spacing w:after="0"/>
              <w:rPr>
                <w:sz w:val="1"/>
                <w:szCs w:val="1"/>
                <w:color w:val="auto"/>
              </w:rPr>
            </w:pPr>
          </w:p>
        </w:tc>
      </w:tr>
      <w:tr>
        <w:trPr>
          <w:trHeight w:val="275"/>
        </w:trPr>
        <w:tc>
          <w:tcPr>
            <w:tcW w:w="3920" w:type="dxa"/>
            <w:vAlign w:val="bottom"/>
            <w:tcBorders>
              <w:left w:val="single" w:sz="8" w:color="auto"/>
              <w:right w:val="single" w:sz="8" w:color="auto"/>
            </w:tcBorders>
          </w:tcPr>
          <w:p>
            <w:pPr>
              <w:spacing w:after="0"/>
              <w:rPr>
                <w:sz w:val="23"/>
                <w:szCs w:val="23"/>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Effective Date: 1.75%</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Effective Date: 0.75%</w:t>
            </w:r>
          </w:p>
        </w:tc>
        <w:tc>
          <w:tcPr>
            <w:tcW w:w="0" w:type="dxa"/>
            <w:vAlign w:val="bottom"/>
          </w:tcPr>
          <w:p>
            <w:pPr>
              <w:spacing w:after="0"/>
              <w:rPr>
                <w:sz w:val="1"/>
                <w:szCs w:val="1"/>
                <w:color w:val="auto"/>
              </w:rPr>
            </w:pPr>
          </w:p>
        </w:tc>
      </w:tr>
      <w:tr>
        <w:trPr>
          <w:trHeight w:val="125"/>
        </w:trPr>
        <w:tc>
          <w:tcPr>
            <w:tcW w:w="3920" w:type="dxa"/>
            <w:vAlign w:val="bottom"/>
            <w:tcBorders>
              <w:left w:val="single" w:sz="8" w:color="auto"/>
              <w:bottom w:val="single" w:sz="8" w:color="auto"/>
              <w:right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392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rPr>
              <w:t>Revolving Loans in respect of Fifth</w:t>
            </w:r>
          </w:p>
        </w:tc>
        <w:tc>
          <w:tcPr>
            <w:tcW w:w="376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2.00%</w:t>
            </w:r>
          </w:p>
        </w:tc>
        <w:tc>
          <w:tcPr>
            <w:tcW w:w="376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243"/>
        </w:trPr>
        <w:tc>
          <w:tcPr>
            <w:tcW w:w="39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Amendment Extended Revolving</w:t>
            </w:r>
          </w:p>
        </w:tc>
        <w:tc>
          <w:tcPr>
            <w:tcW w:w="376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Commitments</w:t>
            </w:r>
          </w:p>
        </w:tc>
        <w:tc>
          <w:tcPr>
            <w:tcW w:w="376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3920" w:type="dxa"/>
            <w:vAlign w:val="bottom"/>
            <w:tcBorders>
              <w:left w:val="single" w:sz="8" w:color="auto"/>
              <w:bottom w:val="single" w:sz="8" w:color="auto"/>
              <w:right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392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rPr>
              <w:t>Revolving Loans in respect of Fifth</w:t>
            </w:r>
          </w:p>
        </w:tc>
        <w:tc>
          <w:tcPr>
            <w:tcW w:w="376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2.25%</w:t>
            </w:r>
          </w:p>
        </w:tc>
        <w:tc>
          <w:tcPr>
            <w:tcW w:w="376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43"/>
        </w:trPr>
        <w:tc>
          <w:tcPr>
            <w:tcW w:w="39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Amendment Non-Extended Revolving</w:t>
            </w:r>
          </w:p>
        </w:tc>
        <w:tc>
          <w:tcPr>
            <w:tcW w:w="376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Commitments</w:t>
            </w:r>
          </w:p>
        </w:tc>
        <w:tc>
          <w:tcPr>
            <w:tcW w:w="376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3920" w:type="dxa"/>
            <w:vAlign w:val="bottom"/>
            <w:tcBorders>
              <w:left w:val="single" w:sz="8" w:color="auto"/>
              <w:bottom w:val="single" w:sz="8" w:color="auto"/>
              <w:right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0"/>
        </w:trPr>
        <w:tc>
          <w:tcPr>
            <w:tcW w:w="3920" w:type="dxa"/>
            <w:vAlign w:val="bottom"/>
          </w:tcPr>
          <w:p>
            <w:pPr>
              <w:spacing w:after="0"/>
              <w:rPr>
                <w:sz w:val="24"/>
                <w:szCs w:val="24"/>
                <w:color w:val="auto"/>
              </w:rPr>
            </w:pPr>
          </w:p>
        </w:tc>
        <w:tc>
          <w:tcPr>
            <w:tcW w:w="3760" w:type="dxa"/>
            <w:vAlign w:val="bottom"/>
          </w:tcPr>
          <w:p>
            <w:pPr>
              <w:ind w:left="1740"/>
              <w:spacing w:after="0"/>
              <w:rPr>
                <w:sz w:val="20"/>
                <w:szCs w:val="20"/>
                <w:color w:val="auto"/>
              </w:rPr>
            </w:pPr>
            <w:r>
              <w:rPr>
                <w:rFonts w:ascii="Arial" w:cs="Arial" w:eastAsia="Arial" w:hAnsi="Arial"/>
                <w:sz w:val="22"/>
                <w:szCs w:val="22"/>
                <w:color w:val="auto"/>
              </w:rPr>
              <w:t>3</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91" w:right="219" w:bottom="1440" w:gutter="0" w:footer="0" w:header="0"/>
        </w:sectPr>
      </w:pPr>
    </w:p>
    <w:bookmarkStart w:id="218" w:name="page219"/>
    <w:bookmarkEnd w:id="218"/>
    <w:p>
      <w:pPr>
        <w:ind w:right="800" w:firstLine="1305"/>
        <w:spacing w:after="0" w:line="276" w:lineRule="auto"/>
        <w:tabs>
          <w:tab w:leader="none" w:pos="1716"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Commitment Fee Rate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ind w:left="66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Commitment Fee Rate</w:t>
      </w:r>
      <w:r>
        <w:rPr>
          <w:rFonts w:ascii="Arial" w:cs="Arial" w:eastAsia="Arial" w:hAnsi="Arial"/>
          <w:sz w:val="19"/>
          <w:szCs w:val="19"/>
          <w:color w:val="auto"/>
        </w:rPr>
        <w:t>” shall mean (x) in respect of Fifth Amendment Extended Revolving Commitments, 0.625% per annum and (y) in respect of Fifth Amendment Non-Extended Revolving Commitments, 0.75% per annum.”.</w:t>
      </w:r>
    </w:p>
    <w:p>
      <w:pPr>
        <w:spacing w:after="0" w:line="321" w:lineRule="exact"/>
        <w:rPr>
          <w:sz w:val="20"/>
          <w:szCs w:val="20"/>
          <w:color w:val="auto"/>
        </w:rPr>
      </w:pPr>
    </w:p>
    <w:p>
      <w:pPr>
        <w:ind w:right="40" w:firstLine="1305"/>
        <w:spacing w:after="0" w:line="260" w:lineRule="auto"/>
        <w:tabs>
          <w:tab w:leader="none" w:pos="1728"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LIBO Rate</w:t>
      </w:r>
      <w:r>
        <w:rPr>
          <w:rFonts w:ascii="Arial" w:cs="Arial" w:eastAsia="Arial" w:hAnsi="Arial"/>
          <w:sz w:val="22"/>
          <w:szCs w:val="22"/>
          <w:color w:val="auto"/>
        </w:rPr>
        <w:t>” appearing in Section 1.01 of the Credit Agreement is hereby amended by adding “and Revolving Loans in respect of Fifth Amendment Extended Revolving Commitments” after “solely in respect of the 2017 Replacement Term Loans” where it is used therein.</w:t>
      </w:r>
    </w:p>
    <w:p>
      <w:pPr>
        <w:spacing w:after="0" w:line="393" w:lineRule="exact"/>
        <w:rPr>
          <w:rFonts w:ascii="Arial" w:cs="Arial" w:eastAsia="Arial" w:hAnsi="Arial"/>
          <w:sz w:val="22"/>
          <w:szCs w:val="22"/>
          <w:color w:val="auto"/>
        </w:rPr>
      </w:pPr>
    </w:p>
    <w:p>
      <w:pPr>
        <w:ind w:right="500" w:firstLine="1305"/>
        <w:spacing w:after="0" w:line="276" w:lineRule="auto"/>
        <w:tabs>
          <w:tab w:leader="none" w:pos="1716"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Facility Maturity Date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left="900" w:firstLine="972"/>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Revolving Facility Maturity Date</w:t>
      </w:r>
      <w:r>
        <w:rPr>
          <w:rFonts w:ascii="Arial" w:cs="Arial" w:eastAsia="Arial" w:hAnsi="Arial"/>
          <w:sz w:val="22"/>
          <w:szCs w:val="22"/>
          <w:color w:val="auto"/>
        </w:rPr>
        <w:t>” shall mean, (a) with respect to Fifth Amendment Extended Revolving Commitments, that have not been extended pursuant to Section 2.28(b), but including Revolving Commitments extended or made available pursuant to the Fifth Amendment, October 13, 2023, (b) with respect to Fifth Amendment Non-Extended Revolving Commitments that have not been extended pursuant to Section 2.28(b), October 13, 2022 and (c) with respect to Extended Revolving Commitments extended after the Fifth Amendment Effective Date, the final maturity date therefor as specified in the applicable Extension Offer accepted by the respective Revolving Lender or Revolving Lenders.”;</w:t>
      </w:r>
    </w:p>
    <w:p>
      <w:pPr>
        <w:spacing w:after="0" w:line="200" w:lineRule="exact"/>
        <w:rPr>
          <w:sz w:val="20"/>
          <w:szCs w:val="20"/>
          <w:color w:val="auto"/>
        </w:rPr>
      </w:pPr>
    </w:p>
    <w:p>
      <w:pPr>
        <w:spacing w:after="0" w:line="213" w:lineRule="exact"/>
        <w:rPr>
          <w:sz w:val="20"/>
          <w:szCs w:val="20"/>
          <w:color w:val="auto"/>
        </w:rPr>
      </w:pPr>
    </w:p>
    <w:p>
      <w:pPr>
        <w:ind w:left="80" w:right="220" w:firstLine="1306"/>
        <w:spacing w:after="0" w:line="276" w:lineRule="auto"/>
        <w:tabs>
          <w:tab w:leader="none" w:pos="1772"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Commitment</w:t>
      </w:r>
      <w:r>
        <w:rPr>
          <w:rFonts w:ascii="Arial" w:cs="Arial" w:eastAsia="Arial" w:hAnsi="Arial"/>
          <w:sz w:val="22"/>
          <w:szCs w:val="22"/>
          <w:color w:val="auto"/>
        </w:rPr>
        <w:t>” is hereby amended by deleting the last sentence of said definition in its entirety and inserting in lieu thereof the following new sentence:</w:t>
      </w:r>
    </w:p>
    <w:p>
      <w:pPr>
        <w:spacing w:after="0" w:line="377"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2"/>
          <w:szCs w:val="22"/>
          <w:color w:val="auto"/>
        </w:rPr>
        <w:t>“The aggregate amount of the Total Revolving Commitments as of the Fifth Amendment Effective Date is $1,000,000,000, consisting of $985,600,000 of Extended Revolver Commitments and $14,400,000 of Fifth Amendment Non-Extended Revolver Commitments.;</w:t>
      </w:r>
    </w:p>
    <w:p>
      <w:pPr>
        <w:spacing w:after="0" w:line="200" w:lineRule="exact"/>
        <w:rPr>
          <w:sz w:val="20"/>
          <w:szCs w:val="20"/>
          <w:color w:val="auto"/>
        </w:rPr>
      </w:pPr>
    </w:p>
    <w:p>
      <w:pPr>
        <w:spacing w:after="0" w:line="202" w:lineRule="exact"/>
        <w:rPr>
          <w:sz w:val="20"/>
          <w:szCs w:val="20"/>
          <w:color w:val="auto"/>
        </w:rPr>
      </w:pPr>
    </w:p>
    <w:p>
      <w:pPr>
        <w:ind w:left="1380"/>
        <w:spacing w:after="0"/>
        <w:tabs>
          <w:tab w:leader="none" w:pos="18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Section 2.09 of the Credit Agreement is hereby amended by inserting the following sentence at the end of the</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paragraph:</w:t>
      </w:r>
    </w:p>
    <w:p>
      <w:pPr>
        <w:spacing w:after="0" w:line="200" w:lineRule="exact"/>
        <w:rPr>
          <w:sz w:val="20"/>
          <w:szCs w:val="20"/>
          <w:color w:val="auto"/>
        </w:rPr>
      </w:pPr>
    </w:p>
    <w:p>
      <w:pPr>
        <w:spacing w:after="0" w:line="231" w:lineRule="exact"/>
        <w:rPr>
          <w:sz w:val="20"/>
          <w:szCs w:val="20"/>
          <w:color w:val="auto"/>
        </w:rPr>
      </w:pPr>
    </w:p>
    <w:p>
      <w:pPr>
        <w:jc w:val="both"/>
        <w:ind w:left="1380" w:firstLine="648"/>
        <w:spacing w:after="0" w:line="292" w:lineRule="auto"/>
        <w:rPr>
          <w:sz w:val="20"/>
          <w:szCs w:val="20"/>
          <w:color w:val="auto"/>
        </w:rPr>
      </w:pPr>
      <w:r>
        <w:rPr>
          <w:rFonts w:ascii="Arial" w:cs="Arial" w:eastAsia="Arial" w:hAnsi="Arial"/>
          <w:sz w:val="19"/>
          <w:szCs w:val="19"/>
          <w:color w:val="auto"/>
        </w:rPr>
        <w:t>“Notwithstanding any provision to the contrary set forth in this Agreement, the Revolving Lenders agree that in the event the Administrative Agent determines, pursuant to and in accordance with this Section 2.09, that reasonable means do not exist for ascertaining the applicable LIBO Rate and the Administrative Agent and the Borrower mutually determine that the syndicated loan market has broadly accepted a replacement standard for the LIBO Rate, then the Administrative Agent and Borrower may, without the consent of any Revolving Lender and solely with respect to the Revolving Loans, amend this Agreement to adopt such new broadly accepted market standard and to make such other changes as shall be necessary 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219" w:name="page220"/>
    <w:bookmarkEnd w:id="219"/>
    <w:p>
      <w:pPr>
        <w:jc w:val="both"/>
        <w:ind w:left="1380" w:right="20"/>
        <w:spacing w:after="0" w:line="263" w:lineRule="auto"/>
        <w:rPr>
          <w:sz w:val="20"/>
          <w:szCs w:val="20"/>
          <w:color w:val="auto"/>
        </w:rPr>
      </w:pPr>
      <w:r>
        <w:rPr>
          <w:rFonts w:ascii="Arial" w:cs="Arial" w:eastAsia="Arial" w:hAnsi="Arial"/>
          <w:sz w:val="22"/>
          <w:szCs w:val="22"/>
          <w:color w:val="auto"/>
        </w:rPr>
        <w:t>appropriate in the good faith determination of the Administrative Agent and the Borrower in order to implement such new market standard herein and in the other Loan Documents.”;</w:t>
      </w:r>
    </w:p>
    <w:p>
      <w:pPr>
        <w:spacing w:after="0" w:line="391" w:lineRule="exact"/>
        <w:rPr>
          <w:sz w:val="20"/>
          <w:szCs w:val="20"/>
          <w:color w:val="auto"/>
        </w:rPr>
      </w:pPr>
    </w:p>
    <w:p>
      <w:pPr>
        <w:ind w:left="1380"/>
        <w:spacing w:after="0"/>
        <w:tabs>
          <w:tab w:leader="none" w:pos="18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9"/>
          <w:szCs w:val="19"/>
          <w:color w:val="auto"/>
        </w:rPr>
        <w:t>Section 2.20(a) of the Credit Agreement is here by amended and restated in its entirety as follows:</w:t>
      </w:r>
    </w:p>
    <w:p>
      <w:pPr>
        <w:spacing w:after="0" w:line="200" w:lineRule="exact"/>
        <w:rPr>
          <w:sz w:val="20"/>
          <w:szCs w:val="20"/>
          <w:color w:val="auto"/>
        </w:rPr>
      </w:pPr>
    </w:p>
    <w:p>
      <w:pPr>
        <w:spacing w:after="0" w:line="249" w:lineRule="exact"/>
        <w:rPr>
          <w:sz w:val="20"/>
          <w:szCs w:val="20"/>
          <w:color w:val="auto"/>
        </w:rPr>
      </w:pPr>
    </w:p>
    <w:p>
      <w:pPr>
        <w:jc w:val="both"/>
        <w:ind w:left="1380"/>
        <w:spacing w:after="0" w:line="288" w:lineRule="auto"/>
        <w:rPr>
          <w:sz w:val="20"/>
          <w:szCs w:val="20"/>
          <w:color w:val="auto"/>
        </w:rPr>
      </w:pPr>
      <w:r>
        <w:rPr>
          <w:rFonts w:ascii="Arial" w:cs="Arial" w:eastAsia="Arial" w:hAnsi="Arial"/>
          <w:sz w:val="19"/>
          <w:szCs w:val="19"/>
          <w:color w:val="auto"/>
        </w:rPr>
        <w:t>“The Borrower shall pay to the Administrative Agent for the accounts of the Revolving Lenders a commitment fee (the “</w:t>
      </w:r>
      <w:r>
        <w:rPr>
          <w:rFonts w:ascii="Arial" w:cs="Arial" w:eastAsia="Arial" w:hAnsi="Arial"/>
          <w:sz w:val="19"/>
          <w:szCs w:val="19"/>
          <w:i w:val="1"/>
          <w:iCs w:val="1"/>
          <w:color w:val="auto"/>
        </w:rPr>
        <w:t>Commitment Fee</w:t>
      </w:r>
      <w:r>
        <w:rPr>
          <w:rFonts w:ascii="Arial" w:cs="Arial" w:eastAsia="Arial" w:hAnsi="Arial"/>
          <w:sz w:val="19"/>
          <w:szCs w:val="19"/>
          <w:color w:val="auto"/>
        </w:rPr>
        <w:t>”) for the period commencing on the Closing Date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Revolver Availability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 (provided that such fee will be prorated based on the Commitment Fee set forth in the Fifth Amendment for the fiscal quarter in which the Fifth Amendment Effective Date occurs).”; and</w:t>
      </w:r>
    </w:p>
    <w:p>
      <w:pPr>
        <w:spacing w:after="0" w:line="371" w:lineRule="exact"/>
        <w:rPr>
          <w:sz w:val="20"/>
          <w:szCs w:val="20"/>
          <w:color w:val="auto"/>
        </w:rPr>
      </w:pPr>
    </w:p>
    <w:p>
      <w:pPr>
        <w:ind w:left="1380" w:right="2980" w:firstLine="6"/>
        <w:spacing w:after="0" w:line="764" w:lineRule="auto"/>
        <w:tabs>
          <w:tab w:leader="none" w:pos="1764"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following shall be added as a new Section 2.29 to the Credit Agreement: “Section 2.29 Fifth Amendment Non-Extending Revolving Lenders</w:t>
      </w:r>
    </w:p>
    <w:p>
      <w:pPr>
        <w:ind w:right="400" w:firstLine="1297"/>
        <w:spacing w:after="0" w:line="253" w:lineRule="auto"/>
        <w:rPr>
          <w:sz w:val="20"/>
          <w:szCs w:val="20"/>
          <w:color w:val="auto"/>
        </w:rPr>
      </w:pPr>
      <w:r>
        <w:rPr>
          <w:rFonts w:ascii="Arial" w:cs="Arial" w:eastAsia="Arial" w:hAnsi="Arial"/>
          <w:sz w:val="22"/>
          <w:szCs w:val="22"/>
          <w:color w:val="auto"/>
        </w:rPr>
        <w:t>If any LC Exposure of any Fifth Amendment Non-Extending Revolving Lender exists on the Revolving Facility Maturity Date applicable to the Fifth Amendment Non-Extended Revolving Commitments of such Fifth Amendment Non-Extending Revolving Lender then:</w:t>
      </w:r>
    </w:p>
    <w:p>
      <w:pPr>
        <w:spacing w:after="0" w:line="200" w:lineRule="exact"/>
        <w:rPr>
          <w:sz w:val="20"/>
          <w:szCs w:val="20"/>
          <w:color w:val="auto"/>
        </w:rPr>
      </w:pPr>
    </w:p>
    <w:p>
      <w:pPr>
        <w:spacing w:after="0" w:line="202" w:lineRule="exact"/>
        <w:rPr>
          <w:sz w:val="20"/>
          <w:szCs w:val="20"/>
          <w:color w:val="auto"/>
        </w:rPr>
      </w:pPr>
    </w:p>
    <w:p>
      <w:pPr>
        <w:jc w:val="both"/>
        <w:ind w:left="1380" w:firstLine="6"/>
        <w:spacing w:after="0" w:line="259" w:lineRule="auto"/>
        <w:tabs>
          <w:tab w:leader="none" w:pos="1684"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LC Exposure of such Fifth Amendment Non-Extending Revolving Lender will, upon at least two (2) Business Days prior notice to the Borrower and the other Revolving Lenders by the Administrative Agent, and subject in any event to the limitation in the first proviso below, automatically be reallocated (effective on the day specified in such notice) among the Fifth Amendment Extending Revolving Lenders pro rata in accordance with their respective Revolving Commitments; provided that (A) the Revolving Extensions of Credit of each such Revolving Lender may not in any event exceed the Revolving Commitment of such Revolving Lender as in effect at the time of such reallocation and (B) at the time of such reallocation, no Event of Default pursuant to Section 7.01(b), (f) or (g) has occurred and is continuing; and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1380" w:firstLine="6"/>
        <w:spacing w:after="0" w:line="263" w:lineRule="auto"/>
        <w:tabs>
          <w:tab w:leader="none" w:pos="1701" w:val="left"/>
        </w:tabs>
        <w:numPr>
          <w:ilvl w:val="0"/>
          <w:numId w:val="98"/>
        </w:numPr>
        <w:rPr>
          <w:rFonts w:ascii="Arial" w:cs="Arial" w:eastAsia="Arial" w:hAnsi="Arial"/>
          <w:sz w:val="22"/>
          <w:szCs w:val="22"/>
          <w:color w:val="auto"/>
        </w:rPr>
      </w:pPr>
      <w:r>
        <w:rPr>
          <w:rFonts w:ascii="Arial" w:cs="Arial" w:eastAsia="Arial" w:hAnsi="Arial"/>
          <w:sz w:val="22"/>
          <w:szCs w:val="22"/>
          <w:color w:val="auto"/>
        </w:rPr>
        <w:t>to the extent that any portion (the “</w:t>
      </w:r>
      <w:r>
        <w:rPr>
          <w:rFonts w:ascii="Arial" w:cs="Arial" w:eastAsia="Arial" w:hAnsi="Arial"/>
          <w:sz w:val="22"/>
          <w:szCs w:val="22"/>
          <w:i w:val="1"/>
          <w:iCs w:val="1"/>
          <w:color w:val="auto"/>
        </w:rPr>
        <w:t>Unreallocated Portion</w:t>
      </w:r>
      <w:r>
        <w:rPr>
          <w:rFonts w:ascii="Arial" w:cs="Arial" w:eastAsia="Arial" w:hAnsi="Arial"/>
          <w:sz w:val="22"/>
          <w:szCs w:val="22"/>
          <w:color w:val="auto"/>
        </w:rPr>
        <w:t>”) of the Fifth Amendment Non-Extending Revolving Lender’s LC Exposure cannot be so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220" w:name="page221"/>
    <w:bookmarkEnd w:id="220"/>
    <w:p>
      <w:pPr>
        <w:jc w:val="both"/>
        <w:ind w:left="1380"/>
        <w:spacing w:after="0" w:line="261" w:lineRule="auto"/>
        <w:rPr>
          <w:sz w:val="20"/>
          <w:szCs w:val="20"/>
          <w:color w:val="auto"/>
        </w:rPr>
      </w:pPr>
      <w:r>
        <w:rPr>
          <w:rFonts w:ascii="Arial" w:cs="Arial" w:eastAsia="Arial" w:hAnsi="Arial"/>
          <w:sz w:val="21"/>
          <w:szCs w:val="21"/>
          <w:color w:val="auto"/>
        </w:rPr>
        <w:t>reallocated, whether by reason of the first proviso in clause (i) above or otherwise, the Borrower will, not later than three (3) Business Days after demand by the Administrative Agent, (A) Cash Collateralize the obligations of the Borrower to the Issuing Lenders in respect of such LC Exposure in an amount at least equal to the aggregate amount of the Unreallocated Portion of such LC Exposure or (B) make other arrangements reasonably satisfactory to the Administrative Agent and the Issuing Lenders to protect them against non-payment by such Fifth Amendment Non-Extending Revolving Lender.”</w:t>
      </w:r>
    </w:p>
    <w:p>
      <w:pPr>
        <w:spacing w:after="0" w:line="396" w:lineRule="exact"/>
        <w:rPr>
          <w:sz w:val="20"/>
          <w:szCs w:val="20"/>
          <w:color w:val="auto"/>
        </w:rPr>
      </w:pPr>
    </w:p>
    <w:p>
      <w:pPr>
        <w:ind w:left="1380"/>
        <w:spacing w:after="0"/>
        <w:tabs>
          <w:tab w:leader="none" w:pos="174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19"/>
          <w:szCs w:val="19"/>
          <w:color w:val="auto"/>
        </w:rPr>
        <w:t>“Annex A” of the Credit Agreement is hereby amended and restated in its entirety in the form attached hereto</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 Schedule 1.</w:t>
      </w:r>
    </w:p>
    <w:p>
      <w:pPr>
        <w:spacing w:after="0" w:line="200" w:lineRule="exact"/>
        <w:rPr>
          <w:sz w:val="20"/>
          <w:szCs w:val="20"/>
          <w:color w:val="auto"/>
        </w:rPr>
      </w:pPr>
    </w:p>
    <w:p>
      <w:pPr>
        <w:spacing w:after="0" w:line="231" w:lineRule="exact"/>
        <w:rPr>
          <w:sz w:val="20"/>
          <w:szCs w:val="20"/>
          <w:color w:val="auto"/>
        </w:rPr>
      </w:pPr>
    </w:p>
    <w:p>
      <w:pPr>
        <w:jc w:val="both"/>
        <w:ind w:left="80" w:right="20" w:firstLine="1216"/>
        <w:spacing w:after="0" w:line="253" w:lineRule="auto"/>
        <w:rPr>
          <w:sz w:val="20"/>
          <w:szCs w:val="20"/>
          <w:color w:val="auto"/>
        </w:rPr>
      </w:pPr>
      <w:r>
        <w:rPr>
          <w:rFonts w:ascii="Arial" w:cs="Arial" w:eastAsia="Arial" w:hAnsi="Arial"/>
          <w:sz w:val="22"/>
          <w:szCs w:val="22"/>
          <w:color w:val="auto"/>
        </w:rPr>
        <w:t>Notwithstanding anything in this Fifth Amendment or the Credit Agreement to the contrary, the Administrative Agent hereby waives the minimum notice required by Section 2.28(e) of the Credit Agreement in connection with the Revolver Extension to be effected pursuant to this Fifth Amendment.</w:t>
      </w:r>
    </w:p>
    <w:p>
      <w:pPr>
        <w:spacing w:after="0" w:line="200" w:lineRule="exact"/>
        <w:rPr>
          <w:sz w:val="20"/>
          <w:szCs w:val="20"/>
          <w:color w:val="auto"/>
        </w:rPr>
      </w:pPr>
    </w:p>
    <w:p>
      <w:pPr>
        <w:spacing w:after="0" w:line="202"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u w:val="single" w:color="auto"/>
          <w:color w:val="auto"/>
        </w:rPr>
        <w:t>SECTION THREE - Titles and Roles.</w:t>
      </w:r>
      <w:r>
        <w:rPr>
          <w:rFonts w:ascii="Arial" w:cs="Arial" w:eastAsia="Arial" w:hAnsi="Arial"/>
          <w:sz w:val="22"/>
          <w:szCs w:val="22"/>
          <w:color w:val="auto"/>
        </w:rPr>
        <w:t xml:space="preserve"> The parties hereto agree that, as of the Fifth Amendment Effective Date (as defined below) and in connection with the Fifth Amendment:</w:t>
      </w:r>
    </w:p>
    <w:p>
      <w:pPr>
        <w:spacing w:after="0" w:line="391" w:lineRule="exact"/>
        <w:rPr>
          <w:sz w:val="20"/>
          <w:szCs w:val="20"/>
          <w:color w:val="auto"/>
        </w:rPr>
      </w:pPr>
    </w:p>
    <w:p>
      <w:pPr>
        <w:jc w:val="both"/>
        <w:ind w:firstLine="1305"/>
        <w:spacing w:after="0" w:line="292" w:lineRule="auto"/>
        <w:tabs>
          <w:tab w:leader="none" w:pos="1796" w:val="left"/>
        </w:tabs>
        <w:numPr>
          <w:ilvl w:val="0"/>
          <w:numId w:val="99"/>
        </w:numPr>
        <w:rPr>
          <w:rFonts w:ascii="Arial" w:cs="Arial" w:eastAsia="Arial" w:hAnsi="Arial"/>
          <w:sz w:val="19"/>
          <w:szCs w:val="19"/>
          <w:color w:val="auto"/>
        </w:rPr>
      </w:pPr>
      <w:r>
        <w:rPr>
          <w:rFonts w:ascii="Arial" w:cs="Arial" w:eastAsia="Arial" w:hAnsi="Arial"/>
          <w:sz w:val="19"/>
          <w:szCs w:val="19"/>
          <w:color w:val="auto"/>
        </w:rPr>
        <w:t>each of Deutsche Bank Securities Inc. (“</w:t>
      </w:r>
      <w:r>
        <w:rPr>
          <w:rFonts w:ascii="Arial" w:cs="Arial" w:eastAsia="Arial" w:hAnsi="Arial"/>
          <w:sz w:val="19"/>
          <w:szCs w:val="19"/>
          <w:i w:val="1"/>
          <w:iCs w:val="1"/>
          <w:color w:val="auto"/>
        </w:rPr>
        <w:t>DBSI</w:t>
      </w:r>
      <w:r>
        <w:rPr>
          <w:rFonts w:ascii="Arial" w:cs="Arial" w:eastAsia="Arial" w:hAnsi="Arial"/>
          <w:sz w:val="19"/>
          <w:szCs w:val="19"/>
          <w:color w:val="auto"/>
        </w:rPr>
        <w:t>”), Barclays Bank PLC (“</w:t>
      </w:r>
      <w:r>
        <w:rPr>
          <w:rFonts w:ascii="Arial" w:cs="Arial" w:eastAsia="Arial" w:hAnsi="Arial"/>
          <w:sz w:val="19"/>
          <w:szCs w:val="19"/>
          <w:i w:val="1"/>
          <w:iCs w:val="1"/>
          <w:color w:val="auto"/>
        </w:rPr>
        <w:t>Barclays</w:t>
      </w:r>
      <w:r>
        <w:rPr>
          <w:rFonts w:ascii="Arial" w:cs="Arial" w:eastAsia="Arial" w:hAnsi="Arial"/>
          <w:sz w:val="19"/>
          <w:szCs w:val="19"/>
          <w:color w:val="auto"/>
        </w:rPr>
        <w:t>”), Citigroup Global Markets Inc. (“</w:t>
      </w:r>
      <w:r>
        <w:rPr>
          <w:rFonts w:ascii="Arial" w:cs="Arial" w:eastAsia="Arial" w:hAnsi="Arial"/>
          <w:sz w:val="19"/>
          <w:szCs w:val="19"/>
          <w:i w:val="1"/>
          <w:iCs w:val="1"/>
          <w:color w:val="auto"/>
        </w:rPr>
        <w:t>Citi</w:t>
      </w:r>
      <w:r>
        <w:rPr>
          <w:rFonts w:ascii="Arial" w:cs="Arial" w:eastAsia="Arial" w:hAnsi="Arial"/>
          <w:sz w:val="19"/>
          <w:szCs w:val="19"/>
          <w:color w:val="auto"/>
        </w:rPr>
        <w:t>”), Credit Suisse Securities (USA) LLC (“</w:t>
      </w:r>
      <w:r>
        <w:rPr>
          <w:rFonts w:ascii="Arial" w:cs="Arial" w:eastAsia="Arial" w:hAnsi="Arial"/>
          <w:sz w:val="19"/>
          <w:szCs w:val="19"/>
          <w:i w:val="1"/>
          <w:iCs w:val="1"/>
          <w:color w:val="auto"/>
        </w:rPr>
        <w:t>CS Securities</w:t>
      </w:r>
      <w:r>
        <w:rPr>
          <w:rFonts w:ascii="Arial" w:cs="Arial" w:eastAsia="Arial" w:hAnsi="Arial"/>
          <w:sz w:val="19"/>
          <w:szCs w:val="19"/>
          <w:color w:val="auto"/>
        </w:rPr>
        <w:t>”), Goldman Sachs Lending Partners LLC (“</w:t>
      </w:r>
      <w:r>
        <w:rPr>
          <w:rFonts w:ascii="Arial" w:cs="Arial" w:eastAsia="Arial" w:hAnsi="Arial"/>
          <w:sz w:val="19"/>
          <w:szCs w:val="19"/>
          <w:i w:val="1"/>
          <w:iCs w:val="1"/>
          <w:color w:val="auto"/>
        </w:rPr>
        <w:t>GSLP</w:t>
      </w:r>
      <w:r>
        <w:rPr>
          <w:rFonts w:ascii="Arial" w:cs="Arial" w:eastAsia="Arial" w:hAnsi="Arial"/>
          <w:sz w:val="19"/>
          <w:szCs w:val="19"/>
          <w:color w:val="auto"/>
        </w:rPr>
        <w:t>”), Industrial and Commercial Bank of China Limited, New York Branch (“</w:t>
      </w:r>
      <w:r>
        <w:rPr>
          <w:rFonts w:ascii="Arial" w:cs="Arial" w:eastAsia="Arial" w:hAnsi="Arial"/>
          <w:sz w:val="19"/>
          <w:szCs w:val="19"/>
          <w:i w:val="1"/>
          <w:iCs w:val="1"/>
          <w:color w:val="auto"/>
        </w:rPr>
        <w:t>ICBC</w:t>
      </w:r>
      <w:r>
        <w:rPr>
          <w:rFonts w:ascii="Arial" w:cs="Arial" w:eastAsia="Arial" w:hAnsi="Arial"/>
          <w:sz w:val="19"/>
          <w:szCs w:val="19"/>
          <w:color w:val="auto"/>
        </w:rPr>
        <w:t>”), JPMorgan Chase Bank, N.A. (“</w:t>
      </w:r>
      <w:r>
        <w:rPr>
          <w:rFonts w:ascii="Arial" w:cs="Arial" w:eastAsia="Arial" w:hAnsi="Arial"/>
          <w:sz w:val="19"/>
          <w:szCs w:val="19"/>
          <w:i w:val="1"/>
          <w:iCs w:val="1"/>
          <w:color w:val="auto"/>
        </w:rPr>
        <w:t>JPMCB</w:t>
      </w:r>
      <w:r>
        <w:rPr>
          <w:rFonts w:ascii="Arial" w:cs="Arial" w:eastAsia="Arial" w:hAnsi="Arial"/>
          <w:sz w:val="19"/>
          <w:szCs w:val="19"/>
          <w:color w:val="auto"/>
        </w:rPr>
        <w:t>”), Merrill Lynch, Pierce, Fenner &amp; Smith Incorporated (“</w:t>
      </w:r>
      <w:r>
        <w:rPr>
          <w:rFonts w:ascii="Arial" w:cs="Arial" w:eastAsia="Arial" w:hAnsi="Arial"/>
          <w:sz w:val="19"/>
          <w:szCs w:val="19"/>
          <w:i w:val="1"/>
          <w:iCs w:val="1"/>
          <w:color w:val="auto"/>
        </w:rPr>
        <w:t>ML</w:t>
      </w:r>
      <w:r>
        <w:rPr>
          <w:rFonts w:ascii="Arial" w:cs="Arial" w:eastAsia="Arial" w:hAnsi="Arial"/>
          <w:sz w:val="19"/>
          <w:szCs w:val="19"/>
          <w:color w:val="auto"/>
        </w:rPr>
        <w:t>”), Morgan Stanley Senior Funding, Inc. (“</w:t>
      </w:r>
      <w:r>
        <w:rPr>
          <w:rFonts w:ascii="Arial" w:cs="Arial" w:eastAsia="Arial" w:hAnsi="Arial"/>
          <w:sz w:val="19"/>
          <w:szCs w:val="19"/>
          <w:i w:val="1"/>
          <w:iCs w:val="1"/>
          <w:color w:val="auto"/>
        </w:rPr>
        <w:t>MS</w:t>
      </w:r>
      <w:r>
        <w:rPr>
          <w:rFonts w:ascii="Arial" w:cs="Arial" w:eastAsia="Arial" w:hAnsi="Arial"/>
          <w:sz w:val="19"/>
          <w:szCs w:val="19"/>
          <w:color w:val="auto"/>
        </w:rPr>
        <w:t>”), Sumitomo Mitsui Banking Corporation (“</w:t>
      </w:r>
      <w:r>
        <w:rPr>
          <w:rFonts w:ascii="Arial" w:cs="Arial" w:eastAsia="Arial" w:hAnsi="Arial"/>
          <w:sz w:val="19"/>
          <w:szCs w:val="19"/>
          <w:i w:val="1"/>
          <w:iCs w:val="1"/>
          <w:color w:val="auto"/>
        </w:rPr>
        <w:t>SMBC</w:t>
      </w:r>
      <w:r>
        <w:rPr>
          <w:rFonts w:ascii="Arial" w:cs="Arial" w:eastAsia="Arial" w:hAnsi="Arial"/>
          <w:sz w:val="19"/>
          <w:szCs w:val="19"/>
          <w:color w:val="auto"/>
        </w:rPr>
        <w:t>”), BNP Paribas Securities Corp. (“</w:t>
      </w:r>
      <w:r>
        <w:rPr>
          <w:rFonts w:ascii="Arial" w:cs="Arial" w:eastAsia="Arial" w:hAnsi="Arial"/>
          <w:sz w:val="19"/>
          <w:szCs w:val="19"/>
          <w:i w:val="1"/>
          <w:iCs w:val="1"/>
          <w:color w:val="auto"/>
        </w:rPr>
        <w:t>BNP Securities</w:t>
      </w:r>
      <w:r>
        <w:rPr>
          <w:rFonts w:ascii="Arial" w:cs="Arial" w:eastAsia="Arial" w:hAnsi="Arial"/>
          <w:sz w:val="19"/>
          <w:szCs w:val="19"/>
          <w:color w:val="auto"/>
        </w:rPr>
        <w:t>”), Credit Agricole Corporate and Investment Bank (“</w:t>
      </w:r>
      <w:r>
        <w:rPr>
          <w:rFonts w:ascii="Arial" w:cs="Arial" w:eastAsia="Arial" w:hAnsi="Arial"/>
          <w:sz w:val="19"/>
          <w:szCs w:val="19"/>
          <w:i w:val="1"/>
          <w:iCs w:val="1"/>
          <w:color w:val="auto"/>
        </w:rPr>
        <w:t>CA-CIB</w:t>
      </w:r>
      <w:r>
        <w:rPr>
          <w:rFonts w:ascii="Arial" w:cs="Arial" w:eastAsia="Arial" w:hAnsi="Arial"/>
          <w:sz w:val="19"/>
          <w:szCs w:val="19"/>
          <w:color w:val="auto"/>
        </w:rPr>
        <w:t>”), HSBC, MUFG, Standard Chartered Bank (“</w:t>
      </w:r>
      <w:r>
        <w:rPr>
          <w:rFonts w:ascii="Arial" w:cs="Arial" w:eastAsia="Arial" w:hAnsi="Arial"/>
          <w:sz w:val="19"/>
          <w:szCs w:val="19"/>
          <w:i w:val="1"/>
          <w:iCs w:val="1"/>
          <w:color w:val="auto"/>
        </w:rPr>
        <w:t>SCB</w:t>
      </w:r>
      <w:r>
        <w:rPr>
          <w:rFonts w:ascii="Arial" w:cs="Arial" w:eastAsia="Arial" w:hAnsi="Arial"/>
          <w:sz w:val="19"/>
          <w:szCs w:val="19"/>
          <w:color w:val="auto"/>
        </w:rPr>
        <w:t>”), U.S. Bank National Association (“</w:t>
      </w:r>
      <w:r>
        <w:rPr>
          <w:rFonts w:ascii="Arial" w:cs="Arial" w:eastAsia="Arial" w:hAnsi="Arial"/>
          <w:sz w:val="19"/>
          <w:szCs w:val="19"/>
          <w:i w:val="1"/>
          <w:iCs w:val="1"/>
          <w:color w:val="auto"/>
        </w:rPr>
        <w:t>US Bank</w:t>
      </w:r>
      <w:r>
        <w:rPr>
          <w:rFonts w:ascii="Arial" w:cs="Arial" w:eastAsia="Arial" w:hAnsi="Arial"/>
          <w:sz w:val="19"/>
          <w:szCs w:val="19"/>
          <w:color w:val="auto"/>
        </w:rPr>
        <w:t>”), and BoT shall be designated as, and perform the roles associated with, a joint lead arranger and bookrunner;</w:t>
      </w:r>
    </w:p>
    <w:p>
      <w:pPr>
        <w:spacing w:after="0" w:line="367" w:lineRule="exact"/>
        <w:rPr>
          <w:rFonts w:ascii="Arial" w:cs="Arial" w:eastAsia="Arial" w:hAnsi="Arial"/>
          <w:sz w:val="19"/>
          <w:szCs w:val="19"/>
          <w:color w:val="auto"/>
        </w:rPr>
      </w:pPr>
    </w:p>
    <w:p>
      <w:pPr>
        <w:ind w:firstLine="1305"/>
        <w:spacing w:after="0" w:line="263" w:lineRule="auto"/>
        <w:tabs>
          <w:tab w:leader="none" w:pos="1827" w:val="left"/>
        </w:tabs>
        <w:numPr>
          <w:ilvl w:val="0"/>
          <w:numId w:val="99"/>
        </w:numPr>
        <w:rPr>
          <w:rFonts w:ascii="Arial" w:cs="Arial" w:eastAsia="Arial" w:hAnsi="Arial"/>
          <w:sz w:val="22"/>
          <w:szCs w:val="22"/>
          <w:color w:val="auto"/>
        </w:rPr>
      </w:pPr>
      <w:r>
        <w:rPr>
          <w:rFonts w:ascii="Arial" w:cs="Arial" w:eastAsia="Arial" w:hAnsi="Arial"/>
          <w:sz w:val="22"/>
          <w:szCs w:val="22"/>
          <w:color w:val="auto"/>
        </w:rPr>
        <w:t>each of DBSI, Barclays, Citi, CS Securities, GSLP, ICBC, JPMCB, Bank of America, N.A., MS and SMBC shall be designated as, and perform the roles associated with, a syndication agent; and</w:t>
      </w:r>
    </w:p>
    <w:p>
      <w:pPr>
        <w:spacing w:after="0" w:line="390" w:lineRule="exact"/>
        <w:rPr>
          <w:rFonts w:ascii="Arial" w:cs="Arial" w:eastAsia="Arial" w:hAnsi="Arial"/>
          <w:sz w:val="22"/>
          <w:szCs w:val="22"/>
          <w:color w:val="auto"/>
        </w:rPr>
      </w:pPr>
    </w:p>
    <w:p>
      <w:pPr>
        <w:ind w:firstLine="1305"/>
        <w:spacing w:after="0" w:line="263" w:lineRule="auto"/>
        <w:tabs>
          <w:tab w:leader="none" w:pos="1758" w:val="left"/>
        </w:tabs>
        <w:numPr>
          <w:ilvl w:val="0"/>
          <w:numId w:val="99"/>
        </w:numPr>
        <w:rPr>
          <w:rFonts w:ascii="Arial" w:cs="Arial" w:eastAsia="Arial" w:hAnsi="Arial"/>
          <w:sz w:val="22"/>
          <w:szCs w:val="22"/>
          <w:color w:val="auto"/>
        </w:rPr>
      </w:pPr>
      <w:r>
        <w:rPr>
          <w:rFonts w:ascii="Arial" w:cs="Arial" w:eastAsia="Arial" w:hAnsi="Arial"/>
          <w:sz w:val="22"/>
          <w:szCs w:val="22"/>
          <w:color w:val="auto"/>
        </w:rPr>
        <w:t>each of BNP Securities, CA-CIB, HSBC, MUFG, SCB, US Bank, and BoT shall be designated as, and perform the roles associated with, a documentation agent.</w:t>
      </w:r>
    </w:p>
    <w:p>
      <w:pPr>
        <w:spacing w:after="0" w:line="39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SECTION FOUR - Conditions to Effectiveness</w:t>
      </w:r>
      <w:r>
        <w:rPr>
          <w:rFonts w:ascii="Arial" w:cs="Arial" w:eastAsia="Arial" w:hAnsi="Arial"/>
          <w:sz w:val="22"/>
          <w:szCs w:val="22"/>
          <w:color w:val="auto"/>
        </w:rPr>
        <w:t>. The provisions of Sections One and Two of this Fifth Amendment shall become effective on the date (the “</w:t>
      </w:r>
      <w:r>
        <w:rPr>
          <w:rFonts w:ascii="Arial" w:cs="Arial" w:eastAsia="Arial" w:hAnsi="Arial"/>
          <w:sz w:val="22"/>
          <w:szCs w:val="22"/>
          <w:i w:val="1"/>
          <w:iCs w:val="1"/>
          <w:color w:val="auto"/>
        </w:rPr>
        <w:t>Fifth Amendment Effective Date</w:t>
      </w:r>
      <w:r>
        <w:rPr>
          <w:rFonts w:ascii="Arial" w:cs="Arial" w:eastAsia="Arial" w:hAnsi="Arial"/>
          <w:sz w:val="22"/>
          <w:szCs w:val="22"/>
          <w:color w:val="auto"/>
        </w:rPr>
        <w:t>”) when each of the following conditions specified below shall have been satisfied:</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54" w:lineRule="auto"/>
        <w:tabs>
          <w:tab w:leader="none" w:pos="186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Borrower, the Guarantor, the Administrative Agent, each Issuing Lender, each Consenting Revolving Lender and each New Revolving Lender shall have signed a counterpart hereof (whether the same or different counterparts) and shall have delivered the same to Milbank, Tweed, Hadley &amp; McCloy LLP, 28 Liberty Street, New York, NY 10005, attention: Zara Shirazi;</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221" w:name="page222"/>
    <w:bookmarkEnd w:id="221"/>
    <w:p>
      <w:pPr>
        <w:jc w:val="both"/>
        <w:ind w:firstLine="1305"/>
        <w:spacing w:after="0" w:line="300" w:lineRule="auto"/>
        <w:tabs>
          <w:tab w:leader="none" w:pos="1958"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all reasonable invoiced out-of-pocket expenses incurred by the Extending Revolving Lenders and the Administrative Agent pursuant to Section 10.04 of the Credit Agreement (including the reasonable and documented fees other than the Commitment Fee, charges and disbursements of counsel) and all accrued and unpaid fees, owing and payable (including any fees agreed to in connection with this Fifth Amendment) shall have been paid to the extent invoiced at least two (2) Business Days prior to the Fifth Amendment Effective Date (or such shorter period as may be agreed by the Borrower);</w:t>
      </w:r>
    </w:p>
    <w:p>
      <w:pPr>
        <w:spacing w:after="0" w:line="363" w:lineRule="exact"/>
        <w:rPr>
          <w:rFonts w:ascii="Arial" w:cs="Arial" w:eastAsia="Arial" w:hAnsi="Arial"/>
          <w:sz w:val="19"/>
          <w:szCs w:val="19"/>
          <w:color w:val="auto"/>
        </w:rPr>
      </w:pPr>
    </w:p>
    <w:p>
      <w:pPr>
        <w:jc w:val="both"/>
        <w:ind w:firstLine="1305"/>
        <w:spacing w:after="0" w:line="260" w:lineRule="auto"/>
        <w:tabs>
          <w:tab w:leader="none" w:pos="171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Borrower shall have paid (or caused to be paid), for the account of each Extending Revolving Lender, a one time, non-refundable fee equal to the amount set forth in that certain Extending Revolving Lenders’ fee letter, among the Extending Revolving Lenders and the Borrower, dated as of the Fifth Amendment Effective Date;</w:t>
      </w:r>
    </w:p>
    <w:p>
      <w:pPr>
        <w:spacing w:after="0" w:line="393" w:lineRule="exact"/>
        <w:rPr>
          <w:rFonts w:ascii="Arial" w:cs="Arial" w:eastAsia="Arial" w:hAnsi="Arial"/>
          <w:sz w:val="22"/>
          <w:szCs w:val="22"/>
          <w:color w:val="auto"/>
        </w:rPr>
      </w:pPr>
    </w:p>
    <w:p>
      <w:pPr>
        <w:jc w:val="both"/>
        <w:ind w:firstLine="1305"/>
        <w:spacing w:after="0" w:line="260" w:lineRule="auto"/>
        <w:tabs>
          <w:tab w:leader="none" w:pos="1769"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of Latham &amp; Watkins LLP, special counsel for Parent, the Borrower and each other Guarantor addressed to the Administrative Agent and the Revolving Lenders party hereto, and dated the Fifth Amendment Effective Date;</w:t>
      </w:r>
    </w:p>
    <w:p>
      <w:pPr>
        <w:spacing w:after="0" w:line="393" w:lineRule="exact"/>
        <w:rPr>
          <w:rFonts w:ascii="Arial" w:cs="Arial" w:eastAsia="Arial" w:hAnsi="Arial"/>
          <w:sz w:val="22"/>
          <w:szCs w:val="22"/>
          <w:color w:val="auto"/>
        </w:rPr>
      </w:pPr>
    </w:p>
    <w:p>
      <w:pPr>
        <w:jc w:val="both"/>
        <w:ind w:firstLine="1305"/>
        <w:spacing w:after="0" w:line="254" w:lineRule="auto"/>
        <w:tabs>
          <w:tab w:leader="none" w:pos="1757"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Borrower shall have paid to the Administrative Agent (for the account of the Existing Revolving Lenders) all fees and interest accrued pursuant to Sections 2.07, 2.15, 2.16 and 2.21 of the Credit Agreement in respect of the Revolving Facility to, and including, the Fifth Amendment Effective Date, whether or not then due and payable under the terms of the Credit Agreement;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720" w:hanging="415"/>
        <w:spacing w:after="0"/>
        <w:tabs>
          <w:tab w:leader="none" w:pos="172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condition to the Revolving Extension effected pursuant to this Fifth Amendment set forth in Section 2.28(b)</w:t>
      </w:r>
    </w:p>
    <w:p>
      <w:pPr>
        <w:spacing w:after="0" w:line="56" w:lineRule="exact"/>
        <w:rPr>
          <w:rFonts w:ascii="Arial" w:cs="Arial" w:eastAsia="Arial" w:hAnsi="Arial"/>
          <w:sz w:val="19"/>
          <w:szCs w:val="19"/>
          <w:color w:val="auto"/>
        </w:rPr>
      </w:pPr>
    </w:p>
    <w:p>
      <w:pPr>
        <w:ind w:left="260" w:hanging="252"/>
        <w:spacing w:after="0"/>
        <w:tabs>
          <w:tab w:leader="none" w:pos="26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and Section 2.28(c) of the Credit Agreement shall have been satisfied;</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jc w:val="both"/>
        <w:ind w:firstLine="1305"/>
        <w:spacing w:after="0" w:line="290" w:lineRule="auto"/>
        <w:tabs>
          <w:tab w:leader="none" w:pos="179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certificate of the Secretary or Assistant Secretary (or similar Responsible Officer), dated the Fifth Amendment Effective Date (i) certifying as to the incumbency and specimen signature of each Responsible Officer of the Borrower and the Guarantor executing this Fifth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19"/>
          <w:szCs w:val="19"/>
          <w:u w:val="single" w:color="auto"/>
          <w:color w:val="auto"/>
        </w:rPr>
        <w:t>clause (g)</w:t>
      </w:r>
      <w:r>
        <w:rPr>
          <w:rFonts w:ascii="Arial" w:cs="Arial" w:eastAsia="Arial" w:hAnsi="Arial"/>
          <w:sz w:val="19"/>
          <w:szCs w:val="19"/>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Fifth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371" w:lineRule="exact"/>
        <w:rPr>
          <w:rFonts w:ascii="Arial" w:cs="Arial" w:eastAsia="Arial" w:hAnsi="Arial"/>
          <w:sz w:val="19"/>
          <w:szCs w:val="19"/>
          <w:color w:val="auto"/>
        </w:rPr>
      </w:pPr>
    </w:p>
    <w:p>
      <w:pPr>
        <w:jc w:val="both"/>
        <w:ind w:firstLine="1305"/>
        <w:spacing w:after="0" w:line="260" w:lineRule="auto"/>
        <w:tabs>
          <w:tab w:leader="none" w:pos="1742" w:val="left"/>
        </w:tabs>
        <w:numPr>
          <w:ilvl w:val="1"/>
          <w:numId w:val="102"/>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evidence that the Sixth Amendment to that certain Amended and Restated Credit and Guaranty Agreement, dated as of April 20, 2015 between, </w:t>
      </w:r>
      <w:r>
        <w:rPr>
          <w:rFonts w:ascii="Arial" w:cs="Arial" w:eastAsia="Arial" w:hAnsi="Arial"/>
          <w:sz w:val="22"/>
          <w:szCs w:val="22"/>
          <w:i w:val="1"/>
          <w:iCs w:val="1"/>
          <w:color w:val="auto"/>
        </w:rPr>
        <w:t>inter alios</w:t>
      </w:r>
      <w:r>
        <w:rPr>
          <w:rFonts w:ascii="Arial" w:cs="Arial" w:eastAsia="Arial" w:hAnsi="Arial"/>
          <w:sz w:val="22"/>
          <w:szCs w:val="22"/>
          <w:color w:val="auto"/>
        </w:rPr>
        <w:t>, the Borrower and Citibank N.A. as administrative agent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222" w:name="page223"/>
    <w:bookmarkEnd w:id="222"/>
    <w:p>
      <w:pPr>
        <w:jc w:val="both"/>
        <w:spacing w:after="0" w:line="253" w:lineRule="auto"/>
        <w:rPr>
          <w:sz w:val="20"/>
          <w:szCs w:val="20"/>
          <w:color w:val="auto"/>
        </w:rPr>
      </w:pPr>
      <w:r>
        <w:rPr>
          <w:rFonts w:ascii="Arial" w:cs="Arial" w:eastAsia="Arial" w:hAnsi="Arial"/>
          <w:sz w:val="22"/>
          <w:szCs w:val="22"/>
          <w:color w:val="auto"/>
        </w:rPr>
        <w:t xml:space="preserve">that the Fourth Amendment to that certain Credit and Guaranty Agreement, dated as of April 29, 2016, between, </w:t>
      </w:r>
      <w:r>
        <w:rPr>
          <w:rFonts w:ascii="Arial" w:cs="Arial" w:eastAsia="Arial" w:hAnsi="Arial"/>
          <w:sz w:val="22"/>
          <w:szCs w:val="22"/>
          <w:i w:val="1"/>
          <w:iCs w:val="1"/>
          <w:color w:val="auto"/>
        </w:rPr>
        <w:t>inter alios</w:t>
      </w:r>
      <w:r>
        <w:rPr>
          <w:rFonts w:ascii="Arial" w:cs="Arial" w:eastAsia="Arial" w:hAnsi="Arial"/>
          <w:sz w:val="22"/>
          <w:szCs w:val="22"/>
          <w:color w:val="auto"/>
        </w:rPr>
        <w:t>, the Borrower and Barclays Bank PLC as administrative agent have, or will contemporaneously with the Fifth Amendment Effective Date, become effective; and</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87" w:lineRule="auto"/>
        <w:tabs>
          <w:tab w:leader="none" w:pos="177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clause (i), the representations and warranties contained in (i) Section 3.04(a) of the Credit Agreement shall be deemed to refer to Parent’s Annual Report on Form 10-K for 2017 filed with the SEC (as amended) and all Quarterly Reports on Form 10-Q or Current Reports on Form 8-K that have been filed since December 31, 2017 by Parent with the SEC (as amended) and (ii) Section 3.05(a) of the Credit Agreement shall be deemed to refer to the audited consolidated financial statements of Parent and its Subsidiaries for the fiscal year ended December 31, 2017, included in Parent’s Annual Report on Form 10-K for 2017 filed with the SEC (as amended) and the unaudited consolidated financial statements of Parent and its Subsidiaries for the fiscal quarters ended March 31, 2018, June 30, 2018 and September 30, 2018, and (B) as to the absence of any event occurring and continuing, or resulting from this Fifth Amendment on, the Fifth Amendment Effective Date, that constitutes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621"/>
        <w:spacing w:after="0" w:line="286" w:lineRule="auto"/>
        <w:rPr>
          <w:sz w:val="20"/>
          <w:szCs w:val="20"/>
          <w:color w:val="auto"/>
        </w:rPr>
      </w:pPr>
      <w:r>
        <w:rPr>
          <w:rFonts w:ascii="Arial" w:cs="Arial" w:eastAsia="Arial" w:hAnsi="Arial"/>
          <w:sz w:val="19"/>
          <w:szCs w:val="19"/>
          <w:u w:val="single" w:color="auto"/>
          <w:color w:val="auto"/>
        </w:rPr>
        <w:t>SECTION FIVE - No Default; Representations and Warranties</w:t>
      </w:r>
      <w:r>
        <w:rPr>
          <w:rFonts w:ascii="Arial" w:cs="Arial" w:eastAsia="Arial" w:hAnsi="Arial"/>
          <w:sz w:val="19"/>
          <w:szCs w:val="19"/>
          <w:color w:val="auto"/>
        </w:rPr>
        <w:t xml:space="preserve">. In order to induce the Extending Revolving Lenders and the Administrative Agent to enter into this Fifth Amendment, the Borrower represents and warrants to each of the Extending Revolving Lenders and the Administrative Agent that, on and as of the date hereof after giving effect to this Fifth Amendment, (i) no Default or Event of Default has occurred and is continuing or would result from giving effect to this Fifth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Section Five, the representations and warranties contained in (i) Section 3.04(a) of the Credit Agreement shall be deemed to refer to Parent’s Annual Report on Form 10-K for 2017 filed with the SEC (as amended) and all Quarterly Reports on Form 10-Q or Current Reports on Form 8-K that have been filed since December 31, 2017 by Parent with the SEC (as amended) and (ii) Section 3.05(a) of the Credit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223" w:name="page224"/>
    <w:bookmarkEnd w:id="223"/>
    <w:p>
      <w:pPr>
        <w:jc w:val="both"/>
        <w:spacing w:after="0" w:line="250" w:lineRule="auto"/>
        <w:rPr>
          <w:sz w:val="20"/>
          <w:szCs w:val="20"/>
          <w:color w:val="auto"/>
        </w:rPr>
      </w:pPr>
      <w:r>
        <w:rPr>
          <w:rFonts w:ascii="Arial" w:cs="Arial" w:eastAsia="Arial" w:hAnsi="Arial"/>
          <w:sz w:val="22"/>
          <w:szCs w:val="22"/>
          <w:color w:val="auto"/>
        </w:rPr>
        <w:t>Agreement shall be deemed to refer to the audited consolidated financial statements of Parent and its Subsidiaries for the fiscal year ended December 31, 2017, included in Parent’s Annual Report on Form 10-K for 2017 filed with the SEC (as amended) and the unaudited consolidated financial statements of Parent and its Subsidiaries for the fiscal quarters ended March 31, 2018, June 30, 2018 and September 30, 2018.</w:t>
      </w:r>
    </w:p>
    <w:p>
      <w:pPr>
        <w:spacing w:after="0" w:line="200" w:lineRule="exact"/>
        <w:rPr>
          <w:sz w:val="20"/>
          <w:szCs w:val="20"/>
          <w:color w:val="auto"/>
        </w:rPr>
      </w:pPr>
    </w:p>
    <w:p>
      <w:pPr>
        <w:spacing w:after="0" w:line="205" w:lineRule="exact"/>
        <w:rPr>
          <w:sz w:val="20"/>
          <w:szCs w:val="20"/>
          <w:color w:val="auto"/>
        </w:rPr>
      </w:pPr>
    </w:p>
    <w:p>
      <w:pPr>
        <w:jc w:val="both"/>
        <w:ind w:firstLine="1621"/>
        <w:spacing w:after="0" w:line="260" w:lineRule="auto"/>
        <w:rPr>
          <w:sz w:val="20"/>
          <w:szCs w:val="20"/>
          <w:color w:val="auto"/>
        </w:rPr>
      </w:pPr>
      <w:r>
        <w:rPr>
          <w:rFonts w:ascii="Arial" w:cs="Arial" w:eastAsia="Arial" w:hAnsi="Arial"/>
          <w:sz w:val="21"/>
          <w:szCs w:val="21"/>
          <w:u w:val="single" w:color="auto"/>
          <w:color w:val="auto"/>
        </w:rPr>
        <w:t>SECTION SIX - Confirmation</w:t>
      </w:r>
      <w:r>
        <w:rPr>
          <w:rFonts w:ascii="Arial" w:cs="Arial" w:eastAsia="Arial" w:hAnsi="Arial"/>
          <w:sz w:val="21"/>
          <w:szCs w:val="21"/>
          <w:color w:val="auto"/>
        </w:rPr>
        <w:t>. The Borrower and each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extended pursuant to this Fifth Amendment) and all obligations of the Guarantors with respect of the guarantee of such obligations, respectively, and (ii) reaffirm the grant of Liens on the Collateral to secure the Obligations (as extended and increased pursuant to this Fifth Amendment) pursuant to the Collateral Documents.</w:t>
      </w:r>
    </w:p>
    <w:p>
      <w:pPr>
        <w:spacing w:after="0" w:line="397" w:lineRule="exact"/>
        <w:rPr>
          <w:sz w:val="20"/>
          <w:szCs w:val="20"/>
          <w:color w:val="auto"/>
        </w:rPr>
      </w:pPr>
    </w:p>
    <w:p>
      <w:pPr>
        <w:jc w:val="both"/>
        <w:ind w:firstLine="1621"/>
        <w:spacing w:after="0" w:line="259" w:lineRule="auto"/>
        <w:rPr>
          <w:sz w:val="20"/>
          <w:szCs w:val="20"/>
          <w:color w:val="auto"/>
        </w:rPr>
      </w:pPr>
      <w:r>
        <w:rPr>
          <w:rFonts w:ascii="Arial" w:cs="Arial" w:eastAsia="Arial" w:hAnsi="Arial"/>
          <w:sz w:val="21"/>
          <w:szCs w:val="21"/>
          <w:u w:val="single" w:color="auto"/>
          <w:color w:val="auto"/>
        </w:rPr>
        <w:t>SECTION SEVEN - Reference to and Effect on the Credit Agreement</w:t>
      </w:r>
      <w:r>
        <w:rPr>
          <w:rFonts w:ascii="Arial" w:cs="Arial" w:eastAsia="Arial" w:hAnsi="Arial"/>
          <w:sz w:val="21"/>
          <w:szCs w:val="21"/>
          <w:color w:val="auto"/>
        </w:rPr>
        <w:t>. On and after the Fifth Amendment Effective Date, each reference in the Credit Agreement to “this Agreement,” “hereunder,” “hereof” or words of like import referring to the Credit Agreement, shall mean and be a reference to the Credit Agreement as amended by this Fifth Amendment. The Credit Agreement and each of the other Loan Documents, as specifically amended by this Fifth Amendment, are and shall continue to be in full force and effect and are hereby in all respects ratified and confirmed. This Fifth Amendment shall be deemed to be a “Loan Document” for all purposes of the Credit Agreement (as amended hereby) and the other Loan Documents. The execution, delivery and effectiveness of this Fifth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396" w:lineRule="exact"/>
        <w:rPr>
          <w:sz w:val="20"/>
          <w:szCs w:val="20"/>
          <w:color w:val="auto"/>
        </w:rPr>
      </w:pPr>
    </w:p>
    <w:p>
      <w:pPr>
        <w:jc w:val="both"/>
        <w:ind w:firstLine="1621"/>
        <w:spacing w:after="0" w:line="297" w:lineRule="auto"/>
        <w:rPr>
          <w:sz w:val="20"/>
          <w:szCs w:val="20"/>
          <w:color w:val="auto"/>
        </w:rPr>
      </w:pPr>
      <w:r>
        <w:rPr>
          <w:rFonts w:ascii="Arial" w:cs="Arial" w:eastAsia="Arial" w:hAnsi="Arial"/>
          <w:sz w:val="19"/>
          <w:szCs w:val="19"/>
          <w:u w:val="single" w:color="auto"/>
          <w:color w:val="auto"/>
        </w:rPr>
        <w:t>SECTION EIGHT - Execution in Counterparts</w:t>
      </w:r>
      <w:r>
        <w:rPr>
          <w:rFonts w:ascii="Arial" w:cs="Arial" w:eastAsia="Arial" w:hAnsi="Arial"/>
          <w:sz w:val="19"/>
          <w:szCs w:val="19"/>
          <w:color w:val="auto"/>
        </w:rPr>
        <w:t>. This Fifth Amendment may be executed in counterparts (and by different parties hereto on different counterparts), each of which shall constitute an original, but all of which when taken together shall constitute a single contract. This Fifth Amendment shall be binding upon and inure to the benefit of the parties hereto and their respective successors and assigns. Delivery of an executed counterpart of a signature page of this Fifth Amendment by facsimile or electronic .pdf copy shall be effective as delivery of a manually executed counterpart of this Fifth Amendment.</w:t>
      </w:r>
    </w:p>
    <w:p>
      <w:pPr>
        <w:spacing w:after="0" w:line="363" w:lineRule="exact"/>
        <w:rPr>
          <w:sz w:val="20"/>
          <w:szCs w:val="20"/>
          <w:color w:val="auto"/>
        </w:rPr>
      </w:pPr>
    </w:p>
    <w:p>
      <w:pPr>
        <w:jc w:val="both"/>
        <w:ind w:firstLine="1621"/>
        <w:spacing w:after="0" w:line="253" w:lineRule="auto"/>
        <w:rPr>
          <w:sz w:val="20"/>
          <w:szCs w:val="20"/>
          <w:color w:val="auto"/>
        </w:rPr>
      </w:pPr>
      <w:r>
        <w:rPr>
          <w:rFonts w:ascii="Arial" w:cs="Arial" w:eastAsia="Arial" w:hAnsi="Arial"/>
          <w:sz w:val="22"/>
          <w:szCs w:val="22"/>
          <w:u w:val="single" w:color="auto"/>
          <w:color w:val="auto"/>
        </w:rPr>
        <w:t>SECTION NINE - Governing Law</w:t>
      </w:r>
      <w:r>
        <w:rPr>
          <w:rFonts w:ascii="Arial" w:cs="Arial" w:eastAsia="Arial" w:hAnsi="Arial"/>
          <w:sz w:val="22"/>
          <w:szCs w:val="22"/>
          <w:color w:val="auto"/>
        </w:rPr>
        <w:t>. THIS FIFTH AMENDMENT AND THE RIGHTS AND OBLIGATIONS OF THE PARTIES UNDER THIS FIFTH AMENDMENT SHALL BE GOVERNED BY, AND CONSTRUED AND INTERPRETED IN ACCORDANCE WITH, THE LAWS OF THE STATE OF NEW YORK.</w:t>
      </w:r>
    </w:p>
    <w:p>
      <w:pPr>
        <w:spacing w:after="0" w:line="200" w:lineRule="exact"/>
        <w:rPr>
          <w:sz w:val="20"/>
          <w:szCs w:val="20"/>
          <w:color w:val="auto"/>
        </w:rPr>
      </w:pPr>
    </w:p>
    <w:p>
      <w:pPr>
        <w:spacing w:after="0" w:line="202" w:lineRule="exact"/>
        <w:rPr>
          <w:sz w:val="20"/>
          <w:szCs w:val="20"/>
          <w:color w:val="auto"/>
        </w:rPr>
      </w:pPr>
    </w:p>
    <w:p>
      <w:pPr>
        <w:jc w:val="both"/>
        <w:ind w:firstLine="1621"/>
        <w:spacing w:after="0" w:line="253" w:lineRule="auto"/>
        <w:rPr>
          <w:sz w:val="20"/>
          <w:szCs w:val="20"/>
          <w:color w:val="auto"/>
        </w:rPr>
      </w:pPr>
      <w:r>
        <w:rPr>
          <w:rFonts w:ascii="Arial" w:cs="Arial" w:eastAsia="Arial" w:hAnsi="Arial"/>
          <w:sz w:val="22"/>
          <w:szCs w:val="22"/>
          <w:u w:val="single" w:color="auto"/>
          <w:color w:val="auto"/>
        </w:rPr>
        <w:t>SECTION TEN - Miscellaneous</w:t>
      </w:r>
      <w:r>
        <w:rPr>
          <w:rFonts w:ascii="Arial" w:cs="Arial" w:eastAsia="Arial" w:hAnsi="Arial"/>
          <w:sz w:val="22"/>
          <w:szCs w:val="22"/>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224" w:name="page225"/>
    <w:bookmarkEnd w:id="224"/>
    <w:p>
      <w:pPr>
        <w:jc w:val="both"/>
        <w:ind w:left="-20" w:firstLine="1305"/>
        <w:spacing w:after="0" w:line="250" w:lineRule="auto"/>
        <w:tabs>
          <w:tab w:leader="none" w:pos="174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this Fifth Amendment, the Borrower and the Administrative Agent shall treat (and the Lenders party hereto hereby authorize the Administrative Agent to treat) the Revolving Facility as not qualifying as a “grandfathered obligation” within the meaning of Treasury Regulation Section 1.1471-2(b)(2)(i).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IS LEFT BLANK INTENTIONALLY]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60" w:top="591" w:right="239" w:bottom="1440" w:gutter="0" w:footer="0" w:header="0"/>
        </w:sectPr>
      </w:pPr>
    </w:p>
    <w:bookmarkStart w:id="225" w:name="page226"/>
    <w:bookmarkEnd w:id="225"/>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Fifth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830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26">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Thomas T. Weir</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 as Parent and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830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27">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Thomas T. Weir</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Fifth Amendment to Amended and Restated Credit and Guaranty Agreement (South America)</w:t>
      </w:r>
    </w:p>
    <w:p>
      <w:pPr>
        <w:sectPr>
          <w:pgSz w:w="11900" w:h="16838" w:orient="portrait"/>
          <w:cols w:equalWidth="0" w:num="1">
            <w:col w:w="11420"/>
          </w:cols>
          <w:pgMar w:left="240" w:top="591" w:right="239" w:bottom="1440" w:gutter="0" w:footer="0" w:header="0"/>
        </w:sectPr>
      </w:pPr>
    </w:p>
    <w:bookmarkStart w:id="226" w:name="page227"/>
    <w:bookmarkEnd w:id="226"/>
    <w:p>
      <w:pPr>
        <w:ind w:left="2700"/>
        <w:spacing w:after="0"/>
        <w:rPr>
          <w:sz w:val="20"/>
          <w:szCs w:val="20"/>
          <w:color w:val="auto"/>
        </w:rPr>
      </w:pPr>
      <w:r>
        <w:rPr>
          <w:rFonts w:ascii="Arial" w:cs="Arial" w:eastAsia="Arial" w:hAnsi="Arial"/>
          <w:sz w:val="22"/>
          <w:szCs w:val="22"/>
          <w:color w:val="auto"/>
        </w:rPr>
        <w:t>DEUTSCHE BANK AG NEW YORK BRANCH,</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Marguerite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382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28">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Marguerite Sutton</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Maria Guinchard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792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29">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Maria Guinchard</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Fifth Amendment to Amended and Restated Credit and Guaranty Agreement (South America)</w:t>
      </w:r>
    </w:p>
    <w:p>
      <w:pPr>
        <w:sectPr>
          <w:pgSz w:w="11900" w:h="16838" w:orient="portrait"/>
          <w:cols w:equalWidth="0" w:num="1">
            <w:col w:w="9019"/>
          </w:cols>
          <w:pgMar w:left="1440" w:top="807" w:right="1440" w:bottom="1440" w:gutter="0" w:footer="0" w:header="0"/>
        </w:sectPr>
      </w:pPr>
    </w:p>
    <w:bookmarkStart w:id="227" w:name="page228"/>
    <w:bookmarkEnd w:id="227"/>
    <w:p>
      <w:pPr>
        <w:ind w:left="3900"/>
        <w:spacing w:after="0"/>
        <w:rPr>
          <w:sz w:val="20"/>
          <w:szCs w:val="20"/>
          <w:color w:val="auto"/>
        </w:rPr>
      </w:pPr>
      <w:r>
        <w:rPr>
          <w:rFonts w:ascii="Arial" w:cs="Arial" w:eastAsia="Arial" w:hAnsi="Arial"/>
          <w:sz w:val="22"/>
          <w:szCs w:val="22"/>
          <w:b w:val="1"/>
          <w:bCs w:val="1"/>
          <w:i w:val="1"/>
          <w:iCs w:val="1"/>
          <w:u w:val="single" w:color="auto"/>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Annex A</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Lenders and Commitments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260" w:type="dxa"/>
            <w:vAlign w:val="bottom"/>
            <w:tcBorders>
              <w:top w:val="single" w:sz="8" w:color="auto"/>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Name of Bank</w:t>
            </w:r>
          </w:p>
        </w:tc>
        <w:tc>
          <w:tcPr>
            <w:tcW w:w="2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Fifth Amendment</w:t>
            </w:r>
          </w:p>
        </w:tc>
        <w:tc>
          <w:tcPr>
            <w:tcW w:w="23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1"/>
              </w:rPr>
              <w:t>Fifth Amendment Non-</w:t>
            </w:r>
          </w:p>
        </w:tc>
        <w:tc>
          <w:tcPr>
            <w:tcW w:w="2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4"/>
              </w:rPr>
              <w:t>LC Commitment</w:t>
            </w:r>
          </w:p>
        </w:tc>
      </w:tr>
      <w:tr>
        <w:trPr>
          <w:trHeight w:val="243"/>
        </w:trPr>
        <w:tc>
          <w:tcPr>
            <w:tcW w:w="4260" w:type="dxa"/>
            <w:vAlign w:val="bottom"/>
            <w:tcBorders>
              <w:left w:val="single" w:sz="8" w:color="auto"/>
              <w:right w:val="single" w:sz="8" w:color="auto"/>
            </w:tcBorders>
            <w:shd w:val="clear" w:color="auto" w:fill="D9D9D9"/>
          </w:tcPr>
          <w:p>
            <w:pPr>
              <w:spacing w:after="0"/>
              <w:rPr>
                <w:sz w:val="21"/>
                <w:szCs w:val="21"/>
                <w:color w:val="auto"/>
              </w:rPr>
            </w:pPr>
          </w:p>
        </w:tc>
        <w:tc>
          <w:tcPr>
            <w:tcW w:w="240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8"/>
              </w:rPr>
              <w:t>Extended Revolving</w:t>
            </w:r>
          </w:p>
        </w:tc>
        <w:tc>
          <w:tcPr>
            <w:tcW w:w="238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7"/>
              </w:rPr>
              <w:t>Extended Revolving</w:t>
            </w:r>
          </w:p>
        </w:tc>
        <w:tc>
          <w:tcPr>
            <w:tcW w:w="2400" w:type="dxa"/>
            <w:vAlign w:val="bottom"/>
            <w:tcBorders>
              <w:right w:val="single" w:sz="8" w:color="auto"/>
            </w:tcBorders>
            <w:shd w:val="clear" w:color="auto" w:fill="D9D9D9"/>
          </w:tcPr>
          <w:p>
            <w:pPr>
              <w:spacing w:after="0"/>
              <w:rPr>
                <w:sz w:val="21"/>
                <w:szCs w:val="21"/>
                <w:color w:val="auto"/>
              </w:rPr>
            </w:pPr>
          </w:p>
        </w:tc>
      </w:tr>
      <w:tr>
        <w:trPr>
          <w:trHeight w:val="281"/>
        </w:trPr>
        <w:tc>
          <w:tcPr>
            <w:tcW w:w="4260" w:type="dxa"/>
            <w:vAlign w:val="bottom"/>
            <w:tcBorders>
              <w:left w:val="single" w:sz="8" w:color="auto"/>
              <w:right w:val="single" w:sz="8" w:color="auto"/>
            </w:tcBorders>
            <w:shd w:val="clear" w:color="auto" w:fill="D9D9D9"/>
          </w:tcPr>
          <w:p>
            <w:pPr>
              <w:spacing w:after="0"/>
              <w:rPr>
                <w:sz w:val="24"/>
                <w:szCs w:val="24"/>
                <w:color w:val="auto"/>
              </w:rPr>
            </w:pPr>
          </w:p>
        </w:tc>
        <w:tc>
          <w:tcPr>
            <w:tcW w:w="24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Commitment</w:t>
            </w:r>
          </w:p>
        </w:tc>
        <w:tc>
          <w:tcPr>
            <w:tcW w:w="23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2"/>
              </w:rPr>
              <w:t>Commitment</w:t>
            </w:r>
          </w:p>
        </w:tc>
        <w:tc>
          <w:tcPr>
            <w:tcW w:w="2400" w:type="dxa"/>
            <w:vAlign w:val="bottom"/>
            <w:tcBorders>
              <w:right w:val="single" w:sz="8" w:color="auto"/>
            </w:tcBorders>
            <w:shd w:val="clear" w:color="auto" w:fill="D9D9D9"/>
          </w:tcPr>
          <w:p>
            <w:pPr>
              <w:spacing w:after="0"/>
              <w:rPr>
                <w:sz w:val="24"/>
                <w:szCs w:val="24"/>
                <w:color w:val="auto"/>
              </w:rPr>
            </w:pPr>
          </w:p>
        </w:tc>
      </w:tr>
      <w:tr>
        <w:trPr>
          <w:trHeight w:val="179"/>
        </w:trPr>
        <w:tc>
          <w:tcPr>
            <w:tcW w:w="426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2400" w:type="dxa"/>
            <w:vAlign w:val="bottom"/>
            <w:tcBorders>
              <w:bottom w:val="single" w:sz="8" w:color="auto"/>
              <w:right w:val="single" w:sz="8" w:color="auto"/>
            </w:tcBorders>
            <w:shd w:val="clear" w:color="auto" w:fill="D9D9D9"/>
          </w:tcPr>
          <w:p>
            <w:pPr>
              <w:spacing w:after="0"/>
              <w:rPr>
                <w:sz w:val="15"/>
                <w:szCs w:val="15"/>
                <w:color w:val="auto"/>
              </w:rPr>
            </w:pPr>
          </w:p>
        </w:tc>
        <w:tc>
          <w:tcPr>
            <w:tcW w:w="2380" w:type="dxa"/>
            <w:vAlign w:val="bottom"/>
            <w:tcBorders>
              <w:bottom w:val="single" w:sz="8" w:color="auto"/>
              <w:right w:val="single" w:sz="8" w:color="auto"/>
            </w:tcBorders>
            <w:shd w:val="clear" w:color="auto" w:fill="D9D9D9"/>
          </w:tcPr>
          <w:p>
            <w:pPr>
              <w:spacing w:after="0"/>
              <w:rPr>
                <w:sz w:val="15"/>
                <w:szCs w:val="15"/>
                <w:color w:val="auto"/>
              </w:rPr>
            </w:pPr>
          </w:p>
        </w:tc>
        <w:tc>
          <w:tcPr>
            <w:tcW w:w="240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Deutsche Bank AG New York Branch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$100,000,000</w:t>
            </w: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Bank of America,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Barclays Bank PLC</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Citibank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Credit Suisse AG, Cayman Islands Branch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Goldman Sachs Bank USA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Goldman Sachs Lending Partners LLC</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42"/>
        </w:trPr>
        <w:tc>
          <w:tcPr>
            <w:tcW w:w="426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rPr>
              <w:t>Industrial and Commercial Bank of China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line="242" w:lineRule="exact"/>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1"/>
                <w:szCs w:val="21"/>
                <w:color w:val="auto"/>
              </w:rPr>
            </w:pPr>
          </w:p>
        </w:tc>
      </w:tr>
      <w:tr>
        <w:trPr>
          <w:trHeight w:val="275"/>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Limited, New York Branch</w:t>
            </w:r>
          </w:p>
        </w:tc>
        <w:tc>
          <w:tcPr>
            <w:tcW w:w="240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tcPr>
          <w:p>
            <w:pPr>
              <w:spacing w:after="0"/>
              <w:rPr>
                <w:sz w:val="23"/>
                <w:szCs w:val="23"/>
                <w:color w:val="auto"/>
              </w:rPr>
            </w:pP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JPMorgan Chase 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Morgan Stanley 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Morgan Stanley Senior Funding, Inc.</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Sumitomo Mitsui Banking Corporation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BNP Paribas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0"/>
              </w:rPr>
              <w:t>Credit Agricole Corporate and Investment Bank</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HSBC Bank USA,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MUFG Union 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Standard Chartered Bank</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U.S. Bank National Association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BOKF, NA dba Bank of 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Texas Capital 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Total:</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$985,600,000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$14,400,000</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$100,000,000</w:t>
            </w: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40"/>
          </w:cols>
          <w:pgMar w:left="240" w:top="807"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807" w:right="219" w:bottom="0" w:gutter="0" w:footer="0" w:header="0"/>
          <w:type w:val="continuous"/>
        </w:sectPr>
      </w:pPr>
    </w:p>
    <w:bookmarkStart w:id="228" w:name="page229"/>
    <w:bookmarkEnd w:id="228"/>
    <w:p>
      <w:pPr>
        <w:spacing w:after="0" w:line="275" w:lineRule="auto"/>
        <w:rPr>
          <w:sz w:val="20"/>
          <w:szCs w:val="20"/>
          <w:color w:val="auto"/>
        </w:rPr>
      </w:pPr>
    </w:p>
    <w:p>
      <w:pPr>
        <w:sectPr>
          <w:pgSz w:w="11900" w:h="16838" w:orient="portrait"/>
          <w:cols w:equalWidth="1" w:num="1" w:space="0"/>
          <w:pgMar w:left="1440" w:top="1440" w:right="1440" w:bottom="875"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FOURTH AMENDMENT TO CREDIT AND GUARANTY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THIS FOURTH AMENDMENT TO CREDIT AND GUARANTY AGREEMENT (this “</w:t>
      </w:r>
      <w:r>
        <w:rPr>
          <w:rFonts w:ascii="Arial" w:cs="Arial" w:eastAsia="Arial" w:hAnsi="Arial"/>
          <w:sz w:val="19"/>
          <w:szCs w:val="19"/>
          <w:i w:val="1"/>
          <w:iCs w:val="1"/>
          <w:color w:val="auto"/>
        </w:rPr>
        <w:t>Fourth Amendment</w:t>
      </w:r>
      <w:r>
        <w:rPr>
          <w:rFonts w:ascii="Arial" w:cs="Arial" w:eastAsia="Arial" w:hAnsi="Arial"/>
          <w:sz w:val="19"/>
          <w:szCs w:val="19"/>
          <w:color w:val="auto"/>
        </w:rPr>
        <w:t>”), is dated as of December 10, 2018 and is among American Airlines, Inc., a Delaware corporation (the “</w:t>
      </w:r>
      <w:r>
        <w:rPr>
          <w:rFonts w:ascii="Arial" w:cs="Arial" w:eastAsia="Arial" w:hAnsi="Arial"/>
          <w:sz w:val="19"/>
          <w:szCs w:val="19"/>
          <w:i w:val="1"/>
          <w:iCs w:val="1"/>
          <w:color w:val="auto"/>
        </w:rPr>
        <w:t>Borrower</w:t>
      </w:r>
      <w:r>
        <w:rPr>
          <w:rFonts w:ascii="Arial" w:cs="Arial" w:eastAsia="Arial" w:hAnsi="Arial"/>
          <w:sz w:val="19"/>
          <w:szCs w:val="19"/>
          <w:color w:val="auto"/>
        </w:rPr>
        <w:t>”), American Airlines Group Inc., a Delaware corporation (the “</w:t>
      </w:r>
      <w:r>
        <w:rPr>
          <w:rFonts w:ascii="Arial" w:cs="Arial" w:eastAsia="Arial" w:hAnsi="Arial"/>
          <w:sz w:val="19"/>
          <w:szCs w:val="19"/>
          <w:i w:val="1"/>
          <w:iCs w:val="1"/>
          <w:color w:val="auto"/>
        </w:rPr>
        <w:t>Parent</w:t>
      </w:r>
      <w:r>
        <w:rPr>
          <w:rFonts w:ascii="Arial" w:cs="Arial" w:eastAsia="Arial" w:hAnsi="Arial"/>
          <w:sz w:val="19"/>
          <w:szCs w:val="19"/>
          <w:color w:val="auto"/>
        </w:rPr>
        <w:t>” or the “</w:t>
      </w:r>
      <w:r>
        <w:rPr>
          <w:rFonts w:ascii="Arial" w:cs="Arial" w:eastAsia="Arial" w:hAnsi="Arial"/>
          <w:sz w:val="19"/>
          <w:szCs w:val="19"/>
          <w:i w:val="1"/>
          <w:iCs w:val="1"/>
          <w:color w:val="auto"/>
        </w:rPr>
        <w:t>Guarantor</w:t>
      </w:r>
      <w:r>
        <w:rPr>
          <w:rFonts w:ascii="Arial" w:cs="Arial" w:eastAsia="Arial" w:hAnsi="Arial"/>
          <w:sz w:val="19"/>
          <w:szCs w:val="19"/>
          <w:color w:val="auto"/>
        </w:rPr>
        <w:t>”), the Consenting Revolving Lenders (as defined below) party hereto, HSBC Bank USA, N.A. (“</w:t>
      </w:r>
      <w:r>
        <w:rPr>
          <w:rFonts w:ascii="Arial" w:cs="Arial" w:eastAsia="Arial" w:hAnsi="Arial"/>
          <w:sz w:val="19"/>
          <w:szCs w:val="19"/>
          <w:i w:val="1"/>
          <w:iCs w:val="1"/>
          <w:color w:val="auto"/>
        </w:rPr>
        <w:t>HSBC</w:t>
      </w:r>
      <w:r>
        <w:rPr>
          <w:rFonts w:ascii="Arial" w:cs="Arial" w:eastAsia="Arial" w:hAnsi="Arial"/>
          <w:sz w:val="19"/>
          <w:szCs w:val="19"/>
          <w:color w:val="auto"/>
        </w:rPr>
        <w:t>”), MUFG Union Bank, N.A. (“</w:t>
      </w:r>
      <w:r>
        <w:rPr>
          <w:rFonts w:ascii="Arial" w:cs="Arial" w:eastAsia="Arial" w:hAnsi="Arial"/>
          <w:sz w:val="19"/>
          <w:szCs w:val="19"/>
          <w:i w:val="1"/>
          <w:iCs w:val="1"/>
          <w:color w:val="auto"/>
        </w:rPr>
        <w:t>MUFG</w:t>
      </w:r>
      <w:r>
        <w:rPr>
          <w:rFonts w:ascii="Arial" w:cs="Arial" w:eastAsia="Arial" w:hAnsi="Arial"/>
          <w:sz w:val="19"/>
          <w:szCs w:val="19"/>
          <w:color w:val="auto"/>
        </w:rPr>
        <w:t>”) and BOKF, NA dba Bank of Texas (“</w:t>
      </w:r>
      <w:r>
        <w:rPr>
          <w:rFonts w:ascii="Arial" w:cs="Arial" w:eastAsia="Arial" w:hAnsi="Arial"/>
          <w:sz w:val="19"/>
          <w:szCs w:val="19"/>
          <w:i w:val="1"/>
          <w:iCs w:val="1"/>
          <w:color w:val="auto"/>
        </w:rPr>
        <w:t>BoT</w:t>
      </w:r>
      <w:r>
        <w:rPr>
          <w:rFonts w:ascii="Arial" w:cs="Arial" w:eastAsia="Arial" w:hAnsi="Arial"/>
          <w:sz w:val="19"/>
          <w:szCs w:val="19"/>
          <w:color w:val="auto"/>
        </w:rPr>
        <w:t>” and together with HSBC and MUFG, collectively, the “</w:t>
      </w:r>
      <w:r>
        <w:rPr>
          <w:rFonts w:ascii="Arial" w:cs="Arial" w:eastAsia="Arial" w:hAnsi="Arial"/>
          <w:sz w:val="19"/>
          <w:szCs w:val="19"/>
          <w:i w:val="1"/>
          <w:iCs w:val="1"/>
          <w:color w:val="auto"/>
        </w:rPr>
        <w:t>New Revolving Lenders</w:t>
      </w:r>
      <w:r>
        <w:rPr>
          <w:rFonts w:ascii="Arial" w:cs="Arial" w:eastAsia="Arial" w:hAnsi="Arial"/>
          <w:sz w:val="19"/>
          <w:szCs w:val="19"/>
          <w:color w:val="auto"/>
        </w:rPr>
        <w:t>”) and Barclays Bank PLC, as administrative agent (in such capacity, the “</w:t>
      </w:r>
      <w:r>
        <w:rPr>
          <w:rFonts w:ascii="Arial" w:cs="Arial" w:eastAsia="Arial" w:hAnsi="Arial"/>
          <w:sz w:val="19"/>
          <w:szCs w:val="19"/>
          <w:i w:val="1"/>
          <w:iCs w:val="1"/>
          <w:color w:val="auto"/>
        </w:rPr>
        <w:t>Administrative Agent</w:t>
      </w:r>
      <w:r>
        <w:rPr>
          <w:rFonts w:ascii="Arial" w:cs="Arial" w:eastAsia="Arial" w:hAnsi="Arial"/>
          <w:sz w:val="19"/>
          <w:szCs w:val="19"/>
          <w:color w:val="auto"/>
        </w:rPr>
        <w:t>”). Unless otherwise indicated, all capitalized terms used herein and not otherwise defined shall have the respective meanings provided to such terms in the Credit Agreement as defined below.</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WHEREAS, the Borrower, the Guarantor, the lenders from time to time party thereto, the Administrative Agent and certain other parties thereto are parties to that certain Credit and Guaranty Agreement, dated as of April 29, 2016 (as amended by that certain First Amendment to Credit and Guaranty Agreement, dated October 31, 2016 and as further amended, restated, supplemented or otherwise modified up to, but not including, the Fourth Amendment Effective Date as defined below, the “</w:t>
      </w:r>
      <w:r>
        <w:rPr>
          <w:rFonts w:ascii="Arial" w:cs="Arial" w:eastAsia="Arial" w:hAnsi="Arial"/>
          <w:sz w:val="22"/>
          <w:szCs w:val="22"/>
          <w:i w:val="1"/>
          <w:iCs w:val="1"/>
          <w:color w:val="auto"/>
        </w:rPr>
        <w:t>Credit</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200" w:lineRule="exact"/>
        <w:rPr>
          <w:sz w:val="20"/>
          <w:szCs w:val="20"/>
          <w:color w:val="auto"/>
        </w:rPr>
      </w:pPr>
    </w:p>
    <w:p>
      <w:pPr>
        <w:spacing w:after="0" w:line="202"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WHEREAS, the Borrower hereby (i) requests that each Revolving Lender that is a party to the Credit Agreement immediately prior to the Fourth Amendment Effective Date (each, an “</w:t>
      </w:r>
      <w:r>
        <w:rPr>
          <w:rFonts w:ascii="Arial" w:cs="Arial" w:eastAsia="Arial" w:hAnsi="Arial"/>
          <w:sz w:val="19"/>
          <w:szCs w:val="19"/>
          <w:i w:val="1"/>
          <w:iCs w:val="1"/>
          <w:color w:val="auto"/>
        </w:rPr>
        <w:t>Existing Revolving Lender</w:t>
      </w:r>
      <w:r>
        <w:rPr>
          <w:rFonts w:ascii="Arial" w:cs="Arial" w:eastAsia="Arial" w:hAnsi="Arial"/>
          <w:sz w:val="19"/>
          <w:szCs w:val="19"/>
          <w:color w:val="auto"/>
        </w:rPr>
        <w:t>”) extend the maturity of such Existing Revolving Lender’s Revolving Commitment pursuant to, and in accordance with the terms of, Section 2.28(b), (c), (d) and</w:t>
      </w:r>
    </w:p>
    <w:p>
      <w:pPr>
        <w:spacing w:after="0" w:line="1" w:lineRule="exact"/>
        <w:rPr>
          <w:sz w:val="20"/>
          <w:szCs w:val="20"/>
          <w:color w:val="auto"/>
        </w:rPr>
      </w:pPr>
    </w:p>
    <w:p>
      <w:pPr>
        <w:jc w:val="both"/>
        <w:ind w:firstLine="8"/>
        <w:spacing w:after="0" w:line="244" w:lineRule="auto"/>
        <w:tabs>
          <w:tab w:leader="none" w:pos="29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of the Credit Agreement and this Fourth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be subject to the Revolving Extension contemplated hereby;</w:t>
      </w:r>
    </w:p>
    <w:p>
      <w:pPr>
        <w:spacing w:after="0" w:line="200" w:lineRule="exact"/>
        <w:rPr>
          <w:sz w:val="20"/>
          <w:szCs w:val="20"/>
          <w:color w:val="auto"/>
        </w:rPr>
      </w:pPr>
    </w:p>
    <w:p>
      <w:pPr>
        <w:spacing w:after="0" w:line="21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WHEREAS, the undersigned Existing Revolving Lenders (the “</w:t>
      </w:r>
      <w:r>
        <w:rPr>
          <w:rFonts w:ascii="Arial" w:cs="Arial" w:eastAsia="Arial" w:hAnsi="Arial"/>
          <w:sz w:val="22"/>
          <w:szCs w:val="22"/>
          <w:i w:val="1"/>
          <w:iCs w:val="1"/>
          <w:color w:val="auto"/>
        </w:rPr>
        <w:t>Consenting Revolving Lenders</w:t>
      </w:r>
      <w:r>
        <w:rPr>
          <w:rFonts w:ascii="Arial" w:cs="Arial" w:eastAsia="Arial" w:hAnsi="Arial"/>
          <w:sz w:val="22"/>
          <w:szCs w:val="22"/>
          <w:color w:val="auto"/>
        </w:rPr>
        <w:t>” and together with the New Revolving Lenders, the “</w:t>
      </w:r>
      <w:r>
        <w:rPr>
          <w:rFonts w:ascii="Arial" w:cs="Arial" w:eastAsia="Arial" w:hAnsi="Arial"/>
          <w:sz w:val="22"/>
          <w:szCs w:val="22"/>
          <w:i w:val="1"/>
          <w:iCs w:val="1"/>
          <w:color w:val="auto"/>
        </w:rPr>
        <w:t>Extending Revolving Lenders</w:t>
      </w:r>
      <w:r>
        <w:rPr>
          <w:rFonts w:ascii="Arial" w:cs="Arial" w:eastAsia="Arial" w:hAnsi="Arial"/>
          <w:sz w:val="22"/>
          <w:szCs w:val="22"/>
          <w:color w:val="auto"/>
        </w:rPr>
        <w:t>”) are willing to extend the maturity date of their respective Revolving Commitments (the “</w:t>
      </w:r>
      <w:r>
        <w:rPr>
          <w:rFonts w:ascii="Arial" w:cs="Arial" w:eastAsia="Arial" w:hAnsi="Arial"/>
          <w:sz w:val="22"/>
          <w:szCs w:val="22"/>
          <w:i w:val="1"/>
          <w:iCs w:val="1"/>
          <w:color w:val="auto"/>
        </w:rPr>
        <w:t>Extended Revolving Commitments</w:t>
      </w:r>
      <w:r>
        <w:rPr>
          <w:rFonts w:ascii="Arial" w:cs="Arial" w:eastAsia="Arial" w:hAnsi="Arial"/>
          <w:sz w:val="22"/>
          <w:szCs w:val="22"/>
          <w:color w:val="auto"/>
        </w:rPr>
        <w:t>”), subject to and on the terms and conditions set forth herein and in Section 2.28(b), (c), (d) and (e) of the Credit Agreement;</w:t>
      </w:r>
    </w:p>
    <w:p>
      <w:pPr>
        <w:sectPr>
          <w:pgSz w:w="11900" w:h="16838" w:orient="portrait"/>
          <w:cols w:equalWidth="0" w:num="1">
            <w:col w:w="11420"/>
          </w:cols>
          <w:pgMar w:left="240" w:top="549" w:right="239" w:bottom="1440" w:gutter="0" w:footer="0" w:header="0"/>
        </w:sectPr>
      </w:pPr>
    </w:p>
    <w:bookmarkStart w:id="230" w:name="page231"/>
    <w:bookmarkEnd w:id="230"/>
    <w:p>
      <w:pPr>
        <w:jc w:val="both"/>
        <w:ind w:firstLine="1297"/>
        <w:spacing w:after="0" w:line="253" w:lineRule="auto"/>
        <w:rPr>
          <w:sz w:val="20"/>
          <w:szCs w:val="20"/>
          <w:color w:val="auto"/>
        </w:rPr>
      </w:pPr>
      <w:r>
        <w:rPr>
          <w:rFonts w:ascii="Arial" w:cs="Arial" w:eastAsia="Arial" w:hAnsi="Arial"/>
          <w:sz w:val="22"/>
          <w:szCs w:val="22"/>
          <w:color w:val="auto"/>
        </w:rPr>
        <w:t>WHEREAS, the undersigned Consenting Revolving Lenders, New Revolving Lenders and the Borrower desire to reallocate the Revolving Commitments (the “</w:t>
      </w:r>
      <w:r>
        <w:rPr>
          <w:rFonts w:ascii="Arial" w:cs="Arial" w:eastAsia="Arial" w:hAnsi="Arial"/>
          <w:sz w:val="22"/>
          <w:szCs w:val="22"/>
          <w:i w:val="1"/>
          <w:iCs w:val="1"/>
          <w:color w:val="auto"/>
        </w:rPr>
        <w:t>Reallocation</w:t>
      </w:r>
      <w:r>
        <w:rPr>
          <w:rFonts w:ascii="Arial" w:cs="Arial" w:eastAsia="Arial" w:hAnsi="Arial"/>
          <w:sz w:val="22"/>
          <w:szCs w:val="22"/>
          <w:color w:val="auto"/>
        </w:rPr>
        <w:t>”) and that each Revolving Lender will hold such Revolving Commitment as is set out opposite its name on Schedule 1;</w:t>
      </w:r>
    </w:p>
    <w:p>
      <w:pPr>
        <w:spacing w:after="0" w:line="200" w:lineRule="exact"/>
        <w:rPr>
          <w:sz w:val="20"/>
          <w:szCs w:val="20"/>
          <w:color w:val="auto"/>
        </w:rPr>
      </w:pP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WHEREAS, each Revolving Lender will hold such Revolving Commitment as is set out opposite its name on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Schedule 1;</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Borrower, the Administrative Agent, and the Revolving Lenders wish to amend the Credit Agreement to provide for certain other modifications to the Credit Agreement, in each case, on the terms and subject to the conditions set forth herein;</w:t>
      </w:r>
    </w:p>
    <w:p>
      <w:pPr>
        <w:spacing w:after="0" w:line="200" w:lineRule="exact"/>
        <w:rPr>
          <w:sz w:val="20"/>
          <w:szCs w:val="20"/>
          <w:color w:val="auto"/>
        </w:rPr>
      </w:pP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pursuant to Section 2.28(b) of the Credit Agreement, any Existing Revolving Lender who is not a Consenting Lender (each, a “</w:t>
      </w:r>
      <w:r>
        <w:rPr>
          <w:rFonts w:ascii="Arial" w:cs="Arial" w:eastAsia="Arial" w:hAnsi="Arial"/>
          <w:sz w:val="22"/>
          <w:szCs w:val="22"/>
          <w:i w:val="1"/>
          <w:iCs w:val="1"/>
          <w:color w:val="auto"/>
        </w:rPr>
        <w:t>Non-Consenting Revolving Lender</w:t>
      </w:r>
      <w:r>
        <w:rPr>
          <w:rFonts w:ascii="Arial" w:cs="Arial" w:eastAsia="Arial" w:hAnsi="Arial"/>
          <w:sz w:val="22"/>
          <w:szCs w:val="22"/>
          <w:color w:val="auto"/>
        </w:rPr>
        <w:t>”) shall continue to have Revolving Credit Commitments (the “</w:t>
      </w:r>
      <w:r>
        <w:rPr>
          <w:rFonts w:ascii="Arial" w:cs="Arial" w:eastAsia="Arial" w:hAnsi="Arial"/>
          <w:sz w:val="22"/>
          <w:szCs w:val="22"/>
          <w:i w:val="1"/>
          <w:iCs w:val="1"/>
          <w:color w:val="auto"/>
        </w:rPr>
        <w:t>Non-Extended Revolver Commitments</w:t>
      </w:r>
      <w:r>
        <w:rPr>
          <w:rFonts w:ascii="Arial" w:cs="Arial" w:eastAsia="Arial" w:hAnsi="Arial"/>
          <w:sz w:val="22"/>
          <w:szCs w:val="22"/>
          <w:color w:val="auto"/>
        </w:rPr>
        <w:t>”); and</w:t>
      </w:r>
    </w:p>
    <w:p>
      <w:pPr>
        <w:spacing w:after="0" w:line="200" w:lineRule="exact"/>
        <w:rPr>
          <w:sz w:val="20"/>
          <w:szCs w:val="20"/>
          <w:color w:val="auto"/>
        </w:rPr>
      </w:pPr>
    </w:p>
    <w:p>
      <w:pPr>
        <w:spacing w:after="0" w:line="20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391" w:lineRule="exact"/>
        <w:rPr>
          <w:sz w:val="20"/>
          <w:szCs w:val="20"/>
          <w:color w:val="auto"/>
        </w:rPr>
      </w:pPr>
    </w:p>
    <w:p>
      <w:pPr>
        <w:jc w:val="both"/>
        <w:ind w:firstLine="1702"/>
        <w:spacing w:after="0" w:line="248" w:lineRule="auto"/>
        <w:rPr>
          <w:sz w:val="20"/>
          <w:szCs w:val="20"/>
          <w:color w:val="auto"/>
        </w:rPr>
      </w:pPr>
      <w:r>
        <w:rPr>
          <w:rFonts w:ascii="Arial" w:cs="Arial" w:eastAsia="Arial" w:hAnsi="Arial"/>
          <w:sz w:val="22"/>
          <w:szCs w:val="22"/>
          <w:u w:val="single" w:color="auto"/>
          <w:color w:val="auto"/>
        </w:rPr>
        <w:t>SECTION ONE - Reallocation of Revolving Commitments</w:t>
      </w:r>
      <w:r>
        <w:rPr>
          <w:rFonts w:ascii="Arial" w:cs="Arial" w:eastAsia="Arial" w:hAnsi="Arial"/>
          <w:sz w:val="22"/>
          <w:szCs w:val="22"/>
          <w:color w:val="auto"/>
        </w:rPr>
        <w:t>. On the Fourth Amendment Effective Date, the Borrower, the Existing Revolving Lenders and the New Revolving Lenders agree that (1) the Total Revolving Commitments shall be $300,000,000, consisting of $296,400,000 of Extended Revolver Commitments and $3,600,000 of Non-Extended Revolver Commitments and (2) each New Revolving Lender shall become a Revolving Lender under the Credit Agreement (as amended hereby).</w:t>
      </w:r>
    </w:p>
    <w:p>
      <w:pPr>
        <w:spacing w:after="0" w:line="200" w:lineRule="exact"/>
        <w:rPr>
          <w:sz w:val="20"/>
          <w:szCs w:val="20"/>
          <w:color w:val="auto"/>
        </w:rPr>
      </w:pPr>
    </w:p>
    <w:p>
      <w:pPr>
        <w:spacing w:after="0" w:line="208"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2"/>
          <w:szCs w:val="22"/>
          <w:u w:val="single" w:color="auto"/>
          <w:color w:val="auto"/>
        </w:rPr>
        <w:t>SECTION TWO - Extension of Revolving Facility</w:t>
      </w:r>
      <w:r>
        <w:rPr>
          <w:rFonts w:ascii="Arial" w:cs="Arial" w:eastAsia="Arial" w:hAnsi="Arial"/>
          <w:sz w:val="22"/>
          <w:szCs w:val="22"/>
          <w:color w:val="auto"/>
        </w:rPr>
        <w:t>. On the Fourth Amendment Effective Date (immediately after giving effect to the Reallocation contemplated in Section One), the Borrower, each Extending Revolving Lender and each Non-Consenting Revolving Lender agrees the Credit Agreement is modified as follows:</w:t>
      </w:r>
    </w:p>
    <w:p>
      <w:pPr>
        <w:spacing w:after="0" w:line="200" w:lineRule="exact"/>
        <w:rPr>
          <w:sz w:val="20"/>
          <w:szCs w:val="20"/>
          <w:color w:val="auto"/>
        </w:rPr>
      </w:pPr>
    </w:p>
    <w:p>
      <w:pPr>
        <w:spacing w:after="0" w:line="202" w:lineRule="exact"/>
        <w:rPr>
          <w:sz w:val="20"/>
          <w:szCs w:val="20"/>
          <w:color w:val="auto"/>
        </w:rPr>
      </w:pPr>
    </w:p>
    <w:p>
      <w:pPr>
        <w:ind w:left="1720" w:hanging="415"/>
        <w:spacing w:after="0"/>
        <w:tabs>
          <w:tab w:leader="none" w:pos="17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Section 1.01 of the Credit Agreement is hereby amended by adding the following definitions in appropriate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200" w:lineRule="exact"/>
        <w:rPr>
          <w:sz w:val="20"/>
          <w:szCs w:val="20"/>
          <w:color w:val="auto"/>
        </w:rPr>
      </w:pPr>
    </w:p>
    <w:p>
      <w:pPr>
        <w:spacing w:after="0" w:line="231" w:lineRule="exact"/>
        <w:rPr>
          <w:sz w:val="20"/>
          <w:szCs w:val="20"/>
          <w:color w:val="auto"/>
        </w:rPr>
      </w:pPr>
    </w:p>
    <w:p>
      <w:pPr>
        <w:ind w:right="2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Fourth Amendment</w:t>
      </w:r>
      <w:r>
        <w:rPr>
          <w:rFonts w:ascii="Arial" w:cs="Arial" w:eastAsia="Arial" w:hAnsi="Arial"/>
          <w:sz w:val="19"/>
          <w:szCs w:val="19"/>
          <w:color w:val="auto"/>
        </w:rPr>
        <w:t>” means the Fourth Amendment to this Credit Agreement, dated as of December 10, 2018 among the Borrower, Barclays Bank PLC, as administrative agent and as an issuing lender and the Lenders party thereto.”</w:t>
      </w:r>
    </w:p>
    <w:p>
      <w:pPr>
        <w:spacing w:after="0" w:line="3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Fourth Amendment Effective Date</w:t>
      </w:r>
      <w:r>
        <w:rPr>
          <w:rFonts w:ascii="Arial" w:cs="Arial" w:eastAsia="Arial" w:hAnsi="Arial"/>
          <w:sz w:val="22"/>
          <w:szCs w:val="22"/>
          <w:color w:val="auto"/>
        </w:rPr>
        <w:t>” shall have the meaning provided in the Fourth Amendment.”;</w:t>
      </w:r>
    </w:p>
    <w:p>
      <w:pPr>
        <w:spacing w:after="0" w:line="200" w:lineRule="exact"/>
        <w:rPr>
          <w:sz w:val="20"/>
          <w:szCs w:val="20"/>
          <w:color w:val="auto"/>
        </w:rPr>
      </w:pPr>
    </w:p>
    <w:p>
      <w:pPr>
        <w:spacing w:after="0" w:line="236"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Fourth Amendment Extended Revolving Commitments</w:t>
      </w:r>
      <w:r>
        <w:rPr>
          <w:rFonts w:ascii="Arial" w:cs="Arial" w:eastAsia="Arial" w:hAnsi="Arial"/>
          <w:sz w:val="22"/>
          <w:szCs w:val="22"/>
          <w:color w:val="auto"/>
        </w:rPr>
        <w:t>” means the Revolving Commitments of each Fourth Amendment Extending Revolving Lender.”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231" w:name="page232"/>
    <w:bookmarkEnd w:id="231"/>
    <w:p>
      <w:pPr>
        <w:jc w:val="both"/>
        <w:ind w:firstLine="1297"/>
        <w:spacing w:after="0" w:line="250" w:lineRule="auto"/>
        <w:rPr>
          <w:sz w:val="20"/>
          <w:szCs w:val="20"/>
          <w:color w:val="auto"/>
        </w:rPr>
      </w:pPr>
      <w:r>
        <w:rPr>
          <w:rFonts w:ascii="Arial" w:cs="Arial" w:eastAsia="Arial" w:hAnsi="Arial"/>
          <w:sz w:val="22"/>
          <w:szCs w:val="22"/>
          <w:i w:val="1"/>
          <w:iCs w:val="1"/>
          <w:color w:val="auto"/>
        </w:rPr>
        <w:t>““Fourth Amendment Extending Revolving Lender</w:t>
      </w:r>
      <w:r>
        <w:rPr>
          <w:rFonts w:ascii="Arial" w:cs="Arial" w:eastAsia="Arial" w:hAnsi="Arial"/>
          <w:sz w:val="22"/>
          <w:szCs w:val="22"/>
          <w:color w:val="auto"/>
        </w:rPr>
        <w:t>” shall mean each Revolving Lender (including the Fourth</w:t>
      </w:r>
      <w:r>
        <w:rPr>
          <w:rFonts w:ascii="Arial" w:cs="Arial" w:eastAsia="Arial" w:hAnsi="Arial"/>
          <w:sz w:val="22"/>
          <w:szCs w:val="22"/>
          <w:i w:val="1"/>
          <w:iCs w:val="1"/>
          <w:color w:val="auto"/>
        </w:rPr>
        <w:t xml:space="preserve"> </w:t>
      </w:r>
      <w:r>
        <w:rPr>
          <w:rFonts w:ascii="Arial" w:cs="Arial" w:eastAsia="Arial" w:hAnsi="Arial"/>
          <w:sz w:val="22"/>
          <w:szCs w:val="22"/>
          <w:color w:val="auto"/>
        </w:rPr>
        <w:t>Amendment New Revolving Lenders) that has provided a signature page on or prior to December 10, 2018 voting in favor of accepting the Fourth Amendment Extension Offer and extending the Revolving Facility Maturity Date as set forth in the Fourth Amendment.”</w:t>
      </w: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Fourth Amendment Extension Offer</w:t>
      </w:r>
      <w:r>
        <w:rPr>
          <w:rFonts w:ascii="Arial" w:cs="Arial" w:eastAsia="Arial" w:hAnsi="Arial"/>
          <w:sz w:val="21"/>
          <w:szCs w:val="21"/>
          <w:color w:val="auto"/>
        </w:rPr>
        <w:t>” means the Extension Offer made pursuant to the Fourth Amendment.”</w:t>
      </w:r>
    </w:p>
    <w:p>
      <w:pPr>
        <w:spacing w:after="0" w:line="200" w:lineRule="exact"/>
        <w:rPr>
          <w:sz w:val="20"/>
          <w:szCs w:val="20"/>
          <w:color w:val="auto"/>
        </w:rPr>
      </w:pPr>
    </w:p>
    <w:p>
      <w:pPr>
        <w:spacing w:after="0" w:line="24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Fourth Amendment Non-Extended Revolving Commitments</w:t>
      </w:r>
      <w:r>
        <w:rPr>
          <w:rFonts w:ascii="Arial" w:cs="Arial" w:eastAsia="Arial" w:hAnsi="Arial"/>
          <w:sz w:val="22"/>
          <w:szCs w:val="22"/>
          <w:color w:val="auto"/>
        </w:rPr>
        <w:t>” means the Revolving Commitments of each Fourth Amendment Non-Extending Revolving Lender.”</w:t>
      </w:r>
    </w:p>
    <w:p>
      <w:pPr>
        <w:spacing w:after="0" w:line="391"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Fourth Amendment Non-Extending Revolving Lender</w:t>
      </w:r>
      <w:r>
        <w:rPr>
          <w:rFonts w:ascii="Arial" w:cs="Arial" w:eastAsia="Arial" w:hAnsi="Arial"/>
          <w:sz w:val="22"/>
          <w:szCs w:val="22"/>
          <w:color w:val="auto"/>
        </w:rPr>
        <w:t>” shall mean each Revolving Lender other than the Fourth Amendment Extending Revolving Lenders.”</w:t>
      </w:r>
    </w:p>
    <w:p>
      <w:pPr>
        <w:spacing w:after="0" w:line="39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Fourth Amendment New Revolving Lenders</w:t>
      </w:r>
      <w:r>
        <w:rPr>
          <w:rFonts w:ascii="Arial" w:cs="Arial" w:eastAsia="Arial" w:hAnsi="Arial"/>
          <w:sz w:val="19"/>
          <w:szCs w:val="19"/>
          <w:color w:val="auto"/>
        </w:rPr>
        <w:t>” shall mean each New Revolving Lender (as defined in the Fourth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Amendment).”</w:t>
      </w:r>
    </w:p>
    <w:p>
      <w:pPr>
        <w:spacing w:after="0" w:line="200" w:lineRule="exact"/>
        <w:rPr>
          <w:sz w:val="20"/>
          <w:szCs w:val="20"/>
          <w:color w:val="auto"/>
        </w:rPr>
      </w:pPr>
    </w:p>
    <w:p>
      <w:pPr>
        <w:spacing w:after="0" w:line="218" w:lineRule="exact"/>
        <w:rPr>
          <w:sz w:val="20"/>
          <w:szCs w:val="20"/>
          <w:color w:val="auto"/>
        </w:rPr>
      </w:pPr>
    </w:p>
    <w:p>
      <w:pPr>
        <w:ind w:right="240" w:firstLine="1305"/>
        <w:spacing w:after="0" w:line="276" w:lineRule="auto"/>
        <w:tabs>
          <w:tab w:leader="none" w:pos="172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Applicable Margin</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Margin</w:t>
      </w:r>
      <w:r>
        <w:rPr>
          <w:rFonts w:ascii="Arial" w:cs="Arial" w:eastAsia="Arial" w:hAnsi="Arial"/>
          <w:sz w:val="22"/>
          <w:szCs w:val="22"/>
          <w:color w:val="auto"/>
        </w:rPr>
        <w:t>” shall mean the rate per annum determined pursuant to the following:</w:t>
      </w:r>
    </w:p>
    <w:p>
      <w:pPr>
        <w:spacing w:after="0" w:line="343" w:lineRule="exact"/>
        <w:rPr>
          <w:sz w:val="20"/>
          <w:szCs w:val="20"/>
          <w:color w:val="auto"/>
        </w:rPr>
      </w:pPr>
    </w:p>
    <w:tbl>
      <w:tblPr>
        <w:tblLayout w:type="fixed"/>
        <w:tblInd w:w="1310" w:type="dxa"/>
        <w:tblCellMar>
          <w:top w:w="0" w:type="dxa"/>
          <w:left w:w="0" w:type="dxa"/>
          <w:bottom w:w="0" w:type="dxa"/>
          <w:right w:w="0" w:type="dxa"/>
        </w:tblCellMar>
      </w:tblPr>
      <w:tr>
        <w:trPr>
          <w:trHeight w:val="262"/>
        </w:trPr>
        <w:tc>
          <w:tcPr>
            <w:tcW w:w="2220" w:type="dxa"/>
            <w:vAlign w:val="bottom"/>
            <w:tcBorders>
              <w:top w:val="single" w:sz="8" w:color="00000A"/>
              <w:left w:val="single" w:sz="8" w:color="00000A"/>
            </w:tcBorders>
            <w:gridSpan w:val="2"/>
          </w:tcPr>
          <w:p>
            <w:pPr>
              <w:ind w:left="720"/>
              <w:spacing w:after="0"/>
              <w:rPr>
                <w:sz w:val="20"/>
                <w:szCs w:val="20"/>
                <w:color w:val="auto"/>
              </w:rPr>
            </w:pPr>
            <w:r>
              <w:rPr>
                <w:rFonts w:ascii="Arial" w:cs="Arial" w:eastAsia="Arial" w:hAnsi="Arial"/>
                <w:sz w:val="22"/>
                <w:szCs w:val="22"/>
                <w:color w:val="auto"/>
              </w:rPr>
              <w:t>Class of Loans</w:t>
            </w:r>
          </w:p>
        </w:tc>
        <w:tc>
          <w:tcPr>
            <w:tcW w:w="520" w:type="dxa"/>
            <w:vAlign w:val="bottom"/>
            <w:tcBorders>
              <w:top w:val="single" w:sz="8" w:color="00000A"/>
              <w:right w:val="single" w:sz="8" w:color="00000A"/>
            </w:tcBorders>
          </w:tcPr>
          <w:p>
            <w:pPr>
              <w:spacing w:after="0"/>
              <w:rPr>
                <w:sz w:val="22"/>
                <w:szCs w:val="22"/>
                <w:color w:val="auto"/>
              </w:rPr>
            </w:pPr>
          </w:p>
        </w:tc>
        <w:tc>
          <w:tcPr>
            <w:tcW w:w="24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3"/>
              </w:rPr>
              <w:t>Applicable Margin</w:t>
            </w:r>
          </w:p>
        </w:tc>
        <w:tc>
          <w:tcPr>
            <w:tcW w:w="30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Applicable Margin ABR Loans</w:t>
            </w:r>
          </w:p>
        </w:tc>
      </w:tr>
      <w:tr>
        <w:trPr>
          <w:trHeight w:val="275"/>
        </w:trPr>
        <w:tc>
          <w:tcPr>
            <w:tcW w:w="1300" w:type="dxa"/>
            <w:vAlign w:val="bottom"/>
            <w:tcBorders>
              <w:left w:val="single" w:sz="8" w:color="00000A"/>
            </w:tcBorders>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Borders>
              <w:right w:val="single" w:sz="8" w:color="00000A"/>
            </w:tcBorders>
          </w:tcPr>
          <w:p>
            <w:pPr>
              <w:spacing w:after="0"/>
              <w:rPr>
                <w:sz w:val="23"/>
                <w:szCs w:val="23"/>
                <w:color w:val="auto"/>
              </w:rPr>
            </w:pP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1"/>
              </w:rPr>
              <w:t>Eurodollar Loans</w:t>
            </w:r>
          </w:p>
        </w:tc>
        <w:tc>
          <w:tcPr>
            <w:tcW w:w="3020" w:type="dxa"/>
            <w:vAlign w:val="bottom"/>
            <w:tcBorders>
              <w:right w:val="single" w:sz="8" w:color="00000A"/>
            </w:tcBorders>
          </w:tcPr>
          <w:p>
            <w:pPr>
              <w:spacing w:after="0"/>
              <w:rPr>
                <w:sz w:val="23"/>
                <w:szCs w:val="23"/>
                <w:color w:val="auto"/>
              </w:rPr>
            </w:pPr>
          </w:p>
        </w:tc>
      </w:tr>
      <w:tr>
        <w:trPr>
          <w:trHeight w:val="233"/>
        </w:trPr>
        <w:tc>
          <w:tcPr>
            <w:tcW w:w="1300" w:type="dxa"/>
            <w:vAlign w:val="bottom"/>
            <w:tcBorders>
              <w:left w:val="single" w:sz="8" w:color="00000A"/>
              <w:bottom w:val="single" w:sz="8" w:color="00000A"/>
            </w:tcBorders>
          </w:tcPr>
          <w:p>
            <w:pPr>
              <w:spacing w:after="0"/>
              <w:rPr>
                <w:sz w:val="20"/>
                <w:szCs w:val="20"/>
                <w:color w:val="auto"/>
              </w:rPr>
            </w:pPr>
          </w:p>
        </w:tc>
        <w:tc>
          <w:tcPr>
            <w:tcW w:w="920" w:type="dxa"/>
            <w:vAlign w:val="bottom"/>
            <w:tcBorders>
              <w:bottom w:val="single" w:sz="8" w:color="00000A"/>
            </w:tcBorders>
          </w:tcPr>
          <w:p>
            <w:pPr>
              <w:spacing w:after="0"/>
              <w:rPr>
                <w:sz w:val="20"/>
                <w:szCs w:val="20"/>
                <w:color w:val="auto"/>
              </w:rPr>
            </w:pPr>
          </w:p>
        </w:tc>
        <w:tc>
          <w:tcPr>
            <w:tcW w:w="520" w:type="dxa"/>
            <w:vAlign w:val="bottom"/>
            <w:tcBorders>
              <w:bottom w:val="single" w:sz="8" w:color="00000A"/>
              <w:right w:val="single" w:sz="8" w:color="00000A"/>
            </w:tcBorders>
          </w:tcPr>
          <w:p>
            <w:pPr>
              <w:spacing w:after="0"/>
              <w:rPr>
                <w:sz w:val="20"/>
                <w:szCs w:val="20"/>
                <w:color w:val="auto"/>
              </w:rPr>
            </w:pPr>
          </w:p>
        </w:tc>
        <w:tc>
          <w:tcPr>
            <w:tcW w:w="2480" w:type="dxa"/>
            <w:vAlign w:val="bottom"/>
            <w:tcBorders>
              <w:bottom w:val="single" w:sz="8" w:color="00000A"/>
              <w:right w:val="single" w:sz="8" w:color="00000A"/>
            </w:tcBorders>
          </w:tcPr>
          <w:p>
            <w:pPr>
              <w:spacing w:after="0"/>
              <w:rPr>
                <w:sz w:val="20"/>
                <w:szCs w:val="20"/>
                <w:color w:val="auto"/>
              </w:rPr>
            </w:pPr>
          </w:p>
        </w:tc>
        <w:tc>
          <w:tcPr>
            <w:tcW w:w="3020" w:type="dxa"/>
            <w:vAlign w:val="bottom"/>
            <w:tcBorders>
              <w:bottom w:val="single" w:sz="8" w:color="00000A"/>
              <w:right w:val="single" w:sz="8" w:color="00000A"/>
            </w:tcBorders>
          </w:tcPr>
          <w:p>
            <w:pPr>
              <w:spacing w:after="0"/>
              <w:rPr>
                <w:sz w:val="20"/>
                <w:szCs w:val="20"/>
                <w:color w:val="auto"/>
              </w:rPr>
            </w:pPr>
          </w:p>
        </w:tc>
      </w:tr>
      <w:tr>
        <w:trPr>
          <w:trHeight w:val="242"/>
        </w:trPr>
        <w:tc>
          <w:tcPr>
            <w:tcW w:w="1300" w:type="dxa"/>
            <w:vAlign w:val="bottom"/>
            <w:tcBorders>
              <w:left w:val="single" w:sz="8" w:color="00000A"/>
            </w:tcBorders>
          </w:tcPr>
          <w:p>
            <w:pPr>
              <w:ind w:left="40"/>
              <w:spacing w:after="0" w:line="242" w:lineRule="exact"/>
              <w:rPr>
                <w:sz w:val="20"/>
                <w:szCs w:val="20"/>
                <w:color w:val="auto"/>
              </w:rPr>
            </w:pPr>
            <w:r>
              <w:rPr>
                <w:rFonts w:ascii="Arial" w:cs="Arial" w:eastAsia="Arial" w:hAnsi="Arial"/>
                <w:sz w:val="22"/>
                <w:szCs w:val="22"/>
                <w:color w:val="auto"/>
                <w:w w:val="95"/>
              </w:rPr>
              <w:t>Replacement</w:t>
            </w:r>
          </w:p>
        </w:tc>
        <w:tc>
          <w:tcPr>
            <w:tcW w:w="920" w:type="dxa"/>
            <w:vAlign w:val="bottom"/>
          </w:tcPr>
          <w:p>
            <w:pPr>
              <w:ind w:left="20"/>
              <w:spacing w:after="0" w:line="242" w:lineRule="exact"/>
              <w:rPr>
                <w:sz w:val="20"/>
                <w:szCs w:val="20"/>
                <w:color w:val="auto"/>
              </w:rPr>
            </w:pPr>
            <w:r>
              <w:rPr>
                <w:rFonts w:ascii="Arial" w:cs="Arial" w:eastAsia="Arial" w:hAnsi="Arial"/>
                <w:sz w:val="22"/>
                <w:szCs w:val="22"/>
                <w:color w:val="auto"/>
              </w:rPr>
              <w:t>Class  B</w:t>
            </w:r>
          </w:p>
        </w:tc>
        <w:tc>
          <w:tcPr>
            <w:tcW w:w="520" w:type="dxa"/>
            <w:vAlign w:val="bottom"/>
            <w:tcBorders>
              <w:right w:val="single" w:sz="8" w:color="00000A"/>
            </w:tcBorders>
          </w:tcPr>
          <w:p>
            <w:pPr>
              <w:jc w:val="right"/>
              <w:spacing w:after="0" w:line="242" w:lineRule="exact"/>
              <w:rPr>
                <w:sz w:val="20"/>
                <w:szCs w:val="20"/>
                <w:color w:val="auto"/>
              </w:rPr>
            </w:pPr>
            <w:r>
              <w:rPr>
                <w:rFonts w:ascii="Arial" w:cs="Arial" w:eastAsia="Arial" w:hAnsi="Arial"/>
                <w:sz w:val="22"/>
                <w:szCs w:val="22"/>
                <w:color w:val="auto"/>
                <w:w w:val="85"/>
              </w:rPr>
              <w:t>Term</w:t>
            </w:r>
          </w:p>
        </w:tc>
        <w:tc>
          <w:tcPr>
            <w:tcW w:w="248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2.00%</w:t>
            </w:r>
          </w:p>
        </w:tc>
        <w:tc>
          <w:tcPr>
            <w:tcW w:w="302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6"/>
              </w:rPr>
              <w:t>1.00%</w:t>
            </w:r>
          </w:p>
        </w:tc>
      </w:tr>
      <w:tr>
        <w:trPr>
          <w:trHeight w:val="275"/>
        </w:trPr>
        <w:tc>
          <w:tcPr>
            <w:tcW w:w="13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rPr>
              <w:t>Loans</w:t>
            </w:r>
          </w:p>
        </w:tc>
        <w:tc>
          <w:tcPr>
            <w:tcW w:w="920" w:type="dxa"/>
            <w:vAlign w:val="bottom"/>
          </w:tcPr>
          <w:p>
            <w:pPr>
              <w:spacing w:after="0"/>
              <w:rPr>
                <w:sz w:val="23"/>
                <w:szCs w:val="23"/>
                <w:color w:val="auto"/>
              </w:rPr>
            </w:pPr>
          </w:p>
        </w:tc>
        <w:tc>
          <w:tcPr>
            <w:tcW w:w="520" w:type="dxa"/>
            <w:vAlign w:val="bottom"/>
            <w:tcBorders>
              <w:right w:val="single" w:sz="8" w:color="00000A"/>
            </w:tcBorders>
          </w:tcPr>
          <w:p>
            <w:pPr>
              <w:spacing w:after="0"/>
              <w:rPr>
                <w:sz w:val="23"/>
                <w:szCs w:val="23"/>
                <w:color w:val="auto"/>
              </w:rPr>
            </w:pPr>
          </w:p>
        </w:tc>
        <w:tc>
          <w:tcPr>
            <w:tcW w:w="2480" w:type="dxa"/>
            <w:vAlign w:val="bottom"/>
            <w:tcBorders>
              <w:right w:val="single" w:sz="8" w:color="00000A"/>
            </w:tcBorders>
          </w:tcPr>
          <w:p>
            <w:pPr>
              <w:spacing w:after="0"/>
              <w:rPr>
                <w:sz w:val="23"/>
                <w:szCs w:val="23"/>
                <w:color w:val="auto"/>
              </w:rPr>
            </w:pPr>
          </w:p>
        </w:tc>
        <w:tc>
          <w:tcPr>
            <w:tcW w:w="3020" w:type="dxa"/>
            <w:vAlign w:val="bottom"/>
            <w:tcBorders>
              <w:right w:val="single" w:sz="8" w:color="00000A"/>
            </w:tcBorders>
          </w:tcPr>
          <w:p>
            <w:pPr>
              <w:spacing w:after="0"/>
              <w:rPr>
                <w:sz w:val="23"/>
                <w:szCs w:val="23"/>
                <w:color w:val="auto"/>
              </w:rPr>
            </w:pPr>
          </w:p>
        </w:tc>
      </w:tr>
      <w:tr>
        <w:trPr>
          <w:trHeight w:val="233"/>
        </w:trPr>
        <w:tc>
          <w:tcPr>
            <w:tcW w:w="2740" w:type="dxa"/>
            <w:vAlign w:val="bottom"/>
            <w:tcBorders>
              <w:left w:val="single" w:sz="8" w:color="00000A"/>
              <w:bottom w:val="single" w:sz="8" w:color="00000A"/>
              <w:right w:val="single" w:sz="8" w:color="00000A"/>
            </w:tcBorders>
            <w:gridSpan w:val="3"/>
          </w:tcPr>
          <w:p>
            <w:pPr>
              <w:spacing w:after="0"/>
              <w:rPr>
                <w:sz w:val="20"/>
                <w:szCs w:val="20"/>
                <w:color w:val="auto"/>
              </w:rPr>
            </w:pPr>
          </w:p>
        </w:tc>
        <w:tc>
          <w:tcPr>
            <w:tcW w:w="2480" w:type="dxa"/>
            <w:vAlign w:val="bottom"/>
            <w:tcBorders>
              <w:bottom w:val="single" w:sz="8" w:color="00000A"/>
              <w:right w:val="single" w:sz="8" w:color="00000A"/>
            </w:tcBorders>
          </w:tcPr>
          <w:p>
            <w:pPr>
              <w:spacing w:after="0"/>
              <w:rPr>
                <w:sz w:val="20"/>
                <w:szCs w:val="20"/>
                <w:color w:val="auto"/>
              </w:rPr>
            </w:pPr>
          </w:p>
        </w:tc>
        <w:tc>
          <w:tcPr>
            <w:tcW w:w="3020" w:type="dxa"/>
            <w:vAlign w:val="bottom"/>
            <w:tcBorders>
              <w:bottom w:val="single" w:sz="8" w:color="00000A"/>
              <w:right w:val="single" w:sz="8" w:color="00000A"/>
            </w:tcBorders>
          </w:tcPr>
          <w:p>
            <w:pPr>
              <w:spacing w:after="0"/>
              <w:rPr>
                <w:sz w:val="20"/>
                <w:szCs w:val="20"/>
                <w:color w:val="auto"/>
              </w:rPr>
            </w:pPr>
          </w:p>
        </w:tc>
      </w:tr>
      <w:tr>
        <w:trPr>
          <w:trHeight w:val="242"/>
        </w:trPr>
        <w:tc>
          <w:tcPr>
            <w:tcW w:w="2740" w:type="dxa"/>
            <w:vAlign w:val="bottom"/>
            <w:tcBorders>
              <w:left w:val="single" w:sz="8" w:color="00000A"/>
              <w:right w:val="single" w:sz="8" w:color="00000A"/>
            </w:tcBorders>
            <w:gridSpan w:val="3"/>
          </w:tcPr>
          <w:p>
            <w:pPr>
              <w:ind w:left="40"/>
              <w:spacing w:after="0" w:line="242" w:lineRule="exact"/>
              <w:rPr>
                <w:sz w:val="20"/>
                <w:szCs w:val="20"/>
                <w:color w:val="auto"/>
              </w:rPr>
            </w:pPr>
            <w:r>
              <w:rPr>
                <w:rFonts w:ascii="Arial" w:cs="Arial" w:eastAsia="Arial" w:hAnsi="Arial"/>
                <w:sz w:val="22"/>
                <w:szCs w:val="22"/>
                <w:color w:val="auto"/>
                <w:w w:val="92"/>
              </w:rPr>
              <w:t>Revolving Loans in respect of</w:t>
            </w:r>
          </w:p>
        </w:tc>
        <w:tc>
          <w:tcPr>
            <w:tcW w:w="248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2.00%</w:t>
            </w:r>
          </w:p>
        </w:tc>
        <w:tc>
          <w:tcPr>
            <w:tcW w:w="302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6"/>
              </w:rPr>
              <w:t>1.00%</w:t>
            </w:r>
          </w:p>
        </w:tc>
      </w:tr>
      <w:tr>
        <w:trPr>
          <w:trHeight w:val="243"/>
        </w:trPr>
        <w:tc>
          <w:tcPr>
            <w:tcW w:w="2740" w:type="dxa"/>
            <w:vAlign w:val="bottom"/>
            <w:tcBorders>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color w:val="auto"/>
                <w:w w:val="92"/>
              </w:rPr>
              <w:t>Fourth Amendment Extended</w:t>
            </w:r>
          </w:p>
        </w:tc>
        <w:tc>
          <w:tcPr>
            <w:tcW w:w="2480" w:type="dxa"/>
            <w:vAlign w:val="bottom"/>
            <w:tcBorders>
              <w:right w:val="single" w:sz="8" w:color="00000A"/>
            </w:tcBorders>
          </w:tcPr>
          <w:p>
            <w:pPr>
              <w:spacing w:after="0"/>
              <w:rPr>
                <w:sz w:val="21"/>
                <w:szCs w:val="21"/>
                <w:color w:val="auto"/>
              </w:rPr>
            </w:pPr>
          </w:p>
        </w:tc>
        <w:tc>
          <w:tcPr>
            <w:tcW w:w="3020" w:type="dxa"/>
            <w:vAlign w:val="bottom"/>
            <w:tcBorders>
              <w:right w:val="single" w:sz="8" w:color="00000A"/>
            </w:tcBorders>
          </w:tcPr>
          <w:p>
            <w:pPr>
              <w:spacing w:after="0"/>
              <w:rPr>
                <w:sz w:val="21"/>
                <w:szCs w:val="21"/>
                <w:color w:val="auto"/>
              </w:rPr>
            </w:pPr>
          </w:p>
        </w:tc>
      </w:tr>
      <w:tr>
        <w:trPr>
          <w:trHeight w:val="275"/>
        </w:trPr>
        <w:tc>
          <w:tcPr>
            <w:tcW w:w="2220" w:type="dxa"/>
            <w:vAlign w:val="bottom"/>
            <w:tcBorders>
              <w:left w:val="single" w:sz="8" w:color="00000A"/>
            </w:tcBorders>
            <w:gridSpan w:val="2"/>
          </w:tcPr>
          <w:p>
            <w:pPr>
              <w:ind w:left="40"/>
              <w:spacing w:after="0"/>
              <w:rPr>
                <w:sz w:val="20"/>
                <w:szCs w:val="20"/>
                <w:color w:val="auto"/>
              </w:rPr>
            </w:pPr>
            <w:r>
              <w:rPr>
                <w:rFonts w:ascii="Arial" w:cs="Arial" w:eastAsia="Arial" w:hAnsi="Arial"/>
                <w:sz w:val="22"/>
                <w:szCs w:val="22"/>
                <w:color w:val="auto"/>
                <w:w w:val="90"/>
              </w:rPr>
              <w:t>Revolving Commitments</w:t>
            </w:r>
          </w:p>
        </w:tc>
        <w:tc>
          <w:tcPr>
            <w:tcW w:w="520" w:type="dxa"/>
            <w:vAlign w:val="bottom"/>
            <w:tcBorders>
              <w:right w:val="single" w:sz="8" w:color="00000A"/>
            </w:tcBorders>
          </w:tcPr>
          <w:p>
            <w:pPr>
              <w:spacing w:after="0"/>
              <w:rPr>
                <w:sz w:val="23"/>
                <w:szCs w:val="23"/>
                <w:color w:val="auto"/>
              </w:rPr>
            </w:pPr>
          </w:p>
        </w:tc>
        <w:tc>
          <w:tcPr>
            <w:tcW w:w="2480" w:type="dxa"/>
            <w:vAlign w:val="bottom"/>
            <w:tcBorders>
              <w:right w:val="single" w:sz="8" w:color="00000A"/>
            </w:tcBorders>
          </w:tcPr>
          <w:p>
            <w:pPr>
              <w:spacing w:after="0"/>
              <w:rPr>
                <w:sz w:val="23"/>
                <w:szCs w:val="23"/>
                <w:color w:val="auto"/>
              </w:rPr>
            </w:pPr>
          </w:p>
        </w:tc>
        <w:tc>
          <w:tcPr>
            <w:tcW w:w="3020" w:type="dxa"/>
            <w:vAlign w:val="bottom"/>
            <w:tcBorders>
              <w:right w:val="single" w:sz="8" w:color="00000A"/>
            </w:tcBorders>
          </w:tcPr>
          <w:p>
            <w:pPr>
              <w:spacing w:after="0"/>
              <w:rPr>
                <w:sz w:val="23"/>
                <w:szCs w:val="23"/>
                <w:color w:val="auto"/>
              </w:rPr>
            </w:pPr>
          </w:p>
        </w:tc>
      </w:tr>
      <w:tr>
        <w:trPr>
          <w:trHeight w:val="233"/>
        </w:trPr>
        <w:tc>
          <w:tcPr>
            <w:tcW w:w="2740" w:type="dxa"/>
            <w:vAlign w:val="bottom"/>
            <w:tcBorders>
              <w:left w:val="single" w:sz="8" w:color="00000A"/>
              <w:bottom w:val="single" w:sz="8" w:color="00000A"/>
              <w:right w:val="single" w:sz="8" w:color="00000A"/>
            </w:tcBorders>
            <w:gridSpan w:val="3"/>
          </w:tcPr>
          <w:p>
            <w:pPr>
              <w:spacing w:after="0"/>
              <w:rPr>
                <w:sz w:val="20"/>
                <w:szCs w:val="20"/>
                <w:color w:val="auto"/>
              </w:rPr>
            </w:pPr>
          </w:p>
        </w:tc>
        <w:tc>
          <w:tcPr>
            <w:tcW w:w="2480" w:type="dxa"/>
            <w:vAlign w:val="bottom"/>
            <w:tcBorders>
              <w:bottom w:val="single" w:sz="8" w:color="00000A"/>
              <w:right w:val="single" w:sz="8" w:color="00000A"/>
            </w:tcBorders>
          </w:tcPr>
          <w:p>
            <w:pPr>
              <w:spacing w:after="0"/>
              <w:rPr>
                <w:sz w:val="20"/>
                <w:szCs w:val="20"/>
                <w:color w:val="auto"/>
              </w:rPr>
            </w:pPr>
          </w:p>
        </w:tc>
        <w:tc>
          <w:tcPr>
            <w:tcW w:w="3020" w:type="dxa"/>
            <w:vAlign w:val="bottom"/>
            <w:tcBorders>
              <w:bottom w:val="single" w:sz="8" w:color="00000A"/>
              <w:right w:val="single" w:sz="8" w:color="00000A"/>
            </w:tcBorders>
          </w:tcPr>
          <w:p>
            <w:pPr>
              <w:spacing w:after="0"/>
              <w:rPr>
                <w:sz w:val="20"/>
                <w:szCs w:val="20"/>
                <w:color w:val="auto"/>
              </w:rPr>
            </w:pPr>
          </w:p>
        </w:tc>
      </w:tr>
      <w:tr>
        <w:trPr>
          <w:trHeight w:val="242"/>
        </w:trPr>
        <w:tc>
          <w:tcPr>
            <w:tcW w:w="2740" w:type="dxa"/>
            <w:vAlign w:val="bottom"/>
            <w:tcBorders>
              <w:left w:val="single" w:sz="8" w:color="00000A"/>
              <w:right w:val="single" w:sz="8" w:color="00000A"/>
            </w:tcBorders>
            <w:gridSpan w:val="3"/>
          </w:tcPr>
          <w:p>
            <w:pPr>
              <w:ind w:left="40"/>
              <w:spacing w:after="0" w:line="242" w:lineRule="exact"/>
              <w:rPr>
                <w:sz w:val="20"/>
                <w:szCs w:val="20"/>
                <w:color w:val="auto"/>
              </w:rPr>
            </w:pPr>
            <w:r>
              <w:rPr>
                <w:rFonts w:ascii="Arial" w:cs="Arial" w:eastAsia="Arial" w:hAnsi="Arial"/>
                <w:sz w:val="22"/>
                <w:szCs w:val="22"/>
                <w:color w:val="auto"/>
                <w:w w:val="92"/>
              </w:rPr>
              <w:t>Revolving Loans in respect of</w:t>
            </w:r>
          </w:p>
        </w:tc>
        <w:tc>
          <w:tcPr>
            <w:tcW w:w="248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2.25%</w:t>
            </w:r>
          </w:p>
        </w:tc>
        <w:tc>
          <w:tcPr>
            <w:tcW w:w="302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6"/>
              </w:rPr>
              <w:t>1.25%</w:t>
            </w:r>
          </w:p>
        </w:tc>
      </w:tr>
      <w:tr>
        <w:trPr>
          <w:trHeight w:val="243"/>
        </w:trPr>
        <w:tc>
          <w:tcPr>
            <w:tcW w:w="2220" w:type="dxa"/>
            <w:vAlign w:val="bottom"/>
            <w:tcBorders>
              <w:left w:val="single" w:sz="8" w:color="00000A"/>
            </w:tcBorders>
            <w:gridSpan w:val="2"/>
          </w:tcPr>
          <w:p>
            <w:pPr>
              <w:ind w:left="40"/>
              <w:spacing w:after="0" w:line="243" w:lineRule="exact"/>
              <w:rPr>
                <w:sz w:val="20"/>
                <w:szCs w:val="20"/>
                <w:color w:val="auto"/>
              </w:rPr>
            </w:pPr>
            <w:r>
              <w:rPr>
                <w:rFonts w:ascii="Arial" w:cs="Arial" w:eastAsia="Arial" w:hAnsi="Arial"/>
                <w:sz w:val="22"/>
                <w:szCs w:val="22"/>
                <w:color w:val="auto"/>
              </w:rPr>
              <w:t>Fourth   Amendment</w:t>
            </w:r>
          </w:p>
        </w:tc>
        <w:tc>
          <w:tcPr>
            <w:tcW w:w="520" w:type="dxa"/>
            <w:vAlign w:val="bottom"/>
            <w:tcBorders>
              <w:right w:val="single" w:sz="8" w:color="00000A"/>
            </w:tcBorders>
          </w:tcPr>
          <w:p>
            <w:pPr>
              <w:jc w:val="right"/>
              <w:spacing w:after="0" w:line="243" w:lineRule="exact"/>
              <w:rPr>
                <w:sz w:val="20"/>
                <w:szCs w:val="20"/>
                <w:color w:val="auto"/>
              </w:rPr>
            </w:pPr>
            <w:r>
              <w:rPr>
                <w:rFonts w:ascii="Arial" w:cs="Arial" w:eastAsia="Arial" w:hAnsi="Arial"/>
                <w:sz w:val="22"/>
                <w:szCs w:val="22"/>
                <w:color w:val="auto"/>
                <w:w w:val="92"/>
              </w:rPr>
              <w:t>Non-</w:t>
            </w:r>
          </w:p>
        </w:tc>
        <w:tc>
          <w:tcPr>
            <w:tcW w:w="2480" w:type="dxa"/>
            <w:vAlign w:val="bottom"/>
            <w:tcBorders>
              <w:right w:val="single" w:sz="8" w:color="00000A"/>
            </w:tcBorders>
          </w:tcPr>
          <w:p>
            <w:pPr>
              <w:spacing w:after="0"/>
              <w:rPr>
                <w:sz w:val="21"/>
                <w:szCs w:val="21"/>
                <w:color w:val="auto"/>
              </w:rPr>
            </w:pPr>
          </w:p>
        </w:tc>
        <w:tc>
          <w:tcPr>
            <w:tcW w:w="3020" w:type="dxa"/>
            <w:vAlign w:val="bottom"/>
            <w:tcBorders>
              <w:right w:val="single" w:sz="8" w:color="00000A"/>
            </w:tcBorders>
          </w:tcPr>
          <w:p>
            <w:pPr>
              <w:spacing w:after="0"/>
              <w:rPr>
                <w:sz w:val="21"/>
                <w:szCs w:val="21"/>
                <w:color w:val="auto"/>
              </w:rPr>
            </w:pPr>
          </w:p>
        </w:tc>
      </w:tr>
      <w:tr>
        <w:trPr>
          <w:trHeight w:val="243"/>
        </w:trPr>
        <w:tc>
          <w:tcPr>
            <w:tcW w:w="1300" w:type="dxa"/>
            <w:vAlign w:val="bottom"/>
            <w:tcBorders>
              <w:left w:val="single" w:sz="8" w:color="00000A"/>
            </w:tcBorders>
          </w:tcPr>
          <w:p>
            <w:pPr>
              <w:ind w:left="40"/>
              <w:spacing w:after="0" w:line="243" w:lineRule="exact"/>
              <w:rPr>
                <w:sz w:val="20"/>
                <w:szCs w:val="20"/>
                <w:color w:val="auto"/>
              </w:rPr>
            </w:pPr>
            <w:r>
              <w:rPr>
                <w:rFonts w:ascii="Arial" w:cs="Arial" w:eastAsia="Arial" w:hAnsi="Arial"/>
                <w:sz w:val="22"/>
                <w:szCs w:val="22"/>
                <w:color w:val="auto"/>
              </w:rPr>
              <w:t>Extended</w:t>
            </w:r>
          </w:p>
        </w:tc>
        <w:tc>
          <w:tcPr>
            <w:tcW w:w="1440" w:type="dxa"/>
            <w:vAlign w:val="bottom"/>
            <w:tcBorders>
              <w:right w:val="single" w:sz="8" w:color="00000A"/>
            </w:tcBorders>
            <w:gridSpan w:val="2"/>
          </w:tcPr>
          <w:p>
            <w:pPr>
              <w:jc w:val="right"/>
              <w:spacing w:after="0" w:line="243" w:lineRule="exact"/>
              <w:rPr>
                <w:sz w:val="20"/>
                <w:szCs w:val="20"/>
                <w:color w:val="auto"/>
              </w:rPr>
            </w:pPr>
            <w:r>
              <w:rPr>
                <w:rFonts w:ascii="Arial" w:cs="Arial" w:eastAsia="Arial" w:hAnsi="Arial"/>
                <w:sz w:val="22"/>
                <w:szCs w:val="22"/>
                <w:color w:val="auto"/>
              </w:rPr>
              <w:t>Revolving</w:t>
            </w:r>
          </w:p>
        </w:tc>
        <w:tc>
          <w:tcPr>
            <w:tcW w:w="2480" w:type="dxa"/>
            <w:vAlign w:val="bottom"/>
            <w:tcBorders>
              <w:right w:val="single" w:sz="8" w:color="00000A"/>
            </w:tcBorders>
          </w:tcPr>
          <w:p>
            <w:pPr>
              <w:spacing w:after="0"/>
              <w:rPr>
                <w:sz w:val="21"/>
                <w:szCs w:val="21"/>
                <w:color w:val="auto"/>
              </w:rPr>
            </w:pPr>
          </w:p>
        </w:tc>
        <w:tc>
          <w:tcPr>
            <w:tcW w:w="3020" w:type="dxa"/>
            <w:vAlign w:val="bottom"/>
            <w:tcBorders>
              <w:right w:val="single" w:sz="8" w:color="00000A"/>
            </w:tcBorders>
          </w:tcPr>
          <w:p>
            <w:pPr>
              <w:spacing w:after="0"/>
              <w:rPr>
                <w:sz w:val="21"/>
                <w:szCs w:val="21"/>
                <w:color w:val="auto"/>
              </w:rPr>
            </w:pPr>
          </w:p>
        </w:tc>
      </w:tr>
      <w:tr>
        <w:trPr>
          <w:trHeight w:val="275"/>
        </w:trPr>
        <w:tc>
          <w:tcPr>
            <w:tcW w:w="13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91"/>
              </w:rPr>
              <w:t>Commitments</w:t>
            </w:r>
          </w:p>
        </w:tc>
        <w:tc>
          <w:tcPr>
            <w:tcW w:w="920" w:type="dxa"/>
            <w:vAlign w:val="bottom"/>
          </w:tcPr>
          <w:p>
            <w:pPr>
              <w:spacing w:after="0"/>
              <w:rPr>
                <w:sz w:val="23"/>
                <w:szCs w:val="23"/>
                <w:color w:val="auto"/>
              </w:rPr>
            </w:pPr>
          </w:p>
        </w:tc>
        <w:tc>
          <w:tcPr>
            <w:tcW w:w="520" w:type="dxa"/>
            <w:vAlign w:val="bottom"/>
            <w:tcBorders>
              <w:right w:val="single" w:sz="8" w:color="00000A"/>
            </w:tcBorders>
          </w:tcPr>
          <w:p>
            <w:pPr>
              <w:spacing w:after="0"/>
              <w:rPr>
                <w:sz w:val="23"/>
                <w:szCs w:val="23"/>
                <w:color w:val="auto"/>
              </w:rPr>
            </w:pPr>
          </w:p>
        </w:tc>
        <w:tc>
          <w:tcPr>
            <w:tcW w:w="2480" w:type="dxa"/>
            <w:vAlign w:val="bottom"/>
            <w:tcBorders>
              <w:right w:val="single" w:sz="8" w:color="00000A"/>
            </w:tcBorders>
          </w:tcPr>
          <w:p>
            <w:pPr>
              <w:spacing w:after="0"/>
              <w:rPr>
                <w:sz w:val="23"/>
                <w:szCs w:val="23"/>
                <w:color w:val="auto"/>
              </w:rPr>
            </w:pPr>
          </w:p>
        </w:tc>
        <w:tc>
          <w:tcPr>
            <w:tcW w:w="3020" w:type="dxa"/>
            <w:vAlign w:val="bottom"/>
            <w:tcBorders>
              <w:right w:val="single" w:sz="8" w:color="00000A"/>
            </w:tcBorders>
          </w:tcPr>
          <w:p>
            <w:pPr>
              <w:spacing w:after="0"/>
              <w:rPr>
                <w:sz w:val="23"/>
                <w:szCs w:val="23"/>
                <w:color w:val="auto"/>
              </w:rPr>
            </w:pPr>
          </w:p>
        </w:tc>
      </w:tr>
      <w:tr>
        <w:trPr>
          <w:trHeight w:val="233"/>
        </w:trPr>
        <w:tc>
          <w:tcPr>
            <w:tcW w:w="1300" w:type="dxa"/>
            <w:vAlign w:val="bottom"/>
            <w:tcBorders>
              <w:left w:val="single" w:sz="8" w:color="00000A"/>
              <w:bottom w:val="single" w:sz="8" w:color="00000A"/>
            </w:tcBorders>
          </w:tcPr>
          <w:p>
            <w:pPr>
              <w:spacing w:after="0"/>
              <w:rPr>
                <w:sz w:val="20"/>
                <w:szCs w:val="20"/>
                <w:color w:val="auto"/>
              </w:rPr>
            </w:pPr>
          </w:p>
        </w:tc>
        <w:tc>
          <w:tcPr>
            <w:tcW w:w="920" w:type="dxa"/>
            <w:vAlign w:val="bottom"/>
            <w:tcBorders>
              <w:bottom w:val="single" w:sz="8" w:color="00000A"/>
            </w:tcBorders>
          </w:tcPr>
          <w:p>
            <w:pPr>
              <w:spacing w:after="0"/>
              <w:rPr>
                <w:sz w:val="20"/>
                <w:szCs w:val="20"/>
                <w:color w:val="auto"/>
              </w:rPr>
            </w:pPr>
          </w:p>
        </w:tc>
        <w:tc>
          <w:tcPr>
            <w:tcW w:w="520" w:type="dxa"/>
            <w:vAlign w:val="bottom"/>
            <w:tcBorders>
              <w:bottom w:val="single" w:sz="8" w:color="00000A"/>
              <w:right w:val="single" w:sz="8" w:color="00000A"/>
            </w:tcBorders>
          </w:tcPr>
          <w:p>
            <w:pPr>
              <w:spacing w:after="0"/>
              <w:rPr>
                <w:sz w:val="20"/>
                <w:szCs w:val="20"/>
                <w:color w:val="auto"/>
              </w:rPr>
            </w:pPr>
          </w:p>
        </w:tc>
        <w:tc>
          <w:tcPr>
            <w:tcW w:w="2480" w:type="dxa"/>
            <w:vAlign w:val="bottom"/>
            <w:tcBorders>
              <w:bottom w:val="single" w:sz="8" w:color="00000A"/>
              <w:right w:val="single" w:sz="8" w:color="00000A"/>
            </w:tcBorders>
          </w:tcPr>
          <w:p>
            <w:pPr>
              <w:spacing w:after="0"/>
              <w:rPr>
                <w:sz w:val="20"/>
                <w:szCs w:val="20"/>
                <w:color w:val="auto"/>
              </w:rPr>
            </w:pPr>
          </w:p>
        </w:tc>
        <w:tc>
          <w:tcPr>
            <w:tcW w:w="3020" w:type="dxa"/>
            <w:vAlign w:val="bottom"/>
            <w:tcBorders>
              <w:bottom w:val="single" w:sz="8" w:color="00000A"/>
              <w:right w:val="single" w:sz="8" w:color="00000A"/>
            </w:tcBorders>
          </w:tcPr>
          <w:p>
            <w:pPr>
              <w:spacing w:after="0"/>
              <w:rPr>
                <w:sz w:val="20"/>
                <w:szCs w:val="20"/>
                <w:color w:val="auto"/>
              </w:rPr>
            </w:pPr>
          </w:p>
        </w:tc>
      </w:tr>
    </w:tbl>
    <w:p>
      <w:pPr>
        <w:spacing w:after="0" w:line="208" w:lineRule="exact"/>
        <w:rPr>
          <w:sz w:val="20"/>
          <w:szCs w:val="20"/>
          <w:color w:val="auto"/>
        </w:rPr>
      </w:pPr>
    </w:p>
    <w:p>
      <w:pPr>
        <w:ind w:right="800" w:firstLine="1305"/>
        <w:spacing w:after="0" w:line="276" w:lineRule="auto"/>
        <w:tabs>
          <w:tab w:leader="none" w:pos="171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Commitment Fee Rate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left="6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Commitment Fee Rate</w:t>
      </w:r>
      <w:r>
        <w:rPr>
          <w:rFonts w:ascii="Arial" w:cs="Arial" w:eastAsia="Arial" w:hAnsi="Arial"/>
          <w:sz w:val="22"/>
          <w:szCs w:val="22"/>
          <w:color w:val="auto"/>
        </w:rPr>
        <w:t>” shall mean (x) in respect of Fourth Amendment Extended Revolving Commitments, 0.625% per annum and (y) in respect of Fourth Amendment Non-Extended Revolving Commitments, 0.75% per annum.”;</w:t>
      </w:r>
    </w:p>
    <w:p>
      <w:pPr>
        <w:spacing w:after="0" w:line="200" w:lineRule="exact"/>
        <w:rPr>
          <w:sz w:val="20"/>
          <w:szCs w:val="20"/>
          <w:color w:val="auto"/>
        </w:rPr>
      </w:pPr>
    </w:p>
    <w:p>
      <w:pPr>
        <w:spacing w:after="0" w:line="202" w:lineRule="exact"/>
        <w:rPr>
          <w:sz w:val="20"/>
          <w:szCs w:val="20"/>
          <w:color w:val="auto"/>
        </w:rPr>
      </w:pPr>
    </w:p>
    <w:p>
      <w:pPr>
        <w:ind w:firstLine="1305"/>
        <w:spacing w:after="0" w:line="276" w:lineRule="auto"/>
        <w:tabs>
          <w:tab w:leader="none" w:pos="1728"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definition of “LIBO Rate” appearing in Section 1.01 of the Credit Agreement is hereby amended by adding “and Revolving Loans in respect of Fourth Amendment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Extended Revolving Commitments” after “solely in respect of the 2017 Class B Term Loans” where it is used therein.</w:t>
      </w:r>
    </w:p>
    <w:p>
      <w:pPr>
        <w:spacing w:after="0" w:line="200" w:lineRule="exact"/>
        <w:rPr>
          <w:sz w:val="20"/>
          <w:szCs w:val="20"/>
          <w:color w:val="auto"/>
        </w:rPr>
      </w:pPr>
    </w:p>
    <w:p>
      <w:pPr>
        <w:spacing w:after="0" w:line="236" w:lineRule="exact"/>
        <w:rPr>
          <w:sz w:val="20"/>
          <w:szCs w:val="20"/>
          <w:color w:val="auto"/>
        </w:rPr>
      </w:pPr>
    </w:p>
    <w:p>
      <w:pPr>
        <w:ind w:right="500" w:firstLine="1305"/>
        <w:spacing w:after="0" w:line="276" w:lineRule="auto"/>
        <w:tabs>
          <w:tab w:leader="none" w:pos="171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Facility Maturity Date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left="900" w:firstLine="972"/>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Revolving Facility Maturity Date</w:t>
      </w:r>
      <w:r>
        <w:rPr>
          <w:rFonts w:ascii="Arial" w:cs="Arial" w:eastAsia="Arial" w:hAnsi="Arial"/>
          <w:sz w:val="22"/>
          <w:szCs w:val="22"/>
          <w:color w:val="auto"/>
        </w:rPr>
        <w:t>” shall mean, (a) with respect to Fourth Amendment Extended Revolving Commitments, that have not been extended pursuant to Section 2.28(b), but including Revolving Commitments extended or made available pursuant to the Fourth Amendment, October 13, 2023, (b) with respect to Fourth Amendment Non-Extended Revolving Commitments that have not been extended pursuant to Section 2.28(b), October 13, 2022 and (c) with respect to Extended Revolving Commitments extended after the Fourth Amendment Effective Date, the final maturity date therefor as specified in the applicable Extension Offer accepted by the respective Revolving Lender or Revolving Lenders.”;</w:t>
      </w:r>
    </w:p>
    <w:p>
      <w:pPr>
        <w:spacing w:after="0" w:line="200" w:lineRule="exact"/>
        <w:rPr>
          <w:sz w:val="20"/>
          <w:szCs w:val="20"/>
          <w:color w:val="auto"/>
        </w:rPr>
      </w:pPr>
    </w:p>
    <w:p>
      <w:pPr>
        <w:spacing w:after="0" w:line="213" w:lineRule="exact"/>
        <w:rPr>
          <w:sz w:val="20"/>
          <w:szCs w:val="20"/>
          <w:color w:val="auto"/>
        </w:rPr>
      </w:pPr>
    </w:p>
    <w:p>
      <w:pPr>
        <w:ind w:left="80" w:right="220" w:firstLine="1306"/>
        <w:spacing w:after="0" w:line="276" w:lineRule="auto"/>
        <w:tabs>
          <w:tab w:leader="none" w:pos="177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Commitment</w:t>
      </w:r>
      <w:r>
        <w:rPr>
          <w:rFonts w:ascii="Arial" w:cs="Arial" w:eastAsia="Arial" w:hAnsi="Arial"/>
          <w:sz w:val="22"/>
          <w:szCs w:val="22"/>
          <w:color w:val="auto"/>
        </w:rPr>
        <w:t>” is hereby amended by deleting the last sentence of said definition in its entirety and inserting in lieu thereof the following new sentence:</w:t>
      </w:r>
    </w:p>
    <w:p>
      <w:pPr>
        <w:spacing w:after="0" w:line="377" w:lineRule="exact"/>
        <w:rPr>
          <w:sz w:val="20"/>
          <w:szCs w:val="20"/>
          <w:color w:val="auto"/>
        </w:rPr>
      </w:pPr>
    </w:p>
    <w:p>
      <w:pPr>
        <w:jc w:val="both"/>
        <w:ind w:left="900" w:firstLine="972"/>
        <w:spacing w:after="0" w:line="253" w:lineRule="auto"/>
        <w:rPr>
          <w:sz w:val="20"/>
          <w:szCs w:val="20"/>
          <w:color w:val="auto"/>
        </w:rPr>
      </w:pPr>
      <w:r>
        <w:rPr>
          <w:rFonts w:ascii="Arial" w:cs="Arial" w:eastAsia="Arial" w:hAnsi="Arial"/>
          <w:sz w:val="22"/>
          <w:szCs w:val="22"/>
          <w:color w:val="auto"/>
        </w:rPr>
        <w:t>“The aggregate amount of the Total Revolving Commitments as of the Fourth Amendment Effective Date is $300,000,000, consisting of $296,400,000 of Extended Revolver Commitments and $3,600,000 of Fourth Amendment Non-Extended Revolver Commitments.”;</w:t>
      </w:r>
    </w:p>
    <w:p>
      <w:pPr>
        <w:spacing w:after="0" w:line="200" w:lineRule="exact"/>
        <w:rPr>
          <w:sz w:val="20"/>
          <w:szCs w:val="20"/>
          <w:color w:val="auto"/>
        </w:rPr>
      </w:pPr>
    </w:p>
    <w:p>
      <w:pPr>
        <w:spacing w:after="0" w:line="202" w:lineRule="exact"/>
        <w:rPr>
          <w:sz w:val="20"/>
          <w:szCs w:val="20"/>
          <w:color w:val="auto"/>
        </w:rPr>
      </w:pPr>
    </w:p>
    <w:p>
      <w:pPr>
        <w:ind w:left="1380"/>
        <w:spacing w:after="0"/>
        <w:tabs>
          <w:tab w:leader="none" w:pos="18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Section 2.20(a) of the Credit Agreement is here by amended and restated in its entirety as follows:</w:t>
      </w:r>
    </w:p>
    <w:p>
      <w:pPr>
        <w:spacing w:after="0" w:line="200" w:lineRule="exact"/>
        <w:rPr>
          <w:sz w:val="20"/>
          <w:szCs w:val="20"/>
          <w:color w:val="auto"/>
        </w:rPr>
      </w:pPr>
    </w:p>
    <w:p>
      <w:pPr>
        <w:spacing w:after="0" w:line="249"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“The Borrower shall pay to the Administrative Agent for the accounts of the Revolving Lenders a commitment fee (the “</w:t>
      </w:r>
      <w:r>
        <w:rPr>
          <w:rFonts w:ascii="Arial" w:cs="Arial" w:eastAsia="Arial" w:hAnsi="Arial"/>
          <w:sz w:val="19"/>
          <w:szCs w:val="19"/>
          <w:i w:val="1"/>
          <w:iCs w:val="1"/>
          <w:color w:val="auto"/>
        </w:rPr>
        <w:t>Commitment Fee</w:t>
      </w:r>
      <w:r>
        <w:rPr>
          <w:rFonts w:ascii="Arial" w:cs="Arial" w:eastAsia="Arial" w:hAnsi="Arial"/>
          <w:sz w:val="19"/>
          <w:szCs w:val="19"/>
          <w:color w:val="auto"/>
        </w:rPr>
        <w:t>”) for the period commencing on the Revolver Availability Date (or such other date agreed by the Borrower and the Revolving Lenders) and ending on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Revolver Availability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 (provided that such fee will be prorated based on the Commitment Fee set forth in the Fourth Amendment for the fiscal quarter in which the Fourth Amendment Effective Date occurs).”</w:t>
      </w:r>
    </w:p>
    <w:p>
      <w:pPr>
        <w:spacing w:after="0" w:line="376" w:lineRule="exact"/>
        <w:rPr>
          <w:sz w:val="20"/>
          <w:szCs w:val="20"/>
          <w:color w:val="auto"/>
        </w:rPr>
      </w:pPr>
    </w:p>
    <w:p>
      <w:pPr>
        <w:ind w:left="5660" w:right="1160" w:hanging="4274"/>
        <w:spacing w:after="0" w:line="712" w:lineRule="auto"/>
        <w:tabs>
          <w:tab w:leader="none" w:pos="181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Section 2.20(b) of the Credit Agreement is hereby amended and restated in its entirety as follows: 4</w:t>
      </w:r>
    </w:p>
    <w:p>
      <w:pPr>
        <w:sectPr>
          <w:pgSz w:w="11900" w:h="16838" w:orient="portrait"/>
          <w:cols w:equalWidth="0" w:num="1">
            <w:col w:w="11420"/>
          </w:cols>
          <w:pgMar w:left="240" w:top="591" w:right="239" w:bottom="1440" w:gutter="0" w:footer="0" w:header="0"/>
        </w:sectPr>
      </w:pPr>
    </w:p>
    <w:bookmarkStart w:id="233" w:name="page234"/>
    <w:bookmarkEnd w:id="233"/>
    <w:p>
      <w:pPr>
        <w:jc w:val="both"/>
        <w:ind w:firstLine="1297"/>
        <w:spacing w:after="0" w:line="343" w:lineRule="auto"/>
        <w:rPr>
          <w:sz w:val="20"/>
          <w:szCs w:val="20"/>
          <w:color w:val="auto"/>
        </w:rPr>
      </w:pPr>
      <w:r>
        <w:rPr>
          <w:rFonts w:ascii="Arial" w:cs="Arial" w:eastAsia="Arial" w:hAnsi="Arial"/>
          <w:sz w:val="19"/>
          <w:szCs w:val="19"/>
          <w:color w:val="auto"/>
        </w:rPr>
        <w:t>“The Borrower shall pay on the Revolver Availability Date to each Revolving Lender as of such date, an upfront fee (the “</w:t>
      </w:r>
      <w:r>
        <w:rPr>
          <w:rFonts w:ascii="Arial" w:cs="Arial" w:eastAsia="Arial" w:hAnsi="Arial"/>
          <w:sz w:val="19"/>
          <w:szCs w:val="19"/>
          <w:i w:val="1"/>
          <w:iCs w:val="1"/>
          <w:color w:val="auto"/>
        </w:rPr>
        <w:t>Upfront Fee</w:t>
      </w:r>
      <w:r>
        <w:rPr>
          <w:rFonts w:ascii="Arial" w:cs="Arial" w:eastAsia="Arial" w:hAnsi="Arial"/>
          <w:sz w:val="19"/>
          <w:szCs w:val="19"/>
          <w:color w:val="auto"/>
        </w:rPr>
        <w:t>”) as set forth in the Revolving Lenders Fee Letter, dated as of the Fourth Amendment Effective Date.”</w:t>
      </w:r>
    </w:p>
    <w:p>
      <w:pPr>
        <w:spacing w:after="0" w:line="321" w:lineRule="exact"/>
        <w:rPr>
          <w:sz w:val="20"/>
          <w:szCs w:val="20"/>
          <w:color w:val="auto"/>
        </w:rPr>
      </w:pPr>
    </w:p>
    <w:p>
      <w:pPr>
        <w:ind w:left="1380"/>
        <w:spacing w:after="0"/>
        <w:tabs>
          <w:tab w:leader="none" w:pos="17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“Annex A” of the Credit Agreement is hereby amended and restated in its entirety in the form attached hereto</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 Schedule 1.</w:t>
      </w:r>
    </w:p>
    <w:p>
      <w:pPr>
        <w:spacing w:after="0" w:line="200" w:lineRule="exact"/>
        <w:rPr>
          <w:sz w:val="20"/>
          <w:szCs w:val="20"/>
          <w:color w:val="auto"/>
        </w:rPr>
      </w:pPr>
    </w:p>
    <w:p>
      <w:pPr>
        <w:spacing w:after="0" w:line="23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Notwithstanding anything in this Fourth Amendment or the Credit Agreement to the contrary, the Administrative Agent hereby waives the minimum notice required by Section 2.28(e) of the Credit Agreement in connection with the extension of the Revolving Commitments to be effectuated by this Fourth Amendment.</w:t>
      </w:r>
    </w:p>
    <w:p>
      <w:pPr>
        <w:spacing w:after="0" w:line="200" w:lineRule="exact"/>
        <w:rPr>
          <w:sz w:val="20"/>
          <w:szCs w:val="20"/>
          <w:color w:val="auto"/>
        </w:rPr>
      </w:pPr>
    </w:p>
    <w:p>
      <w:pPr>
        <w:spacing w:after="0" w:line="20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u w:val="single" w:color="auto"/>
          <w:color w:val="auto"/>
        </w:rPr>
        <w:t>SECTION THREE - Titles and Roles.</w:t>
      </w:r>
      <w:r>
        <w:rPr>
          <w:rFonts w:ascii="Arial" w:cs="Arial" w:eastAsia="Arial" w:hAnsi="Arial"/>
          <w:sz w:val="22"/>
          <w:szCs w:val="22"/>
          <w:color w:val="auto"/>
        </w:rPr>
        <w:t xml:space="preserve"> The parties hereto agree that, as of the Fourth Amendment Effective Date (as defined below) and in connection with the Fourth Amendment:</w:t>
      </w:r>
    </w:p>
    <w:p>
      <w:pPr>
        <w:spacing w:after="0" w:line="391" w:lineRule="exact"/>
        <w:rPr>
          <w:sz w:val="20"/>
          <w:szCs w:val="20"/>
          <w:color w:val="auto"/>
        </w:rPr>
      </w:pPr>
    </w:p>
    <w:p>
      <w:pPr>
        <w:jc w:val="both"/>
        <w:ind w:firstLine="1305"/>
        <w:spacing w:after="0" w:line="260" w:lineRule="auto"/>
        <w:tabs>
          <w:tab w:leader="none" w:pos="1872" w:val="left"/>
        </w:tabs>
        <w:numPr>
          <w:ilvl w:val="0"/>
          <w:numId w:val="113"/>
        </w:numPr>
        <w:rPr>
          <w:rFonts w:ascii="Arial" w:cs="Arial" w:eastAsia="Arial" w:hAnsi="Arial"/>
          <w:sz w:val="21"/>
          <w:szCs w:val="21"/>
          <w:color w:val="auto"/>
        </w:rPr>
      </w:pPr>
      <w:r>
        <w:rPr>
          <w:rFonts w:ascii="Arial" w:cs="Arial" w:eastAsia="Arial" w:hAnsi="Arial"/>
          <w:sz w:val="21"/>
          <w:szCs w:val="21"/>
          <w:color w:val="auto"/>
        </w:rPr>
        <w:t>each of Barclays Bank PLC (“</w:t>
      </w:r>
      <w:r>
        <w:rPr>
          <w:rFonts w:ascii="Arial" w:cs="Arial" w:eastAsia="Arial" w:hAnsi="Arial"/>
          <w:sz w:val="21"/>
          <w:szCs w:val="21"/>
          <w:i w:val="1"/>
          <w:iCs w:val="1"/>
          <w:color w:val="auto"/>
        </w:rPr>
        <w:t>Barclays</w:t>
      </w:r>
      <w:r>
        <w:rPr>
          <w:rFonts w:ascii="Arial" w:cs="Arial" w:eastAsia="Arial" w:hAnsi="Arial"/>
          <w:sz w:val="21"/>
          <w:szCs w:val="21"/>
          <w:color w:val="auto"/>
        </w:rPr>
        <w:t>”), Citigroup Global Markets Inc. (“</w:t>
      </w:r>
      <w:r>
        <w:rPr>
          <w:rFonts w:ascii="Arial" w:cs="Arial" w:eastAsia="Arial" w:hAnsi="Arial"/>
          <w:sz w:val="21"/>
          <w:szCs w:val="21"/>
          <w:i w:val="1"/>
          <w:iCs w:val="1"/>
          <w:color w:val="auto"/>
        </w:rPr>
        <w:t>Citi</w:t>
      </w:r>
      <w:r>
        <w:rPr>
          <w:rFonts w:ascii="Arial" w:cs="Arial" w:eastAsia="Arial" w:hAnsi="Arial"/>
          <w:sz w:val="21"/>
          <w:szCs w:val="21"/>
          <w:color w:val="auto"/>
        </w:rPr>
        <w:t>”), Credit Suisse Securities (USA) LLC (“</w:t>
      </w:r>
      <w:r>
        <w:rPr>
          <w:rFonts w:ascii="Arial" w:cs="Arial" w:eastAsia="Arial" w:hAnsi="Arial"/>
          <w:sz w:val="21"/>
          <w:szCs w:val="21"/>
          <w:i w:val="1"/>
          <w:iCs w:val="1"/>
          <w:color w:val="auto"/>
        </w:rPr>
        <w:t>CS Securities</w:t>
      </w:r>
      <w:r>
        <w:rPr>
          <w:rFonts w:ascii="Arial" w:cs="Arial" w:eastAsia="Arial" w:hAnsi="Arial"/>
          <w:sz w:val="21"/>
          <w:szCs w:val="21"/>
          <w:color w:val="auto"/>
        </w:rPr>
        <w:t>”), Deutsche Bank Securities Inc. (“</w:t>
      </w:r>
      <w:r>
        <w:rPr>
          <w:rFonts w:ascii="Arial" w:cs="Arial" w:eastAsia="Arial" w:hAnsi="Arial"/>
          <w:sz w:val="21"/>
          <w:szCs w:val="21"/>
          <w:i w:val="1"/>
          <w:iCs w:val="1"/>
          <w:color w:val="auto"/>
        </w:rPr>
        <w:t>DBSI</w:t>
      </w:r>
      <w:r>
        <w:rPr>
          <w:rFonts w:ascii="Arial" w:cs="Arial" w:eastAsia="Arial" w:hAnsi="Arial"/>
          <w:sz w:val="21"/>
          <w:szCs w:val="21"/>
          <w:color w:val="auto"/>
        </w:rPr>
        <w:t>”), Goldman Sachs Lending Partners LLC (“</w:t>
      </w:r>
      <w:r>
        <w:rPr>
          <w:rFonts w:ascii="Arial" w:cs="Arial" w:eastAsia="Arial" w:hAnsi="Arial"/>
          <w:sz w:val="21"/>
          <w:szCs w:val="21"/>
          <w:i w:val="1"/>
          <w:iCs w:val="1"/>
          <w:color w:val="auto"/>
        </w:rPr>
        <w:t>GSLP</w:t>
      </w:r>
      <w:r>
        <w:rPr>
          <w:rFonts w:ascii="Arial" w:cs="Arial" w:eastAsia="Arial" w:hAnsi="Arial"/>
          <w:sz w:val="21"/>
          <w:szCs w:val="21"/>
          <w:color w:val="auto"/>
        </w:rPr>
        <w:t>”), Industrial and Commercial Bank of China Limited, New York Branch (“</w:t>
      </w:r>
      <w:r>
        <w:rPr>
          <w:rFonts w:ascii="Arial" w:cs="Arial" w:eastAsia="Arial" w:hAnsi="Arial"/>
          <w:sz w:val="21"/>
          <w:szCs w:val="21"/>
          <w:i w:val="1"/>
          <w:iCs w:val="1"/>
          <w:color w:val="auto"/>
        </w:rPr>
        <w:t>ICBC</w:t>
      </w:r>
      <w:r>
        <w:rPr>
          <w:rFonts w:ascii="Arial" w:cs="Arial" w:eastAsia="Arial" w:hAnsi="Arial"/>
          <w:sz w:val="21"/>
          <w:szCs w:val="21"/>
          <w:color w:val="auto"/>
        </w:rPr>
        <w:t>”), JPMorgan Chase Bank, N.A. (“</w:t>
      </w:r>
      <w:r>
        <w:rPr>
          <w:rFonts w:ascii="Arial" w:cs="Arial" w:eastAsia="Arial" w:hAnsi="Arial"/>
          <w:sz w:val="21"/>
          <w:szCs w:val="21"/>
          <w:i w:val="1"/>
          <w:iCs w:val="1"/>
          <w:color w:val="auto"/>
        </w:rPr>
        <w:t>JPMCB</w:t>
      </w:r>
      <w:r>
        <w:rPr>
          <w:rFonts w:ascii="Arial" w:cs="Arial" w:eastAsia="Arial" w:hAnsi="Arial"/>
          <w:sz w:val="21"/>
          <w:szCs w:val="21"/>
          <w:color w:val="auto"/>
        </w:rPr>
        <w:t>”), Merrill Lynch, Pierce, Fenner &amp; Smith Incorporated (“</w:t>
      </w:r>
      <w:r>
        <w:rPr>
          <w:rFonts w:ascii="Arial" w:cs="Arial" w:eastAsia="Arial" w:hAnsi="Arial"/>
          <w:sz w:val="21"/>
          <w:szCs w:val="21"/>
          <w:i w:val="1"/>
          <w:iCs w:val="1"/>
          <w:color w:val="auto"/>
        </w:rPr>
        <w:t>ML</w:t>
      </w:r>
      <w:r>
        <w:rPr>
          <w:rFonts w:ascii="Arial" w:cs="Arial" w:eastAsia="Arial" w:hAnsi="Arial"/>
          <w:sz w:val="21"/>
          <w:szCs w:val="21"/>
          <w:color w:val="auto"/>
        </w:rPr>
        <w:t>”), Morgan Stanley Senior Funding, Inc. (“</w:t>
      </w:r>
      <w:r>
        <w:rPr>
          <w:rFonts w:ascii="Arial" w:cs="Arial" w:eastAsia="Arial" w:hAnsi="Arial"/>
          <w:sz w:val="21"/>
          <w:szCs w:val="21"/>
          <w:i w:val="1"/>
          <w:iCs w:val="1"/>
          <w:color w:val="auto"/>
        </w:rPr>
        <w:t>MS</w:t>
      </w:r>
      <w:r>
        <w:rPr>
          <w:rFonts w:ascii="Arial" w:cs="Arial" w:eastAsia="Arial" w:hAnsi="Arial"/>
          <w:sz w:val="21"/>
          <w:szCs w:val="21"/>
          <w:color w:val="auto"/>
        </w:rPr>
        <w:t>”), Sumitomo Mitsui Banking Corporation (“</w:t>
      </w:r>
      <w:r>
        <w:rPr>
          <w:rFonts w:ascii="Arial" w:cs="Arial" w:eastAsia="Arial" w:hAnsi="Arial"/>
          <w:sz w:val="21"/>
          <w:szCs w:val="21"/>
          <w:i w:val="1"/>
          <w:iCs w:val="1"/>
          <w:color w:val="auto"/>
        </w:rPr>
        <w:t>SMBC</w:t>
      </w:r>
      <w:r>
        <w:rPr>
          <w:rFonts w:ascii="Arial" w:cs="Arial" w:eastAsia="Arial" w:hAnsi="Arial"/>
          <w:sz w:val="21"/>
          <w:szCs w:val="21"/>
          <w:color w:val="auto"/>
        </w:rPr>
        <w:t>”), BNP Paribas Securities Corp. (“</w:t>
      </w:r>
      <w:r>
        <w:rPr>
          <w:rFonts w:ascii="Arial" w:cs="Arial" w:eastAsia="Arial" w:hAnsi="Arial"/>
          <w:sz w:val="21"/>
          <w:szCs w:val="21"/>
          <w:i w:val="1"/>
          <w:iCs w:val="1"/>
          <w:color w:val="auto"/>
        </w:rPr>
        <w:t>BNP Securities</w:t>
      </w:r>
      <w:r>
        <w:rPr>
          <w:rFonts w:ascii="Arial" w:cs="Arial" w:eastAsia="Arial" w:hAnsi="Arial"/>
          <w:sz w:val="21"/>
          <w:szCs w:val="21"/>
          <w:color w:val="auto"/>
        </w:rPr>
        <w:t>”), Credit Agricole Corporate and Investment Bank (“</w:t>
      </w:r>
      <w:r>
        <w:rPr>
          <w:rFonts w:ascii="Arial" w:cs="Arial" w:eastAsia="Arial" w:hAnsi="Arial"/>
          <w:sz w:val="21"/>
          <w:szCs w:val="21"/>
          <w:i w:val="1"/>
          <w:iCs w:val="1"/>
          <w:color w:val="auto"/>
        </w:rPr>
        <w:t>CA-CIB</w:t>
      </w:r>
      <w:r>
        <w:rPr>
          <w:rFonts w:ascii="Arial" w:cs="Arial" w:eastAsia="Arial" w:hAnsi="Arial"/>
          <w:sz w:val="21"/>
          <w:szCs w:val="21"/>
          <w:color w:val="auto"/>
        </w:rPr>
        <w:t>”), HSBC, MUFG, Standard Chartered Bank (“</w:t>
      </w:r>
      <w:r>
        <w:rPr>
          <w:rFonts w:ascii="Arial" w:cs="Arial" w:eastAsia="Arial" w:hAnsi="Arial"/>
          <w:sz w:val="21"/>
          <w:szCs w:val="21"/>
          <w:i w:val="1"/>
          <w:iCs w:val="1"/>
          <w:color w:val="auto"/>
        </w:rPr>
        <w:t>SCB</w:t>
      </w:r>
      <w:r>
        <w:rPr>
          <w:rFonts w:ascii="Arial" w:cs="Arial" w:eastAsia="Arial" w:hAnsi="Arial"/>
          <w:sz w:val="21"/>
          <w:szCs w:val="21"/>
          <w:color w:val="auto"/>
        </w:rPr>
        <w:t>”), U.S. Bank National Association (“</w:t>
      </w:r>
      <w:r>
        <w:rPr>
          <w:rFonts w:ascii="Arial" w:cs="Arial" w:eastAsia="Arial" w:hAnsi="Arial"/>
          <w:sz w:val="21"/>
          <w:szCs w:val="21"/>
          <w:i w:val="1"/>
          <w:iCs w:val="1"/>
          <w:color w:val="auto"/>
        </w:rPr>
        <w:t>US Bank</w:t>
      </w:r>
      <w:r>
        <w:rPr>
          <w:rFonts w:ascii="Arial" w:cs="Arial" w:eastAsia="Arial" w:hAnsi="Arial"/>
          <w:sz w:val="21"/>
          <w:szCs w:val="21"/>
          <w:color w:val="auto"/>
        </w:rPr>
        <w:t>”), and BoT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designated as, and perform the roles associated with, a joint lead arranger and bookrunner;</w:t>
      </w:r>
    </w:p>
    <w:p>
      <w:pPr>
        <w:spacing w:after="0" w:line="397" w:lineRule="exact"/>
        <w:rPr>
          <w:rFonts w:ascii="Arial" w:cs="Arial" w:eastAsia="Arial" w:hAnsi="Arial"/>
          <w:sz w:val="21"/>
          <w:szCs w:val="21"/>
          <w:color w:val="auto"/>
        </w:rPr>
      </w:pPr>
    </w:p>
    <w:p>
      <w:pPr>
        <w:ind w:firstLine="1305"/>
        <w:spacing w:after="0" w:line="263" w:lineRule="auto"/>
        <w:tabs>
          <w:tab w:leader="none" w:pos="182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each of Barclays, Citi, CS Securities, DBSI, GSLP, ICBC, JPMCB, Bank of America, N.A., MS and SMBC shall be designated as, and perform the roles associated with, a syndication agent; and</w:t>
      </w:r>
    </w:p>
    <w:p>
      <w:pPr>
        <w:spacing w:after="0" w:line="390" w:lineRule="exact"/>
        <w:rPr>
          <w:rFonts w:ascii="Arial" w:cs="Arial" w:eastAsia="Arial" w:hAnsi="Arial"/>
          <w:sz w:val="22"/>
          <w:szCs w:val="22"/>
          <w:color w:val="auto"/>
        </w:rPr>
      </w:pPr>
    </w:p>
    <w:p>
      <w:pPr>
        <w:ind w:firstLine="1305"/>
        <w:spacing w:after="0" w:line="263" w:lineRule="auto"/>
        <w:tabs>
          <w:tab w:leader="none" w:pos="175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each of BNP Securities, CA-CIB, HSBC, MUFG, SCB, US Bank, and BoT shall be designated as, and perform the roles associated with, a documentation agent.</w:t>
      </w:r>
    </w:p>
    <w:p>
      <w:pPr>
        <w:spacing w:after="0" w:line="39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SECTION FOUR - Conditions to Effectiveness</w:t>
      </w:r>
      <w:r>
        <w:rPr>
          <w:rFonts w:ascii="Arial" w:cs="Arial" w:eastAsia="Arial" w:hAnsi="Arial"/>
          <w:sz w:val="22"/>
          <w:szCs w:val="22"/>
          <w:color w:val="auto"/>
        </w:rPr>
        <w:t>. The provisions of Sections One and Two of this Fourth Amendment shall become effective on the date (the “</w:t>
      </w:r>
      <w:r>
        <w:rPr>
          <w:rFonts w:ascii="Arial" w:cs="Arial" w:eastAsia="Arial" w:hAnsi="Arial"/>
          <w:sz w:val="22"/>
          <w:szCs w:val="22"/>
          <w:i w:val="1"/>
          <w:iCs w:val="1"/>
          <w:color w:val="auto"/>
        </w:rPr>
        <w:t>Fourth Amendment Effective Date</w:t>
      </w:r>
      <w:r>
        <w:rPr>
          <w:rFonts w:ascii="Arial" w:cs="Arial" w:eastAsia="Arial" w:hAnsi="Arial"/>
          <w:sz w:val="22"/>
          <w:szCs w:val="22"/>
          <w:color w:val="auto"/>
        </w:rPr>
        <w:t>”) when each of the following conditions specified below shall have been satisfied:</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320" w:lineRule="auto"/>
        <w:tabs>
          <w:tab w:leader="none" w:pos="183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Borrower, the Guarantor, the Administrative Agent, each Consenting Revolving Lender and each New Revolving Lender shall have signed a counterpart hereof (whether the same or different counterparts) and shall have delivered the same to Milbank, Tweed, Hadley &amp; McCloy LLP, 28 Liberty Street, New York, NY 10005, attention: Zara Shirazi;</w:t>
      </w:r>
    </w:p>
    <w:p>
      <w:pPr>
        <w:spacing w:after="0" w:line="341" w:lineRule="exact"/>
        <w:rPr>
          <w:rFonts w:ascii="Arial" w:cs="Arial" w:eastAsia="Arial" w:hAnsi="Arial"/>
          <w:sz w:val="19"/>
          <w:szCs w:val="19"/>
          <w:color w:val="auto"/>
        </w:rPr>
      </w:pPr>
    </w:p>
    <w:p>
      <w:pPr>
        <w:jc w:val="both"/>
        <w:ind w:firstLine="1305"/>
        <w:spacing w:after="0" w:line="270" w:lineRule="auto"/>
        <w:tabs>
          <w:tab w:leader="none" w:pos="1958"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all reasonable invoiced out-of-pocket expenses incurred by the Extending Revolving Lenders and the Administrative Agent pursuant to Section 10.04 of the Credit Agreement (including the reasonable and documented fees, charges and disbursements of counsel) and all accrued and unpaid fees (other than the Commitment Fee which shall be payable in accordance with the Credit Agreement), owing and payable (including any fees agreed to in connection with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234" w:name="page235"/>
    <w:bookmarkEnd w:id="234"/>
    <w:p>
      <w:pPr>
        <w:spacing w:after="0" w:line="263" w:lineRule="auto"/>
        <w:rPr>
          <w:sz w:val="20"/>
          <w:szCs w:val="20"/>
          <w:color w:val="auto"/>
        </w:rPr>
      </w:pPr>
      <w:r>
        <w:rPr>
          <w:rFonts w:ascii="Arial" w:cs="Arial" w:eastAsia="Arial" w:hAnsi="Arial"/>
          <w:sz w:val="22"/>
          <w:szCs w:val="22"/>
          <w:color w:val="auto"/>
        </w:rPr>
        <w:t>this Fourth Amendment) shall have been paid to the extent invoiced at least two (2) Business Days prior to the Fourth Amendment Effective Date (or such shorter period as may be agreed by the Borrower);</w:t>
      </w:r>
    </w:p>
    <w:p>
      <w:pPr>
        <w:spacing w:after="0" w:line="391" w:lineRule="exact"/>
        <w:rPr>
          <w:sz w:val="20"/>
          <w:szCs w:val="20"/>
          <w:color w:val="auto"/>
        </w:rPr>
      </w:pPr>
    </w:p>
    <w:p>
      <w:pPr>
        <w:jc w:val="both"/>
        <w:ind w:firstLine="1305"/>
        <w:spacing w:after="0" w:line="260" w:lineRule="auto"/>
        <w:tabs>
          <w:tab w:leader="none" w:pos="171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Borrower shall have paid (or caused to be paid), for the account of each Extending Revolving Lender, a one time, non-refundable fee equal to the amount set forth in that certain Extending Revolving Lenders’ fee letter, among the Extending Revolving Lenders and the Borrower, dated as of the Fourth Amendment Effective Date;</w:t>
      </w:r>
    </w:p>
    <w:p>
      <w:pPr>
        <w:spacing w:after="0" w:line="393"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of Latham &amp; Watkins LLP, special counsel for Parent, the Borrower and the Guarantor addressed to the Administrative Agent and the Extending Revolving Lenders party hereto, and dated the Fourth Amendment Effective Date;</w:t>
      </w:r>
    </w:p>
    <w:p>
      <w:pPr>
        <w:spacing w:after="0" w:line="393" w:lineRule="exact"/>
        <w:rPr>
          <w:rFonts w:ascii="Arial" w:cs="Arial" w:eastAsia="Arial" w:hAnsi="Arial"/>
          <w:sz w:val="22"/>
          <w:szCs w:val="22"/>
          <w:color w:val="auto"/>
        </w:rPr>
      </w:pPr>
    </w:p>
    <w:p>
      <w:pPr>
        <w:ind w:firstLine="1305"/>
        <w:spacing w:after="0" w:line="276" w:lineRule="auto"/>
        <w:tabs>
          <w:tab w:leader="none" w:pos="182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condition to the Revolving Extension effected pursuant to this Fourth Amendment set forth in Section 2.28(b) and 2.28(c) of the Credit Agreement shall have been satisfied;</w:t>
      </w:r>
    </w:p>
    <w:p>
      <w:pPr>
        <w:spacing w:after="0" w:line="377" w:lineRule="exact"/>
        <w:rPr>
          <w:rFonts w:ascii="Arial" w:cs="Arial" w:eastAsia="Arial" w:hAnsi="Arial"/>
          <w:sz w:val="22"/>
          <w:szCs w:val="22"/>
          <w:color w:val="auto"/>
        </w:rPr>
      </w:pPr>
    </w:p>
    <w:p>
      <w:pPr>
        <w:jc w:val="both"/>
        <w:ind w:firstLine="1305"/>
        <w:spacing w:after="0" w:line="259" w:lineRule="auto"/>
        <w:tabs>
          <w:tab w:leader="none" w:pos="1773"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certificate of the Secretary or Assistant Secretary (or similar Responsible Officer), dated the Fourth Amendment Effective Date (i) certifying as to the incumbency and specimen signature of each Responsible Officer of the Borrower and the Guarantor executing this Fourth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21"/>
          <w:szCs w:val="21"/>
          <w:u w:val="single" w:color="auto"/>
          <w:color w:val="auto"/>
        </w:rPr>
        <w:t>clause (f)</w:t>
      </w:r>
      <w:r>
        <w:rPr>
          <w:rFonts w:ascii="Arial" w:cs="Arial" w:eastAsia="Arial" w:hAnsi="Arial"/>
          <w:sz w:val="21"/>
          <w:szCs w:val="21"/>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Fourth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200" w:lineRule="exact"/>
        <w:rPr>
          <w:rFonts w:ascii="Arial" w:cs="Arial" w:eastAsia="Arial" w:hAnsi="Arial"/>
          <w:sz w:val="21"/>
          <w:szCs w:val="21"/>
          <w:color w:val="auto"/>
        </w:rPr>
      </w:pPr>
    </w:p>
    <w:p>
      <w:pPr>
        <w:spacing w:after="0" w:line="201" w:lineRule="exact"/>
        <w:rPr>
          <w:rFonts w:ascii="Arial" w:cs="Arial" w:eastAsia="Arial" w:hAnsi="Arial"/>
          <w:sz w:val="21"/>
          <w:szCs w:val="21"/>
          <w:color w:val="auto"/>
        </w:rPr>
      </w:pPr>
    </w:p>
    <w:p>
      <w:pPr>
        <w:jc w:val="both"/>
        <w:ind w:firstLine="1305"/>
        <w:spacing w:after="0" w:line="266" w:lineRule="auto"/>
        <w:tabs>
          <w:tab w:leader="none" w:pos="1756"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evidence that the Fifth Amendment to that certain Amended and Restated Credit and Guaranty Agreement dated the date hereof, among, </w:t>
      </w:r>
      <w:r>
        <w:rPr>
          <w:rFonts w:ascii="Arial" w:cs="Arial" w:eastAsia="Arial" w:hAnsi="Arial"/>
          <w:sz w:val="21"/>
          <w:szCs w:val="21"/>
          <w:i w:val="1"/>
          <w:iCs w:val="1"/>
          <w:color w:val="auto"/>
        </w:rPr>
        <w:t>inter alios</w:t>
      </w:r>
      <w:r>
        <w:rPr>
          <w:rFonts w:ascii="Arial" w:cs="Arial" w:eastAsia="Arial" w:hAnsi="Arial"/>
          <w:sz w:val="21"/>
          <w:szCs w:val="21"/>
          <w:color w:val="auto"/>
        </w:rPr>
        <w:t xml:space="preserve">, the Borrower and Deutsche Bank AG New York Branch as administrative agent and the Sixth Amendment to that certain Amended and Restated Credit and Guaranty Agreement, dated as of the date hereof, among, </w:t>
      </w:r>
      <w:r>
        <w:rPr>
          <w:rFonts w:ascii="Arial" w:cs="Arial" w:eastAsia="Arial" w:hAnsi="Arial"/>
          <w:sz w:val="21"/>
          <w:szCs w:val="21"/>
          <w:i w:val="1"/>
          <w:iCs w:val="1"/>
          <w:color w:val="auto"/>
        </w:rPr>
        <w:t>inter alios</w:t>
      </w:r>
      <w:r>
        <w:rPr>
          <w:rFonts w:ascii="Arial" w:cs="Arial" w:eastAsia="Arial" w:hAnsi="Arial"/>
          <w:sz w:val="21"/>
          <w:szCs w:val="21"/>
          <w:color w:val="auto"/>
        </w:rPr>
        <w:t>, the Borrower and Citibank N.A. as administrative agent have, or will contemporaneously with the Fourth Amendment Effective Date, become effective; and</w:t>
      </w:r>
    </w:p>
    <w:p>
      <w:pPr>
        <w:spacing w:after="0" w:line="390" w:lineRule="exact"/>
        <w:rPr>
          <w:rFonts w:ascii="Arial" w:cs="Arial" w:eastAsia="Arial" w:hAnsi="Arial"/>
          <w:sz w:val="21"/>
          <w:szCs w:val="21"/>
          <w:color w:val="auto"/>
        </w:rPr>
      </w:pPr>
    </w:p>
    <w:p>
      <w:pPr>
        <w:jc w:val="both"/>
        <w:ind w:firstLine="1305"/>
        <w:spacing w:after="0" w:line="270" w:lineRule="auto"/>
        <w:tabs>
          <w:tab w:leader="none" w:pos="181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235" w:name="page236"/>
    <w:bookmarkEnd w:id="235"/>
    <w:p>
      <w:pPr>
        <w:jc w:val="both"/>
        <w:spacing w:after="0" w:line="287" w:lineRule="auto"/>
        <w:rPr>
          <w:sz w:val="20"/>
          <w:szCs w:val="20"/>
          <w:color w:val="auto"/>
        </w:rPr>
      </w:pPr>
      <w:r>
        <w:rPr>
          <w:rFonts w:ascii="Arial" w:cs="Arial" w:eastAsia="Arial" w:hAnsi="Arial"/>
          <w:sz w:val="19"/>
          <w:szCs w:val="19"/>
          <w:color w:val="auto"/>
        </w:rPr>
        <w:t xml:space="preserve">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clause (i)</w:t>
      </w:r>
      <w:r>
        <w:rPr>
          <w:rFonts w:ascii="Arial" w:cs="Arial" w:eastAsia="Arial" w:hAnsi="Arial"/>
          <w:sz w:val="19"/>
          <w:szCs w:val="19"/>
          <w:color w:val="auto"/>
        </w:rPr>
        <w:t>, the representations and warranties contained in (i) Section 3.04(a) of the Credit Agreement shall be deemed to refer to Parent’s Annual Report on Form 10-K for 2017 (as amended) filed with the SEC and all Quarterly Reports on Form 10-Q or Current Reports on Form 8-K that have been filed after December 31, 2017 by Parent with the SEC (as amended) and (ii) Section 3.05(a) of the Credit Agreement shall be deemed to refer to the audited consolidated financial statements of Parent and its Subsidiaries for the fiscal year ended December 31, 2017, included in Parent’s Annual Report on Form 10-K for 2017 filed with the SEC (as amended) and the unaudited consolidated financial statements of Parent and its Subsidiaries for the fiscal quarters ended March 31, 2018, June 30, 2018, and September 30, 2018, and (B) as to the absence of any event occurring and continuing, or resulting from this Fourth Amendment on, the Fourth Amendment Effective Date, that constitutes a Default or Event of Default.</w:t>
      </w:r>
    </w:p>
    <w:p>
      <w:pPr>
        <w:spacing w:after="0" w:line="37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u w:val="single" w:color="auto"/>
          <w:color w:val="auto"/>
        </w:rPr>
        <w:t>SECTION FIVE - No Default; Representations and Warranties</w:t>
      </w:r>
      <w:r>
        <w:rPr>
          <w:rFonts w:ascii="Arial" w:cs="Arial" w:eastAsia="Arial" w:hAnsi="Arial"/>
          <w:sz w:val="19"/>
          <w:szCs w:val="19"/>
          <w:color w:val="auto"/>
        </w:rPr>
        <w:t xml:space="preserve">. In order to induce the Extending Revolving Lenders and the Administrative Agent to enter into this Fourth Amendment, the Borrower represents and warrants to each of the Extending Revolving Lenders and the Administrative Agent that, on and as of the date hereof after giving effect to this Fourth Amendment, (i) no Default or Event of Default has occurred and is continuing or would result from giving effect to this Fourth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Section Five, the representations and warranties contained in (i) Section 3.04(a) of the Credit Agreement shall be deemed to refer to Parent’s Annual Report on Form 10-K for 2016 (as amended) filed with the SEC and all Quarterly Reports on Form 10-Q or Current Reports on Form 8-K that have been filed after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June 30, 2018 and September 30, 2018.</w:t>
      </w:r>
    </w:p>
    <w:p>
      <w:pPr>
        <w:spacing w:after="0" w:line="381" w:lineRule="exact"/>
        <w:rPr>
          <w:sz w:val="20"/>
          <w:szCs w:val="20"/>
          <w:color w:val="auto"/>
        </w:rPr>
      </w:pPr>
    </w:p>
    <w:p>
      <w:pPr>
        <w:jc w:val="both"/>
        <w:ind w:left="80" w:firstLine="1297"/>
        <w:spacing w:after="0" w:line="253" w:lineRule="auto"/>
        <w:rPr>
          <w:sz w:val="20"/>
          <w:szCs w:val="20"/>
          <w:color w:val="auto"/>
        </w:rPr>
      </w:pPr>
      <w:r>
        <w:rPr>
          <w:rFonts w:ascii="Arial" w:cs="Arial" w:eastAsia="Arial" w:hAnsi="Arial"/>
          <w:sz w:val="22"/>
          <w:szCs w:val="22"/>
          <w:u w:val="single" w:color="auto"/>
          <w:color w:val="auto"/>
        </w:rPr>
        <w:t>SECTION SIX - Confirmation</w:t>
      </w:r>
      <w:r>
        <w:rPr>
          <w:rFonts w:ascii="Arial" w:cs="Arial" w:eastAsia="Arial" w:hAnsi="Arial"/>
          <w:sz w:val="22"/>
          <w:szCs w:val="22"/>
          <w:color w:val="auto"/>
        </w:rPr>
        <w:t>. The Borrower and the Guarantor hereby confirm that all of their obligations under the Credit Agreement (as amended hereby) are and shall continue to be, in full force and effect. The parties hereto (i) confirm and agree that the term “Obligations”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236" w:name="page237"/>
    <w:bookmarkEnd w:id="236"/>
    <w:p>
      <w:pPr>
        <w:jc w:val="both"/>
        <w:ind w:left="80"/>
        <w:spacing w:after="0" w:line="248" w:lineRule="auto"/>
        <w:rPr>
          <w:sz w:val="20"/>
          <w:szCs w:val="20"/>
          <w:color w:val="auto"/>
        </w:rPr>
      </w:pPr>
      <w:r>
        <w:rPr>
          <w:rFonts w:ascii="Arial" w:cs="Arial" w:eastAsia="Arial" w:hAnsi="Arial"/>
          <w:sz w:val="22"/>
          <w:szCs w:val="22"/>
          <w:color w:val="auto"/>
        </w:rPr>
        <w:t>and “Guaranteed Obligations” as used in the Credit Agreement and the other Loan Documents, shall include, without limitation, all obligations of the Borrower with respect to the Revolving Commitments (as increased pursuant to this Fourth Amendment) and all obligations of the Guarantor with respect of the guarantee of such obligations, respectively, and (ii) reaffirm the grant of Liens on the Collateral to secure the Obligations (as extended and increased pursuant to this Fourth Amendment) pursuant to the Collateral Documents.</w:t>
      </w:r>
    </w:p>
    <w:p>
      <w:pPr>
        <w:spacing w:after="0" w:line="200" w:lineRule="exact"/>
        <w:rPr>
          <w:sz w:val="20"/>
          <w:szCs w:val="20"/>
          <w:color w:val="auto"/>
        </w:rPr>
      </w:pPr>
    </w:p>
    <w:p>
      <w:pPr>
        <w:spacing w:after="0" w:line="208" w:lineRule="exact"/>
        <w:rPr>
          <w:sz w:val="20"/>
          <w:szCs w:val="20"/>
          <w:color w:val="auto"/>
        </w:rPr>
      </w:pPr>
    </w:p>
    <w:p>
      <w:pPr>
        <w:jc w:val="both"/>
        <w:ind w:left="80" w:firstLine="1297"/>
        <w:spacing w:after="0" w:line="289" w:lineRule="auto"/>
        <w:rPr>
          <w:sz w:val="20"/>
          <w:szCs w:val="20"/>
          <w:color w:val="auto"/>
        </w:rPr>
      </w:pPr>
      <w:r>
        <w:rPr>
          <w:rFonts w:ascii="Arial" w:cs="Arial" w:eastAsia="Arial" w:hAnsi="Arial"/>
          <w:sz w:val="19"/>
          <w:szCs w:val="19"/>
          <w:u w:val="single" w:color="auto"/>
          <w:color w:val="auto"/>
        </w:rPr>
        <w:t>SECTION SEVEN - Reference to and Effect on the Credit Agreement</w:t>
      </w:r>
      <w:r>
        <w:rPr>
          <w:rFonts w:ascii="Arial" w:cs="Arial" w:eastAsia="Arial" w:hAnsi="Arial"/>
          <w:sz w:val="19"/>
          <w:szCs w:val="19"/>
          <w:color w:val="auto"/>
        </w:rPr>
        <w:t>. On and after the Fourth Amendment Effective Date, each reference in the Credit Agreement to “this Agreement,” “hereunder,” “hereof” or words of like import referring to the Credit Agreement, shall mean and be a reference to the Credit Agreement as amended by this Fourth Amendment. The Credit Agreement and each of the other Loan Documents, as specifically amended by this Fourth Amendment, are and shall continue to be in full force and effect and are hereby in all respects ratified and confirmed. This Fourth Amendment shall be deemed to be a “Loan Document” for all purposes of the Credit Agreement (as amended hereby) and the other Loan Documents. The execution, delivery and effectiveness of this Fourth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374" w:lineRule="exact"/>
        <w:rPr>
          <w:sz w:val="20"/>
          <w:szCs w:val="20"/>
          <w:color w:val="auto"/>
        </w:rPr>
      </w:pPr>
    </w:p>
    <w:p>
      <w:pPr>
        <w:jc w:val="both"/>
        <w:ind w:left="80" w:firstLine="1297"/>
        <w:spacing w:after="0" w:line="297" w:lineRule="auto"/>
        <w:rPr>
          <w:sz w:val="20"/>
          <w:szCs w:val="20"/>
          <w:color w:val="auto"/>
        </w:rPr>
      </w:pPr>
      <w:r>
        <w:rPr>
          <w:rFonts w:ascii="Arial" w:cs="Arial" w:eastAsia="Arial" w:hAnsi="Arial"/>
          <w:sz w:val="19"/>
          <w:szCs w:val="19"/>
          <w:u w:val="single" w:color="auto"/>
          <w:color w:val="auto"/>
        </w:rPr>
        <w:t>SECTION EIGHT - Execution in Counterparts</w:t>
      </w:r>
      <w:r>
        <w:rPr>
          <w:rFonts w:ascii="Arial" w:cs="Arial" w:eastAsia="Arial" w:hAnsi="Arial"/>
          <w:sz w:val="19"/>
          <w:szCs w:val="19"/>
          <w:color w:val="auto"/>
        </w:rPr>
        <w:t>. This Fourth Amendment may be executed in counterparts (and by different parties hereto on different counterparts), each of which shall constitute an original, but all of which when taken together shall constitute a single contract. This Fourth Amendment shall be binding upon and inure to the benefit of the parties hereto and their respective successors and assigns. Delivery of an executed counterpart of a signature page of this Fourth Amendment by facsimile or electronic .pdf copy shall be effective as delivery of a manually executed counterpart of this Fourth Amendment.</w:t>
      </w:r>
    </w:p>
    <w:p>
      <w:pPr>
        <w:spacing w:after="0" w:line="363" w:lineRule="exact"/>
        <w:rPr>
          <w:sz w:val="20"/>
          <w:szCs w:val="20"/>
          <w:color w:val="auto"/>
        </w:rPr>
      </w:pPr>
    </w:p>
    <w:p>
      <w:pPr>
        <w:jc w:val="both"/>
        <w:ind w:left="80" w:firstLine="1297"/>
        <w:spacing w:after="0" w:line="253" w:lineRule="auto"/>
        <w:rPr>
          <w:sz w:val="20"/>
          <w:szCs w:val="20"/>
          <w:color w:val="auto"/>
        </w:rPr>
      </w:pPr>
      <w:r>
        <w:rPr>
          <w:rFonts w:ascii="Arial" w:cs="Arial" w:eastAsia="Arial" w:hAnsi="Arial"/>
          <w:sz w:val="22"/>
          <w:szCs w:val="22"/>
          <w:u w:val="single" w:color="auto"/>
          <w:color w:val="auto"/>
        </w:rPr>
        <w:t>SECTION NINE - Governing Law</w:t>
      </w:r>
      <w:r>
        <w:rPr>
          <w:rFonts w:ascii="Arial" w:cs="Arial" w:eastAsia="Arial" w:hAnsi="Arial"/>
          <w:sz w:val="22"/>
          <w:szCs w:val="22"/>
          <w:color w:val="auto"/>
        </w:rPr>
        <w:t>. THIS FOURTH AMENDMENT AND THE RIGHTS AND OBLIGATIONS OF THE PARTIES UNDER THIS FOURTH AMENDMENT SHALL BE GOVERNED BY, AND CONSTRUED AND INTERPRETED IN ACCORDANCE WITH, THE LAWS OF THE STATE OF NEW YORK.</w:t>
      </w:r>
    </w:p>
    <w:p>
      <w:pPr>
        <w:spacing w:after="0" w:line="200" w:lineRule="exact"/>
        <w:rPr>
          <w:sz w:val="20"/>
          <w:szCs w:val="20"/>
          <w:color w:val="auto"/>
        </w:rPr>
      </w:pPr>
    </w:p>
    <w:p>
      <w:pPr>
        <w:spacing w:after="0" w:line="202" w:lineRule="exact"/>
        <w:rPr>
          <w:sz w:val="20"/>
          <w:szCs w:val="20"/>
          <w:color w:val="auto"/>
        </w:rPr>
      </w:pPr>
    </w:p>
    <w:p>
      <w:pPr>
        <w:jc w:val="both"/>
        <w:ind w:left="80" w:firstLine="1297"/>
        <w:spacing w:after="0" w:line="253" w:lineRule="auto"/>
        <w:rPr>
          <w:sz w:val="20"/>
          <w:szCs w:val="20"/>
          <w:color w:val="auto"/>
        </w:rPr>
      </w:pPr>
      <w:r>
        <w:rPr>
          <w:rFonts w:ascii="Arial" w:cs="Arial" w:eastAsia="Arial" w:hAnsi="Arial"/>
          <w:sz w:val="22"/>
          <w:szCs w:val="22"/>
          <w:u w:val="single" w:color="auto"/>
          <w:color w:val="auto"/>
        </w:rPr>
        <w:t>SECTION TEN - Miscellaneous</w:t>
      </w:r>
      <w:r>
        <w:rPr>
          <w:rFonts w:ascii="Arial" w:cs="Arial" w:eastAsia="Arial" w:hAnsi="Arial"/>
          <w:sz w:val="22"/>
          <w:szCs w:val="22"/>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50" w:lineRule="auto"/>
        <w:tabs>
          <w:tab w:leader="none" w:pos="176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this Fourth Amendment, the Borrower and the Administrative Agent shall treat (and the Lenders party hereto hereby authorize the Administrative Agent to treat) the Revolving Facility as not qualifying as a “grandfathered obligation” within the meaning of Treasury Regulation Section 1.1471-2(b)(2)(i).</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IS LEFT BLANK INTENTIONALLY]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237" w:name="page238"/>
    <w:bookmarkEnd w:id="237"/>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Fourth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830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30">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Thomas T. Weir</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 as Parent and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830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31">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Thomas T. Weir</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Fourth Amendment to Credit and Guaranty Agreement (Spare Parts)</w:t>
      </w:r>
    </w:p>
    <w:p>
      <w:pPr>
        <w:sectPr>
          <w:pgSz w:w="11900" w:h="16838" w:orient="portrait"/>
          <w:cols w:equalWidth="0" w:num="1">
            <w:col w:w="11420"/>
          </w:cols>
          <w:pgMar w:left="240" w:top="591" w:right="239" w:bottom="1440" w:gutter="0" w:footer="0" w:header="0"/>
        </w:sectPr>
      </w:pPr>
    </w:p>
    <w:bookmarkStart w:id="238" w:name="page239"/>
    <w:bookmarkEnd w:id="238"/>
    <w:p>
      <w:pPr>
        <w:ind w:left="2700"/>
        <w:spacing w:after="0"/>
        <w:rPr>
          <w:sz w:val="20"/>
          <w:szCs w:val="20"/>
          <w:color w:val="auto"/>
        </w:rPr>
      </w:pPr>
      <w:r>
        <w:rPr>
          <w:rFonts w:ascii="Arial" w:cs="Arial" w:eastAsia="Arial" w:hAnsi="Arial"/>
          <w:sz w:val="22"/>
          <w:szCs w:val="22"/>
          <w:color w:val="auto"/>
        </w:rPr>
        <w:t>BARCLAYS BANK PLC,</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741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32">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Craig Malloy</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Fourth Amendment to Credit and Guaranty Agreement (Spare Parts)</w:t>
      </w:r>
    </w:p>
    <w:p>
      <w:pPr>
        <w:sectPr>
          <w:pgSz w:w="11900" w:h="16838" w:orient="portrait"/>
          <w:cols w:equalWidth="0" w:num="1">
            <w:col w:w="9019"/>
          </w:cols>
          <w:pgMar w:left="1440" w:top="807" w:right="1440" w:bottom="1440" w:gutter="0" w:footer="0" w:header="0"/>
        </w:sectPr>
      </w:pPr>
    </w:p>
    <w:bookmarkStart w:id="239" w:name="page240"/>
    <w:bookmarkEnd w:id="239"/>
    <w:p>
      <w:pPr>
        <w:ind w:left="10440"/>
        <w:spacing w:after="0"/>
        <w:rPr>
          <w:sz w:val="20"/>
          <w:szCs w:val="20"/>
          <w:color w:val="auto"/>
        </w:rPr>
      </w:pPr>
      <w:r>
        <w:rPr>
          <w:rFonts w:ascii="Arial" w:cs="Arial" w:eastAsia="Arial" w:hAnsi="Arial"/>
          <w:sz w:val="18"/>
          <w:szCs w:val="18"/>
          <w:b w:val="1"/>
          <w:bCs w:val="1"/>
          <w:i w:val="1"/>
          <w:i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ANNEX A</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Lenders and Commitments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260" w:type="dxa"/>
            <w:vAlign w:val="bottom"/>
            <w:tcBorders>
              <w:top w:val="single" w:sz="8" w:color="auto"/>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Name of Bank</w:t>
            </w:r>
          </w:p>
        </w:tc>
        <w:tc>
          <w:tcPr>
            <w:tcW w:w="2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Fourth Amendment</w:t>
            </w:r>
          </w:p>
        </w:tc>
        <w:tc>
          <w:tcPr>
            <w:tcW w:w="23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Fourth Amendment</w:t>
            </w:r>
          </w:p>
        </w:tc>
        <w:tc>
          <w:tcPr>
            <w:tcW w:w="2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4"/>
              </w:rPr>
              <w:t>LC Commitment</w:t>
            </w:r>
          </w:p>
        </w:tc>
      </w:tr>
      <w:tr>
        <w:trPr>
          <w:trHeight w:val="243"/>
        </w:trPr>
        <w:tc>
          <w:tcPr>
            <w:tcW w:w="4260" w:type="dxa"/>
            <w:vAlign w:val="bottom"/>
            <w:tcBorders>
              <w:left w:val="single" w:sz="8" w:color="auto"/>
              <w:right w:val="single" w:sz="8" w:color="auto"/>
            </w:tcBorders>
            <w:shd w:val="clear" w:color="auto" w:fill="D9D9D9"/>
          </w:tcPr>
          <w:p>
            <w:pPr>
              <w:spacing w:after="0"/>
              <w:rPr>
                <w:sz w:val="21"/>
                <w:szCs w:val="21"/>
                <w:color w:val="auto"/>
              </w:rPr>
            </w:pPr>
          </w:p>
        </w:tc>
        <w:tc>
          <w:tcPr>
            <w:tcW w:w="240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8"/>
              </w:rPr>
              <w:t>Extended Revolving</w:t>
            </w:r>
          </w:p>
        </w:tc>
        <w:tc>
          <w:tcPr>
            <w:tcW w:w="238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9"/>
              </w:rPr>
              <w:t>Non-Extended Revolving</w:t>
            </w:r>
          </w:p>
        </w:tc>
        <w:tc>
          <w:tcPr>
            <w:tcW w:w="2400" w:type="dxa"/>
            <w:vAlign w:val="bottom"/>
            <w:tcBorders>
              <w:right w:val="single" w:sz="8" w:color="auto"/>
            </w:tcBorders>
            <w:shd w:val="clear" w:color="auto" w:fill="D9D9D9"/>
          </w:tcPr>
          <w:p>
            <w:pPr>
              <w:spacing w:after="0"/>
              <w:rPr>
                <w:sz w:val="21"/>
                <w:szCs w:val="21"/>
                <w:color w:val="auto"/>
              </w:rPr>
            </w:pPr>
          </w:p>
        </w:tc>
      </w:tr>
      <w:tr>
        <w:trPr>
          <w:trHeight w:val="281"/>
        </w:trPr>
        <w:tc>
          <w:tcPr>
            <w:tcW w:w="4260" w:type="dxa"/>
            <w:vAlign w:val="bottom"/>
            <w:tcBorders>
              <w:left w:val="single" w:sz="8" w:color="auto"/>
              <w:right w:val="single" w:sz="8" w:color="auto"/>
            </w:tcBorders>
            <w:shd w:val="clear" w:color="auto" w:fill="D9D9D9"/>
          </w:tcPr>
          <w:p>
            <w:pPr>
              <w:spacing w:after="0"/>
              <w:rPr>
                <w:sz w:val="24"/>
                <w:szCs w:val="24"/>
                <w:color w:val="auto"/>
              </w:rPr>
            </w:pPr>
          </w:p>
        </w:tc>
        <w:tc>
          <w:tcPr>
            <w:tcW w:w="24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Commitment</w:t>
            </w:r>
          </w:p>
        </w:tc>
        <w:tc>
          <w:tcPr>
            <w:tcW w:w="23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2"/>
              </w:rPr>
              <w:t>Commitment</w:t>
            </w:r>
          </w:p>
        </w:tc>
        <w:tc>
          <w:tcPr>
            <w:tcW w:w="2400" w:type="dxa"/>
            <w:vAlign w:val="bottom"/>
            <w:tcBorders>
              <w:right w:val="single" w:sz="8" w:color="auto"/>
            </w:tcBorders>
            <w:shd w:val="clear" w:color="auto" w:fill="D9D9D9"/>
          </w:tcPr>
          <w:p>
            <w:pPr>
              <w:spacing w:after="0"/>
              <w:rPr>
                <w:sz w:val="24"/>
                <w:szCs w:val="24"/>
                <w:color w:val="auto"/>
              </w:rPr>
            </w:pPr>
          </w:p>
        </w:tc>
      </w:tr>
      <w:tr>
        <w:trPr>
          <w:trHeight w:val="179"/>
        </w:trPr>
        <w:tc>
          <w:tcPr>
            <w:tcW w:w="426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2400" w:type="dxa"/>
            <w:vAlign w:val="bottom"/>
            <w:tcBorders>
              <w:bottom w:val="single" w:sz="8" w:color="auto"/>
              <w:right w:val="single" w:sz="8" w:color="auto"/>
            </w:tcBorders>
            <w:shd w:val="clear" w:color="auto" w:fill="D9D9D9"/>
          </w:tcPr>
          <w:p>
            <w:pPr>
              <w:spacing w:after="0"/>
              <w:rPr>
                <w:sz w:val="15"/>
                <w:szCs w:val="15"/>
                <w:color w:val="auto"/>
              </w:rPr>
            </w:pPr>
          </w:p>
        </w:tc>
        <w:tc>
          <w:tcPr>
            <w:tcW w:w="2380" w:type="dxa"/>
            <w:vAlign w:val="bottom"/>
            <w:tcBorders>
              <w:bottom w:val="single" w:sz="8" w:color="auto"/>
              <w:right w:val="single" w:sz="8" w:color="auto"/>
            </w:tcBorders>
            <w:shd w:val="clear" w:color="auto" w:fill="D9D9D9"/>
          </w:tcPr>
          <w:p>
            <w:pPr>
              <w:spacing w:after="0"/>
              <w:rPr>
                <w:sz w:val="15"/>
                <w:szCs w:val="15"/>
                <w:color w:val="auto"/>
              </w:rPr>
            </w:pPr>
          </w:p>
        </w:tc>
        <w:tc>
          <w:tcPr>
            <w:tcW w:w="240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Barclays Bank PLC</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Bank of America,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Citibank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Credit Suisse AG, Cayman Islands Branch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Deutsche Bank AG New York Branch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Goldman Sachs Bank USA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42"/>
        </w:trPr>
        <w:tc>
          <w:tcPr>
            <w:tcW w:w="426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rPr>
              <w:t>Industrial and Commercial Bank of China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line="242" w:lineRule="exact"/>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1"/>
                <w:szCs w:val="21"/>
                <w:color w:val="auto"/>
              </w:rPr>
            </w:pPr>
          </w:p>
        </w:tc>
      </w:tr>
      <w:tr>
        <w:trPr>
          <w:trHeight w:val="275"/>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Limited, New York Branch</w:t>
            </w:r>
          </w:p>
        </w:tc>
        <w:tc>
          <w:tcPr>
            <w:tcW w:w="240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tcPr>
          <w:p>
            <w:pPr>
              <w:spacing w:after="0"/>
              <w:rPr>
                <w:sz w:val="23"/>
                <w:szCs w:val="23"/>
                <w:color w:val="auto"/>
              </w:rPr>
            </w:pP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JPMorgan Chase 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Morgan Stanley 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Morgan Stanley Senior Funding, Inc.</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Sumitomo Mitsui Banking Corporation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BNP Paribas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0"/>
              </w:rPr>
              <w:t>Credit Agricole Corporate and Investment Bank</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HSBC Bank USA,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MUFG Union 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Standard Chartered Bank</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U.S. Bank National Association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BOKF, NA dba Bank of 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Texas Capital 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400" w:type="dxa"/>
            <w:vAlign w:val="bottom"/>
            <w:tcBorders>
              <w:right w:val="single" w:sz="8" w:color="auto"/>
            </w:tcBorders>
          </w:tcPr>
          <w:p>
            <w:pPr>
              <w:spacing w:after="0"/>
              <w:rPr>
                <w:sz w:val="23"/>
                <w:szCs w:val="23"/>
                <w:color w:val="auto"/>
              </w:rPr>
            </w:pP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74"/>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Total:</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$296,400,000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$3,600,000</w:t>
            </w:r>
          </w:p>
        </w:tc>
        <w:tc>
          <w:tcPr>
            <w:tcW w:w="2400" w:type="dxa"/>
            <w:vAlign w:val="bottom"/>
            <w:tcBorders>
              <w:right w:val="single" w:sz="8" w:color="auto"/>
            </w:tcBorders>
          </w:tcPr>
          <w:p>
            <w:pPr>
              <w:jc w:val="right"/>
              <w:ind w:right="996"/>
              <w:spacing w:after="0"/>
              <w:rPr>
                <w:sz w:val="20"/>
                <w:szCs w:val="20"/>
                <w:color w:val="auto"/>
              </w:rPr>
            </w:pPr>
            <w:r>
              <w:rPr>
                <w:rFonts w:ascii="Arial" w:cs="Arial" w:eastAsia="Arial" w:hAnsi="Arial"/>
                <w:sz w:val="22"/>
                <w:szCs w:val="22"/>
                <w:b w:val="1"/>
                <w:bCs w:val="1"/>
                <w:color w:val="auto"/>
              </w:rPr>
              <w:t>$0</w:t>
            </w:r>
          </w:p>
        </w:tc>
      </w:tr>
      <w:tr>
        <w:trPr>
          <w:trHeight w:val="179"/>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40"/>
          </w:cols>
          <w:pgMar w:left="240" w:top="807" w:right="219" w:bottom="1440" w:gutter="0" w:footer="0" w:header="0"/>
        </w:sectPr>
      </w:pPr>
    </w:p>
    <w:p>
      <w:pPr>
        <w:spacing w:after="0" w:line="222"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807" w:right="219" w:bottom="1440" w:gutter="0" w:footer="0" w:header="0"/>
          <w:type w:val="continuous"/>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21.1</w:t>
      </w:r>
    </w:p>
    <w:p>
      <w:pPr>
        <w:spacing w:after="0" w:line="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American Airlines Group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Subsidiaries of the Registrant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of December 31, 2018</w:t>
      </w:r>
    </w:p>
    <w:p>
      <w:pPr>
        <w:spacing w:after="0" w:line="25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Subsidiary companies of American Airlines Group Inc. are listed below. With respect to the companies named, all voting securities are owned directly or indirectly by the Registrant, except where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ind w:left="300"/>
              <w:spacing w:after="0"/>
              <w:rPr>
                <w:sz w:val="20"/>
                <w:szCs w:val="20"/>
                <w:color w:val="auto"/>
              </w:rPr>
            </w:pPr>
            <w:r>
              <w:rPr>
                <w:rFonts w:ascii="Arial" w:cs="Arial" w:eastAsia="Arial" w:hAnsi="Arial"/>
                <w:sz w:val="18"/>
                <w:szCs w:val="18"/>
                <w:b w:val="1"/>
                <w:bCs w:val="1"/>
                <w:color w:val="auto"/>
              </w:rPr>
              <w:t>State or Sovereign</w:t>
            </w:r>
          </w:p>
        </w:tc>
      </w:tr>
      <w:tr>
        <w:trPr>
          <w:trHeight w:val="246"/>
        </w:trPr>
        <w:tc>
          <w:tcPr>
            <w:tcW w:w="9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 of Subsidiary</w:t>
            </w:r>
          </w:p>
        </w:tc>
        <w:tc>
          <w:tcPr>
            <w:tcW w:w="100" w:type="dxa"/>
            <w:vAlign w:val="bottom"/>
          </w:tcPr>
          <w:p>
            <w:pPr>
              <w:spacing w:after="0"/>
              <w:rPr>
                <w:sz w:val="21"/>
                <w:szCs w:val="21"/>
                <w:color w:val="auto"/>
              </w:rPr>
            </w:pPr>
          </w:p>
        </w:tc>
        <w:tc>
          <w:tcPr>
            <w:tcW w:w="21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Power of Incorporation</w:t>
            </w:r>
          </w:p>
        </w:tc>
      </w:tr>
      <w:tr>
        <w:trPr>
          <w:trHeight w:val="257"/>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Subsidiaries included in the Registrant’s consolidated financial statements</w:t>
            </w:r>
          </w:p>
        </w:tc>
        <w:tc>
          <w:tcPr>
            <w:tcW w:w="2160" w:type="dxa"/>
            <w:vAlign w:val="bottom"/>
          </w:tcPr>
          <w:p>
            <w:pPr>
              <w:spacing w:after="0"/>
              <w:rPr>
                <w:sz w:val="22"/>
                <w:szCs w:val="22"/>
                <w:color w:val="auto"/>
              </w:rPr>
            </w:pP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AAG Private Placement-1 Parent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AAG Private Placement-1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American Airlines, Inc.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Aerosan Airport Services S.A.*</w:t>
            </w:r>
          </w:p>
        </w:tc>
        <w:tc>
          <w:tcPr>
            <w:tcW w:w="2160" w:type="dxa"/>
            <w:vAlign w:val="bottom"/>
          </w:tcPr>
          <w:p>
            <w:pPr>
              <w:ind w:left="60"/>
              <w:spacing w:after="0"/>
              <w:rPr>
                <w:sz w:val="20"/>
                <w:szCs w:val="20"/>
                <w:color w:val="auto"/>
              </w:rPr>
            </w:pPr>
            <w:r>
              <w:rPr>
                <w:rFonts w:ascii="Arial" w:cs="Arial" w:eastAsia="Arial" w:hAnsi="Arial"/>
                <w:sz w:val="18"/>
                <w:szCs w:val="18"/>
                <w:color w:val="auto"/>
              </w:rPr>
              <w:t>Chile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Aerosan S.A.*</w:t>
            </w:r>
          </w:p>
        </w:tc>
        <w:tc>
          <w:tcPr>
            <w:tcW w:w="2160" w:type="dxa"/>
            <w:vAlign w:val="bottom"/>
          </w:tcPr>
          <w:p>
            <w:pPr>
              <w:ind w:left="60"/>
              <w:spacing w:after="0"/>
              <w:rPr>
                <w:sz w:val="20"/>
                <w:szCs w:val="20"/>
                <w:color w:val="auto"/>
              </w:rPr>
            </w:pPr>
            <w:r>
              <w:rPr>
                <w:rFonts w:ascii="Arial" w:cs="Arial" w:eastAsia="Arial" w:hAnsi="Arial"/>
                <w:sz w:val="18"/>
                <w:szCs w:val="18"/>
                <w:color w:val="auto"/>
              </w:rPr>
              <w:t>Chile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American Airlines de Mexico, S.A.</w:t>
            </w:r>
          </w:p>
        </w:tc>
        <w:tc>
          <w:tcPr>
            <w:tcW w:w="2160" w:type="dxa"/>
            <w:vAlign w:val="bottom"/>
          </w:tcPr>
          <w:p>
            <w:pPr>
              <w:ind w:left="60"/>
              <w:spacing w:after="0"/>
              <w:rPr>
                <w:sz w:val="20"/>
                <w:szCs w:val="20"/>
                <w:color w:val="auto"/>
              </w:rPr>
            </w:pPr>
            <w:r>
              <w:rPr>
                <w:rFonts w:ascii="Arial" w:cs="Arial" w:eastAsia="Arial" w:hAnsi="Arial"/>
                <w:sz w:val="18"/>
                <w:szCs w:val="18"/>
                <w:color w:val="auto"/>
              </w:rPr>
              <w:t>Mexico</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American Airlines Marketing Services LLC</w:t>
            </w:r>
          </w:p>
        </w:tc>
        <w:tc>
          <w:tcPr>
            <w:tcW w:w="2160" w:type="dxa"/>
            <w:vAlign w:val="bottom"/>
          </w:tcPr>
          <w:p>
            <w:pPr>
              <w:ind w:left="60"/>
              <w:spacing w:after="0"/>
              <w:rPr>
                <w:sz w:val="20"/>
                <w:szCs w:val="20"/>
                <w:color w:val="auto"/>
              </w:rPr>
            </w:pPr>
            <w:r>
              <w:rPr>
                <w:rFonts w:ascii="Arial" w:cs="Arial" w:eastAsia="Arial" w:hAnsi="Arial"/>
                <w:sz w:val="18"/>
                <w:szCs w:val="18"/>
                <w:color w:val="auto"/>
              </w:rPr>
              <w:t>Virginia</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American Aviation Supply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American Airlines Retiree Travel LLC</w:t>
            </w:r>
          </w:p>
        </w:tc>
        <w:tc>
          <w:tcPr>
            <w:tcW w:w="2160" w:type="dxa"/>
            <w:vAlign w:val="bottom"/>
          </w:tcPr>
          <w:p>
            <w:pPr>
              <w:ind w:left="60"/>
              <w:spacing w:after="0"/>
              <w:rPr>
                <w:sz w:val="20"/>
                <w:szCs w:val="20"/>
                <w:color w:val="auto"/>
              </w:rPr>
            </w:pPr>
            <w:r>
              <w:rPr>
                <w:rFonts w:ascii="Arial" w:cs="Arial" w:eastAsia="Arial" w:hAnsi="Arial"/>
                <w:sz w:val="18"/>
                <w:szCs w:val="18"/>
                <w:color w:val="auto"/>
              </w:rPr>
              <w:t>Texas</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oMC Venture,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Texas Aero Engine Services,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Americas Ground Services, Inc.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Caribbean Dispatch Services Limited</w:t>
            </w:r>
          </w:p>
        </w:tc>
        <w:tc>
          <w:tcPr>
            <w:tcW w:w="2160" w:type="dxa"/>
            <w:vAlign w:val="bottom"/>
          </w:tcPr>
          <w:p>
            <w:pPr>
              <w:ind w:left="60"/>
              <w:spacing w:after="0"/>
              <w:rPr>
                <w:sz w:val="20"/>
                <w:szCs w:val="20"/>
                <w:color w:val="auto"/>
              </w:rPr>
            </w:pPr>
            <w:r>
              <w:rPr>
                <w:rFonts w:ascii="Arial" w:cs="Arial" w:eastAsia="Arial" w:hAnsi="Arial"/>
                <w:sz w:val="18"/>
                <w:szCs w:val="18"/>
                <w:color w:val="auto"/>
              </w:rPr>
              <w:t>St. Lucia</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Dominicana de Servicios Aeroportuarios (DSA) S.R.L.</w:t>
            </w:r>
          </w:p>
        </w:tc>
        <w:tc>
          <w:tcPr>
            <w:tcW w:w="2160" w:type="dxa"/>
            <w:vAlign w:val="bottom"/>
          </w:tcPr>
          <w:p>
            <w:pPr>
              <w:ind w:left="60"/>
              <w:spacing w:after="0"/>
              <w:rPr>
                <w:sz w:val="20"/>
                <w:szCs w:val="20"/>
                <w:color w:val="auto"/>
              </w:rPr>
            </w:pPr>
            <w:r>
              <w:rPr>
                <w:rFonts w:ascii="Arial" w:cs="Arial" w:eastAsia="Arial" w:hAnsi="Arial"/>
                <w:sz w:val="18"/>
                <w:szCs w:val="18"/>
                <w:color w:val="auto"/>
              </w:rPr>
              <w:t>Dominican Republic</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International Ground Services, S.A. de C.V.</w:t>
            </w:r>
          </w:p>
        </w:tc>
        <w:tc>
          <w:tcPr>
            <w:tcW w:w="2160" w:type="dxa"/>
            <w:vAlign w:val="bottom"/>
          </w:tcPr>
          <w:p>
            <w:pPr>
              <w:ind w:left="60"/>
              <w:spacing w:after="0"/>
              <w:rPr>
                <w:sz w:val="20"/>
                <w:szCs w:val="20"/>
                <w:color w:val="auto"/>
              </w:rPr>
            </w:pPr>
            <w:r>
              <w:rPr>
                <w:rFonts w:ascii="Arial" w:cs="Arial" w:eastAsia="Arial" w:hAnsi="Arial"/>
                <w:sz w:val="18"/>
                <w:szCs w:val="18"/>
                <w:color w:val="auto"/>
              </w:rPr>
              <w:t>Mexico</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Avion Assurance, Ltd.</w:t>
            </w:r>
          </w:p>
        </w:tc>
        <w:tc>
          <w:tcPr>
            <w:tcW w:w="2160" w:type="dxa"/>
            <w:vAlign w:val="bottom"/>
          </w:tcPr>
          <w:p>
            <w:pPr>
              <w:ind w:left="60"/>
              <w:spacing w:after="0"/>
              <w:rPr>
                <w:sz w:val="20"/>
                <w:szCs w:val="20"/>
                <w:color w:val="auto"/>
              </w:rPr>
            </w:pPr>
            <w:r>
              <w:rPr>
                <w:rFonts w:ascii="Arial" w:cs="Arial" w:eastAsia="Arial" w:hAnsi="Arial"/>
                <w:sz w:val="18"/>
                <w:szCs w:val="18"/>
                <w:color w:val="auto"/>
              </w:rPr>
              <w:t>Bermuda</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Envoy Aviation Group Inc.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Eagle Aviation Services, Inc.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Envoy Air Inc. (operates under the trade name “American Eagle”)</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Executive Airlines, Inc.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FLAAG 2017-1 OPP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FLAAG 2017-1 OP-a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FLAAG 2017-1 OP-b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Piedmont Airlines, Inc. (operates under the trade name “American Eagle”)</w:t>
            </w:r>
          </w:p>
        </w:tc>
        <w:tc>
          <w:tcPr>
            <w:tcW w:w="2160" w:type="dxa"/>
            <w:vAlign w:val="bottom"/>
          </w:tcPr>
          <w:p>
            <w:pPr>
              <w:ind w:left="60"/>
              <w:spacing w:after="0"/>
              <w:rPr>
                <w:sz w:val="20"/>
                <w:szCs w:val="20"/>
                <w:color w:val="auto"/>
              </w:rPr>
            </w:pPr>
            <w:r>
              <w:rPr>
                <w:rFonts w:ascii="Arial" w:cs="Arial" w:eastAsia="Arial" w:hAnsi="Arial"/>
                <w:sz w:val="18"/>
                <w:szCs w:val="18"/>
                <w:color w:val="auto"/>
              </w:rPr>
              <w:t>Maryland</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PMA Investment Subsidiary, Inc.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PSA Airlines, Inc. (operates under the trade name “American Eagle”)</w:t>
            </w:r>
          </w:p>
        </w:tc>
        <w:tc>
          <w:tcPr>
            <w:tcW w:w="2160" w:type="dxa"/>
            <w:vAlign w:val="bottom"/>
          </w:tcPr>
          <w:p>
            <w:pPr>
              <w:ind w:left="60"/>
              <w:spacing w:after="0"/>
              <w:rPr>
                <w:sz w:val="20"/>
                <w:szCs w:val="20"/>
                <w:color w:val="auto"/>
              </w:rPr>
            </w:pPr>
            <w:r>
              <w:rPr>
                <w:rFonts w:ascii="Arial" w:cs="Arial" w:eastAsia="Arial" w:hAnsi="Arial"/>
                <w:sz w:val="18"/>
                <w:szCs w:val="18"/>
                <w:color w:val="auto"/>
              </w:rPr>
              <w:t>Pennsylvania</w:t>
            </w:r>
          </w:p>
        </w:tc>
      </w:tr>
      <w:tr>
        <w:trPr>
          <w:trHeight w:val="540"/>
        </w:trPr>
        <w:tc>
          <w:tcPr>
            <w:tcW w:w="9260" w:type="dxa"/>
            <w:vAlign w:val="bottom"/>
            <w:gridSpan w:val="2"/>
          </w:tcPr>
          <w:p>
            <w:pPr>
              <w:spacing w:after="0"/>
              <w:rPr>
                <w:sz w:val="20"/>
                <w:szCs w:val="20"/>
                <w:color w:val="auto"/>
              </w:rPr>
            </w:pPr>
            <w:r>
              <w:rPr>
                <w:rFonts w:ascii="Arial" w:cs="Arial" w:eastAsia="Arial" w:hAnsi="Arial"/>
                <w:sz w:val="18"/>
                <w:szCs w:val="18"/>
                <w:color w:val="auto"/>
              </w:rPr>
              <w:t>*Entity with 50% or less ownership.</w:t>
            </w:r>
          </w:p>
        </w:tc>
        <w:tc>
          <w:tcPr>
            <w:tcW w:w="21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23.1</w:t>
      </w:r>
    </w:p>
    <w:p>
      <w:pPr>
        <w:spacing w:after="0" w:line="374"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American Airlines Group Inc.:</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consent to the incorporation by reference in the registration statements (No. 333-192719 and No. 333-192660) on Form S-8 and (No. 333-216167) on Form S-3 of American Airlines Group Inc. of our reports dated February 25, 2019, with respect to the consolidated balance sheets of American Airlines Group Inc. as of December 31, 2018 and 2017, the related consolidated statements of operations, comprehensive income, cash flows, and stockholders’ equity for each of the years in the three-year period ended December 31, 2018, and the related notes (collectively, the "consolidated financial statements") (which report refers to a change to the method of accounting for revenue from contracts with customers and a change to the method of accounting for leases), and the effectiveness of internal control over financial reporting as of December 31, 2018, which reports appear in the December 31, 2018 annual report on Form 10-K of American Airlines Group Inc.</w:t>
      </w:r>
    </w:p>
    <w:p>
      <w:pPr>
        <w:spacing w:after="0" w:line="126"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 February 25, 2019</w:t>
      </w:r>
    </w:p>
    <w:p>
      <w:pPr>
        <w:sectPr>
          <w:pgSz w:w="11900" w:h="16838" w:orient="portrait"/>
          <w:cols w:equalWidth="0" w:num="1">
            <w:col w:w="11300"/>
          </w:cols>
          <w:pgMar w:left="360" w:top="576"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23.1</w:t>
      </w:r>
    </w:p>
    <w:p>
      <w:pPr>
        <w:spacing w:after="0" w:line="29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American Airlines, Inc.:</w:t>
      </w:r>
    </w:p>
    <w:p>
      <w:pPr>
        <w:spacing w:after="0" w:line="18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consent to the incorporation by reference in the registration statement (No. 333-216167) on Form S-3 of American Airlines, Inc. of our reports dated February 25, 2019, with respect to the consolidated balance sheets of American Airlines, Inc. as of December 31, 2018 and 2017, the related consolidated statements of operations, comprehensive income, cash flows, and stockholder’s equity for each of the years in the three-year period ended December 31, 2018, and the related notes (collectively, the "consolidated financial statements") (which report refers to a change to the method of accounting for revenue from contracts with customers and a change to the method of accounting for leases), and the effectiveness of internal control over financial reporting as of December 31, 2018, which reports appear in the December 31, 2018 annual report on Form 10-K of American Airlines, Inc.</w:t>
      </w:r>
    </w:p>
    <w:p>
      <w:pPr>
        <w:spacing w:after="0" w:line="207"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 February 25, 2019</w:t>
      </w:r>
    </w:p>
    <w:p>
      <w:pPr>
        <w:sectPr>
          <w:pgSz w:w="11900" w:h="16838" w:orient="portrait"/>
          <w:cols w:equalWidth="0" w:num="1">
            <w:col w:w="11300"/>
          </w:cols>
          <w:pgMar w:left="360" w:top="576"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2898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3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740"/>
        <w:spacing w:after="0"/>
        <w:tabs>
          <w:tab w:leader="none" w:pos="73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576"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2898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3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 and Chief</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76"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2898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3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576"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2898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3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 and Chief</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76"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on Form 10-K of American Airlines Group Inc. (the “Company”) for the year ended December 31, 2018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13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37">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25, 2019</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13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3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25, 2019</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576"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on Form 10-K of American Airlines, Inc. (the “Company”) for the year ended December 31, 2018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13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3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25, 2019</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13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4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25, 2019</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1."/>
      <w:numFmt w:val="decimal"/>
      <w:start w:val="7"/>
    </w:lvl>
  </w:abstractNum>
  <w:abstractNum w:abstractNumId="3">
    <w:nsid w:val="77AE35EB"/>
    <w:multiLevelType w:val="hybridMultilevel"/>
    <w:lvl w:ilvl="0">
      <w:lvlJc w:val="left"/>
      <w:lvlText w:val="(%1)"/>
      <w:numFmt w:val="decimal"/>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lvl w:ilvl="1">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1)"/>
      <w:numFmt w:val="decimal"/>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1)"/>
      <w:numFmt w:val="decimal"/>
      <w:start w:val="1"/>
    </w:lvl>
  </w:abstractNum>
  <w:abstractNum w:abstractNumId="14">
    <w:nsid w:val="100F8FCA"/>
    <w:multiLevelType w:val="hybridMultilevel"/>
    <w:lvl w:ilvl="0">
      <w:lvlJc w:val="left"/>
      <w:lvlText w:val="(%1)"/>
      <w:numFmt w:val="decimal"/>
      <w:start w:val="6"/>
    </w:lvl>
  </w:abstractNum>
  <w:abstractNum w:abstractNumId="15">
    <w:nsid w:val="6590700B"/>
    <w:multiLevelType w:val="hybridMultilevel"/>
    <w:lvl w:ilvl="0">
      <w:lvlJc w:val="left"/>
      <w:lvlText w:val="(%1)"/>
      <w:numFmt w:val="decimal"/>
      <w:start w:val="9"/>
    </w:lvl>
  </w:abstractNum>
  <w:abstractNum w:abstractNumId="16">
    <w:nsid w:val="15014ACB"/>
    <w:multiLevelType w:val="hybridMultilevel"/>
    <w:lvl w:ilvl="0">
      <w:lvlJc w:val="left"/>
      <w:lvlText w:val="(%1)"/>
      <w:numFmt w:val="decimal"/>
      <w:start w:val="1"/>
    </w:lvl>
  </w:abstractNum>
  <w:abstractNum w:abstractNumId="17">
    <w:nsid w:val="5F5E7FD0"/>
    <w:multiLevelType w:val="hybridMultilevel"/>
    <w:lvl w:ilvl="0">
      <w:lvlJc w:val="left"/>
      <w:lvlText w:val="(%1)"/>
      <w:numFmt w:val="decimal"/>
      <w:start w:val="1"/>
    </w:lvl>
  </w:abstractNum>
  <w:abstractNum w:abstractNumId="18">
    <w:nsid w:val="98A3148"/>
    <w:multiLevelType w:val="hybridMultilevel"/>
    <w:lvl w:ilvl="0">
      <w:lvlJc w:val="left"/>
      <w:lvlText w:val="(%1)"/>
      <w:numFmt w:val="decimal"/>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1)"/>
      <w:numFmt w:val="decimal"/>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1)"/>
      <w:numFmt w:val="decimal"/>
      <w:start w:val="5"/>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1)"/>
      <w:numFmt w:val="decimal"/>
      <w:start w:val="4"/>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1)"/>
      <w:numFmt w:val="decimal"/>
      <w:start w:val="1"/>
    </w:lvl>
  </w:abstractNum>
  <w:abstractNum w:abstractNumId="27">
    <w:nsid w:val="7BD3EE7B"/>
    <w:multiLevelType w:val="hybridMultilevel"/>
    <w:lvl w:ilvl="0">
      <w:lvlJc w:val="left"/>
      <w:lvlText w:val="(%1)"/>
      <w:numFmt w:val="decimal"/>
      <w:start w:val="5"/>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1)"/>
      <w:numFmt w:val="decimal"/>
      <w:start w:val="3"/>
    </w:lvl>
  </w:abstractNum>
  <w:abstractNum w:abstractNumId="30">
    <w:nsid w:val="BF72B14"/>
    <w:multiLevelType w:val="hybridMultilevel"/>
    <w:lvl w:ilvl="0">
      <w:lvlJc w:val="left"/>
      <w:lvlText w:val="(%1)"/>
      <w:numFmt w:val="decimal"/>
      <w:start w:val="3"/>
    </w:lvl>
  </w:abstractNum>
  <w:abstractNum w:abstractNumId="31">
    <w:nsid w:val="11447B73"/>
    <w:multiLevelType w:val="hybridMultilevel"/>
    <w:lvl w:ilvl="0">
      <w:lvlJc w:val="left"/>
      <w:lvlText w:val="(%1)"/>
      <w:numFmt w:val="decimal"/>
      <w:start w:val="1"/>
    </w:lvl>
  </w:abstractNum>
  <w:abstractNum w:abstractNumId="32">
    <w:nsid w:val="42963E5A"/>
    <w:multiLevelType w:val="hybridMultilevel"/>
    <w:lvl w:ilvl="0">
      <w:lvlJc w:val="left"/>
      <w:lvlText w:val="(%1)"/>
      <w:numFmt w:val="lowerLetter"/>
      <w:start w:val="1"/>
    </w:lvl>
  </w:abstractNum>
  <w:abstractNum w:abstractNumId="33">
    <w:nsid w:val="A0382C5"/>
    <w:multiLevelType w:val="hybridMultilevel"/>
    <w:lvl w:ilvl="0">
      <w:lvlJc w:val="left"/>
      <w:lvlText w:val="(%1)"/>
      <w:numFmt w:val="lowerLetter"/>
      <w:start w:val="2"/>
    </w:lvl>
  </w:abstractNum>
  <w:abstractNum w:abstractNumId="34">
    <w:nsid w:val="8F2B15E"/>
    <w:multiLevelType w:val="hybridMultilevel"/>
    <w:lvl w:ilvl="0">
      <w:lvlJc w:val="left"/>
      <w:lvlText w:val="(%1)"/>
      <w:numFmt w:val="decimal"/>
      <w:start w:val="1"/>
    </w:lvl>
  </w:abstractNum>
  <w:abstractNum w:abstractNumId="35">
    <w:nsid w:val="1A32234B"/>
    <w:multiLevelType w:val="hybridMultilevel"/>
    <w:lvl w:ilvl="0">
      <w:lvlJc w:val="left"/>
      <w:lvlText w:val="(%1)"/>
      <w:numFmt w:val="lowerLetter"/>
      <w:start w:val="11"/>
    </w:lvl>
  </w:abstractNum>
  <w:abstractNum w:abstractNumId="36">
    <w:nsid w:val="3B0FD379"/>
    <w:multiLevelType w:val="hybridMultilevel"/>
    <w:lvl w:ilvl="0">
      <w:lvlJc w:val="left"/>
      <w:lvlText w:val="(%1)"/>
      <w:numFmt w:val="decimal"/>
      <w:start w:val="1"/>
    </w:lvl>
  </w:abstractNum>
  <w:abstractNum w:abstractNumId="37">
    <w:nsid w:val="68EB2F63"/>
    <w:multiLevelType w:val="hybridMultilevel"/>
    <w:lvl w:ilvl="0">
      <w:lvlJc w:val="left"/>
      <w:lvlText w:val="(%1)"/>
      <w:numFmt w:val="decimal"/>
      <w:start w:val="1"/>
    </w:lvl>
  </w:abstractNum>
  <w:abstractNum w:abstractNumId="38">
    <w:nsid w:val="4962813B"/>
    <w:multiLevelType w:val="hybridMultilevel"/>
    <w:lvl w:ilvl="0">
      <w:lvlJc w:val="left"/>
      <w:lvlText w:val="(%1)"/>
      <w:numFmt w:val="decimal"/>
      <w:start w:val="1"/>
    </w:lvl>
  </w:abstractNum>
  <w:abstractNum w:abstractNumId="39">
    <w:nsid w:val="60B6DF70"/>
    <w:multiLevelType w:val="hybridMultilevel"/>
    <w:lvl w:ilvl="0">
      <w:lvlJc w:val="left"/>
      <w:lvlText w:val="(%1)"/>
      <w:numFmt w:val="decimal"/>
      <w:start w:val="1"/>
    </w:lvl>
  </w:abstractNum>
  <w:abstractNum w:abstractNumId="40">
    <w:nsid w:val="6A5EE64"/>
    <w:multiLevelType w:val="hybridMultilevel"/>
    <w:lvl w:ilvl="0">
      <w:lvlJc w:val="left"/>
      <w:lvlText w:val="(%1)"/>
      <w:numFmt w:val="decimal"/>
      <w:start w:val="10"/>
    </w:lvl>
  </w:abstractNum>
  <w:abstractNum w:abstractNumId="41">
    <w:nsid w:val="14330624"/>
    <w:multiLevelType w:val="hybridMultilevel"/>
    <w:lvl w:ilvl="0">
      <w:lvlJc w:val="left"/>
      <w:lvlText w:val="(%1)"/>
      <w:numFmt w:val="lowerLetter"/>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1)"/>
      <w:numFmt w:val="decimal"/>
      <w:start w:val="1"/>
    </w:lvl>
  </w:abstractNum>
  <w:abstractNum w:abstractNumId="44">
    <w:nsid w:val="71EA1109"/>
    <w:multiLevelType w:val="hybridMultilevel"/>
    <w:lvl w:ilvl="0">
      <w:lvlJc w:val="left"/>
      <w:lvlText w:val="(%1)"/>
      <w:numFmt w:val="decimal"/>
      <w:start w:val="1"/>
    </w:lvl>
  </w:abstractNum>
  <w:abstractNum w:abstractNumId="45">
    <w:nsid w:val="100F59DC"/>
    <w:multiLevelType w:val="hybridMultilevel"/>
    <w:lvl w:ilvl="0">
      <w:lvlJc w:val="left"/>
      <w:lvlText w:val="(%1)"/>
      <w:numFmt w:val="lowerLetter"/>
      <w:start w:val="5"/>
    </w:lvl>
  </w:abstractNum>
  <w:abstractNum w:abstractNumId="46">
    <w:nsid w:val="7FB7E0AA"/>
    <w:multiLevelType w:val="hybridMultilevel"/>
    <w:lvl w:ilvl="0">
      <w:lvlJc w:val="left"/>
      <w:lvlText w:val="(%1)"/>
      <w:numFmt w:val="decimal"/>
      <w:start w:val="1"/>
    </w:lvl>
  </w:abstractNum>
  <w:abstractNum w:abstractNumId="47">
    <w:nsid w:val="6EB5BD4"/>
    <w:multiLevelType w:val="hybridMultilevel"/>
    <w:lvl w:ilvl="0">
      <w:lvlJc w:val="left"/>
      <w:lvlText w:val="%1."/>
      <w:numFmt w:val="decimal"/>
      <w:start w:val="12"/>
    </w:lvl>
    <w:lvl w:ilvl="1">
      <w:lvlJc w:val="left"/>
      <w:lvlText w:val="(%2)"/>
      <w:numFmt w:val="lowerLetter"/>
      <w:start w:val="1"/>
    </w:lvl>
  </w:abstractNum>
  <w:abstractNum w:abstractNumId="48">
    <w:nsid w:val="6F6DD9AC"/>
    <w:multiLevelType w:val="hybridMultilevel"/>
    <w:lvl w:ilvl="0">
      <w:lvlJc w:val="left"/>
      <w:lvlText w:val="(%1)"/>
      <w:numFmt w:val="decimal"/>
      <w:start w:val="1"/>
    </w:lvl>
  </w:abstractNum>
  <w:abstractNum w:abstractNumId="49">
    <w:nsid w:val="94211F2"/>
    <w:multiLevelType w:val="hybridMultilevel"/>
    <w:lvl w:ilvl="0">
      <w:lvlJc w:val="left"/>
      <w:lvlText w:val="(%1)"/>
      <w:numFmt w:val="decimal"/>
      <w:start w:val="1"/>
    </w:lvl>
  </w:abstractNum>
  <w:abstractNum w:abstractNumId="50">
    <w:nsid w:val="885E1B"/>
    <w:multiLevelType w:val="hybridMultilevel"/>
    <w:lvl w:ilvl="0">
      <w:lvlJc w:val="left"/>
      <w:lvlText w:val="(%1)"/>
      <w:numFmt w:val="lowerLetter"/>
      <w:start w:val="4"/>
    </w:lvl>
  </w:abstractNum>
  <w:abstractNum w:abstractNumId="51">
    <w:nsid w:val="76272110"/>
    <w:multiLevelType w:val="hybridMultilevel"/>
    <w:lvl w:ilvl="0">
      <w:lvlJc w:val="left"/>
      <w:lvlText w:val="(%1)"/>
      <w:numFmt w:val="decimal"/>
      <w:start w:val="1"/>
    </w:lvl>
  </w:abstractNum>
  <w:abstractNum w:abstractNumId="52">
    <w:nsid w:val="4C04A8AF"/>
    <w:multiLevelType w:val="hybridMultilevel"/>
    <w:lvl w:ilvl="0">
      <w:lvlJc w:val="left"/>
      <w:lvlText w:val="%1."/>
      <w:numFmt w:val="decimal"/>
      <w:start w:val="18"/>
    </w:lvl>
  </w:abstractNum>
  <w:abstractNum w:abstractNumId="53">
    <w:nsid w:val="1716703B"/>
    <w:multiLevelType w:val="hybridMultilevel"/>
    <w:lvl w:ilvl="0">
      <w:lvlJc w:val="left"/>
      <w:lvlText w:val="(%1)"/>
      <w:numFmt w:val="lowerLetter"/>
      <w:start w:val="1"/>
    </w:lvl>
  </w:abstractNum>
  <w:abstractNum w:abstractNumId="54">
    <w:nsid w:val="14E17E33"/>
    <w:multiLevelType w:val="hybridMultilevel"/>
    <w:lvl w:ilvl="0">
      <w:lvlJc w:val="left"/>
      <w:lvlText w:val="(%1)"/>
      <w:numFmt w:val="lowerLetter"/>
      <w:start w:val="2"/>
    </w:lvl>
  </w:abstractNum>
  <w:abstractNum w:abstractNumId="55">
    <w:nsid w:val="3222E7CD"/>
    <w:multiLevelType w:val="hybridMultilevel"/>
    <w:lvl w:ilvl="0">
      <w:lvlJc w:val="left"/>
      <w:lvlText w:val="(%1)"/>
      <w:numFmt w:val="decimal"/>
      <w:start w:val="1"/>
    </w:lvl>
  </w:abstractNum>
  <w:abstractNum w:abstractNumId="56">
    <w:nsid w:val="74DE0EE3"/>
    <w:multiLevelType w:val="hybridMultilevel"/>
    <w:lvl w:ilvl="0">
      <w:lvlJc w:val="left"/>
      <w:lvlText w:val="(%1)"/>
      <w:numFmt w:val="lowerLetter"/>
      <w:start w:val="11"/>
    </w:lvl>
  </w:abstractNum>
  <w:abstractNum w:abstractNumId="57">
    <w:nsid w:val="68EBC550"/>
    <w:multiLevelType w:val="hybridMultilevel"/>
    <w:lvl w:ilvl="0">
      <w:lvlJc w:val="left"/>
      <w:lvlText w:val="(%1)"/>
      <w:numFmt w:val="decimal"/>
      <w:start w:val="1"/>
    </w:lvl>
  </w:abstractNum>
  <w:abstractNum w:abstractNumId="58">
    <w:nsid w:val="2DF6D648"/>
    <w:multiLevelType w:val="hybridMultilevel"/>
    <w:lvl w:ilvl="0">
      <w:lvlJc w:val="left"/>
      <w:lvlText w:val="(%1)"/>
      <w:numFmt w:val="decimal"/>
      <w:start w:val="1"/>
    </w:lvl>
  </w:abstractNum>
  <w:abstractNum w:abstractNumId="59">
    <w:nsid w:val="46B7D447"/>
    <w:multiLevelType w:val="hybridMultilevel"/>
    <w:lvl w:ilvl="0">
      <w:lvlJc w:val="left"/>
      <w:lvlText w:val="(%1)"/>
      <w:numFmt w:val="decimal"/>
      <w:start w:val="1"/>
    </w:lvl>
  </w:abstractNum>
  <w:abstractNum w:abstractNumId="60">
    <w:nsid w:val="4A2AC315"/>
    <w:multiLevelType w:val="hybridMultilevel"/>
    <w:lvl w:ilvl="0">
      <w:lvlJc w:val="left"/>
      <w:lvlText w:val="(%1)"/>
      <w:numFmt w:val="decimal"/>
      <w:start w:val="1"/>
    </w:lvl>
  </w:abstractNum>
  <w:abstractNum w:abstractNumId="61">
    <w:nsid w:val="39EE015C"/>
    <w:multiLevelType w:val="hybridMultilevel"/>
    <w:lvl w:ilvl="0">
      <w:lvlJc w:val="left"/>
      <w:lvlText w:val="(%1)"/>
      <w:numFmt w:val="lowerLetter"/>
      <w:start w:val="1"/>
    </w:lvl>
  </w:abstractNum>
  <w:abstractNum w:abstractNumId="62">
    <w:nsid w:val="57FC4FBB"/>
    <w:multiLevelType w:val="hybridMultilevel"/>
    <w:lvl w:ilvl="0">
      <w:lvlJc w:val="left"/>
      <w:lvlText w:val="%1."/>
      <w:numFmt w:val="decimal"/>
      <w:start w:val="7"/>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1)"/>
      <w:numFmt w:val="decimal"/>
      <w:start w:val="1"/>
    </w:lvl>
  </w:abstractNum>
  <w:abstractNum w:abstractNumId="65">
    <w:nsid w:val="60EF0119"/>
    <w:multiLevelType w:val="hybridMultilevel"/>
    <w:lvl w:ilvl="0">
      <w:lvlJc w:val="left"/>
      <w:lvlText w:val="(%1)"/>
      <w:numFmt w:val="decimal"/>
      <w:start w:val="3"/>
    </w:lvl>
  </w:abstractNum>
  <w:abstractNum w:abstractNumId="66">
    <w:nsid w:val="26F324BA"/>
    <w:multiLevelType w:val="hybridMultilevel"/>
    <w:lvl w:ilvl="0">
      <w:lvlJc w:val="left"/>
      <w:lvlText w:val="(%1)"/>
      <w:numFmt w:val="decimal"/>
      <w:start w:val="1"/>
    </w:lvl>
  </w:abstractNum>
  <w:abstractNum w:abstractNumId="67">
    <w:nsid w:val="7F01579B"/>
    <w:multiLevelType w:val="hybridMultilevel"/>
    <w:lvl w:ilvl="0">
      <w:lvlJc w:val="left"/>
      <w:lvlText w:val="(%1)"/>
      <w:numFmt w:val="lowerLetter"/>
      <w:start w:val="7"/>
    </w:lvl>
  </w:abstractNum>
  <w:abstractNum w:abstractNumId="68">
    <w:nsid w:val="49DA307D"/>
    <w:multiLevelType w:val="hybridMultilevel"/>
    <w:lvl w:ilvl="0">
      <w:lvlJc w:val="left"/>
      <w:lvlText w:val="%1."/>
      <w:numFmt w:val="decimal"/>
      <w:start w:val="10"/>
    </w:lvl>
    <w:lvl w:ilvl="1">
      <w:lvlJc w:val="left"/>
      <w:lvlText w:val="(%2)"/>
      <w:numFmt w:val="lowerLetter"/>
      <w:start w:val="1"/>
    </w:lvl>
  </w:abstractNum>
  <w:abstractNum w:abstractNumId="69">
    <w:nsid w:val="7055A5F5"/>
    <w:multiLevelType w:val="hybridMultilevel"/>
    <w:lvl w:ilvl="0">
      <w:lvlJc w:val="left"/>
      <w:lvlText w:val="(%1)"/>
      <w:numFmt w:val="decimal"/>
      <w:start w:val="1"/>
    </w:lvl>
  </w:abstractNum>
  <w:abstractNum w:abstractNumId="70">
    <w:nsid w:val="5FB8370B"/>
    <w:multiLevelType w:val="hybridMultilevel"/>
    <w:lvl w:ilvl="0">
      <w:lvlJc w:val="left"/>
      <w:lvlText w:val="(%1)"/>
      <w:numFmt w:val="decimal"/>
      <w:start w:val="1"/>
    </w:lvl>
  </w:abstractNum>
  <w:abstractNum w:abstractNumId="71">
    <w:nsid w:val="50801EE1"/>
    <w:multiLevelType w:val="hybridMultilevel"/>
    <w:lvl w:ilvl="0">
      <w:lvlJc w:val="left"/>
      <w:lvlText w:val="(%1)"/>
      <w:numFmt w:val="lowerLetter"/>
      <w:start w:val="4"/>
    </w:lvl>
  </w:abstractNum>
  <w:abstractNum w:abstractNumId="72">
    <w:nsid w:val="488AC1A"/>
    <w:multiLevelType w:val="hybridMultilevel"/>
    <w:lvl w:ilvl="0">
      <w:lvlJc w:val="left"/>
      <w:lvlText w:val="(%1)"/>
      <w:numFmt w:val="decimal"/>
      <w:start w:val="1"/>
    </w:lvl>
  </w:abstractNum>
  <w:abstractNum w:abstractNumId="73">
    <w:nsid w:val="5FB8011C"/>
    <w:multiLevelType w:val="hybridMultilevel"/>
    <w:lvl w:ilvl="0">
      <w:lvlJc w:val="left"/>
      <w:lvlText w:val="•"/>
      <w:numFmt w:val="bullet"/>
      <w:start w:val="1"/>
    </w:lvl>
  </w:abstractNum>
  <w:abstractNum w:abstractNumId="74">
    <w:nsid w:val="6AA78F7F"/>
    <w:multiLevelType w:val="hybridMultilevel"/>
    <w:lvl w:ilvl="0">
      <w:lvlJc w:val="left"/>
      <w:lvlText w:val="#"/>
      <w:numFmt w:val="bullet"/>
      <w:start w:val="1"/>
    </w:lvl>
  </w:abstractNum>
  <w:abstractNum w:abstractNumId="75">
    <w:nsid w:val="7672BD23"/>
    <w:multiLevelType w:val="hybridMultilevel"/>
    <w:lvl w:ilvl="0">
      <w:lvlJc w:val="left"/>
      <w:lvlText w:val="**"/>
      <w:numFmt w:val="bullet"/>
      <w:start w:val="1"/>
    </w:lvl>
    <w:lvl w:ilvl="1">
      <w:lvlJc w:val="left"/>
      <w:lvlText w:val="*"/>
      <w:numFmt w:val="bullet"/>
      <w:start w:val="1"/>
    </w:lvl>
  </w:abstractNum>
  <w:abstractNum w:abstractNumId="76">
    <w:nsid w:val="6FC75AF8"/>
    <w:multiLevelType w:val="hybridMultilevel"/>
    <w:lvl w:ilvl="0">
      <w:lvlJc w:val="left"/>
      <w:lvlText w:val="(%1)"/>
      <w:numFmt w:val="lowerLetter"/>
      <w:start w:val="5"/>
    </w:lvl>
  </w:abstractNum>
  <w:abstractNum w:abstractNumId="77">
    <w:nsid w:val="6A5F7029"/>
    <w:multiLevelType w:val="hybridMultilevel"/>
    <w:lvl w:ilvl="0">
      <w:lvlJc w:val="left"/>
      <w:lvlText w:val="(%1)"/>
      <w:numFmt w:val="lowerLetter"/>
      <w:start w:val="1"/>
    </w:lvl>
  </w:abstractNum>
  <w:abstractNum w:abstractNumId="78">
    <w:nsid w:val="7D5E18F8"/>
    <w:multiLevelType w:val="hybridMultilevel"/>
    <w:lvl w:ilvl="0">
      <w:lvlJc w:val="left"/>
      <w:lvlText w:val="(%1)"/>
      <w:numFmt w:val="lowerLetter"/>
      <w:start w:val="2"/>
    </w:lvl>
  </w:abstractNum>
  <w:abstractNum w:abstractNumId="79">
    <w:nsid w:val="5F3534A4"/>
    <w:multiLevelType w:val="hybridMultilevel"/>
    <w:lvl w:ilvl="0">
      <w:lvlJc w:val="left"/>
      <w:lvlText w:val="(%1)"/>
      <w:numFmt w:val="lowerLetter"/>
      <w:start w:val="3"/>
    </w:lvl>
  </w:abstractNum>
  <w:abstractNum w:abstractNumId="80">
    <w:nsid w:val="73A1821B"/>
    <w:multiLevelType w:val="hybridMultilevel"/>
    <w:lvl w:ilvl="0">
      <w:lvlJc w:val="left"/>
      <w:lvlText w:val="(%1)"/>
      <w:numFmt w:val="lowerLetter"/>
      <w:start w:val="4"/>
    </w:lvl>
  </w:abstractNum>
  <w:abstractNum w:abstractNumId="81">
    <w:nsid w:val="7DE67713"/>
    <w:multiLevelType w:val="hybridMultilevel"/>
    <w:lvl w:ilvl="0">
      <w:lvlJc w:val="left"/>
      <w:lvlText w:val="(%1)"/>
      <w:numFmt w:val="lowerLetter"/>
      <w:start w:val="6"/>
    </w:lvl>
  </w:abstractNum>
  <w:abstractNum w:abstractNumId="82">
    <w:nsid w:val="555C55B5"/>
    <w:multiLevelType w:val="hybridMultilevel"/>
    <w:lvl w:ilvl="0">
      <w:lvlJc w:val="left"/>
      <w:lvlText w:val="(%1)"/>
      <w:numFmt w:val="lowerLetter"/>
      <w:start w:val="1"/>
    </w:lvl>
    <w:lvl w:ilvl="1">
      <w:lvlJc w:val="left"/>
      <w:lvlText w:val="(%2)"/>
      <w:numFmt w:val="lowerLetter"/>
      <w:start w:val="9"/>
    </w:lvl>
  </w:abstractNum>
  <w:abstractNum w:abstractNumId="83">
    <w:nsid w:val="3FA62ACA"/>
    <w:multiLevelType w:val="hybridMultilevel"/>
    <w:lvl w:ilvl="0">
      <w:lvlJc w:val="left"/>
      <w:lvlText w:val="(%1)"/>
      <w:numFmt w:val="lowerRoman"/>
      <w:start w:val="1"/>
    </w:lvl>
  </w:abstractNum>
  <w:abstractNum w:abstractNumId="84">
    <w:nsid w:val="14FCE74E"/>
    <w:multiLevelType w:val="hybridMultilevel"/>
    <w:lvl w:ilvl="0">
      <w:lvlJc w:val="left"/>
      <w:lvlText w:val="(%1)"/>
      <w:numFmt w:val="lowerLetter"/>
      <w:start w:val="35"/>
    </w:lvl>
    <w:lvl w:ilvl="1">
      <w:lvlJc w:val="left"/>
      <w:lvlText w:val="(%2)"/>
      <w:numFmt w:val="lowerLetter"/>
      <w:start w:val="10"/>
    </w:lvl>
  </w:abstractNum>
  <w:abstractNum w:abstractNumId="85">
    <w:nsid w:val="6A3DD3E8"/>
    <w:multiLevelType w:val="hybridMultilevel"/>
    <w:lvl w:ilvl="0">
      <w:lvlJc w:val="left"/>
      <w:lvlText w:val="(%1)"/>
      <w:numFmt w:val="lowerLetter"/>
      <w:start w:val="1"/>
    </w:lvl>
  </w:abstractNum>
  <w:abstractNum w:abstractNumId="86">
    <w:nsid w:val="71C91298"/>
    <w:multiLevelType w:val="hybridMultilevel"/>
    <w:lvl w:ilvl="0">
      <w:lvlJc w:val="left"/>
      <w:lvlText w:val="(%1)"/>
      <w:numFmt w:val="lowerLetter"/>
      <w:start w:val="1"/>
    </w:lvl>
  </w:abstractNum>
  <w:abstractNum w:abstractNumId="87">
    <w:nsid w:val="9DAF632"/>
    <w:multiLevelType w:val="hybridMultilevel"/>
    <w:lvl w:ilvl="0">
      <w:lvlJc w:val="left"/>
      <w:lvlText w:val="(%1)"/>
      <w:numFmt w:val="lowerLetter"/>
      <w:start w:val="2"/>
    </w:lvl>
  </w:abstractNum>
  <w:abstractNum w:abstractNumId="88">
    <w:nsid w:val="53299938"/>
    <w:multiLevelType w:val="hybridMultilevel"/>
    <w:lvl w:ilvl="0">
      <w:lvlJc w:val="left"/>
      <w:lvlText w:val="(%1)"/>
      <w:numFmt w:val="lowerLetter"/>
      <w:start w:val="8"/>
    </w:lvl>
  </w:abstractNum>
  <w:abstractNum w:abstractNumId="89">
    <w:nsid w:val="1FBFE8E0"/>
    <w:multiLevelType w:val="hybridMultilevel"/>
    <w:lvl w:ilvl="0">
      <w:lvlJc w:val="left"/>
      <w:lvlText w:val="(%1)"/>
      <w:numFmt w:val="lowerLetter"/>
      <w:start w:val="2"/>
    </w:lvl>
  </w:abstractNum>
  <w:abstractNum w:abstractNumId="90">
    <w:nsid w:val="5092CA79"/>
    <w:multiLevelType w:val="hybridMultilevel"/>
    <w:lvl w:ilvl="0">
      <w:lvlJc w:val="left"/>
      <w:lvlText w:val="(%1)"/>
      <w:numFmt w:val="lowerLetter"/>
      <w:start w:val="5"/>
    </w:lvl>
  </w:abstractNum>
  <w:abstractNum w:abstractNumId="91">
    <w:nsid w:val="1D545C4D"/>
    <w:multiLevelType w:val="hybridMultilevel"/>
    <w:lvl w:ilvl="0">
      <w:lvlJc w:val="left"/>
      <w:lvlText w:val="(%1)"/>
      <w:numFmt w:val="lowerLetter"/>
      <w:start w:val="1"/>
    </w:lvl>
  </w:abstractNum>
  <w:abstractNum w:abstractNumId="92">
    <w:nsid w:val="59ADEA3D"/>
    <w:multiLevelType w:val="hybridMultilevel"/>
    <w:lvl w:ilvl="0">
      <w:lvlJc w:val="left"/>
      <w:lvlText w:val="(%1)"/>
      <w:numFmt w:val="lowerLetter"/>
      <w:start w:val="2"/>
    </w:lvl>
  </w:abstractNum>
  <w:abstractNum w:abstractNumId="93">
    <w:nsid w:val="288F1A34"/>
    <w:multiLevelType w:val="hybridMultilevel"/>
    <w:lvl w:ilvl="0">
      <w:lvlJc w:val="left"/>
      <w:lvlText w:val="(%1)"/>
      <w:numFmt w:val="lowerLetter"/>
      <w:start w:val="3"/>
    </w:lvl>
  </w:abstractNum>
  <w:abstractNum w:abstractNumId="94">
    <w:nsid w:val="2A155DBC"/>
    <w:multiLevelType w:val="hybridMultilevel"/>
    <w:lvl w:ilvl="0">
      <w:lvlJc w:val="left"/>
      <w:lvlText w:val="(%1)"/>
      <w:numFmt w:val="lowerLetter"/>
      <w:start w:val="4"/>
    </w:lvl>
  </w:abstractNum>
  <w:abstractNum w:abstractNumId="95">
    <w:nsid w:val="1D9F6E5F"/>
    <w:multiLevelType w:val="hybridMultilevel"/>
    <w:lvl w:ilvl="0">
      <w:lvlJc w:val="left"/>
      <w:lvlText w:val="(%1)"/>
      <w:numFmt w:val="lowerLetter"/>
      <w:start w:val="6"/>
    </w:lvl>
  </w:abstractNum>
  <w:abstractNum w:abstractNumId="96">
    <w:nsid w:val="97E1B4E"/>
    <w:multiLevelType w:val="hybridMultilevel"/>
    <w:lvl w:ilvl="0">
      <w:lvlJc w:val="left"/>
      <w:lvlText w:val="(%1)"/>
      <w:numFmt w:val="lowerRoman"/>
      <w:start w:val="1"/>
    </w:lvl>
  </w:abstractNum>
  <w:abstractNum w:abstractNumId="97">
    <w:nsid w:val="51088277"/>
    <w:multiLevelType w:val="hybridMultilevel"/>
    <w:lvl w:ilvl="0">
      <w:lvlJc w:val="left"/>
      <w:lvlText w:val="(%1)"/>
      <w:numFmt w:val="lowerRoman"/>
      <w:start w:val="1"/>
    </w:lvl>
  </w:abstractNum>
  <w:abstractNum w:abstractNumId="98">
    <w:nsid w:val="1CA0C5FA"/>
    <w:multiLevelType w:val="hybridMultilevel"/>
    <w:lvl w:ilvl="0">
      <w:lvlJc w:val="left"/>
      <w:lvlText w:val="(%1)"/>
      <w:numFmt w:val="lowerLetter"/>
      <w:start w:val="1"/>
    </w:lvl>
  </w:abstractNum>
  <w:abstractNum w:abstractNumId="99">
    <w:nsid w:val="53584BCB"/>
    <w:multiLevelType w:val="hybridMultilevel"/>
    <w:lvl w:ilvl="0">
      <w:lvlJc w:val="left"/>
      <w:lvlText w:val="(%1)"/>
      <w:numFmt w:val="lowerLetter"/>
      <w:start w:val="1"/>
    </w:lvl>
  </w:abstractNum>
  <w:abstractNum w:abstractNumId="100">
    <w:nsid w:val="415E286C"/>
    <w:multiLevelType w:val="hybridMultilevel"/>
    <w:lvl w:ilvl="0">
      <w:lvlJc w:val="left"/>
      <w:lvlText w:val="%1"/>
      <w:numFmt w:val="lowerLetter"/>
      <w:start w:val="1"/>
    </w:lvl>
    <w:lvl w:ilvl="1">
      <w:lvlJc w:val="left"/>
      <w:lvlText w:val="(%2)"/>
      <w:numFmt w:val="lowerLetter"/>
      <w:start w:val="2"/>
    </w:lvl>
  </w:abstractNum>
  <w:abstractNum w:abstractNumId="101">
    <w:nsid w:val="7C58FD05"/>
    <w:multiLevelType w:val="hybridMultilevel"/>
    <w:lvl w:ilvl="0">
      <w:lvlJc w:val="left"/>
      <w:lvlText w:val="(%1)"/>
      <w:numFmt w:val="lowerLetter"/>
      <w:start w:val="9"/>
    </w:lvl>
    <w:lvl w:ilvl="1">
      <w:lvlJc w:val="left"/>
      <w:lvlText w:val="(%2)"/>
      <w:numFmt w:val="lowerLetter"/>
      <w:start w:val="7"/>
    </w:lvl>
  </w:abstractNum>
  <w:abstractNum w:abstractNumId="102">
    <w:nsid w:val="23D86AAC"/>
    <w:multiLevelType w:val="hybridMultilevel"/>
    <w:lvl w:ilvl="0">
      <w:lvlJc w:val="left"/>
      <w:lvlText w:val="(%1)"/>
      <w:numFmt w:val="lowerRoman"/>
      <w:start w:val="1"/>
    </w:lvl>
  </w:abstractNum>
  <w:abstractNum w:abstractNumId="103">
    <w:nsid w:val="45E6D486"/>
    <w:multiLevelType w:val="hybridMultilevel"/>
    <w:lvl w:ilvl="0">
      <w:lvlJc w:val="left"/>
      <w:lvlText w:val="(%1)"/>
      <w:numFmt w:val="lowerLetter"/>
      <w:start w:val="2"/>
    </w:lvl>
  </w:abstractNum>
  <w:abstractNum w:abstractNumId="104">
    <w:nsid w:val="5C10FE21"/>
    <w:multiLevelType w:val="hybridMultilevel"/>
    <w:lvl w:ilvl="0">
      <w:lvlJc w:val="left"/>
      <w:lvlText w:val="(%1)"/>
      <w:numFmt w:val="lowerLetter"/>
      <w:start w:val="5"/>
    </w:lvl>
  </w:abstractNum>
  <w:abstractNum w:abstractNumId="105">
    <w:nsid w:val="E7FFA2B"/>
    <w:multiLevelType w:val="hybridMultilevel"/>
    <w:lvl w:ilvl="0">
      <w:lvlJc w:val="left"/>
      <w:lvlText w:val="(%1)"/>
      <w:numFmt w:val="lowerLetter"/>
      <w:start w:val="1"/>
    </w:lvl>
  </w:abstractNum>
  <w:abstractNum w:abstractNumId="106">
    <w:nsid w:val="3C5991AA"/>
    <w:multiLevelType w:val="hybridMultilevel"/>
    <w:lvl w:ilvl="0">
      <w:lvlJc w:val="left"/>
      <w:lvlText w:val="(%1)"/>
      <w:numFmt w:val="lowerLetter"/>
      <w:start w:val="2"/>
    </w:lvl>
  </w:abstractNum>
  <w:abstractNum w:abstractNumId="107">
    <w:nsid w:val="4BD8591A"/>
    <w:multiLevelType w:val="hybridMultilevel"/>
    <w:lvl w:ilvl="0">
      <w:lvlJc w:val="left"/>
      <w:lvlText w:val="(%1)"/>
      <w:numFmt w:val="lowerLetter"/>
      <w:start w:val="3"/>
    </w:lvl>
  </w:abstractNum>
  <w:abstractNum w:abstractNumId="108">
    <w:nsid w:val="78DF6A55"/>
    <w:multiLevelType w:val="hybridMultilevel"/>
    <w:lvl w:ilvl="0">
      <w:lvlJc w:val="left"/>
      <w:lvlText w:val="(%1)"/>
      <w:numFmt w:val="lowerLetter"/>
      <w:start w:val="4"/>
    </w:lvl>
  </w:abstractNum>
  <w:abstractNum w:abstractNumId="109">
    <w:nsid w:val="39B7AAA2"/>
    <w:multiLevelType w:val="hybridMultilevel"/>
    <w:lvl w:ilvl="0">
      <w:lvlJc w:val="left"/>
      <w:lvlText w:val="(%1)"/>
      <w:numFmt w:val="lowerLetter"/>
      <w:start w:val="5"/>
    </w:lvl>
  </w:abstractNum>
  <w:abstractNum w:abstractNumId="110">
    <w:nsid w:val="2B0D8DBE"/>
    <w:multiLevelType w:val="hybridMultilevel"/>
    <w:lvl w:ilvl="0">
      <w:lvlJc w:val="left"/>
      <w:lvlText w:val="(%1)"/>
      <w:numFmt w:val="lowerLetter"/>
      <w:start w:val="6"/>
    </w:lvl>
  </w:abstractNum>
  <w:abstractNum w:abstractNumId="111">
    <w:nsid w:val="6C80EC70"/>
    <w:multiLevelType w:val="hybridMultilevel"/>
    <w:lvl w:ilvl="0">
      <w:lvlJc w:val="left"/>
      <w:lvlText w:val="(%1)"/>
      <w:numFmt w:val="lowerLetter"/>
      <w:start w:val="8"/>
    </w:lvl>
  </w:abstractNum>
  <w:abstractNum w:abstractNumId="112">
    <w:nsid w:val="379E21B5"/>
    <w:multiLevelType w:val="hybridMultilevel"/>
    <w:lvl w:ilvl="0">
      <w:lvlJc w:val="left"/>
      <w:lvlText w:val="(%1)"/>
      <w:numFmt w:val="lowerLetter"/>
      <w:start w:val="1"/>
    </w:lvl>
  </w:abstractNum>
  <w:abstractNum w:abstractNumId="113">
    <w:nsid w:val="69E373"/>
    <w:multiLevelType w:val="hybridMultilevel"/>
    <w:lvl w:ilvl="0">
      <w:lvlJc w:val="left"/>
      <w:lvlText w:val="(%1)"/>
      <w:numFmt w:val="lowerLetter"/>
      <w:start w:val="1"/>
    </w:lvl>
  </w:abstractNum>
  <w:abstractNum w:abstractNumId="114">
    <w:nsid w:val="2C27173B"/>
    <w:multiLevelType w:val="hybridMultilevel"/>
    <w:lvl w:ilvl="0">
      <w:lvlJc w:val="left"/>
      <w:lvlText w:val="(%1)"/>
      <w:numFmt w:val="lowerLetter"/>
      <w:start w:val="3"/>
    </w:lvl>
  </w:abstractNum>
  <w:abstractNum w:abstractNumId="115">
    <w:nsid w:val="4C9B0904"/>
    <w:multiLevelType w:val="hybridMultilevel"/>
    <w:lvl w:ilvl="0">
      <w:lvlJc w:val="left"/>
      <w:lvlText w:val="(%1)"/>
      <w:numFmt w:val="lowerLetter"/>
      <w:start w:val="2"/>
    </w:lvl>
  </w:abstractNum>
  <w:abstractNum w:abstractNumId="116">
    <w:nsid w:val="6AA7B75C"/>
    <w:multiLevelType w:val="hybridMultilevel"/>
    <w:lvl w:ilvl="0">
      <w:lvlJc w:val="left"/>
      <w:lvlText w:val="%1."/>
      <w:numFmt w:val="decimal"/>
      <w:start w:val="1"/>
    </w:lvl>
    <w:lvl w:ilvl="1">
      <w:lvlJc w:val="left"/>
      <w:lvlText w:val="(%2)"/>
      <w:numFmt w:val="lowerLetter"/>
      <w:start w:val="1"/>
    </w:lvl>
  </w:abstractNum>
  <w:abstractNum w:abstractNumId="117">
    <w:nsid w:val="1DF029D3"/>
    <w:multiLevelType w:val="hybridMultilevel"/>
    <w:lvl w:ilvl="0">
      <w:lvlJc w:val="left"/>
      <w:lvlText w:val="%1."/>
      <w:numFmt w:val="decimal"/>
      <w:start w:val="1"/>
    </w:lvl>
    <w:lvl w:ilvl="1">
      <w:lvlJc w:val="left"/>
      <w:lvlText w:val="(%2)"/>
      <w:numFmt w:val="lowerLetter"/>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311" Type="http://schemas.openxmlformats.org/officeDocument/2006/relationships/image" Target="media/image96.png"/><Relationship Id="rId312" Type="http://schemas.openxmlformats.org/officeDocument/2006/relationships/image" Target="media/image97.png"/><Relationship Id="rId313" Type="http://schemas.openxmlformats.org/officeDocument/2006/relationships/image" Target="media/image98.png"/><Relationship Id="rId314" Type="http://schemas.openxmlformats.org/officeDocument/2006/relationships/image" Target="media/image99.png"/><Relationship Id="rId315" Type="http://schemas.openxmlformats.org/officeDocument/2006/relationships/image" Target="media/image100.png"/><Relationship Id="rId316" Type="http://schemas.openxmlformats.org/officeDocument/2006/relationships/image" Target="media/image101.png"/><Relationship Id="rId317" Type="http://schemas.openxmlformats.org/officeDocument/2006/relationships/image" Target="media/image102.png"/><Relationship Id="rId318" Type="http://schemas.openxmlformats.org/officeDocument/2006/relationships/image" Target="media/image103.png"/><Relationship Id="rId319" Type="http://schemas.openxmlformats.org/officeDocument/2006/relationships/image" Target="media/image104.png"/><Relationship Id="rId320" Type="http://schemas.openxmlformats.org/officeDocument/2006/relationships/image" Target="media/image105.png"/><Relationship Id="rId321" Type="http://schemas.openxmlformats.org/officeDocument/2006/relationships/image" Target="media/image106.png"/><Relationship Id="rId322" Type="http://schemas.openxmlformats.org/officeDocument/2006/relationships/image" Target="media/image107.png"/><Relationship Id="rId323" Type="http://schemas.openxmlformats.org/officeDocument/2006/relationships/image" Target="media/image108.png"/><Relationship Id="rId324" Type="http://schemas.openxmlformats.org/officeDocument/2006/relationships/image" Target="media/image109.png"/><Relationship Id="rId325" Type="http://schemas.openxmlformats.org/officeDocument/2006/relationships/image" Target="media/image110.png"/><Relationship Id="rId326" Type="http://schemas.openxmlformats.org/officeDocument/2006/relationships/image" Target="media/image111.png"/><Relationship Id="rId327" Type="http://schemas.openxmlformats.org/officeDocument/2006/relationships/image" Target="media/image112.png"/><Relationship Id="rId328" Type="http://schemas.openxmlformats.org/officeDocument/2006/relationships/image" Target="media/image113.png"/><Relationship Id="rId329" Type="http://schemas.openxmlformats.org/officeDocument/2006/relationships/image" Target="media/image114.png"/><Relationship Id="rId330" Type="http://schemas.openxmlformats.org/officeDocument/2006/relationships/image" Target="media/image115.png"/><Relationship Id="rId331" Type="http://schemas.openxmlformats.org/officeDocument/2006/relationships/image" Target="media/image116.png"/><Relationship Id="rId332" Type="http://schemas.openxmlformats.org/officeDocument/2006/relationships/image" Target="media/image117.png"/><Relationship Id="rId333" Type="http://schemas.openxmlformats.org/officeDocument/2006/relationships/image" Target="media/image118.png"/><Relationship Id="rId334" Type="http://schemas.openxmlformats.org/officeDocument/2006/relationships/image" Target="media/image119.png"/><Relationship Id="rId335" Type="http://schemas.openxmlformats.org/officeDocument/2006/relationships/image" Target="media/image120.png"/><Relationship Id="rId336" Type="http://schemas.openxmlformats.org/officeDocument/2006/relationships/image" Target="media/image121.png"/><Relationship Id="rId337" Type="http://schemas.openxmlformats.org/officeDocument/2006/relationships/image" Target="media/image122.png"/><Relationship Id="rId338" Type="http://schemas.openxmlformats.org/officeDocument/2006/relationships/image" Target="media/image123.png"/><Relationship Id="rId339" Type="http://schemas.openxmlformats.org/officeDocument/2006/relationships/image" Target="media/image124.png"/><Relationship Id="rId340" Type="http://schemas.openxmlformats.org/officeDocument/2006/relationships/image" Target="media/image125.png"/><Relationship Id="rId103" Type="http://schemas.openxmlformats.org/officeDocument/2006/relationships/hyperlink" Target="http://www.sec.gov/Archives/edgar/data/4515/000119312513408263/d605556dex21.htm" TargetMode="External"/><Relationship Id="rId104" Type="http://schemas.openxmlformats.org/officeDocument/2006/relationships/hyperlink" Target="http://www.sec.gov/Archives/edgar/data/4515/000119312513060746/d487000dex21.htm" TargetMode="External"/><Relationship Id="rId105" Type="http://schemas.openxmlformats.org/officeDocument/2006/relationships/hyperlink" Target="http://www.sec.gov/Archives/edgar/data/6201/000119312513224465/d539647dex21.htm" TargetMode="External"/><Relationship Id="rId106" Type="http://schemas.openxmlformats.org/officeDocument/2006/relationships/hyperlink" Target="http://www.sec.gov/Archives/edgar/data/4515/000119312513256170/d555547dex21.htm" TargetMode="External"/><Relationship Id="rId107" Type="http://schemas.openxmlformats.org/officeDocument/2006/relationships/hyperlink" Target="http://www.sec.gov/Archives/edgar/data/4515/000119312513374023/d601604dex21.htm" TargetMode="External"/><Relationship Id="rId108" Type="http://schemas.openxmlformats.org/officeDocument/2006/relationships/hyperlink" Target="http://www.sec.gov/Archives/edgar/data/4515/000119312515418305/d110614dex21.htm" TargetMode="External"/><Relationship Id="rId109" Type="http://schemas.openxmlformats.org/officeDocument/2006/relationships/hyperlink" Target="http://www.sec.gov/Archives/edgar/data/4515/000119312513466973/d640718dex31.htm" TargetMode="External"/><Relationship Id="rId110" Type="http://schemas.openxmlformats.org/officeDocument/2006/relationships/hyperlink" Target="http://www.sec.gov/Archives/edgar/data/6201/000119312518191662/d594984dex31.htm" TargetMode="External"/><Relationship Id="rId111" Type="http://schemas.openxmlformats.org/officeDocument/2006/relationships/hyperlink" Target="http://www.sec.gov/Archives/edgar/data/6201/000119312518191662/d594984dex32.htm" TargetMode="External"/><Relationship Id="rId112" Type="http://schemas.openxmlformats.org/officeDocument/2006/relationships/hyperlink" Target="http://www.sec.gov/Archives/edgar/data/4515/000000620114000004/d682697dex33.htm" TargetMode="External"/><Relationship Id="rId113" Type="http://schemas.openxmlformats.org/officeDocument/2006/relationships/hyperlink" Target="http://www.sec.gov/Archives/edgar/data/4515/000000620114000004/d682697dex34.htm" TargetMode="External"/><Relationship Id="rId114" Type="http://schemas.openxmlformats.org/officeDocument/2006/relationships/hyperlink" Target="http://www.sec.gov/Archives/edgar/data/6201/000119312513103330/d501326dex41.htm" TargetMode="External"/><Relationship Id="rId115" Type="http://schemas.openxmlformats.org/officeDocument/2006/relationships/hyperlink" Target="http://www.sec.gov/Archives/edgar/data/4515/000119312513456230/d634326dex42.htm" TargetMode="External"/><Relationship Id="rId116" Type="http://schemas.openxmlformats.org/officeDocument/2006/relationships/hyperlink" Target="http://www.sec.gov/Archives/edgar/data/4515/000119312513456230/d634326dex45.htm" TargetMode="External"/><Relationship Id="rId117" Type="http://schemas.openxmlformats.org/officeDocument/2006/relationships/hyperlink" Target="http://www.sec.gov/Archives/edgar/data/4515/000119312513456230/d634326dex46.htm" TargetMode="External"/><Relationship Id="rId118" Type="http://schemas.openxmlformats.org/officeDocument/2006/relationships/hyperlink" Target="http://www.sec.gov/Archives/edgar/data/4515/000119312513456230/d634326dex47.htm" TargetMode="External"/><Relationship Id="rId119" Type="http://schemas.openxmlformats.org/officeDocument/2006/relationships/hyperlink" Target="http://www.sec.gov/Archives/edgar/data/4515/000119312513456230/d634326dex48.htm" TargetMode="External"/><Relationship Id="rId120" Type="http://schemas.openxmlformats.org/officeDocument/2006/relationships/hyperlink" Target="http://www.sec.gov/Archives/edgar/data/4515/000119312513456230/d634326dex49.htm" TargetMode="External"/><Relationship Id="rId121" Type="http://schemas.openxmlformats.org/officeDocument/2006/relationships/hyperlink" Target="http://www.sec.gov/Archives/edgar/data/4515/000119312513456230/d634326dex410.htm" TargetMode="External"/><Relationship Id="rId122" Type="http://schemas.openxmlformats.org/officeDocument/2006/relationships/hyperlink" Target="http://www.sec.gov/Archives/edgar/data/4515/000119312513456230/d634326dex411.htm" TargetMode="External"/><Relationship Id="rId123" Type="http://schemas.openxmlformats.org/officeDocument/2006/relationships/hyperlink" Target="http://www.sec.gov/Archives/edgar/data/4515/000119312513456230/d634326dex992.htm" TargetMode="External"/><Relationship Id="rId124" Type="http://schemas.openxmlformats.org/officeDocument/2006/relationships/hyperlink" Target="http://www.sec.gov/Archives/edgar/data/4515/000119312513480827/d647497dex44.htm" TargetMode="External"/><Relationship Id="rId125" Type="http://schemas.openxmlformats.org/officeDocument/2006/relationships/hyperlink" Target="http://www.sec.gov/Archives/edgar/data/4515/000119312513480827/d647497dex49.htm" TargetMode="External"/><Relationship Id="rId126" Type="http://schemas.openxmlformats.org/officeDocument/2006/relationships/hyperlink" Target="http://www.sec.gov/Archives/edgar/data/4515/000119312513480827/d647497dex410.htm" TargetMode="External"/><Relationship Id="rId127" Type="http://schemas.openxmlformats.org/officeDocument/2006/relationships/hyperlink" Target="http://www.sec.gov/Archives/edgar/data/701345/000119312513235868/d544095dex41.htm" TargetMode="External"/><Relationship Id="rId128" Type="http://schemas.openxmlformats.org/officeDocument/2006/relationships/hyperlink" Target="http://www.sec.gov/Archives/edgar/data/701345/000119312513235868/d544095dex42.htm" TargetMode="External"/><Relationship Id="rId129" Type="http://schemas.openxmlformats.org/officeDocument/2006/relationships/hyperlink" Target="http://www.sec.gov/Archives/edgar/data/4515/000119312513466973/d640718dex41.htm" TargetMode="External"/><Relationship Id="rId130" Type="http://schemas.openxmlformats.org/officeDocument/2006/relationships/hyperlink" Target="http://www.sec.gov/Archives/edgar/data/4515/000119312515418305/d110614dex41.htm" TargetMode="External"/><Relationship Id="rId131" Type="http://schemas.openxmlformats.org/officeDocument/2006/relationships/hyperlink" Target="http://www.sec.gov/Archives/edgar/data/4515/000119312514343482/d790263dex41.htm" TargetMode="External"/><Relationship Id="rId132" Type="http://schemas.openxmlformats.org/officeDocument/2006/relationships/hyperlink" Target="http://www.sec.gov/Archives/edgar/data/4515/000119312514343482/d790263dex42.htm" TargetMode="External"/><Relationship Id="rId133" Type="http://schemas.openxmlformats.org/officeDocument/2006/relationships/hyperlink" Target="http://www.sec.gov/Archives/edgar/data/4515/000119312514343482/d790263dex43.htm" TargetMode="External"/><Relationship Id="rId134" Type="http://schemas.openxmlformats.org/officeDocument/2006/relationships/hyperlink" Target="http://www.sec.gov/Archives/edgar/data/4515/000119312514343482/d790263dex44.htm" TargetMode="External"/><Relationship Id="rId135" Type="http://schemas.openxmlformats.org/officeDocument/2006/relationships/hyperlink" Target="http://www.sec.gov/Archives/edgar/data/4515/000119312515261937/d945812dex106.htm" TargetMode="External"/><Relationship Id="rId136" Type="http://schemas.openxmlformats.org/officeDocument/2006/relationships/hyperlink" Target="http://www.sec.gov/Archives/edgar/data/4515/000119312514343482/d790263dex49.htm" TargetMode="External"/><Relationship Id="rId137" Type="http://schemas.openxmlformats.org/officeDocument/2006/relationships/hyperlink" Target="http://www.sec.gov/Archives/edgar/data/4515/000119312514343482/d790263dex410.htm" TargetMode="External"/><Relationship Id="rId138" Type="http://schemas.openxmlformats.org/officeDocument/2006/relationships/hyperlink" Target="http://www.sec.gov/Archives/edgar/data/4515/000119312514343482/d790263dex411.htm" TargetMode="External"/><Relationship Id="rId139" Type="http://schemas.openxmlformats.org/officeDocument/2006/relationships/hyperlink" Target="http://www.sec.gov/Archives/edgar/data/4515/000119312514343482/d790263dex414.htm" TargetMode="External"/><Relationship Id="rId140" Type="http://schemas.openxmlformats.org/officeDocument/2006/relationships/hyperlink" Target="http://www.sec.gov/Archives/edgar/data/4515/000119312514343482/d790263dex415.htm" TargetMode="External"/><Relationship Id="rId141" Type="http://schemas.openxmlformats.org/officeDocument/2006/relationships/hyperlink" Target="http://www.sec.gov/Archives/edgar/data/4515/000119312514353554/d794803dex41.htm" TargetMode="External"/><Relationship Id="rId142" Type="http://schemas.openxmlformats.org/officeDocument/2006/relationships/hyperlink" Target="http://www.sec.gov/Archives/edgar/data/4515/000119312515418305/d110614dex42.htm" TargetMode="External"/><Relationship Id="rId143" Type="http://schemas.openxmlformats.org/officeDocument/2006/relationships/hyperlink" Target="http://www.sec.gov/Archives/edgar/data/4515/000119312515088934/d891899dex41.htm" TargetMode="External"/><Relationship Id="rId144" Type="http://schemas.openxmlformats.org/officeDocument/2006/relationships/hyperlink" Target="http://www.sec.gov/Archives/edgar/data/4515/000119312515418305/d110614dex43.htm" TargetMode="External"/><Relationship Id="rId145" Type="http://schemas.openxmlformats.org/officeDocument/2006/relationships/hyperlink" Target="http://www.sec.gov/Archives/edgar/data/4515/000119312515093938/d890456dex42.htm" TargetMode="External"/><Relationship Id="rId146" Type="http://schemas.openxmlformats.org/officeDocument/2006/relationships/hyperlink" Target="http://www.sec.gov/Archives/edgar/data/4515/000119312515093938/d890456dex43.htm" TargetMode="External"/><Relationship Id="rId147" Type="http://schemas.openxmlformats.org/officeDocument/2006/relationships/hyperlink" Target="http://www.sec.gov/Archives/edgar/data/4515/000119312515093938/d890456dex44.htm" TargetMode="External"/><Relationship Id="rId148" Type="http://schemas.openxmlformats.org/officeDocument/2006/relationships/hyperlink" Target="http://www.sec.gov/Archives/edgar/data/4515/000119312515093938/d890456dex49.htm" TargetMode="External"/><Relationship Id="rId149" Type="http://schemas.openxmlformats.org/officeDocument/2006/relationships/hyperlink" Target="http://www.sec.gov/Archives/edgar/data/4515/000119312515093938/d890456dex410.htm" TargetMode="External"/><Relationship Id="rId150" Type="http://schemas.openxmlformats.org/officeDocument/2006/relationships/hyperlink" Target="http://www.sec.gov/Archives/edgar/data/4515/000119312515093938/d890456dex411.htm" TargetMode="External"/><Relationship Id="rId151" Type="http://schemas.openxmlformats.org/officeDocument/2006/relationships/hyperlink" Target="http://www.sec.gov/Archives/edgar/data/4515/000119312515093938/d890456dex414.htm" TargetMode="External"/><Relationship Id="rId152" Type="http://schemas.openxmlformats.org/officeDocument/2006/relationships/hyperlink" Target="http://www.sec.gov/Archives/edgar/data/4515/000119312515093938/d890456dex415.htm" TargetMode="External"/><Relationship Id="rId153" Type="http://schemas.openxmlformats.org/officeDocument/2006/relationships/hyperlink" Target="http://www.sec.gov/Archives/edgar/data/4515/000119312515327525/d69559dex42.htm" TargetMode="External"/><Relationship Id="rId154" Type="http://schemas.openxmlformats.org/officeDocument/2006/relationships/hyperlink" Target="http://www.sec.gov/Archives/edgar/data/4515/000119312515327525/d69559dex43.htm" TargetMode="External"/><Relationship Id="rId155" Type="http://schemas.openxmlformats.org/officeDocument/2006/relationships/hyperlink" Target="http://www.sec.gov/Archives/edgar/data/4515/000119312515327525/d69559dex44.htm" TargetMode="External"/><Relationship Id="rId156" Type="http://schemas.openxmlformats.org/officeDocument/2006/relationships/hyperlink" Target="http://www.sec.gov/Archives/edgar/data/4515/000119312515327525/d69559dex45.htm" TargetMode="External"/><Relationship Id="rId157" Type="http://schemas.openxmlformats.org/officeDocument/2006/relationships/hyperlink" Target="http://www.sec.gov/Archives/edgar/data/4515/000119312515327525/d69559dex46.htm" TargetMode="External"/><Relationship Id="rId158" Type="http://schemas.openxmlformats.org/officeDocument/2006/relationships/hyperlink" Target="http://www.sec.gov/Archives/edgar/data/4515/000119312515327525/d69559dex412.htm" TargetMode="External"/><Relationship Id="rId159" Type="http://schemas.openxmlformats.org/officeDocument/2006/relationships/hyperlink" Target="http://www.sec.gov/Archives/edgar/data/4515/000119312515327525/d69559dex413.htm" TargetMode="External"/><Relationship Id="rId160" Type="http://schemas.openxmlformats.org/officeDocument/2006/relationships/hyperlink" Target="http://www.sec.gov/Archives/edgar/data/4515/000119312515327525/d69559dex414.htm" TargetMode="External"/><Relationship Id="rId161" Type="http://schemas.openxmlformats.org/officeDocument/2006/relationships/hyperlink" Target="http://www.sec.gov/Archives/edgar/data/701345/000119312513171448/d526546dex412.htm" TargetMode="External"/><Relationship Id="rId162" Type="http://schemas.openxmlformats.org/officeDocument/2006/relationships/hyperlink" Target="http://www.sec.gov/Archives/edgar/data/4515/000119312515418305/d110614dex102.htm" TargetMode="External"/><Relationship Id="rId163" Type="http://schemas.openxmlformats.org/officeDocument/2006/relationships/hyperlink" Target="http://www.sec.gov/Archives/edgar/data/701345/000119312513171448/d526546dex413.htm" TargetMode="External"/><Relationship Id="rId164" Type="http://schemas.openxmlformats.org/officeDocument/2006/relationships/hyperlink" Target="http://www.sec.gov/Archives/edgar/data/701345/000119312513171448/d526546dex414.htm" TargetMode="External"/><Relationship Id="rId165" Type="http://schemas.openxmlformats.org/officeDocument/2006/relationships/hyperlink" Target="http://www.sec.gov/Archives/edgar/data/701345/000119312513250235/d548366dex48.htm" TargetMode="External"/><Relationship Id="rId166" Type="http://schemas.openxmlformats.org/officeDocument/2006/relationships/hyperlink" Target="http://www.sec.gov/Archives/edgar/data/701345/000119312513250235/d548366dex49.htm" TargetMode="External"/><Relationship Id="rId167" Type="http://schemas.openxmlformats.org/officeDocument/2006/relationships/hyperlink" Target="http://www.sec.gov/Archives/edgar/data/4515/000000620114000011/d715288dex105.htm" TargetMode="External"/><Relationship Id="rId168" Type="http://schemas.openxmlformats.org/officeDocument/2006/relationships/hyperlink" Target="http://www.sec.gov/Archives/edgar/data/701345/000119312513250235/d548366dex410.htm" TargetMode="External"/><Relationship Id="rId169" Type="http://schemas.openxmlformats.org/officeDocument/2006/relationships/hyperlink" Target="http://www.sec.gov/Archives/edgar/data/701345/000119312513250235/d548366dex411.htm" TargetMode="External"/><Relationship Id="rId170" Type="http://schemas.openxmlformats.org/officeDocument/2006/relationships/hyperlink" Target="http://www.sec.gov/Archives/edgar/data/701345/000095012310116213/p18414exv4w14.htm" TargetMode="External"/><Relationship Id="rId171" Type="http://schemas.openxmlformats.org/officeDocument/2006/relationships/hyperlink" Target="http://www.sec.gov/Archives/edgar/data/701345/000095012310116213/p18414exv4w15.htm" TargetMode="External"/><Relationship Id="rId172" Type="http://schemas.openxmlformats.org/officeDocument/2006/relationships/hyperlink" Target="http://www.sec.gov/Archives/edgar/data/4515/000000620114000011/d715288dex101.htm" TargetMode="External"/><Relationship Id="rId173" Type="http://schemas.openxmlformats.org/officeDocument/2006/relationships/hyperlink" Target="http://www.sec.gov/Archives/edgar/data/701345/000095012311063424/p18939exv4w18.htm" TargetMode="External"/><Relationship Id="rId174" Type="http://schemas.openxmlformats.org/officeDocument/2006/relationships/hyperlink" Target="http://www.sec.gov/Archives/edgar/data/701345/000095012311063424/p18939exv4w19.htm" TargetMode="External"/><Relationship Id="rId175" Type="http://schemas.openxmlformats.org/officeDocument/2006/relationships/hyperlink" Target="http://www.sec.gov/Archives/edgar/data/701345/000095012311063424/p18939exv4w23.htm" TargetMode="External"/><Relationship Id="rId176" Type="http://schemas.openxmlformats.org/officeDocument/2006/relationships/hyperlink" Target="http://www.sec.gov/Archives/edgar/data/4515/000000620114000011/d715288dex102.htm" TargetMode="External"/><Relationship Id="rId177" Type="http://schemas.openxmlformats.org/officeDocument/2006/relationships/hyperlink" Target="http://www.sec.gov/Archives/edgar/data/701345/000119312512236751/d354045dex418.htm" TargetMode="External"/><Relationship Id="rId178" Type="http://schemas.openxmlformats.org/officeDocument/2006/relationships/hyperlink" Target="http://www.sec.gov/Archives/edgar/data/701345/000119312512236751/d354045dex419.htm" TargetMode="External"/><Relationship Id="rId179" Type="http://schemas.openxmlformats.org/officeDocument/2006/relationships/hyperlink" Target="http://www.sec.gov/Archives/edgar/data/4515/000000620114000011/d715288dex103.htm" TargetMode="External"/><Relationship Id="rId180" Type="http://schemas.openxmlformats.org/officeDocument/2006/relationships/hyperlink" Target="http://www.sec.gov/Archives/edgar/data/701345/000119312512501957/d452985dex412.htm" TargetMode="External"/><Relationship Id="rId181" Type="http://schemas.openxmlformats.org/officeDocument/2006/relationships/hyperlink" Target="http://www.sec.gov/Archives/edgar/data/4515/000000620114000011/d715288dex104.htm" TargetMode="External"/><Relationship Id="rId182" Type="http://schemas.openxmlformats.org/officeDocument/2006/relationships/hyperlink" Target="http://www.sec.gov/Archives/edgar/data/4515/000119312515418305/d110614dex103.htm" TargetMode="External"/><Relationship Id="rId183" Type="http://schemas.openxmlformats.org/officeDocument/2006/relationships/hyperlink" Target="http://www.sec.gov/Archives/edgar/data/4515/000119312516433815/d126794dex42.htm" TargetMode="External"/><Relationship Id="rId184" Type="http://schemas.openxmlformats.org/officeDocument/2006/relationships/hyperlink" Target="http://www.sec.gov/Archives/edgar/data/4515/000119312516433815/d126794dex43.htm" TargetMode="External"/><Relationship Id="rId185" Type="http://schemas.openxmlformats.org/officeDocument/2006/relationships/hyperlink" Target="http://www.sec.gov/Archives/edgar/data/4515/000119312516433815/d126794dex44.htm" TargetMode="External"/><Relationship Id="rId186" Type="http://schemas.openxmlformats.org/officeDocument/2006/relationships/hyperlink" Target="http://www.sec.gov/Archives/edgar/data/4515/000119312516433815/d126794dex45.htm" TargetMode="External"/><Relationship Id="rId187" Type="http://schemas.openxmlformats.org/officeDocument/2006/relationships/hyperlink" Target="http://www.sec.gov/Archives/edgar/data/4515/000119312516433815/d126794dex46.htm" TargetMode="External"/><Relationship Id="rId188" Type="http://schemas.openxmlformats.org/officeDocument/2006/relationships/hyperlink" Target="http://www.sec.gov/Archives/edgar/data/4515/000119312516433815/d126794dex412.htm" TargetMode="External"/><Relationship Id="rId189" Type="http://schemas.openxmlformats.org/officeDocument/2006/relationships/hyperlink" Target="http://www.sec.gov/Archives/edgar/data/4515/000119312516433815/d126794dex413.htm" TargetMode="External"/><Relationship Id="rId190" Type="http://schemas.openxmlformats.org/officeDocument/2006/relationships/hyperlink" Target="http://www.sec.gov/Archives/edgar/data/4515/000119312516433815/d126794dex414.htm" TargetMode="External"/><Relationship Id="rId191" Type="http://schemas.openxmlformats.org/officeDocument/2006/relationships/hyperlink" Target="http://www.sec.gov/Archives/edgar/data/4515/000119312516592083/d177635dex42.htm" TargetMode="External"/><Relationship Id="rId192" Type="http://schemas.openxmlformats.org/officeDocument/2006/relationships/hyperlink" Target="http://www.sec.gov/Archives/edgar/data/4515/000119312516592083/d177635dex43.htm" TargetMode="External"/><Relationship Id="rId193" Type="http://schemas.openxmlformats.org/officeDocument/2006/relationships/hyperlink" Target="http://www.sec.gov/Archives/edgar/data/4515/000119312516592083/d177635dex44.htm" TargetMode="External"/><Relationship Id="rId194" Type="http://schemas.openxmlformats.org/officeDocument/2006/relationships/hyperlink" Target="http://www.sec.gov/Archives/edgar/data/4515/000119312516592083/d177635dex49.htm" TargetMode="External"/><Relationship Id="rId195" Type="http://schemas.openxmlformats.org/officeDocument/2006/relationships/hyperlink" Target="http://www.sec.gov/Archives/edgar/data/4515/000119312516592083/d177635dex414.htm" TargetMode="External"/><Relationship Id="rId196" Type="http://schemas.openxmlformats.org/officeDocument/2006/relationships/hyperlink" Target="http://www.sec.gov/Archives/edgar/data/4515/000119312516592083/d177635dex415.htm" TargetMode="External"/><Relationship Id="rId197" Type="http://schemas.openxmlformats.org/officeDocument/2006/relationships/hyperlink" Target="http://www.sec.gov/Archives/edgar/data/4515/000119312516646353/d210431dex42.htm" TargetMode="External"/><Relationship Id="rId198" Type="http://schemas.openxmlformats.org/officeDocument/2006/relationships/hyperlink" Target="http://www.sec.gov/Archives/edgar/data/4515/000119312516646353/d210431dex43.htm" TargetMode="External"/><Relationship Id="rId199" Type="http://schemas.openxmlformats.org/officeDocument/2006/relationships/hyperlink" Target="http://www.sec.gov/Archives/edgar/data/4515/000119312516646353/d210431dex46.htm" TargetMode="External"/><Relationship Id="rId200" Type="http://schemas.openxmlformats.org/officeDocument/2006/relationships/hyperlink" Target="http://www.sec.gov/Archives/edgar/data/4515/000119312516646353/d210431dex412.htm" TargetMode="External"/><Relationship Id="rId201" Type="http://schemas.openxmlformats.org/officeDocument/2006/relationships/hyperlink" Target="http://www.sec.gov/Archives/edgar/data/4515/000119312516730454/d359659dex42.htm" TargetMode="External"/><Relationship Id="rId202" Type="http://schemas.openxmlformats.org/officeDocument/2006/relationships/hyperlink" Target="http://www.sec.gov/Archives/edgar/data/4515/000119312516730454/d359659dex43.htm" TargetMode="External"/><Relationship Id="rId203" Type="http://schemas.openxmlformats.org/officeDocument/2006/relationships/hyperlink" Target="http://www.sec.gov/Archives/edgar/data/4515/000119312516730454/d359659dex44.htm" TargetMode="External"/><Relationship Id="rId204" Type="http://schemas.openxmlformats.org/officeDocument/2006/relationships/hyperlink" Target="http://www.sec.gov/Archives/edgar/data/4515/000119312517304687/d466899dex43.htm" TargetMode="External"/><Relationship Id="rId205" Type="http://schemas.openxmlformats.org/officeDocument/2006/relationships/hyperlink" Target="http://www.sec.gov/Archives/edgar/data/4515/000119312516730454/d359659dex49.htm" TargetMode="External"/><Relationship Id="rId206" Type="http://schemas.openxmlformats.org/officeDocument/2006/relationships/hyperlink" Target="http://www.sec.gov/Archives/edgar/data/4515/000119312516730454/d359659dex414.htm" TargetMode="External"/><Relationship Id="rId207" Type="http://schemas.openxmlformats.org/officeDocument/2006/relationships/hyperlink" Target="http://www.sec.gov/Archives/edgar/data/4515/000119312516730454/d359659dex415.htm" TargetMode="External"/><Relationship Id="rId208" Type="http://schemas.openxmlformats.org/officeDocument/2006/relationships/hyperlink" Target="http://www.sec.gov/Archives/edgar/data/4515/000119312517011067/d319419dex42.htm" TargetMode="External"/><Relationship Id="rId209" Type="http://schemas.openxmlformats.org/officeDocument/2006/relationships/hyperlink" Target="http://www.sec.gov/Archives/edgar/data/4515/000119312517011067/d319419dex43.htm" TargetMode="External"/><Relationship Id="rId210" Type="http://schemas.openxmlformats.org/officeDocument/2006/relationships/hyperlink" Target="http://www.sec.gov/Archives/edgar/data/4515/000119312517011067/d319419dex44.htm" TargetMode="External"/><Relationship Id="rId211" Type="http://schemas.openxmlformats.org/officeDocument/2006/relationships/hyperlink" Target="http://www.sec.gov/Archives/edgar/data/4515/000119312517011067/d319419dex45.htm" TargetMode="External"/><Relationship Id="rId212" Type="http://schemas.openxmlformats.org/officeDocument/2006/relationships/hyperlink" Target="http://www.sec.gov/Archives/edgar/data/4515/000119312517011067/d319419dex412.htm" TargetMode="External"/><Relationship Id="rId213" Type="http://schemas.openxmlformats.org/officeDocument/2006/relationships/hyperlink" Target="http://www.sec.gov/Archives/edgar/data/4515/000119312517011067/d319419dex418.htm" TargetMode="External"/><Relationship Id="rId214" Type="http://schemas.openxmlformats.org/officeDocument/2006/relationships/hyperlink" Target="http://www.sec.gov/Archives/edgar/data/4515/000119312517011067/d319419dex419.htm" TargetMode="External"/><Relationship Id="rId215" Type="http://schemas.openxmlformats.org/officeDocument/2006/relationships/hyperlink" Target="http://www.sec.gov/Archives/edgar/data/4515/000119312517011067/d319419dex420.htm" TargetMode="External"/><Relationship Id="rId216" Type="http://schemas.openxmlformats.org/officeDocument/2006/relationships/hyperlink" Target="http://www.sec.gov/Archives/edgar/data/4515/000119312517140927/d358913dex420.htm" TargetMode="External"/><Relationship Id="rId217" Type="http://schemas.openxmlformats.org/officeDocument/2006/relationships/hyperlink" Target="http://www.sec.gov/Archives/edgar/data/4515/000119312517140927/d358913dex421.htm" TargetMode="External"/><Relationship Id="rId218" Type="http://schemas.openxmlformats.org/officeDocument/2006/relationships/hyperlink" Target="http://www.sec.gov/Archives/edgar/data/4515/000119312517140927/d358913dex422.htm" TargetMode="External"/><Relationship Id="rId219" Type="http://schemas.openxmlformats.org/officeDocument/2006/relationships/hyperlink" Target="http://www.sec.gov/Archives/edgar/data/4515/000119312517140927/d358913dex423.htm" TargetMode="External"/><Relationship Id="rId220" Type="http://schemas.openxmlformats.org/officeDocument/2006/relationships/hyperlink" Target="http://www.sec.gov/Archives/edgar/data/4515/000119312517052055/d366751dex41.htm" TargetMode="External"/><Relationship Id="rId221" Type="http://schemas.openxmlformats.org/officeDocument/2006/relationships/hyperlink" Target="http://www.sec.gov/Archives/edgar/data/4515/000119312517052055/d366751dex42.htm" TargetMode="External"/><Relationship Id="rId222" Type="http://schemas.openxmlformats.org/officeDocument/2006/relationships/hyperlink" Target="http://www.sec.gov/Archives/edgar/data/4515/000119312517257245/d376721dex42.htm" TargetMode="External"/><Relationship Id="rId223" Type="http://schemas.openxmlformats.org/officeDocument/2006/relationships/hyperlink" Target="http://www.sec.gov/Archives/edgar/data/4515/000119312517257245/d376721dex43.htm" TargetMode="External"/><Relationship Id="rId224" Type="http://schemas.openxmlformats.org/officeDocument/2006/relationships/hyperlink" Target="http://www.sec.gov/Archives/edgar/data/4515/000119312517257245/d376721dex44.htm" TargetMode="External"/><Relationship Id="rId225" Type="http://schemas.openxmlformats.org/officeDocument/2006/relationships/hyperlink" Target="http://www.sec.gov/Archives/edgar/data/4515/000119312517257245/d376721dex49.htm" TargetMode="External"/><Relationship Id="rId226" Type="http://schemas.openxmlformats.org/officeDocument/2006/relationships/hyperlink" Target="http://www.sec.gov/Archives/edgar/data/4515/000119312517257245/d376721dex414.htm" TargetMode="External"/><Relationship Id="rId227" Type="http://schemas.openxmlformats.org/officeDocument/2006/relationships/hyperlink" Target="http://www.sec.gov/Archives/edgar/data/4515/000119312517257245/d376721dex415.htm" TargetMode="External"/><Relationship Id="rId228" Type="http://schemas.openxmlformats.org/officeDocument/2006/relationships/hyperlink" Target="http://www.sec.gov/Archives/edgar/data/4515/000119312517304687/d466899dex42.htm" TargetMode="External"/><Relationship Id="rId229" Type="http://schemas.openxmlformats.org/officeDocument/2006/relationships/hyperlink" Target="http://www.sec.gov/Archives/edgar/data/4515/000119312517304687/d466899dex44.htm" TargetMode="External"/><Relationship Id="rId230" Type="http://schemas.openxmlformats.org/officeDocument/2006/relationships/hyperlink" Target="http://www.sec.gov/Archives/edgar/data/4515/000119312517305920/d463889dex46.htm#toc463889_35" TargetMode="External"/><Relationship Id="rId231" Type="http://schemas.openxmlformats.org/officeDocument/2006/relationships/hyperlink" Target="http://www.sec.gov/Archives/edgar/data/4515/000119312517304687/d466899dex48.htm" TargetMode="External"/><Relationship Id="rId232" Type="http://schemas.openxmlformats.org/officeDocument/2006/relationships/hyperlink" Target="http://www.sec.gov/Archives/edgar/data/4515/000119312517305920/d463889dex42.htm" TargetMode="External"/><Relationship Id="rId233" Type="http://schemas.openxmlformats.org/officeDocument/2006/relationships/hyperlink" Target="http://www.sec.gov/Archives/edgar/data/4515/000119312517305920/d463889dex43.htm" TargetMode="External"/><Relationship Id="rId234" Type="http://schemas.openxmlformats.org/officeDocument/2006/relationships/hyperlink" Target="http://www.sec.gov/Archives/edgar/data/4515/000119312517305920/d463889dex46.htm" TargetMode="External"/><Relationship Id="rId235" Type="http://schemas.openxmlformats.org/officeDocument/2006/relationships/hyperlink" Target="http://www.sec.gov/Archives/edgar/data/4515/000119312517305920/d463889dex46.htm#ex4_6" TargetMode="External"/><Relationship Id="rId236" Type="http://schemas.openxmlformats.org/officeDocument/2006/relationships/hyperlink" Target="http://www.sec.gov/Archives/edgar/data/4515/000119312517305920/d463889dex46.htm#ex4_6b" TargetMode="External"/><Relationship Id="rId237" Type="http://schemas.openxmlformats.org/officeDocument/2006/relationships/hyperlink" Target="http://www.sec.gov/Archives/edgar/data/4515/000119312517305920/d463889dex46.htm#ex4_6a" TargetMode="External"/><Relationship Id="rId238" Type="http://schemas.openxmlformats.org/officeDocument/2006/relationships/hyperlink" Target="http://www.sec.gov/Archives/edgar/data/4515/000119312517305920/d463889dex42.htm#ex4_2toc463889_35" TargetMode="External"/><Relationship Id="rId239" Type="http://schemas.openxmlformats.org/officeDocument/2006/relationships/hyperlink" Target="http://www.sec.gov/Archives/edgar/data/4515/000119312517305920/d463889dex412.htm" TargetMode="External"/><Relationship Id="rId240" Type="http://schemas.openxmlformats.org/officeDocument/2006/relationships/hyperlink" Target="http://www.sec.gov/Archives/edgar/data/4515/000119312518165266/d589456dex42.htm" TargetMode="External"/><Relationship Id="rId241" Type="http://schemas.openxmlformats.org/officeDocument/2006/relationships/hyperlink" Target="http://www.sec.gov/Archives/edgar/data/4515/000119312518165266/d589456dex46.htm" TargetMode="External"/><Relationship Id="rId242" Type="http://schemas.openxmlformats.org/officeDocument/2006/relationships/hyperlink" Target="http://www.sec.gov/Archives/edgar/data/4515/000119312517051216/d286458dex101.htm" TargetMode="External"/><Relationship Id="rId243" Type="http://schemas.openxmlformats.org/officeDocument/2006/relationships/hyperlink" Target="http://www.sec.gov/Archives/edgar/data/4515/000000620118000009/ex10210k2017.htm" TargetMode="External"/><Relationship Id="rId244" Type="http://schemas.openxmlformats.org/officeDocument/2006/relationships/hyperlink" Target="http://www.sec.gov/Archives/edgar/data/4515/000119312515261937/d945812dex104.htm" TargetMode="External"/><Relationship Id="rId245" Type="http://schemas.openxmlformats.org/officeDocument/2006/relationships/hyperlink" Target="http://www.sec.gov/Archives/edgar/data/4515/000119312516474605/d78287dex106.htm" TargetMode="External"/><Relationship Id="rId246" Type="http://schemas.openxmlformats.org/officeDocument/2006/relationships/hyperlink" Target="http://www.sec.gov/Archives/edgar/data/4515/000119312516742263/d247546dex101.htm" TargetMode="External"/><Relationship Id="rId247" Type="http://schemas.openxmlformats.org/officeDocument/2006/relationships/hyperlink" Target="http://www.sec.gov/Archives/edgar/data/4515/000119312517239325/d416225dex102.htm" TargetMode="External"/><Relationship Id="rId248" Type="http://schemas.openxmlformats.org/officeDocument/2006/relationships/hyperlink" Target="http://www.sec.gov/Archives/edgar/data/4515/000000620118000016/ex10110qq118.htm" TargetMode="External"/><Relationship Id="rId249" Type="http://schemas.openxmlformats.org/officeDocument/2006/relationships/hyperlink" Target="http://www.sec.gov/Archives/edgar/data/4515/000000620118000039/ex10110qq318.htm" TargetMode="External"/><Relationship Id="rId250" Type="http://schemas.openxmlformats.org/officeDocument/2006/relationships/hyperlink" Target="http://www.sec.gov/Archives/edgar/data/4515/000119312515261937/d945812dex105.htm" TargetMode="External"/><Relationship Id="rId251" Type="http://schemas.openxmlformats.org/officeDocument/2006/relationships/hyperlink" Target="http://www.sec.gov/Archives/edgar/data/4515/000119312516474605/d78287dex108.htm" TargetMode="External"/><Relationship Id="rId252" Type="http://schemas.openxmlformats.org/officeDocument/2006/relationships/hyperlink" Target="http://www.sec.gov/Archives/edgar/data/4515/000119312517140927/d358913dex102.htm" TargetMode="External"/><Relationship Id="rId253" Type="http://schemas.openxmlformats.org/officeDocument/2006/relationships/hyperlink" Target="http://www.sec.gov/Archives/edgar/data/4515/000000620118000009/ex101110k2017.htm" TargetMode="External"/><Relationship Id="rId254" Type="http://schemas.openxmlformats.org/officeDocument/2006/relationships/hyperlink" Target="http://www.sec.gov/Archives/edgar/data/4515/000000620118000027/ex10310qq218.htm" TargetMode="External"/><Relationship Id="rId255" Type="http://schemas.openxmlformats.org/officeDocument/2006/relationships/hyperlink" Target="http://www.sec.gov/Archives/edgar/data/4515/000119312516654354/d204187dex102.htm" TargetMode="External"/><Relationship Id="rId256" Type="http://schemas.openxmlformats.org/officeDocument/2006/relationships/hyperlink" Target="http://www.sec.gov/Archives/edgar/data/4515/000119312517051216/d286458dex1081.htm" TargetMode="External"/><Relationship Id="rId257" Type="http://schemas.openxmlformats.org/officeDocument/2006/relationships/hyperlink" Target="http://www.sec.gov/Archives/edgar/data/4515/000000620118000009/ex101510k2017.htm" TargetMode="External"/><Relationship Id="rId258" Type="http://schemas.openxmlformats.org/officeDocument/2006/relationships/hyperlink" Target="http://www.sec.gov/Archives/edgar/data/4515/000000620118000009/ex101610k2017.htm" TargetMode="External"/><Relationship Id="rId259" Type="http://schemas.openxmlformats.org/officeDocument/2006/relationships/hyperlink" Target="http://www.sec.gov/Archives/edgar/data/4515/000000451509000008/ex1029.htm" TargetMode="External"/><Relationship Id="rId260" Type="http://schemas.openxmlformats.org/officeDocument/2006/relationships/hyperlink" Target="http://www.sec.gov/Archives/edgar/data/6201/000095012310066894/d73384exv10w2.htm" TargetMode="External"/><Relationship Id="rId261" Type="http://schemas.openxmlformats.org/officeDocument/2006/relationships/hyperlink" Target="http://www.sec.gov/Archives/edgar/data/6201/000000620113000040/d516424dex102.htm" TargetMode="External"/><Relationship Id="rId262" Type="http://schemas.openxmlformats.org/officeDocument/2006/relationships/hyperlink" Target="http://www.sec.gov/Archives/edgar/data/4515/000000620114000014/d759439dex106.htm" TargetMode="External"/><Relationship Id="rId263" Type="http://schemas.openxmlformats.org/officeDocument/2006/relationships/hyperlink" Target="http://www.sec.gov/Archives/edgar/data/4515/000119312515145178/d900175dex102.htm" TargetMode="External"/><Relationship Id="rId264" Type="http://schemas.openxmlformats.org/officeDocument/2006/relationships/hyperlink" Target="http://www.sec.gov/Archives/edgar/data/4515/000119312515261937/d945812dex102.htm" TargetMode="External"/><Relationship Id="rId265" Type="http://schemas.openxmlformats.org/officeDocument/2006/relationships/hyperlink" Target="http://www.sec.gov/Archives/edgar/data/4515/000119312516742263/d247546dex103.htm" TargetMode="External"/><Relationship Id="rId266" Type="http://schemas.openxmlformats.org/officeDocument/2006/relationships/hyperlink" Target="http://www.sec.gov/Archives/edgar/data/4515/000119312517140927/d358913dex103.htm" TargetMode="External"/><Relationship Id="rId267" Type="http://schemas.openxmlformats.org/officeDocument/2006/relationships/hyperlink" Target="http://www.sec.gov/Archives/edgar/data/4515/000119312517239325/d416225dex105.htm" TargetMode="External"/><Relationship Id="rId268" Type="http://schemas.openxmlformats.org/officeDocument/2006/relationships/hyperlink" Target="http://www.sec.gov/Archives/edgar/data/4515/000119312517239325/d416225dex106.htm" TargetMode="External"/><Relationship Id="rId269" Type="http://schemas.openxmlformats.org/officeDocument/2006/relationships/hyperlink" Target="http://www.sec.gov/Archives/edgar/data/4515/000000620118000027/ex10110qq218.htm" TargetMode="External"/><Relationship Id="rId270" Type="http://schemas.openxmlformats.org/officeDocument/2006/relationships/hyperlink" Target="http://www.sec.gov/Archives/edgar/data/6201/000119312511274936/d236673dex104.htm" TargetMode="External"/><Relationship Id="rId271" Type="http://schemas.openxmlformats.org/officeDocument/2006/relationships/hyperlink" Target="http://www.sec.gov/Archives/edgar/data/6201/000000620113000040/d516424dex108.htm" TargetMode="External"/><Relationship Id="rId272" Type="http://schemas.openxmlformats.org/officeDocument/2006/relationships/hyperlink" Target="http://www.sec.gov/Archives/edgar/data/6201/000000620113000067/d567093dex102.htm" TargetMode="External"/><Relationship Id="rId273" Type="http://schemas.openxmlformats.org/officeDocument/2006/relationships/hyperlink" Target="http://www.sec.gov/Archives/edgar/data/4515/000000620114000004/d682697dex1027.htm" TargetMode="External"/><Relationship Id="rId274" Type="http://schemas.openxmlformats.org/officeDocument/2006/relationships/hyperlink" Target="http://www.sec.gov/Archives/edgar/data/4515/000000620114000014/d759439dex101.htm" TargetMode="External"/><Relationship Id="rId275" Type="http://schemas.openxmlformats.org/officeDocument/2006/relationships/hyperlink" Target="http://www.sec.gov/Archives/edgar/data/4515/000000620114000014/d759439dex102.htm" TargetMode="External"/><Relationship Id="rId276" Type="http://schemas.openxmlformats.org/officeDocument/2006/relationships/hyperlink" Target="http://www.sec.gov/Archives/edgar/data/4515/000000620114000014/d759439dex103.htm" TargetMode="External"/><Relationship Id="rId277" Type="http://schemas.openxmlformats.org/officeDocument/2006/relationships/hyperlink" Target="http://www.sec.gov/Archives/edgar/data/4515/000119312515061145/d829913dex1051.htm" TargetMode="External"/><Relationship Id="rId278" Type="http://schemas.openxmlformats.org/officeDocument/2006/relationships/hyperlink" Target="http://www.sec.gov/Archives/edgar/data/4515/000119312515261937/d945812dex101.htm" TargetMode="External"/><Relationship Id="rId279" Type="http://schemas.openxmlformats.org/officeDocument/2006/relationships/hyperlink" Target="http://www.sec.gov/Archives/edgar/data/4515/000119312515351246/d14219dex103.htm" TargetMode="External"/><Relationship Id="rId280" Type="http://schemas.openxmlformats.org/officeDocument/2006/relationships/hyperlink" Target="http://www.sec.gov/Archives/edgar/data/4515/000000620118000039/ex10210qq318.htm" TargetMode="External"/><Relationship Id="rId281" Type="http://schemas.openxmlformats.org/officeDocument/2006/relationships/hyperlink" Target="http://www.sec.gov/Archives/edgar/data/6201/000000620113000040/d516424dex107.htm" TargetMode="External"/><Relationship Id="rId282" Type="http://schemas.openxmlformats.org/officeDocument/2006/relationships/hyperlink" Target="http://www.sec.gov/Archives/edgar/data/6201/000000620113000067/d567093dex101.htm" TargetMode="External"/><Relationship Id="rId283" Type="http://schemas.openxmlformats.org/officeDocument/2006/relationships/hyperlink" Target="http://www.sec.gov/Archives/edgar/data/4515/000119312515145178/d900175dex101.htm" TargetMode="External"/><Relationship Id="rId284" Type="http://schemas.openxmlformats.org/officeDocument/2006/relationships/hyperlink" Target="http://www.sec.gov/Archives/edgar/data/4515/000119312515261937/d945812dex103.htm" TargetMode="External"/><Relationship Id="rId285" Type="http://schemas.openxmlformats.org/officeDocument/2006/relationships/hyperlink" Target="http://www.sec.gov/Archives/edgar/data/4515/000119312516551225/d164093dex102.htm" TargetMode="External"/><Relationship Id="rId286" Type="http://schemas.openxmlformats.org/officeDocument/2006/relationships/hyperlink" Target="http://www.sec.gov/Archives/edgar/data/4515/000119312516654354/d204187dex103.htm" TargetMode="External"/><Relationship Id="rId287" Type="http://schemas.openxmlformats.org/officeDocument/2006/relationships/hyperlink" Target="http://www.sec.gov/Archives/edgar/data/4515/000119312516742263/d247546dex102.htm" TargetMode="External"/><Relationship Id="rId288" Type="http://schemas.openxmlformats.org/officeDocument/2006/relationships/hyperlink" Target="http://www.sec.gov/Archives/edgar/data/4515/000119312517051216/d286458dex1033.htm" TargetMode="External"/><Relationship Id="rId289" Type="http://schemas.openxmlformats.org/officeDocument/2006/relationships/hyperlink" Target="http://www.sec.gov/Archives/edgar/data/4515/000119312517140927/d358913dex101.htm" TargetMode="External"/><Relationship Id="rId290" Type="http://schemas.openxmlformats.org/officeDocument/2006/relationships/hyperlink" Target="http://www.sec.gov/Archives/edgar/data/4515/000000620118000009/ex104510k2017.htm" TargetMode="External"/><Relationship Id="rId291" Type="http://schemas.openxmlformats.org/officeDocument/2006/relationships/hyperlink" Target="http://www.sec.gov/Archives/edgar/data/4515/000000620118000027/ex10210qq218.htm" TargetMode="External"/><Relationship Id="rId292" Type="http://schemas.openxmlformats.org/officeDocument/2006/relationships/hyperlink" Target="http://www.sec.gov/Archives/edgar/data/4515/000119312516474605/d78287dex1098.htm" TargetMode="External"/><Relationship Id="rId293" Type="http://schemas.openxmlformats.org/officeDocument/2006/relationships/hyperlink" Target="http://www.sec.gov/Archives/edgar/data/6201/000000620109000009/ex10127.htm" TargetMode="External"/><Relationship Id="rId294" Type="http://schemas.openxmlformats.org/officeDocument/2006/relationships/hyperlink" Target="http://www.sec.gov/Archives/edgar/data/6201/000000620109000009/ex10128.htm" TargetMode="External"/><Relationship Id="rId295" Type="http://schemas.openxmlformats.org/officeDocument/2006/relationships/hyperlink" Target="http://www.sec.gov/Archives/edgar/data/6201/000000620109000009/ex10129.htm" TargetMode="External"/><Relationship Id="rId296" Type="http://schemas.openxmlformats.org/officeDocument/2006/relationships/hyperlink" Target="http://www.sec.gov/Archives/edgar/data/6201/000119312513462268/d639480dex41.htm" TargetMode="External"/><Relationship Id="rId297" Type="http://schemas.openxmlformats.org/officeDocument/2006/relationships/hyperlink" Target="http://www.sec.gov/Archives/edgar/data/4515/000000620118000009/ex106410k2017.htm" TargetMode="External"/><Relationship Id="rId298" Type="http://schemas.openxmlformats.org/officeDocument/2006/relationships/hyperlink" Target="http://www.sec.gov/Archives/edgar/data/4515/000000620114000004/d682697dex10125.htm" TargetMode="External"/><Relationship Id="rId299" Type="http://schemas.openxmlformats.org/officeDocument/2006/relationships/hyperlink" Target="http://www.sec.gov/Archives/edgar/data/4515/000000620114000004/d682697dex10127.htm" TargetMode="External"/><Relationship Id="rId300" Type="http://schemas.openxmlformats.org/officeDocument/2006/relationships/hyperlink" Target="http://www.sec.gov/Archives/edgar/data/4515/000000620114000004/d682697dex10129.htm" TargetMode="External"/><Relationship Id="rId301" Type="http://schemas.openxmlformats.org/officeDocument/2006/relationships/hyperlink" Target="http://www.sec.gov/Archives/edgar/data/4515/000119312513466973/d640718dex109.htm" TargetMode="External"/><Relationship Id="rId302" Type="http://schemas.openxmlformats.org/officeDocument/2006/relationships/hyperlink" Target="http://www.sec.gov/Archives/edgar/data/701345/000095012311063744/p18922exv4w1.htm" TargetMode="External"/><Relationship Id="rId303" Type="http://schemas.openxmlformats.org/officeDocument/2006/relationships/hyperlink" Target="http://www.sec.gov/Archives/edgar/data/701345/000095012311063744/p18922exv4w3.htm" TargetMode="External"/><Relationship Id="rId304" Type="http://schemas.openxmlformats.org/officeDocument/2006/relationships/hyperlink" Target="http://www.sec.gov/Archives/edgar/data/701345/000095012311063744/p18922exv4w4.htm" TargetMode="External"/><Relationship Id="rId305" Type="http://schemas.openxmlformats.org/officeDocument/2006/relationships/hyperlink" Target="http://www.sec.gov/Archives/edgar/data/4515/000000620114000014/d759439dex108.htm" TargetMode="External"/><Relationship Id="rId306" Type="http://schemas.openxmlformats.org/officeDocument/2006/relationships/hyperlink" Target="http://www.sec.gov/Archives/edgar/data/701345/000095015308000353/p75006exv10w106.htm" TargetMode="External"/><Relationship Id="rId307" Type="http://schemas.openxmlformats.org/officeDocument/2006/relationships/hyperlink" Target="http://www.sec.gov/Archives/edgar/data/701345/000095015307002500/p74691exv10w1.htm" TargetMode="External"/><Relationship Id="rId308" Type="http://schemas.openxmlformats.org/officeDocument/2006/relationships/hyperlink" Target="http://www.sec.gov/Archives/edgar/data/4515/000119312517150428/d369665dex101.htm" TargetMode="External"/><Relationship Id="rId309" Type="http://schemas.openxmlformats.org/officeDocument/2006/relationships/hyperlink" Target="http://www.sec.gov/Archives/edgar/data/4515/000119312516566426/d189148dex101.htm" TargetMode="External"/><Relationship Id="rId310" Type="http://schemas.openxmlformats.org/officeDocument/2006/relationships/hyperlink" Target="http://www.sec.gov/Archives/edgar/data/4515/000119312513466973/d640718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2019-12-28T16:27:01Z</dcterms:created>
  <dcterms:modified xsi:type="dcterms:W3CDTF">2019-12-28T16:27:01Z</dcterms:modified>
</cp:coreProperties>
</file>