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83820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37"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111125</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9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17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860" w:type="dxa"/>
        <w:tblCellMar>
          <w:top w:w="0" w:type="dxa"/>
          <w:left w:w="0" w:type="dxa"/>
          <w:bottom w:w="0" w:type="dxa"/>
          <w:right w:w="0" w:type="dxa"/>
        </w:tblCellMar>
      </w:tblPr>
      <w:tr>
        <w:trPr>
          <w:trHeight w:val="229"/>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0" w:type="dxa"/>
            <w:vAlign w:val="bottom"/>
            <w:gridSpan w:val="2"/>
          </w:tcPr>
          <w:p>
            <w:pPr>
              <w:ind w:left="420"/>
              <w:spacing w:after="0"/>
              <w:rPr>
                <w:sz w:val="20"/>
                <w:szCs w:val="20"/>
                <w:color w:val="auto"/>
              </w:rPr>
            </w:pPr>
            <w:r>
              <w:rPr>
                <w:rFonts w:ascii="Arial" w:cs="Arial" w:eastAsia="Arial" w:hAnsi="Arial"/>
                <w:sz w:val="16"/>
                <w:szCs w:val="16"/>
                <w:b w:val="1"/>
                <w:bCs w:val="1"/>
                <w:color w:val="auto"/>
              </w:rPr>
              <w:t>For the Transition Period From</w:t>
            </w:r>
          </w:p>
        </w:tc>
        <w:tc>
          <w:tcPr>
            <w:tcW w:w="70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r>
      <w:tr>
        <w:trPr>
          <w:trHeight w:val="365"/>
        </w:trPr>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rPr>
              <w:t>Commission file number 1-8400</w:t>
            </w: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6"/>
        </w:trPr>
        <w:tc>
          <w:tcPr>
            <w:tcW w:w="16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r>
      <w:tr>
        <w:trPr>
          <w:trHeight w:val="411"/>
        </w:trPr>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00" w:type="dxa"/>
            <w:vAlign w:val="bottom"/>
            <w:gridSpan w:val="3"/>
          </w:tcPr>
          <w:p>
            <w:pPr>
              <w:jc w:val="center"/>
              <w:ind w:left="514"/>
              <w:spacing w:after="0"/>
              <w:rPr>
                <w:sz w:val="20"/>
                <w:szCs w:val="20"/>
                <w:color w:val="auto"/>
              </w:rPr>
            </w:pPr>
            <w:r>
              <w:rPr>
                <w:rFonts w:ascii="Arial" w:cs="Arial" w:eastAsia="Arial" w:hAnsi="Arial"/>
                <w:sz w:val="22"/>
                <w:szCs w:val="22"/>
                <w:b w:val="1"/>
                <w:bCs w:val="1"/>
                <w:color w:val="auto"/>
                <w:w w:val="98"/>
              </w:rPr>
              <w:t>American Airlines Group Inc.</w:t>
            </w: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40" w:type="dxa"/>
            <w:vAlign w:val="bottom"/>
            <w:gridSpan w:val="5"/>
          </w:tcPr>
          <w:p>
            <w:pPr>
              <w:jc w:val="center"/>
              <w:ind w:right="1740"/>
              <w:spacing w:after="0"/>
              <w:rPr>
                <w:sz w:val="20"/>
                <w:szCs w:val="20"/>
                <w:color w:val="auto"/>
              </w:rPr>
            </w:pPr>
            <w:r>
              <w:rPr>
                <w:rFonts w:ascii="Arial" w:cs="Arial" w:eastAsia="Arial" w:hAnsi="Arial"/>
                <w:sz w:val="16"/>
                <w:szCs w:val="16"/>
                <w:color w:val="auto"/>
              </w:rPr>
              <w:t>(Exact name of registrant as specified in its charter)</w:t>
            </w:r>
          </w:p>
        </w:tc>
      </w:tr>
      <w:tr>
        <w:trPr>
          <w:trHeight w:val="137"/>
        </w:trPr>
        <w:tc>
          <w:tcPr>
            <w:tcW w:w="16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r>
      <w:tr>
        <w:trPr>
          <w:trHeight w:val="621"/>
        </w:trPr>
        <w:tc>
          <w:tcPr>
            <w:tcW w:w="2700" w:type="dxa"/>
            <w:vAlign w:val="bottom"/>
            <w:gridSpan w:val="2"/>
          </w:tcPr>
          <w:p>
            <w:pPr>
              <w:jc w:val="center"/>
              <w:ind w:left="943"/>
              <w:spacing w:after="0"/>
              <w:rPr>
                <w:sz w:val="20"/>
                <w:szCs w:val="20"/>
                <w:color w:val="auto"/>
              </w:rPr>
            </w:pPr>
            <w:r>
              <w:rPr>
                <w:rFonts w:ascii="Arial" w:cs="Arial" w:eastAsia="Arial" w:hAnsi="Arial"/>
                <w:sz w:val="16"/>
                <w:szCs w:val="16"/>
                <w:b w:val="1"/>
                <w:bCs w:val="1"/>
                <w:color w:val="auto"/>
              </w:rPr>
              <w:t>Delaware</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jc w:val="center"/>
              <w:ind w:right="219"/>
              <w:spacing w:after="0"/>
              <w:rPr>
                <w:sz w:val="20"/>
                <w:szCs w:val="20"/>
                <w:color w:val="auto"/>
              </w:rPr>
            </w:pPr>
            <w:r>
              <w:rPr>
                <w:rFonts w:ascii="Arial" w:cs="Arial" w:eastAsia="Arial" w:hAnsi="Arial"/>
                <w:sz w:val="16"/>
                <w:szCs w:val="16"/>
                <w:b w:val="1"/>
                <w:bCs w:val="1"/>
                <w:color w:val="auto"/>
              </w:rPr>
              <w:t>75-1825172</w:t>
            </w:r>
          </w:p>
        </w:tc>
        <w:tc>
          <w:tcPr>
            <w:tcW w:w="720" w:type="dxa"/>
            <w:vAlign w:val="bottom"/>
          </w:tcPr>
          <w:p>
            <w:pPr>
              <w:spacing w:after="0"/>
              <w:rPr>
                <w:sz w:val="24"/>
                <w:szCs w:val="24"/>
                <w:color w:val="auto"/>
              </w:rPr>
            </w:pPr>
          </w:p>
        </w:tc>
      </w:tr>
      <w:tr>
        <w:trPr>
          <w:trHeight w:val="243"/>
        </w:trPr>
        <w:tc>
          <w:tcPr>
            <w:tcW w:w="4760" w:type="dxa"/>
            <w:vAlign w:val="bottom"/>
            <w:gridSpan w:val="3"/>
          </w:tcPr>
          <w:p>
            <w:pPr>
              <w:jc w:val="center"/>
              <w:ind w:right="954"/>
              <w:spacing w:after="0"/>
              <w:rPr>
                <w:sz w:val="20"/>
                <w:szCs w:val="20"/>
                <w:color w:val="auto"/>
              </w:rPr>
            </w:pPr>
            <w:r>
              <w:rPr>
                <w:rFonts w:ascii="Arial" w:cs="Arial" w:eastAsia="Arial" w:hAnsi="Arial"/>
                <w:sz w:val="14"/>
                <w:szCs w:val="14"/>
                <w:color w:val="auto"/>
              </w:rPr>
              <w:t>(State or other jurisdiction of incorporation or organization)</w:t>
            </w:r>
          </w:p>
        </w:tc>
        <w:tc>
          <w:tcPr>
            <w:tcW w:w="940" w:type="dxa"/>
            <w:vAlign w:val="bottom"/>
          </w:tcPr>
          <w:p>
            <w:pPr>
              <w:spacing w:after="0"/>
              <w:rPr>
                <w:sz w:val="21"/>
                <w:szCs w:val="21"/>
                <w:color w:val="auto"/>
              </w:rPr>
            </w:pPr>
          </w:p>
        </w:tc>
        <w:tc>
          <w:tcPr>
            <w:tcW w:w="3040" w:type="dxa"/>
            <w:vAlign w:val="bottom"/>
            <w:gridSpan w:val="3"/>
          </w:tcPr>
          <w:p>
            <w:pPr>
              <w:jc w:val="center"/>
              <w:ind w:right="320"/>
              <w:spacing w:after="0"/>
              <w:rPr>
                <w:sz w:val="20"/>
                <w:szCs w:val="20"/>
                <w:color w:val="auto"/>
              </w:rPr>
            </w:pPr>
            <w:r>
              <w:rPr>
                <w:rFonts w:ascii="Arial" w:cs="Arial" w:eastAsia="Arial" w:hAnsi="Arial"/>
                <w:sz w:val="14"/>
                <w:szCs w:val="14"/>
                <w:color w:val="auto"/>
              </w:rPr>
              <w:t>(I.R.S. Employer Identification No.)</w:t>
            </w:r>
          </w:p>
        </w:tc>
      </w:tr>
      <w:tr>
        <w:trPr>
          <w:trHeight w:val="298"/>
        </w:trPr>
        <w:tc>
          <w:tcPr>
            <w:tcW w:w="2700" w:type="dxa"/>
            <w:vAlign w:val="bottom"/>
            <w:gridSpan w:val="2"/>
          </w:tcPr>
          <w:p>
            <w:pPr>
              <w:ind w:left="500"/>
              <w:spacing w:after="0"/>
              <w:rPr>
                <w:sz w:val="20"/>
                <w:szCs w:val="20"/>
                <w:color w:val="auto"/>
              </w:rPr>
            </w:pPr>
            <w:r>
              <w:rPr>
                <w:rFonts w:ascii="Arial" w:cs="Arial" w:eastAsia="Arial" w:hAnsi="Arial"/>
                <w:sz w:val="16"/>
                <w:szCs w:val="16"/>
                <w:b w:val="1"/>
                <w:bCs w:val="1"/>
                <w:color w:val="auto"/>
              </w:rPr>
              <w:t>1 Skyview Drive, Fort Worth,</w:t>
            </w:r>
          </w:p>
        </w:tc>
        <w:tc>
          <w:tcPr>
            <w:tcW w:w="2060" w:type="dxa"/>
            <w:vAlign w:val="bottom"/>
          </w:tcPr>
          <w:p>
            <w:pPr>
              <w:ind w:left="320"/>
              <w:spacing w:after="0"/>
              <w:rPr>
                <w:sz w:val="20"/>
                <w:szCs w:val="20"/>
                <w:color w:val="auto"/>
              </w:rPr>
            </w:pPr>
            <w:r>
              <w:rPr>
                <w:rFonts w:ascii="Arial" w:cs="Arial" w:eastAsia="Arial" w:hAnsi="Arial"/>
                <w:sz w:val="16"/>
                <w:szCs w:val="16"/>
                <w:b w:val="1"/>
                <w:bCs w:val="1"/>
                <w:color w:val="auto"/>
              </w:rPr>
              <w:t>Texas   76155</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rPr>
              <w:t>(817) 963-1234</w:t>
            </w:r>
          </w:p>
        </w:tc>
        <w:tc>
          <w:tcPr>
            <w:tcW w:w="720" w:type="dxa"/>
            <w:vAlign w:val="bottom"/>
          </w:tcPr>
          <w:p>
            <w:pPr>
              <w:spacing w:after="0"/>
              <w:rPr>
                <w:sz w:val="24"/>
                <w:szCs w:val="24"/>
                <w:color w:val="auto"/>
              </w:rPr>
            </w:pPr>
          </w:p>
        </w:tc>
      </w:tr>
      <w:tr>
        <w:trPr>
          <w:trHeight w:val="243"/>
        </w:trPr>
        <w:tc>
          <w:tcPr>
            <w:tcW w:w="4760" w:type="dxa"/>
            <w:vAlign w:val="bottom"/>
            <w:gridSpan w:val="3"/>
          </w:tcPr>
          <w:p>
            <w:pPr>
              <w:jc w:val="center"/>
              <w:ind w:right="954"/>
              <w:spacing w:after="0"/>
              <w:rPr>
                <w:sz w:val="20"/>
                <w:szCs w:val="20"/>
                <w:color w:val="auto"/>
              </w:rPr>
            </w:pPr>
            <w:r>
              <w:rPr>
                <w:rFonts w:ascii="Arial" w:cs="Arial" w:eastAsia="Arial" w:hAnsi="Arial"/>
                <w:sz w:val="14"/>
                <w:szCs w:val="14"/>
                <w:color w:val="auto"/>
              </w:rPr>
              <w:t>(Address of principal executive offices, including zip code)</w:t>
            </w:r>
          </w:p>
        </w:tc>
        <w:tc>
          <w:tcPr>
            <w:tcW w:w="3980" w:type="dxa"/>
            <w:vAlign w:val="bottom"/>
            <w:gridSpan w:val="4"/>
          </w:tcPr>
          <w:p>
            <w:pPr>
              <w:jc w:val="center"/>
              <w:ind w:left="548"/>
              <w:spacing w:after="0"/>
              <w:rPr>
                <w:sz w:val="20"/>
                <w:szCs w:val="20"/>
                <w:color w:val="auto"/>
              </w:rPr>
            </w:pPr>
            <w:r>
              <w:rPr>
                <w:rFonts w:ascii="Arial" w:cs="Arial" w:eastAsia="Arial" w:hAnsi="Arial"/>
                <w:sz w:val="14"/>
                <w:szCs w:val="14"/>
                <w:color w:val="auto"/>
              </w:rPr>
              <w:t>(Registrant’s telephone number, including area code)</w:t>
            </w:r>
          </w:p>
        </w:tc>
      </w:tr>
      <w:tr>
        <w:trPr>
          <w:trHeight w:val="622"/>
        </w:trPr>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4333 Amon Carter Blvd., Fort Worth,</w:t>
            </w:r>
          </w:p>
        </w:tc>
        <w:tc>
          <w:tcPr>
            <w:tcW w:w="700" w:type="dxa"/>
            <w:vAlign w:val="bottom"/>
          </w:tcPr>
          <w:p>
            <w:pPr>
              <w:ind w:left="200"/>
              <w:spacing w:after="0"/>
              <w:rPr>
                <w:sz w:val="20"/>
                <w:szCs w:val="20"/>
                <w:color w:val="auto"/>
              </w:rPr>
            </w:pPr>
            <w:r>
              <w:rPr>
                <w:rFonts w:ascii="Arial" w:cs="Arial" w:eastAsia="Arial" w:hAnsi="Arial"/>
                <w:sz w:val="16"/>
                <w:szCs w:val="16"/>
                <w:b w:val="1"/>
                <w:bCs w:val="1"/>
                <w:color w:val="auto"/>
              </w:rPr>
              <w:t>Texas</w:t>
            </w: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76155</w:t>
            </w:r>
          </w:p>
        </w:tc>
        <w:tc>
          <w:tcPr>
            <w:tcW w:w="720" w:type="dxa"/>
            <w:vAlign w:val="bottom"/>
          </w:tcPr>
          <w:p>
            <w:pPr>
              <w:spacing w:after="0"/>
              <w:rPr>
                <w:sz w:val="24"/>
                <w:szCs w:val="24"/>
                <w:color w:val="auto"/>
              </w:rPr>
            </w:pP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101600</wp:posOffset>
            </wp:positionV>
            <wp:extent cx="4022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1617345</wp:posOffset>
            </wp:positionH>
            <wp:positionV relativeFrom="paragraph">
              <wp:posOffset>109220</wp:posOffset>
            </wp:positionV>
            <wp:extent cx="4022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860" w:type="dxa"/>
        <w:tblCellMar>
          <w:top w:w="0" w:type="dxa"/>
          <w:left w:w="0" w:type="dxa"/>
          <w:bottom w:w="0" w:type="dxa"/>
          <w:right w:w="0" w:type="dxa"/>
        </w:tblCellMar>
      </w:tblPr>
      <w:tr>
        <w:trPr>
          <w:trHeight w:val="229"/>
        </w:trPr>
        <w:tc>
          <w:tcPr>
            <w:tcW w:w="2700" w:type="dxa"/>
            <w:vAlign w:val="bottom"/>
          </w:tcPr>
          <w:p>
            <w:pPr>
              <w:jc w:val="center"/>
              <w:ind w:left="943"/>
              <w:spacing w:after="0"/>
              <w:rPr>
                <w:sz w:val="20"/>
                <w:szCs w:val="20"/>
                <w:color w:val="auto"/>
              </w:rPr>
            </w:pPr>
            <w:r>
              <w:rPr>
                <w:rFonts w:ascii="Arial" w:cs="Arial" w:eastAsia="Arial" w:hAnsi="Arial"/>
                <w:sz w:val="16"/>
                <w:szCs w:val="16"/>
                <w:b w:val="1"/>
                <w:bCs w:val="1"/>
                <w:color w:val="auto"/>
              </w:rPr>
              <w:t>Delaware</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60" w:type="dxa"/>
            <w:vAlign w:val="bottom"/>
          </w:tcPr>
          <w:p>
            <w:pPr>
              <w:jc w:val="center"/>
              <w:ind w:right="101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243"/>
        </w:trPr>
        <w:tc>
          <w:tcPr>
            <w:tcW w:w="4760" w:type="dxa"/>
            <w:vAlign w:val="bottom"/>
            <w:gridSpan w:val="2"/>
          </w:tcPr>
          <w:p>
            <w:pPr>
              <w:jc w:val="center"/>
              <w:ind w:right="959"/>
              <w:spacing w:after="0"/>
              <w:rPr>
                <w:sz w:val="20"/>
                <w:szCs w:val="20"/>
                <w:color w:val="auto"/>
              </w:rPr>
            </w:pPr>
            <w:r>
              <w:rPr>
                <w:rFonts w:ascii="Arial" w:cs="Arial" w:eastAsia="Arial" w:hAnsi="Arial"/>
                <w:sz w:val="14"/>
                <w:szCs w:val="14"/>
                <w:color w:val="auto"/>
              </w:rPr>
              <w:t>(State or other jurisdiction of incorporation or organization)</w:t>
            </w:r>
          </w:p>
        </w:tc>
        <w:tc>
          <w:tcPr>
            <w:tcW w:w="940" w:type="dxa"/>
            <w:vAlign w:val="bottom"/>
          </w:tcPr>
          <w:p>
            <w:pPr>
              <w:spacing w:after="0"/>
              <w:rPr>
                <w:sz w:val="21"/>
                <w:szCs w:val="21"/>
                <w:color w:val="auto"/>
              </w:rPr>
            </w:pPr>
          </w:p>
        </w:tc>
        <w:tc>
          <w:tcPr>
            <w:tcW w:w="3040" w:type="dxa"/>
            <w:vAlign w:val="bottom"/>
            <w:gridSpan w:val="2"/>
            <w:vMerge w:val="restart"/>
          </w:tcPr>
          <w:p>
            <w:pPr>
              <w:jc w:val="center"/>
              <w:ind w:right="23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700" w:type="dxa"/>
            <w:vAlign w:val="bottom"/>
          </w:tcPr>
          <w:p>
            <w:pPr>
              <w:ind w:left="500"/>
              <w:spacing w:after="0"/>
              <w:rPr>
                <w:sz w:val="20"/>
                <w:szCs w:val="20"/>
                <w:color w:val="auto"/>
              </w:rPr>
            </w:pPr>
            <w:r>
              <w:rPr>
                <w:rFonts w:ascii="Arial" w:cs="Arial" w:eastAsia="Arial" w:hAnsi="Arial"/>
                <w:sz w:val="16"/>
                <w:szCs w:val="16"/>
                <w:b w:val="1"/>
                <w:bCs w:val="1"/>
                <w:color w:val="auto"/>
              </w:rPr>
              <w:t>1 Skyview Drive, Fort Worth,</w:t>
            </w:r>
          </w:p>
        </w:tc>
        <w:tc>
          <w:tcPr>
            <w:tcW w:w="2060" w:type="dxa"/>
            <w:vAlign w:val="bottom"/>
          </w:tcPr>
          <w:p>
            <w:pPr>
              <w:ind w:left="320"/>
              <w:spacing w:after="0"/>
              <w:rPr>
                <w:sz w:val="20"/>
                <w:szCs w:val="20"/>
                <w:color w:val="auto"/>
              </w:rPr>
            </w:pPr>
            <w:r>
              <w:rPr>
                <w:rFonts w:ascii="Arial" w:cs="Arial" w:eastAsia="Arial" w:hAnsi="Arial"/>
                <w:sz w:val="16"/>
                <w:szCs w:val="16"/>
                <w:b w:val="1"/>
                <w:bCs w:val="1"/>
                <w:color w:val="auto"/>
              </w:rPr>
              <w:t>Texas   76155</w:t>
            </w: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60" w:type="dxa"/>
            <w:vAlign w:val="bottom"/>
          </w:tcPr>
          <w:p>
            <w:pPr>
              <w:jc w:val="right"/>
              <w:ind w:right="879"/>
              <w:spacing w:after="0"/>
              <w:rPr>
                <w:sz w:val="20"/>
                <w:szCs w:val="20"/>
                <w:color w:val="auto"/>
              </w:rPr>
            </w:pPr>
            <w:r>
              <w:rPr>
                <w:rFonts w:ascii="Arial" w:cs="Arial" w:eastAsia="Arial" w:hAnsi="Arial"/>
                <w:sz w:val="16"/>
                <w:szCs w:val="16"/>
                <w:b w:val="1"/>
                <w:bCs w:val="1"/>
                <w:color w:val="auto"/>
              </w:rPr>
              <w:t>(817) 963-1234</w:t>
            </w:r>
          </w:p>
        </w:tc>
        <w:tc>
          <w:tcPr>
            <w:tcW w:w="0" w:type="dxa"/>
            <w:vAlign w:val="bottom"/>
          </w:tcPr>
          <w:p>
            <w:pPr>
              <w:spacing w:after="0"/>
              <w:rPr>
                <w:sz w:val="1"/>
                <w:szCs w:val="1"/>
                <w:color w:val="auto"/>
              </w:rPr>
            </w:pPr>
          </w:p>
        </w:tc>
      </w:tr>
      <w:tr>
        <w:trPr>
          <w:trHeight w:val="243"/>
        </w:trPr>
        <w:tc>
          <w:tcPr>
            <w:tcW w:w="4760" w:type="dxa"/>
            <w:vAlign w:val="bottom"/>
            <w:gridSpan w:val="2"/>
          </w:tcPr>
          <w:p>
            <w:pPr>
              <w:jc w:val="center"/>
              <w:ind w:right="959"/>
              <w:spacing w:after="0"/>
              <w:rPr>
                <w:sz w:val="20"/>
                <w:szCs w:val="20"/>
                <w:color w:val="auto"/>
              </w:rPr>
            </w:pPr>
            <w:r>
              <w:rPr>
                <w:rFonts w:ascii="Arial" w:cs="Arial" w:eastAsia="Arial" w:hAnsi="Arial"/>
                <w:sz w:val="14"/>
                <w:szCs w:val="14"/>
                <w:color w:val="auto"/>
              </w:rPr>
              <w:t>(Address of principal executive offices, including zip code)</w:t>
            </w:r>
          </w:p>
        </w:tc>
        <w:tc>
          <w:tcPr>
            <w:tcW w:w="3980" w:type="dxa"/>
            <w:vAlign w:val="bottom"/>
            <w:gridSpan w:val="3"/>
          </w:tcPr>
          <w:p>
            <w:pPr>
              <w:jc w:val="center"/>
              <w:ind w:left="548"/>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622"/>
        </w:trPr>
        <w:tc>
          <w:tcPr>
            <w:tcW w:w="270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4333 Amon Carter Blvd., Fort Worth,</w:t>
            </w:r>
          </w:p>
        </w:tc>
        <w:tc>
          <w:tcPr>
            <w:tcW w:w="780" w:type="dxa"/>
            <w:vAlign w:val="bottom"/>
          </w:tcPr>
          <w:p>
            <w:pPr>
              <w:ind w:left="20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right"/>
              <w:ind w:right="1299"/>
              <w:spacing w:after="0"/>
              <w:rPr>
                <w:sz w:val="20"/>
                <w:szCs w:val="20"/>
                <w:color w:val="auto"/>
              </w:rPr>
            </w:pPr>
            <w:r>
              <w:rPr>
                <w:rFonts w:ascii="Arial" w:cs="Arial" w:eastAsia="Arial" w:hAnsi="Arial"/>
                <w:sz w:val="16"/>
                <w:szCs w:val="16"/>
                <w:b w:val="1"/>
                <w:bCs w:val="1"/>
                <w:color w:val="auto"/>
              </w:rPr>
              <w:t>76155</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7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63"/>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rPr>
              <w:t>Trading Symbol(s)</w:t>
            </w:r>
          </w:p>
        </w:tc>
        <w:tc>
          <w:tcPr>
            <w:tcW w:w="12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3"/>
        </w:trPr>
        <w:tc>
          <w:tcPr>
            <w:tcW w:w="476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Common Stock, $0.01 par value per share</w:t>
            </w:r>
          </w:p>
        </w:tc>
        <w:tc>
          <w:tcPr>
            <w:tcW w:w="30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AAL</w:t>
            </w: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51" w:lineRule="exact"/>
        <w:rPr>
          <w:sz w:val="24"/>
          <w:szCs w:val="24"/>
          <w:color w:val="auto"/>
        </w:rPr>
      </w:pPr>
    </w:p>
    <w:p>
      <w:pPr>
        <w:jc w:val="both"/>
        <w:ind w:firstLine="162"/>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70"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205" w:lineRule="exact"/>
        <w:rPr>
          <w:sz w:val="24"/>
          <w:szCs w:val="24"/>
          <w:color w:val="auto"/>
        </w:rPr>
      </w:pPr>
    </w:p>
    <w:p>
      <w:pPr>
        <w:jc w:val="both"/>
        <w:ind w:firstLine="162"/>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2"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70" w:lineRule="exact"/>
        <w:rPr>
          <w:sz w:val="24"/>
          <w:szCs w:val="24"/>
          <w:color w:val="auto"/>
        </w:rPr>
      </w:pPr>
    </w:p>
    <w:p>
      <w:pPr>
        <w:ind w:left="40"/>
        <w:spacing w:after="0" w:line="184" w:lineRule="exact"/>
        <w:tabs>
          <w:tab w:leader="none" w:pos="9500" w:val="left"/>
          <w:tab w:leader="none" w:pos="10100" w:val="left"/>
          <w:tab w:leader="none" w:pos="10520" w:val="left"/>
          <w:tab w:leader="none" w:pos="1116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p>
    <w:p>
      <w:pPr>
        <w:spacing w:after="0" w:line="205" w:lineRule="exact"/>
        <w:rPr>
          <w:sz w:val="24"/>
          <w:szCs w:val="24"/>
          <w:color w:val="auto"/>
        </w:rPr>
      </w:pPr>
    </w:p>
    <w:p>
      <w:pPr>
        <w:jc w:val="both"/>
        <w:ind w:firstLine="162"/>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40"/>
        <w:spacing w:after="0" w:line="281" w:lineRule="exact"/>
        <w:tabs>
          <w:tab w:leader="none" w:pos="1960" w:val="left"/>
        </w:tabs>
        <w:rPr>
          <w:sz w:val="20"/>
          <w:szCs w:val="20"/>
          <w:color w:val="auto"/>
        </w:rPr>
      </w:pPr>
      <w:r>
        <w:rPr>
          <w:rFonts w:ascii="Arial" w:cs="Arial" w:eastAsia="Arial" w:hAnsi="Arial"/>
          <w:sz w:val="13"/>
          <w:szCs w:val="13"/>
          <w:color w:val="auto"/>
        </w:rPr>
        <w:t>American Airlines Group Inc.</w:t>
      </w:r>
      <w:r>
        <w:rPr>
          <w:sz w:val="20"/>
          <w:szCs w:val="20"/>
          <w:color w:val="auto"/>
        </w:rPr>
        <w:tab/>
      </w:r>
      <w:r>
        <w:rPr>
          <w:rFonts w:ascii="MS PGothic" w:cs="MS PGothic" w:eastAsia="MS PGothic" w:hAnsi="MS PGothic"/>
          <w:sz w:val="28"/>
          <w:szCs w:val="28"/>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Non-accelerated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Emerging growth company</w:t>
      </w:r>
    </w:p>
    <w:p>
      <w:pPr>
        <w:spacing w:after="0" w:line="137" w:lineRule="exact"/>
        <w:rPr>
          <w:sz w:val="24"/>
          <w:szCs w:val="24"/>
          <w:color w:val="auto"/>
        </w:rPr>
      </w:pPr>
    </w:p>
    <w:p>
      <w:pPr>
        <w:ind w:left="40"/>
        <w:spacing w:after="0" w:line="281" w:lineRule="exact"/>
        <w:tabs>
          <w:tab w:leader="none" w:pos="1960" w:val="left"/>
        </w:tabs>
        <w:rPr>
          <w:sz w:val="20"/>
          <w:szCs w:val="20"/>
          <w:color w:val="auto"/>
        </w:rPr>
      </w:pPr>
      <w:r>
        <w:rPr>
          <w:rFonts w:ascii="Arial" w:cs="Arial" w:eastAsia="Arial" w:hAnsi="Arial"/>
          <w:sz w:val="13"/>
          <w:szCs w:val="13"/>
          <w:color w:val="auto"/>
        </w:rPr>
        <w:t>American Airlines, Inc.</w:t>
      </w:r>
      <w:r>
        <w:rPr>
          <w:sz w:val="20"/>
          <w:szCs w:val="20"/>
          <w:color w:val="auto"/>
        </w:rPr>
        <w:tab/>
      </w:r>
      <w:r>
        <w:rPr>
          <w:rFonts w:ascii="MS PGothic" w:cs="MS PGothic" w:eastAsia="MS PGothic" w:hAnsi="MS PGothic"/>
          <w:sz w:val="28"/>
          <w:szCs w:val="28"/>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Non-accelerated filer</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28"/>
          <w:szCs w:val="28"/>
          <w:color w:val="auto"/>
        </w:rPr>
        <w:t xml:space="preserve">       </w:t>
      </w:r>
      <w:r>
        <w:rPr>
          <w:rFonts w:ascii="MS PGothic" w:cs="MS PGothic" w:eastAsia="MS PGothic" w:hAnsi="MS PGothic"/>
          <w:sz w:val="28"/>
          <w:szCs w:val="28"/>
          <w:color w:val="auto"/>
          <w:vertAlign w:val="subscript"/>
        </w:rPr>
        <w:t>☐</w:t>
      </w:r>
      <w:r>
        <w:rPr>
          <w:rFonts w:ascii="MS PGothic" w:cs="MS PGothic" w:eastAsia="MS PGothic" w:hAnsi="MS PGothic"/>
          <w:sz w:val="28"/>
          <w:szCs w:val="28"/>
          <w:color w:val="auto"/>
        </w:rPr>
        <w:t xml:space="preserve"> </w:t>
      </w:r>
      <w:r>
        <w:rPr>
          <w:rFonts w:ascii="Arial" w:cs="Arial" w:eastAsia="Arial" w:hAnsi="Arial"/>
          <w:sz w:val="11"/>
          <w:szCs w:val="11"/>
          <w:color w:val="auto"/>
        </w:rPr>
        <w:t>Emerging growth company</w:t>
      </w:r>
    </w:p>
    <w:p>
      <w:pPr>
        <w:sectPr>
          <w:pgSz w:w="11900" w:h="16838" w:orient="portrait"/>
          <w:cols w:equalWidth="0" w:num="1">
            <w:col w:w="11420"/>
          </w:cols>
          <w:pgMar w:left="240" w:top="1089" w:right="239" w:bottom="0" w:gutter="0" w:footer="0" w:header="0"/>
        </w:sectPr>
      </w:pPr>
    </w:p>
    <w:p>
      <w:pPr>
        <w:spacing w:after="0" w:line="340" w:lineRule="exact"/>
        <w:rPr>
          <w:sz w:val="24"/>
          <w:szCs w:val="24"/>
          <w:color w:val="auto"/>
        </w:rPr>
      </w:pPr>
    </w:p>
    <w:p>
      <w:pPr>
        <w:ind w:firstLine="162"/>
        <w:spacing w:after="0" w:line="291"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420"/>
          </w:cols>
          <w:pgMar w:left="240" w:top="1089" w:right="239" w:bottom="0" w:gutter="0" w:footer="0" w:header="0"/>
          <w:type w:val="continuous"/>
        </w:sectPr>
      </w:pPr>
    </w:p>
    <w:bookmarkStart w:id="1" w:name="page2"/>
    <w:bookmarkEnd w:id="1"/>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4" w:lineRule="exact"/>
        <w:rPr>
          <w:sz w:val="20"/>
          <w:szCs w:val="20"/>
          <w:color w:val="auto"/>
        </w:rPr>
      </w:pPr>
    </w:p>
    <w:p>
      <w:pPr>
        <w:sectPr>
          <w:pgSz w:w="11900" w:h="16838" w:orient="portrait"/>
          <w:cols w:equalWidth="0" w:num="2">
            <w:col w:w="9260" w:space="720"/>
            <w:col w:w="1440"/>
          </w:cols>
          <w:pgMar w:left="240" w:top="91" w:right="239" w:bottom="1440" w:gutter="0" w:footer="0" w:header="0"/>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9" w:lineRule="exact"/>
        <w:rPr>
          <w:sz w:val="20"/>
          <w:szCs w:val="20"/>
          <w:color w:val="auto"/>
        </w:rPr>
      </w:pPr>
    </w:p>
    <w:p>
      <w:pPr>
        <w:sectPr>
          <w:pgSz w:w="11900" w:h="16838" w:orient="portrait"/>
          <w:cols w:equalWidth="0" w:num="2">
            <w:col w:w="9260" w:space="720"/>
            <w:col w:w="1440"/>
          </w:cols>
          <w:pgMar w:left="240" w:top="91" w:right="239" w:bottom="1440" w:gutter="0" w:footer="0" w:header="0"/>
          <w:type w:val="continuous"/>
        </w:sectPr>
      </w:pP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420"/>
          </w:cols>
          <w:pgMar w:left="240" w:top="91" w:right="239" w:bottom="1440" w:gutter="0" w:footer="0" w:header="0"/>
          <w:type w:val="continuous"/>
        </w:sectPr>
      </w:pP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113" w:lineRule="exact"/>
        <w:rPr>
          <w:sz w:val="20"/>
          <w:szCs w:val="20"/>
          <w:color w:val="auto"/>
        </w:rPr>
      </w:pPr>
    </w:p>
    <w:p>
      <w:pPr>
        <w:sectPr>
          <w:pgSz w:w="11900" w:h="16838" w:orient="portrait"/>
          <w:cols w:equalWidth="0" w:num="5">
            <w:col w:w="8800" w:space="720"/>
            <w:col w:w="160" w:space="440"/>
            <w:col w:w="260" w:space="160"/>
            <w:col w:w="140" w:space="500"/>
            <w:col w:w="240"/>
          </w:cols>
          <w:pgMar w:left="240" w:top="91" w:right="2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As of October 18, 2019, there were 438,057,971 shares of American Airlines Group Inc. common stock outstanding.</w:t>
      </w:r>
    </w:p>
    <w:p>
      <w:pPr>
        <w:sectPr>
          <w:pgSz w:w="11900" w:h="16838" w:orient="portrait"/>
          <w:cols w:equalWidth="0" w:num="1">
            <w:col w:w="11420"/>
          </w:cols>
          <w:pgMar w:left="240" w:top="91" w:right="239" w:bottom="1440" w:gutter="0" w:footer="0" w:header="0"/>
          <w:type w:val="continuous"/>
        </w:sectPr>
      </w:pPr>
    </w:p>
    <w:p>
      <w:pPr>
        <w:spacing w:after="0" w:line="113" w:lineRule="exact"/>
        <w:rPr>
          <w:sz w:val="20"/>
          <w:szCs w:val="20"/>
          <w:color w:val="auto"/>
        </w:rPr>
      </w:pPr>
    </w:p>
    <w:p>
      <w:pPr>
        <w:ind w:firstLine="162"/>
        <w:spacing w:after="0" w:line="265" w:lineRule="auto"/>
        <w:rPr>
          <w:sz w:val="20"/>
          <w:szCs w:val="20"/>
          <w:color w:val="auto"/>
        </w:rPr>
      </w:pPr>
      <w:r>
        <w:rPr>
          <w:rFonts w:ascii="Arial" w:cs="Arial" w:eastAsia="Arial" w:hAnsi="Arial"/>
          <w:sz w:val="16"/>
          <w:szCs w:val="16"/>
          <w:color w:val="auto"/>
        </w:rPr>
        <w:t>As of October 18, 2019,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Period Ended September 30, 2019</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27305</wp:posOffset>
            </wp:positionV>
            <wp:extent cx="360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360"/>
          </w:cols>
          <w:pgMar w:left="280" w:top="574" w:right="259" w:bottom="1440" w:gutter="0" w:footer="0" w:header="0"/>
        </w:sectPr>
      </w:pPr>
    </w:p>
    <w:p>
      <w:pPr>
        <w:spacing w:after="0" w:line="52"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6">
        <w:r>
          <w:rPr>
            <w:rFonts w:ascii="Arial" w:cs="Arial" w:eastAsia="Arial" w:hAnsi="Arial"/>
            <w:sz w:val="17"/>
            <w:szCs w:val="17"/>
            <w:u w:val="single" w:color="auto"/>
            <w:color w:val="0000EE"/>
          </w:rPr>
          <w:t>Condensed Consolidated Financial Statements of American Airlines Group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Stockholders' Equity (Deficit)</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1B.</w:t>
      </w:r>
      <w:r>
        <w:rPr>
          <w:sz w:val="20"/>
          <w:szCs w:val="20"/>
          <w:color w:val="auto"/>
        </w:rPr>
        <w:tab/>
      </w:r>
      <w:hyperlink w:anchor="page23">
        <w:r>
          <w:rPr>
            <w:rFonts w:ascii="Arial" w:cs="Arial" w:eastAsia="Arial" w:hAnsi="Arial"/>
            <w:sz w:val="17"/>
            <w:szCs w:val="17"/>
            <w:u w:val="single" w:color="auto"/>
            <w:color w:val="0000EE"/>
          </w:rPr>
          <w:t>Condensed Consolidated Financial Statements of American Airlines,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Condensed Consolidated Statements of Comprehensive Income</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Condensed Consolidated Statements of Stockholder's Equity</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38">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63">
        <w:r>
          <w:rPr>
            <w:rFonts w:ascii="Arial" w:cs="Arial" w:eastAsia="Arial" w:hAnsi="Arial"/>
            <w:sz w:val="17"/>
            <w:szCs w:val="17"/>
            <w:u w:val="single" w:color="auto"/>
            <w:color w:val="0000EE"/>
          </w:rPr>
          <w:t>Quantitative and Qualitative Disclosures About Market Risk</w:t>
        </w:r>
      </w:hyperlink>
    </w:p>
    <w:p>
      <w:pPr>
        <w:spacing w:after="0" w:line="50" w:lineRule="exact"/>
        <w:rPr>
          <w:sz w:val="20"/>
          <w:szCs w:val="20"/>
          <w:color w:val="auto"/>
        </w:rPr>
      </w:pPr>
    </w:p>
    <w:p>
      <w:pPr>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64">
        <w:r>
          <w:rPr>
            <w:rFonts w:ascii="Arial" w:cs="Arial" w:eastAsia="Arial" w:hAnsi="Arial"/>
            <w:sz w:val="17"/>
            <w:szCs w:val="17"/>
            <w:u w:val="single" w:color="auto"/>
            <w:color w:val="0000EE"/>
          </w:rPr>
          <w:t>Controls and Procedures</w:t>
        </w:r>
      </w:hyperlink>
    </w:p>
    <w:p>
      <w:pPr>
        <w:spacing w:after="0" w:line="48"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p>
      <w:pPr>
        <w:spacing w:after="0" w:line="63" w:lineRule="exact"/>
        <w:rPr>
          <w:sz w:val="20"/>
          <w:szCs w:val="20"/>
          <w:color w:val="auto"/>
        </w:rPr>
      </w:pPr>
    </w:p>
    <w:p>
      <w:pPr>
        <w:jc w:val="right"/>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10</w:t>
        </w:r>
      </w:hyperlink>
    </w:p>
    <w:p>
      <w:pPr>
        <w:spacing w:after="0" w:line="61" w:lineRule="exact"/>
        <w:rPr>
          <w:sz w:val="20"/>
          <w:szCs w:val="20"/>
          <w:color w:val="auto"/>
        </w:rPr>
      </w:pPr>
    </w:p>
    <w:p>
      <w:pPr>
        <w:jc w:val="right"/>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21</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21</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22</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23</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24</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25</w:t>
        </w:r>
      </w:hyperlink>
    </w:p>
    <w:p>
      <w:pPr>
        <w:spacing w:after="0" w:line="75" w:lineRule="exact"/>
        <w:rPr>
          <w:sz w:val="20"/>
          <w:szCs w:val="20"/>
          <w:color w:val="auto"/>
        </w:rPr>
      </w:pPr>
    </w:p>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26</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36</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61</w:t>
        </w:r>
      </w:hyperlink>
    </w:p>
    <w:p>
      <w:pPr>
        <w:spacing w:after="0" w:line="61" w:lineRule="exact"/>
        <w:rPr>
          <w:sz w:val="20"/>
          <w:szCs w:val="20"/>
          <w:color w:val="auto"/>
        </w:rPr>
      </w:pPr>
    </w:p>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62</w:t>
        </w:r>
      </w:hyperlink>
    </w:p>
    <w:p>
      <w:pPr>
        <w:spacing w:after="0" w:line="309" w:lineRule="exact"/>
        <w:rPr>
          <w:sz w:val="20"/>
          <w:szCs w:val="20"/>
          <w:color w:val="auto"/>
        </w:rPr>
      </w:pPr>
    </w:p>
    <w:p>
      <w:pPr>
        <w:sectPr>
          <w:pgSz w:w="11900" w:h="16838" w:orient="portrait"/>
          <w:cols w:equalWidth="0" w:num="2">
            <w:col w:w="10440" w:space="720"/>
            <w:col w:w="200"/>
          </w:cols>
          <w:pgMar w:left="280" w:top="57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200" w:type="dxa"/>
            <w:vAlign w:val="bottom"/>
          </w:tcPr>
          <w:p>
            <w:pPr>
              <w:jc w:val="right"/>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0"/>
                <w:szCs w:val="20"/>
                <w:color w:val="auto"/>
              </w:rPr>
            </w:pPr>
          </w:p>
        </w:tc>
        <w:tc>
          <w:tcPr>
            <w:tcW w:w="7960" w:type="dxa"/>
            <w:vAlign w:val="bottom"/>
            <w:gridSpan w:val="2"/>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Unregistered Sales of Equity Securities and Use of Proceeds</w:t>
              </w:r>
            </w:hyperlink>
          </w:p>
        </w:tc>
        <w:tc>
          <w:tcPr>
            <w:tcW w:w="200" w:type="dxa"/>
            <w:vAlign w:val="bottom"/>
          </w:tcPr>
          <w:p>
            <w:pPr>
              <w:jc w:val="right"/>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86</w:t>
              </w:r>
            </w:hyperlink>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46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86</w:t>
              </w:r>
            </w:hyperlink>
          </w:p>
        </w:tc>
      </w:tr>
      <w:tr>
        <w:trPr>
          <w:trHeight w:val="237"/>
        </w:trPr>
        <w:tc>
          <w:tcPr>
            <w:tcW w:w="1720" w:type="dxa"/>
            <w:vAlign w:val="bottom"/>
            <w:gridSpan w:val="2"/>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89</w:t>
              </w:r>
            </w:hyperlink>
          </w:p>
        </w:tc>
      </w:tr>
      <w:tr>
        <w:trPr>
          <w:trHeight w:val="713"/>
        </w:trPr>
        <w:tc>
          <w:tcPr>
            <w:tcW w:w="1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gridSpan w:val="4"/>
          </w:tcPr>
          <w:p>
            <w:pPr>
              <w:ind w:left="3900"/>
              <w:spacing w:after="0"/>
              <w:rPr>
                <w:sz w:val="20"/>
                <w:szCs w:val="20"/>
                <w:color w:val="auto"/>
              </w:rPr>
            </w:pPr>
            <w:r>
              <w:rPr>
                <w:rFonts w:ascii="Arial" w:cs="Arial" w:eastAsia="Arial" w:hAnsi="Arial"/>
                <w:sz w:val="18"/>
                <w:szCs w:val="18"/>
                <w:color w:val="auto"/>
              </w:rPr>
              <w:t>1</w:t>
            </w:r>
          </w:p>
        </w:tc>
        <w:tc>
          <w:tcPr>
            <w:tcW w:w="46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4"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29"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2"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4"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ITEM 1A. CONDENSED CONSOLIDATED FINANCIAL STATEMENTS OF AMERICAN AIRLINES GROUP INC.</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 millions, except shares and per share amounts)(Unaudited)</w:t>
      </w:r>
    </w:p>
    <w:p>
      <w:pPr>
        <w:sectPr>
          <w:pgSz w:w="11900" w:h="16838" w:orient="portrait"/>
          <w:cols w:equalWidth="0" w:num="1">
            <w:col w:w="11420"/>
          </w:cols>
          <w:pgMar w:left="240" w:top="574" w:right="239" w:bottom="1440" w:gutter="0" w:footer="0" w:header="0"/>
        </w:sectPr>
      </w:pPr>
    </w:p>
    <w:p>
      <w:pPr>
        <w:spacing w:after="0" w:line="373"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27305</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27305</wp:posOffset>
            </wp:positionV>
            <wp:extent cx="1680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45" w:lineRule="exact"/>
        <w:rPr>
          <w:sz w:val="20"/>
          <w:szCs w:val="20"/>
          <w:color w:val="auto"/>
        </w:rPr>
      </w:pPr>
    </w:p>
    <w:p>
      <w:pPr>
        <w:sectPr>
          <w:pgSz w:w="11900" w:h="16838" w:orient="portrait"/>
          <w:cols w:equalWidth="0" w:num="2">
            <w:col w:w="8580" w:space="340"/>
            <w:col w:w="2500"/>
          </w:cols>
          <w:pgMar w:left="240" w:top="574"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31,663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30,714</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2,141</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34,455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33,603</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9,509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9,243</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5,323</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1,499</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1,366</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3,834</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11,103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10,874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31,518</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2,085</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1,489</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8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w:t>
            </w:r>
          </w:p>
        </w:tc>
      </w:tr>
      <w:tr>
        <w:trPr>
          <w:trHeight w:val="282"/>
        </w:trPr>
        <w:tc>
          <w:tcPr>
            <w:tcW w:w="6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441,915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460,526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446,291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465,452</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442,401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461,507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447,139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466,908</w:t>
            </w:r>
          </w:p>
        </w:tc>
      </w:tr>
      <w:tr>
        <w:trPr>
          <w:trHeight w:val="261"/>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0.30</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1,088</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5"/>
        </w:trPr>
        <w:tc>
          <w:tcPr>
            <w:tcW w:w="6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1,039</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4,856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4,485</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 and short-term investments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1,850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1,706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Aircraft fuel, spare parts and supplies, net</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1,522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Prepaid expenses and other</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495</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current assets</w:t>
            </w: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9,572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8,637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Flight equipment</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42,320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41,499</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Ground property and equipment</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9,232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8,764</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Equipment purchase deposits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at cost</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53,119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51,541</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(17,443)</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property and equipment, net</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34,619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34,098</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lease right-of-use assets</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8,842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9,151</w:t>
            </w: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Intangibles, net of accumulated amortization of $694 and $663, respectively</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2,095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2,137</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tax asset</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1,145</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1,290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1,321</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other assets</w:t>
            </w: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8,142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6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61,175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60,580</w:t>
            </w:r>
          </w:p>
        </w:tc>
        <w:tc>
          <w:tcPr>
            <w:tcW w:w="0" w:type="dxa"/>
            <w:vAlign w:val="bottom"/>
          </w:tcPr>
          <w:p>
            <w:pPr>
              <w:spacing w:after="0"/>
              <w:rPr>
                <w:sz w:val="1"/>
                <w:szCs w:val="1"/>
                <w:color w:val="auto"/>
              </w:rPr>
            </w:pP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STOCKHOLDERS’ EQUITY (DEFICIT)</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maturities of long-term debt and finance leases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3,608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3,294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1,773</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salaries and wages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1,427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Air traffic liability</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4,339</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Loyalty program liability</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Operating lease liabilities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1,672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1,654</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accrued liabilities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2,342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current liabilities</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19,560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18,096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Long-term debt and finance leases, net of current maturities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21,625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21,179</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and postretirement benefits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5,609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6,907</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Loyalty program liability</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5,272</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lease liabilities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7,535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7,902</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1,393</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76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noncurrent liabilities</w:t>
            </w: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41,455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42,653</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7660" w:type="dxa"/>
            <w:vAlign w:val="bottom"/>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equity (deficit)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7660" w:type="dxa"/>
            <w:vAlign w:val="bottom"/>
          </w:tcPr>
          <w:p>
            <w:pPr>
              <w:ind w:left="380"/>
              <w:spacing w:after="0" w:line="166" w:lineRule="exact"/>
              <w:rPr>
                <w:sz w:val="20"/>
                <w:szCs w:val="20"/>
                <w:color w:val="auto"/>
              </w:rPr>
            </w:pPr>
            <w:r>
              <w:rPr>
                <w:rFonts w:ascii="Arial" w:cs="Arial" w:eastAsia="Arial" w:hAnsi="Arial"/>
                <w:sz w:val="15"/>
                <w:szCs w:val="15"/>
                <w:color w:val="auto"/>
              </w:rPr>
              <w:t>Common stock, $0.01 par value; 1,750,000,000 shares authorized, 438,035,288 shares issued and</w:t>
            </w:r>
          </w:p>
        </w:tc>
        <w:tc>
          <w:tcPr>
            <w:tcW w:w="180" w:type="dxa"/>
            <w:vAlign w:val="bottom"/>
          </w:tcPr>
          <w:p>
            <w:pPr>
              <w:spacing w:after="0"/>
              <w:rPr>
                <w:sz w:val="14"/>
                <w:szCs w:val="14"/>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9"/>
        </w:trPr>
        <w:tc>
          <w:tcPr>
            <w:tcW w:w="7660" w:type="dxa"/>
            <w:vAlign w:val="bottom"/>
          </w:tcPr>
          <w:p>
            <w:pPr>
              <w:ind w:left="380"/>
              <w:spacing w:after="0"/>
              <w:rPr>
                <w:sz w:val="20"/>
                <w:szCs w:val="20"/>
                <w:color w:val="auto"/>
              </w:rPr>
            </w:pPr>
            <w:r>
              <w:rPr>
                <w:rFonts w:ascii="Arial" w:cs="Arial" w:eastAsia="Arial" w:hAnsi="Arial"/>
                <w:sz w:val="15"/>
                <w:szCs w:val="15"/>
                <w:color w:val="auto"/>
              </w:rPr>
              <w:t>outstanding at September 30, 2019; 460,610,870 shares issued and outstanding at December 31, 2018</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4,964</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(5,946)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(5,896)</w:t>
            </w:r>
          </w:p>
        </w:tc>
        <w:tc>
          <w:tcPr>
            <w:tcW w:w="0" w:type="dxa"/>
            <w:vAlign w:val="bottom"/>
          </w:tcPr>
          <w:p>
            <w:pPr>
              <w:spacing w:after="0"/>
              <w:rPr>
                <w:sz w:val="1"/>
                <w:szCs w:val="1"/>
                <w:color w:val="auto"/>
              </w:rPr>
            </w:pPr>
          </w:p>
        </w:tc>
      </w:tr>
      <w:tr>
        <w:trPr>
          <w:trHeight w:val="57"/>
        </w:trPr>
        <w:tc>
          <w:tcPr>
            <w:tcW w:w="7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1,894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758</w:t>
            </w: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60" w:type="dxa"/>
            <w:vAlign w:val="bottom"/>
          </w:tcPr>
          <w:p>
            <w:pPr>
              <w:ind w:left="720"/>
              <w:spacing w:after="0"/>
              <w:rPr>
                <w:sz w:val="20"/>
                <w:szCs w:val="20"/>
                <w:color w:val="auto"/>
              </w:rPr>
            </w:pPr>
            <w:r>
              <w:rPr>
                <w:rFonts w:ascii="Arial" w:cs="Arial" w:eastAsia="Arial" w:hAnsi="Arial"/>
                <w:sz w:val="15"/>
                <w:szCs w:val="15"/>
                <w:color w:val="auto"/>
              </w:rPr>
              <w:t>Total stockholders’ equity (deficit)</w:t>
            </w:r>
          </w:p>
        </w:tc>
        <w:tc>
          <w:tcPr>
            <w:tcW w:w="180" w:type="dxa"/>
            <w:vAlign w:val="bottom"/>
          </w:tcPr>
          <w:p>
            <w:pPr>
              <w:spacing w:after="0"/>
              <w:rPr>
                <w:sz w:val="16"/>
                <w:szCs w:val="16"/>
                <w:color w:val="auto"/>
              </w:rPr>
            </w:pPr>
          </w:p>
        </w:tc>
        <w:tc>
          <w:tcPr>
            <w:tcW w:w="1640" w:type="dxa"/>
            <w:vAlign w:val="bottom"/>
            <w:vMerge w:val="restart"/>
          </w:tcPr>
          <w:p>
            <w:pPr>
              <w:jc w:val="right"/>
              <w:ind w:right="24"/>
              <w:spacing w:after="0"/>
              <w:rPr>
                <w:sz w:val="20"/>
                <w:szCs w:val="20"/>
                <w:color w:val="auto"/>
              </w:rPr>
            </w:pPr>
            <w:r>
              <w:rPr>
                <w:rFonts w:ascii="Arial" w:cs="Arial" w:eastAsia="Arial" w:hAnsi="Arial"/>
                <w:sz w:val="15"/>
                <w:szCs w:val="15"/>
                <w:color w:val="auto"/>
              </w:rPr>
              <w:t>160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57"/>
        </w:trPr>
        <w:tc>
          <w:tcPr>
            <w:tcW w:w="76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61,175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60,580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4"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4"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2,817</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860</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2,816</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 in restricted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65"/>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(2,440)</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Treasury stock repurchases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65"/>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financing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45"/>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90"/>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314</w:t>
            </w:r>
          </w:p>
        </w:tc>
      </w:tr>
      <w:tr>
        <w:trPr>
          <w:trHeight w:val="264"/>
        </w:trPr>
        <w:tc>
          <w:tcPr>
            <w:tcW w:w="2120" w:type="dxa"/>
            <w:vAlign w:val="bottom"/>
            <w:shd w:val="clear" w:color="auto" w:fill="CCEEFF"/>
          </w:tcPr>
          <w:p>
            <w:pPr>
              <w:spacing w:after="0"/>
              <w:rPr>
                <w:sz w:val="22"/>
                <w:szCs w:val="22"/>
                <w:color w:val="auto"/>
              </w:rPr>
            </w:pPr>
          </w:p>
        </w:tc>
        <w:tc>
          <w:tcPr>
            <w:tcW w:w="57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Right-of-use assets obtained in exchange for lease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5"/>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Operating leases</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761</w:t>
            </w:r>
          </w:p>
        </w:tc>
      </w:tr>
      <w:tr>
        <w:trPr>
          <w:trHeight w:val="275"/>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Finance leases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801</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57"/>
        </w:trPr>
        <w:tc>
          <w:tcPr>
            <w:tcW w:w="2120" w:type="dxa"/>
            <w:vAlign w:val="bottom"/>
            <w:tcBorders>
              <w:bottom w:val="single" w:sz="8" w:color="auto"/>
            </w:tcBorders>
          </w:tcPr>
          <w:p>
            <w:pPr>
              <w:spacing w:after="0"/>
              <w:rPr>
                <w:sz w:val="22"/>
                <w:szCs w:val="22"/>
                <w:color w:val="auto"/>
              </w:rPr>
            </w:pPr>
          </w:p>
        </w:tc>
        <w:tc>
          <w:tcPr>
            <w:tcW w:w="5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355" w:lineRule="exact"/>
        <w:rPr>
          <w:sz w:val="20"/>
          <w:szCs w:val="20"/>
          <w:color w:val="auto"/>
        </w:rPr>
      </w:pPr>
    </w:p>
    <w:p>
      <w:pPr>
        <w:ind w:left="580" w:hanging="329"/>
        <w:spacing w:after="0" w:line="239" w:lineRule="auto"/>
        <w:tabs>
          <w:tab w:leader="none" w:pos="58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65"/>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55"/>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0"/>
        </w:trPr>
        <w:tc>
          <w:tcPr>
            <w:tcW w:w="7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4,964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Purchase and retirement of 16,947,393 shares of AAG common stock</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Issuance of 552,752 shares of AAG common stock pursuant to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42"/>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(636)</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Issuance of 1,046,122 shares of AAG common stock pursuant to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4,386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Purchase and retirement of 7,275,610 shares of AAG common stock</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Issuance of 48,547 shares of AAG common stock pursuant to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at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4,208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Purchase and retirement of 8,431,150 shares of AAG common stock</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Issuance of 313,744 shares of AAG common stock pursuant to employee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198"/>
        </w:trPr>
        <w:tc>
          <w:tcPr>
            <w:tcW w:w="5620" w:type="dxa"/>
            <w:vAlign w:val="bottom"/>
          </w:tcPr>
          <w:p>
            <w:pPr>
              <w:ind w:left="40"/>
              <w:spacing w:after="0"/>
              <w:rPr>
                <w:sz w:val="20"/>
                <w:szCs w:val="20"/>
                <w:color w:val="auto"/>
              </w:rPr>
            </w:pPr>
            <w:r>
              <w:rPr>
                <w:rFonts w:ascii="Arial" w:cs="Arial" w:eastAsia="Arial" w:hAnsi="Arial"/>
                <w:sz w:val="16"/>
                <w:szCs w:val="16"/>
                <w:color w:val="auto"/>
              </w:rPr>
              <w:t>Impact of adoption of Accounting Standards Update (ASU) 2016-01 related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5620" w:type="dxa"/>
            <w:vAlign w:val="bottom"/>
          </w:tcPr>
          <w:p>
            <w:pPr>
              <w:ind w:left="200"/>
              <w:spacing w:after="0"/>
              <w:rPr>
                <w:sz w:val="20"/>
                <w:szCs w:val="20"/>
                <w:color w:val="auto"/>
              </w:rPr>
            </w:pPr>
            <w:r>
              <w:rPr>
                <w:rFonts w:ascii="Arial" w:cs="Arial" w:eastAsia="Arial" w:hAnsi="Arial"/>
                <w:sz w:val="16"/>
                <w:szCs w:val="16"/>
                <w:color w:val="auto"/>
              </w:rPr>
              <w:t>to financial instruments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adoption of ASU 2016-02 related to leases</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42"/>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5,279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retirement of 8,175,007 shares of AAG common stock</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1,286,622 shares of AAG common stock pursuant to employee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4,923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372</w:t>
            </w:r>
          </w:p>
        </w:tc>
      </w:tr>
      <w:tr>
        <w:trPr>
          <w:trHeight w:val="27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2"/>
        </w:trPr>
        <w:tc>
          <w:tcPr>
            <w:tcW w:w="5620" w:type="dxa"/>
            <w:vAlign w:val="bottom"/>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0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57,374 shares of AAG common stock pursuant to employee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4" w:right="239" w:bottom="1440" w:gutter="0" w:footer="0" w:header="0"/>
        </w:sectPr>
      </w:pPr>
    </w:p>
    <w:bookmarkStart w:id="11" w:name="page12"/>
    <w:bookmarkEnd w:id="11"/>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53"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2018.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123"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fourth quarter of 2018, we adopted ASU 2016-02: Leases (Topic 842) (the New Lease Standard) as of January 1, 2018. The New Lease Standard did not require the recast of prior periods; however, since we elected to early adopt the New Lease Standard in the fourth quarter of 2018, the three and nine months ended September 30, 2018 have been recast to reflect the effects of adoption. As a result of the adoption of the New Lease Standard, net income increased by $31 million for the three months ended September 30, 2018 and decreased by $6 million for the nine months ended September 30, 2018.</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Recent Accounting Pronouncements</w:t>
      </w:r>
    </w:p>
    <w:p>
      <w:pPr>
        <w:spacing w:after="0" w:line="92" w:lineRule="exact"/>
        <w:rPr>
          <w:sz w:val="20"/>
          <w:szCs w:val="20"/>
          <w:color w:val="auto"/>
        </w:rPr>
      </w:pPr>
    </w:p>
    <w:p>
      <w:pPr>
        <w:jc w:val="both"/>
        <w:ind w:right="2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we adopted this standard retrospectively as of December 22, 2017, the date the 2017 Tax Act was enacted, which resulted in the recast of prior reporting periods. As a result of the adoption, we reclassified $622 million of stranded tax effects principally related to our pension plans from accumulated other comprehensive loss to retained earnings.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4" w:right="239" w:bottom="1440" w:gutter="0" w:footer="0" w:header="0"/>
        </w:sectPr>
      </w:pPr>
    </w:p>
    <w:bookmarkStart w:id="12" w:name="page13"/>
    <w:bookmarkEnd w:id="12"/>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9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5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reserve adjustments</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5"/>
        </w:trPr>
        <w:tc>
          <w:tcPr>
            <w:tcW w:w="6020" w:type="dxa"/>
            <w:vAlign w:val="bottom"/>
          </w:tcPr>
          <w:p>
            <w:pPr>
              <w:ind w:left="280"/>
              <w:spacing w:after="0"/>
              <w:rPr>
                <w:sz w:val="20"/>
                <w:szCs w:val="20"/>
                <w:color w:val="auto"/>
              </w:rPr>
            </w:pPr>
            <w:r>
              <w:rPr>
                <w:rFonts w:ascii="Arial" w:cs="Arial" w:eastAsia="Arial" w:hAnsi="Arial"/>
                <w:sz w:val="18"/>
                <w:szCs w:val="18"/>
                <w:color w:val="auto"/>
              </w:rPr>
              <w:t>Mainline operating special items, net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615</w:t>
            </w:r>
          </w:p>
        </w:tc>
      </w:tr>
      <w:tr>
        <w:trPr>
          <w:trHeight w:val="288"/>
        </w:trPr>
        <w:tc>
          <w:tcPr>
            <w:tcW w:w="60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Regional operating special items, net</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329"/>
        </w:trPr>
        <w:tc>
          <w:tcPr>
            <w:tcW w:w="60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7"/>
        </w:trPr>
        <w:tc>
          <w:tcPr>
            <w:tcW w:w="6020" w:type="dxa"/>
            <w:vAlign w:val="bottom"/>
          </w:tcPr>
          <w:p>
            <w:pPr>
              <w:ind w:left="40"/>
              <w:spacing w:after="0"/>
              <w:rPr>
                <w:sz w:val="20"/>
                <w:szCs w:val="20"/>
                <w:color w:val="auto"/>
              </w:rPr>
            </w:pPr>
            <w:r>
              <w:rPr>
                <w:rFonts w:ascii="Arial" w:cs="Arial" w:eastAsia="Arial" w:hAnsi="Arial"/>
                <w:sz w:val="18"/>
                <w:szCs w:val="18"/>
                <w:color w:val="auto"/>
              </w:rPr>
              <w:t>Mark-to-market adjustments on equity and other investments,</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2"/>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net </w:t>
            </w:r>
            <w:r>
              <w:rPr>
                <w:rFonts w:ascii="Arial" w:cs="Arial" w:eastAsia="Arial" w:hAnsi="Arial"/>
                <w:sz w:val="21"/>
                <w:szCs w:val="21"/>
                <w:color w:val="auto"/>
                <w:vertAlign w:val="superscript"/>
              </w:rPr>
              <w:t>(7)</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Other nonoperating income, net</w:t>
            </w:r>
          </w:p>
        </w:tc>
        <w:tc>
          <w:tcPr>
            <w:tcW w:w="8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5"/>
        </w:trPr>
        <w:tc>
          <w:tcPr>
            <w:tcW w:w="60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Nonoperating special items, net</w:t>
            </w:r>
          </w:p>
        </w:tc>
        <w:tc>
          <w:tcPr>
            <w:tcW w:w="8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324"/>
        </w:trPr>
        <w:tc>
          <w:tcPr>
            <w:tcW w:w="6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(8)</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0" w:hanging="330"/>
        <w:spacing w:after="0"/>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Fleet impairment includes a non-cash write-down of aircraft related to the planned retirement of our Embraer E190 fleet.</w:t>
      </w:r>
    </w:p>
    <w:p>
      <w:pPr>
        <w:spacing w:after="0" w:line="135"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ectPr>
          <w:pgSz w:w="11900" w:h="16838" w:orient="portrait"/>
          <w:cols w:equalWidth="0" w:num="1">
            <w:col w:w="11420"/>
          </w:cols>
          <w:pgMar w:left="240" w:top="331" w:right="239" w:bottom="1440" w:gutter="0" w:footer="0" w:header="0"/>
        </w:sectPr>
      </w:pPr>
    </w:p>
    <w:p>
      <w:pPr>
        <w:spacing w:after="0" w:line="142" w:lineRule="exact"/>
        <w:rPr>
          <w:sz w:val="20"/>
          <w:szCs w:val="20"/>
          <w:color w:val="auto"/>
        </w:rPr>
      </w:pPr>
    </w:p>
    <w:p>
      <w:pPr>
        <w:ind w:left="180"/>
        <w:spacing w:after="0"/>
        <w:rPr>
          <w:sz w:val="20"/>
          <w:szCs w:val="20"/>
          <w:color w:val="auto"/>
        </w:rPr>
      </w:pPr>
      <w:r>
        <w:rPr>
          <w:rFonts w:ascii="Arial" w:cs="Arial" w:eastAsia="Arial" w:hAnsi="Arial"/>
          <w:sz w:val="9"/>
          <w:szCs w:val="9"/>
          <w:color w:val="auto"/>
        </w:rPr>
        <w:t>(4)</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our common stock are marked-to-market based on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Severance expenses primarily included costs associated with reductions of management and support staff team members.</w:t>
      </w:r>
    </w:p>
    <w:p>
      <w:pPr>
        <w:spacing w:after="0" w:line="183" w:lineRule="exact"/>
        <w:rPr>
          <w:sz w:val="20"/>
          <w:szCs w:val="20"/>
          <w:color w:val="auto"/>
        </w:rPr>
      </w:pPr>
    </w:p>
    <w:p>
      <w:pPr>
        <w:sectPr>
          <w:pgSz w:w="11900" w:h="16838" w:orient="portrait"/>
          <w:cols w:equalWidth="0" w:num="2">
            <w:col w:w="300" w:space="200"/>
            <w:col w:w="10920"/>
          </w:cols>
          <w:pgMar w:left="240" w:top="331" w:right="239" w:bottom="1440" w:gutter="0" w:footer="0" w:header="0"/>
          <w:type w:val="continuous"/>
        </w:sectPr>
      </w:pPr>
    </w:p>
    <w:p>
      <w:pPr>
        <w:ind w:left="500" w:hanging="330"/>
        <w:spacing w:after="0" w:line="239"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losses associated with our equity investment in China Southern Airlines Company Limited (China Southern Airlines).</w:t>
      </w:r>
    </w:p>
    <w:p>
      <w:pPr>
        <w:spacing w:after="0" w:line="136" w:lineRule="exact"/>
        <w:rPr>
          <w:rFonts w:ascii="Arial" w:cs="Arial" w:eastAsia="Arial" w:hAnsi="Arial"/>
          <w:sz w:val="22"/>
          <w:szCs w:val="22"/>
          <w:color w:val="auto"/>
          <w:vertAlign w:val="superscript"/>
        </w:rPr>
      </w:pPr>
    </w:p>
    <w:p>
      <w:pPr>
        <w:jc w:val="both"/>
        <w:ind w:left="500" w:hanging="330"/>
        <w:spacing w:after="0" w:line="244"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net for the nine months ended September 30, 2018 included a $22 million charge to income tax expense to establish a required valuation allowance related to our estimated refund for Alternative Minimum Tax (AMT) credits and an $18 million charge related to an international income tax matter.</w:t>
      </w:r>
    </w:p>
    <w:p>
      <w:pPr>
        <w:sectPr>
          <w:pgSz w:w="11900" w:h="16838" w:orient="portrait"/>
          <w:cols w:equalWidth="0" w:num="1">
            <w:col w:w="11420"/>
          </w:cols>
          <w:pgMar w:left="240" w:top="331" w:right="23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1" w:right="239" w:bottom="1440" w:gutter="0" w:footer="0" w:header="0"/>
          <w:type w:val="continuous"/>
        </w:sectPr>
      </w:pPr>
    </w:p>
    <w:bookmarkStart w:id="13" w:name="page14"/>
    <w:bookmarkEnd w:id="13"/>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92"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following table sets forth the computation of basic and diluted earnings per common share (EPS) (in millions, except share and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4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1,088</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441,915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460,526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446,291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465,452</w:t>
            </w:r>
          </w:p>
        </w:tc>
      </w:tr>
      <w:tr>
        <w:trPr>
          <w:trHeight w:val="28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w:t>
            </w:r>
          </w:p>
        </w:tc>
      </w:tr>
      <w:tr>
        <w:trPr>
          <w:trHeight w:val="269"/>
        </w:trPr>
        <w:tc>
          <w:tcPr>
            <w:tcW w:w="6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for purposes of computing diluted EPS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1,088</w:t>
            </w:r>
          </w:p>
        </w:tc>
      </w:tr>
      <w:tr>
        <w:trPr>
          <w:trHeight w:val="247"/>
        </w:trPr>
        <w:tc>
          <w:tcPr>
            <w:tcW w:w="602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441,915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460,526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446,291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465,452</w:t>
            </w:r>
          </w:p>
        </w:tc>
      </w:tr>
      <w:tr>
        <w:trPr>
          <w:trHeight w:val="26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stock awards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1,456</w:t>
            </w:r>
          </w:p>
        </w:tc>
      </w:tr>
      <w:tr>
        <w:trPr>
          <w:trHeight w:val="255"/>
        </w:trPr>
        <w:tc>
          <w:tcPr>
            <w:tcW w:w="6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442,401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461,507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447,139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466,908</w:t>
            </w:r>
          </w:p>
        </w:tc>
      </w:tr>
      <w:tr>
        <w:trPr>
          <w:trHeight w:val="285"/>
        </w:trPr>
        <w:tc>
          <w:tcPr>
            <w:tcW w:w="60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w:t>
            </w:r>
          </w:p>
        </w:tc>
      </w:tr>
      <w:tr>
        <w:trPr>
          <w:trHeight w:val="269"/>
        </w:trPr>
        <w:tc>
          <w:tcPr>
            <w:tcW w:w="6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07"/>
        </w:trPr>
        <w:tc>
          <w:tcPr>
            <w:tcW w:w="6020" w:type="dxa"/>
            <w:vAlign w:val="bottom"/>
          </w:tcPr>
          <w:p>
            <w:pPr>
              <w:ind w:left="180"/>
              <w:spacing w:after="0"/>
              <w:rPr>
                <w:sz w:val="20"/>
                <w:szCs w:val="20"/>
                <w:color w:val="auto"/>
              </w:rPr>
            </w:pPr>
            <w:r>
              <w:rPr>
                <w:rFonts w:ascii="Arial" w:cs="Arial" w:eastAsia="Arial" w:hAnsi="Arial"/>
                <w:sz w:val="18"/>
                <w:szCs w:val="18"/>
                <w:color w:val="auto"/>
              </w:rPr>
              <w:t>Restricted stock unit awards excluded from the calculation of</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20" w:type="dxa"/>
            <w:vAlign w:val="bottom"/>
          </w:tcPr>
          <w:p>
            <w:pPr>
              <w:ind w:left="480"/>
              <w:spacing w:after="0" w:line="202" w:lineRule="exact"/>
              <w:rPr>
                <w:sz w:val="20"/>
                <w:szCs w:val="20"/>
                <w:color w:val="auto"/>
              </w:rPr>
            </w:pPr>
            <w:r>
              <w:rPr>
                <w:rFonts w:ascii="Arial" w:cs="Arial" w:eastAsia="Arial" w:hAnsi="Arial"/>
                <w:sz w:val="18"/>
                <w:szCs w:val="18"/>
                <w:color w:val="auto"/>
              </w:rPr>
              <w:t>diluted EPS because inclusion would be antidilutive (in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3"/>
        </w:trPr>
        <w:tc>
          <w:tcPr>
            <w:tcW w:w="6020" w:type="dxa"/>
            <w:vAlign w:val="bottom"/>
          </w:tcPr>
          <w:p>
            <w:pPr>
              <w:ind w:left="480"/>
              <w:spacing w:after="0"/>
              <w:rPr>
                <w:sz w:val="20"/>
                <w:szCs w:val="20"/>
                <w:color w:val="auto"/>
              </w:rPr>
            </w:pPr>
            <w:r>
              <w:rPr>
                <w:rFonts w:ascii="Arial" w:cs="Arial" w:eastAsia="Arial" w:hAnsi="Arial"/>
                <w:sz w:val="18"/>
                <w:szCs w:val="18"/>
                <w:color w:val="auto"/>
              </w:rPr>
              <w:t>thousands)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1,128</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9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September 30, 2019, there was $850 million of remaining authority to repurchase shares under our current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During the three months ended September 30, 2019, we repurchased 7.3 million shares of AAG common stock for $200 million at a weighted average cost per share of $27.49. During the nine months ended September 30, 2019, we repurchased 23.9 million shares of AAG common stock for $800 million at a weighted average cost per share of $33.43. Since the inception of our share repurchase programs in July 2014 through September 30, 2019, we repurchased 302.9 million shares of AAG common stock for $12.1 billion at a weighted average cost per share of $40.12.</w:t>
      </w:r>
    </w:p>
    <w:p>
      <w:pPr>
        <w:spacing w:after="0" w:line="121" w:lineRule="exact"/>
        <w:rPr>
          <w:sz w:val="20"/>
          <w:szCs w:val="20"/>
          <w:color w:val="auto"/>
        </w:rPr>
      </w:pPr>
    </w:p>
    <w:p>
      <w:pPr>
        <w:jc w:val="both"/>
        <w:ind w:right="20" w:firstLine="216"/>
        <w:spacing w:after="0" w:line="271" w:lineRule="auto"/>
        <w:rPr>
          <w:sz w:val="20"/>
          <w:szCs w:val="20"/>
          <w:color w:val="auto"/>
        </w:rPr>
      </w:pPr>
      <w:r>
        <w:rPr>
          <w:rFonts w:ascii="Arial" w:cs="Arial" w:eastAsia="Arial" w:hAnsi="Arial"/>
          <w:sz w:val="18"/>
          <w:szCs w:val="18"/>
          <w:color w:val="auto"/>
        </w:rPr>
        <w:t>In July 2019, our Board of Directors declared a cash dividend of $0.10 per share for stockholders of record as of August 7, 2019 and paid on August 21, 2019, totaling $44 million. For the first nine months of 2019, we paid total quarterly cash dividends of $0.30 per share, or $135 million in the aggregate.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1" w:right="239" w:bottom="1440" w:gutter="0" w:footer="0" w:header="0"/>
        </w:sectPr>
      </w:pPr>
    </w:p>
    <w:bookmarkStart w:id="14" w:name="page15"/>
    <w:bookmarkEnd w:id="14"/>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 w:right="9380" w:hanging="232"/>
        <w:spacing w:after="0" w:line="366" w:lineRule="auto"/>
        <w:tabs>
          <w:tab w:leader="none" w:pos="211"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6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29,215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28,278</w:t>
            </w: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r>
      <w:tr>
        <w:trPr>
          <w:trHeight w:val="245"/>
        </w:trPr>
        <w:tc>
          <w:tcPr>
            <w:tcW w:w="602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31,663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30,714</w:t>
            </w:r>
          </w:p>
        </w:tc>
      </w:tr>
      <w:tr>
        <w:trPr>
          <w:trHeight w:val="27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r>
      <w:tr>
        <w:trPr>
          <w:trHeight w:val="265"/>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1,765</w:t>
            </w:r>
          </w:p>
        </w:tc>
      </w:tr>
      <w:tr>
        <w:trPr>
          <w:trHeight w:val="265"/>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376</w:t>
            </w:r>
          </w:p>
        </w:tc>
      </w:tr>
      <w:tr>
        <w:trPr>
          <w:trHeight w:val="250"/>
        </w:trPr>
        <w:tc>
          <w:tcPr>
            <w:tcW w:w="6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2,141</w:t>
            </w:r>
          </w:p>
        </w:tc>
      </w:tr>
      <w:tr>
        <w:trPr>
          <w:trHeight w:val="255"/>
        </w:trPr>
        <w:tc>
          <w:tcPr>
            <w:tcW w:w="602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11,559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34,455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33,603</w:t>
            </w:r>
          </w:p>
        </w:tc>
      </w:tr>
      <w:tr>
        <w:trPr>
          <w:trHeight w:val="20"/>
        </w:trPr>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and mileage credits sold to co-branded credit card and other partners.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23,048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22,071</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3,939</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3,677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3,471</w:t>
            </w:r>
          </w:p>
        </w:tc>
      </w:tr>
      <w:tr>
        <w:trPr>
          <w:trHeight w:val="26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1,233</w:t>
            </w: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31,663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30,714</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8,539</w:t>
            </w:r>
          </w:p>
        </w:tc>
      </w:tr>
      <w:tr>
        <w:trPr>
          <w:trHeight w:val="26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5,569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4,339</w:t>
            </w:r>
          </w:p>
        </w:tc>
      </w:tr>
      <w:tr>
        <w:trPr>
          <w:trHeight w:val="25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14,091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31" w:right="239" w:bottom="1440" w:gutter="0" w:footer="0" w:header="0"/>
          <w:type w:val="continuous"/>
        </w:sectPr>
      </w:pPr>
    </w:p>
    <w:bookmarkStart w:id="15" w:name="page16"/>
    <w:bookmarkEnd w:id="15"/>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2"/>
        </w:trPr>
        <w:tc>
          <w:tcPr>
            <w:tcW w:w="970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2,587</w:t>
            </w:r>
          </w:p>
        </w:tc>
      </w:tr>
      <w:tr>
        <w:trPr>
          <w:trHeight w:val="261"/>
        </w:trPr>
        <w:tc>
          <w:tcPr>
            <w:tcW w:w="9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r>
      <w:tr>
        <w:trPr>
          <w:trHeight w:val="250"/>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Balance at September 30, 2019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8,522</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jc w:val="both"/>
        <w:ind w:left="500" w:hanging="330"/>
        <w:spacing w:after="0" w:line="244" w:lineRule="auto"/>
        <w:tabs>
          <w:tab w:leader="none" w:pos="50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32"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September 30, 2019, our current loyalty program liability was $3.2 billion and represents our current estimate of revenue expected to be recognized in the next twelve months based on historical trends, with the balance reflected in long-term loyalty program liability expected to be recognized as revenue in periods thereafter.</w:t>
      </w:r>
    </w:p>
    <w:p>
      <w:pPr>
        <w:spacing w:after="0" w:line="131"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one year. Accordingly, any revenue associated with tickets sold for future travel will be recognized within twelve months. For the nine months ended September 30, 2019, $3.2 billion of revenue was recognized in passenger revenue that was included in our air traffic liability at December 31,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1" w:right="239" w:bottom="1440" w:gutter="0" w:footer="0" w:header="0"/>
        </w:sectPr>
      </w:pPr>
    </w:p>
    <w:bookmarkStart w:id="16" w:name="page17"/>
    <w:bookmarkEnd w:id="16"/>
    <w:p>
      <w:pPr>
        <w:jc w:val="center"/>
        <w:ind w:left="440" w:right="920"/>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Long-term debt included in the condensed consolidated balance sheets consisted of (in millions):</w:t>
      </w:r>
    </w:p>
    <w:p>
      <w:pPr>
        <w:spacing w:after="0" w:line="395" w:lineRule="exact"/>
        <w:rPr>
          <w:sz w:val="20"/>
          <w:szCs w:val="20"/>
          <w:color w:val="auto"/>
        </w:rPr>
      </w:pPr>
    </w:p>
    <w:p>
      <w:pPr>
        <w:jc w:val="right"/>
        <w:ind w:right="200"/>
        <w:spacing w:after="0"/>
        <w:tabs>
          <w:tab w:leader="none" w:pos="1280" w:val="left"/>
        </w:tabs>
        <w:rPr>
          <w:sz w:val="20"/>
          <w:szCs w:val="20"/>
          <w:color w:val="auto"/>
        </w:rPr>
      </w:pPr>
      <w:r>
        <w:rPr>
          <w:rFonts w:ascii="Arial" w:cs="Arial" w:eastAsia="Arial" w:hAnsi="Arial"/>
          <w:sz w:val="14"/>
          <w:szCs w:val="14"/>
          <w:b w:val="1"/>
          <w:bCs w:val="1"/>
          <w:color w:val="auto"/>
        </w:rPr>
        <w:t>September 30,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75" w:lineRule="exact"/>
        <w:rPr>
          <w:sz w:val="20"/>
          <w:szCs w:val="20"/>
          <w:color w:val="auto"/>
        </w:rPr>
      </w:pPr>
    </w:p>
    <w:p>
      <w:pPr>
        <w:ind w:left="180"/>
        <w:spacing w:after="0"/>
        <w:tabs>
          <w:tab w:leader="none" w:pos="7880" w:val="left"/>
        </w:tabs>
        <w:rPr>
          <w:sz w:val="20"/>
          <w:szCs w:val="20"/>
          <w:color w:val="auto"/>
        </w:rPr>
      </w:pPr>
      <w:r>
        <w:rPr>
          <w:rFonts w:ascii="Arial" w:cs="Arial" w:eastAsia="Arial" w:hAnsi="Arial"/>
          <w:sz w:val="18"/>
          <w:szCs w:val="18"/>
          <w:color w:val="auto"/>
        </w:rPr>
        <w:t>2013 Credit Facilities, variable interest rate of 3.80%,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840"/>
        <w:spacing w:after="0" w:line="313" w:lineRule="auto"/>
        <w:rPr>
          <w:sz w:val="20"/>
          <w:szCs w:val="20"/>
          <w:color w:val="auto"/>
        </w:rPr>
      </w:pPr>
      <w:r>
        <w:rPr>
          <w:rFonts w:ascii="Arial" w:cs="Arial" w:eastAsia="Arial" w:hAnsi="Arial"/>
          <w:sz w:val="18"/>
          <w:szCs w:val="18"/>
          <w:color w:val="auto"/>
        </w:rPr>
        <w:t>2014 Credit Facilities, variable interest rate of 4.05%, installments through 2021 April 2016 Credit Facilities, variable interest rate of 4.04%, installments through 2023 December 2016 Credit Facilities, variable interest rate of 4.03%,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900" w:hanging="161"/>
        <w:spacing w:after="0" w:line="266" w:lineRule="auto"/>
        <w:rPr>
          <w:sz w:val="20"/>
          <w:szCs w:val="20"/>
          <w:color w:val="auto"/>
        </w:rPr>
      </w:pPr>
      <w:r>
        <w:rPr>
          <w:rFonts w:ascii="Arial" w:cs="Arial" w:eastAsia="Arial" w:hAnsi="Arial"/>
          <w:sz w:val="18"/>
          <w:szCs w:val="18"/>
          <w:color w:val="auto"/>
        </w:rPr>
        <w:t>Enhanced equipment trust certificates (EETCs), fixed interest rates ranging from 3.00% to 8.39%, averaging 4.07%, maturing from 2020 to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Equipment loans and other notes payable, fixed and variable interest rates ranging from 3.16% to 7.31%, averaging 3.74%, maturing from 2019 to 2031</w:t>
      </w:r>
    </w:p>
    <w:p>
      <w:pPr>
        <w:ind w:left="340" w:right="500" w:hanging="161"/>
        <w:spacing w:after="0" w:line="276" w:lineRule="auto"/>
        <w:rPr>
          <w:sz w:val="20"/>
          <w:szCs w:val="20"/>
          <w:color w:val="auto"/>
        </w:rPr>
      </w:pPr>
      <w:r>
        <w:rPr>
          <w:rFonts w:ascii="Arial" w:cs="Arial" w:eastAsia="Arial" w:hAnsi="Arial"/>
          <w:sz w:val="18"/>
          <w:szCs w:val="18"/>
          <w:color w:val="auto"/>
        </w:rPr>
        <w:t>Special facility revenue bonds, fixed interest rates ranging from 5.00% to 8.00%, maturing from 2020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5.50% senior notes, interest only payments until due in October 2019</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4.625% senior notes, interest only payments until due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5.000% senior notes, interest only payments until due in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63" w:lineRule="exact"/>
        <w:rPr>
          <w:sz w:val="20"/>
          <w:szCs w:val="20"/>
          <w:color w:val="auto"/>
        </w:rPr>
      </w:pPr>
    </w:p>
    <w:p>
      <w:pPr>
        <w:ind w:left="380"/>
        <w:spacing w:after="0"/>
        <w:tabs>
          <w:tab w:leader="none" w:pos="788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spacing w:after="0"/>
        <w:tabs>
          <w:tab w:leader="none" w:pos="780" w:val="left"/>
          <w:tab w:leader="none" w:pos="1900" w:val="left"/>
        </w:tabs>
        <w:rPr>
          <w:sz w:val="20"/>
          <w:szCs w:val="20"/>
          <w:color w:val="auto"/>
        </w:rPr>
      </w:pPr>
      <w:r>
        <w:rPr>
          <w:rFonts w:ascii="Arial" w:cs="Arial" w:eastAsia="Arial" w:hAnsi="Arial"/>
          <w:sz w:val="18"/>
          <w:szCs w:val="18"/>
          <w:color w:val="auto"/>
        </w:rPr>
        <w:t>1,807</w:t>
        <w:tab/>
        <w:t>$</w:t>
      </w:r>
      <w:r>
        <w:rPr>
          <w:sz w:val="20"/>
          <w:szCs w:val="20"/>
          <w:color w:val="auto"/>
        </w:rPr>
        <w:tab/>
      </w:r>
      <w:r>
        <w:rPr>
          <w:rFonts w:ascii="Arial" w:cs="Arial" w:eastAsia="Arial" w:hAnsi="Arial"/>
          <w:sz w:val="18"/>
          <w:szCs w:val="18"/>
          <w:color w:val="auto"/>
        </w:rPr>
        <w:t>1,825</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1,215</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970</w:t>
      </w:r>
      <w:r>
        <w:rPr>
          <w:sz w:val="20"/>
          <w:szCs w:val="20"/>
          <w:color w:val="auto"/>
        </w:rPr>
        <w:tab/>
      </w:r>
      <w:r>
        <w:rPr>
          <w:rFonts w:ascii="Arial" w:cs="Arial" w:eastAsia="Arial" w:hAnsi="Arial"/>
          <w:sz w:val="17"/>
          <w:szCs w:val="17"/>
          <w:color w:val="auto"/>
        </w:rPr>
        <w:t>980</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8"/>
          <w:szCs w:val="18"/>
          <w:color w:val="auto"/>
        </w:rPr>
        <w:t>1,225</w:t>
      </w:r>
    </w:p>
    <w:p>
      <w:pPr>
        <w:spacing w:after="0" w:line="252"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7"/>
          <w:szCs w:val="17"/>
          <w:color w:val="auto"/>
        </w:rPr>
        <w:t>11,929</w:t>
      </w:r>
      <w:r>
        <w:rPr>
          <w:sz w:val="20"/>
          <w:szCs w:val="20"/>
          <w:color w:val="auto"/>
        </w:rPr>
        <w:tab/>
      </w:r>
      <w:r>
        <w:rPr>
          <w:rFonts w:ascii="Arial" w:cs="Arial" w:eastAsia="Arial" w:hAnsi="Arial"/>
          <w:sz w:val="17"/>
          <w:szCs w:val="17"/>
          <w:color w:val="auto"/>
        </w:rPr>
        <w:t>11,648</w:t>
      </w:r>
    </w:p>
    <w:p>
      <w:pPr>
        <w:spacing w:after="0" w:line="264"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4,882</w:t>
      </w:r>
      <w:r>
        <w:rPr>
          <w:sz w:val="20"/>
          <w:szCs w:val="20"/>
          <w:color w:val="auto"/>
        </w:rPr>
        <w:tab/>
      </w:r>
      <w:r>
        <w:rPr>
          <w:rFonts w:ascii="Arial" w:cs="Arial" w:eastAsia="Arial" w:hAnsi="Arial"/>
          <w:sz w:val="18"/>
          <w:szCs w:val="18"/>
          <w:color w:val="auto"/>
        </w:rPr>
        <w:t>5,060</w:t>
      </w:r>
    </w:p>
    <w:p>
      <w:pPr>
        <w:spacing w:after="0" w:line="252"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754</w:t>
      </w:r>
      <w:r>
        <w:rPr>
          <w:sz w:val="20"/>
          <w:szCs w:val="20"/>
          <w:color w:val="auto"/>
        </w:rPr>
        <w:tab/>
      </w:r>
      <w:r>
        <w:rPr>
          <w:rFonts w:ascii="Arial" w:cs="Arial" w:eastAsia="Arial" w:hAnsi="Arial"/>
          <w:sz w:val="17"/>
          <w:szCs w:val="17"/>
          <w:color w:val="auto"/>
        </w:rPr>
        <w:t>798</w:t>
      </w:r>
    </w:p>
    <w:p>
      <w:pPr>
        <w:spacing w:after="0" w:line="7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22,782</w:t>
      </w:r>
      <w:r>
        <w:rPr>
          <w:sz w:val="20"/>
          <w:szCs w:val="20"/>
          <w:color w:val="auto"/>
        </w:rPr>
        <w:tab/>
      </w:r>
      <w:r>
        <w:rPr>
          <w:rFonts w:ascii="Arial" w:cs="Arial" w:eastAsia="Arial" w:hAnsi="Arial"/>
          <w:sz w:val="18"/>
          <w:szCs w:val="18"/>
          <w:color w:val="auto"/>
        </w:rPr>
        <w:t>22,751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27"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750</w:t>
      </w:r>
      <w:r>
        <w:rPr>
          <w:sz w:val="20"/>
          <w:szCs w:val="20"/>
          <w:color w:val="auto"/>
        </w:rPr>
        <w:tab/>
      </w:r>
      <w:r>
        <w:rPr>
          <w:rFonts w:ascii="Arial" w:cs="Arial" w:eastAsia="Arial" w:hAnsi="Arial"/>
          <w:sz w:val="17"/>
          <w:szCs w:val="17"/>
          <w:color w:val="auto"/>
        </w:rPr>
        <w:t>750</w:t>
      </w:r>
    </w:p>
    <w:p>
      <w:pPr>
        <w:spacing w:after="0" w:line="75"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500</w:t>
      </w:r>
      <w:r>
        <w:rPr>
          <w:sz w:val="20"/>
          <w:szCs w:val="20"/>
          <w:color w:val="auto"/>
        </w:rPr>
        <w:tab/>
      </w:r>
      <w:r>
        <w:rPr>
          <w:rFonts w:ascii="Arial" w:cs="Arial" w:eastAsia="Arial" w:hAnsi="Arial"/>
          <w:sz w:val="17"/>
          <w:szCs w:val="17"/>
          <w:color w:val="auto"/>
        </w:rPr>
        <w:t>500</w:t>
      </w:r>
    </w:p>
    <w:p>
      <w:pPr>
        <w:spacing w:after="0" w:line="75"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18"/>
          <w:szCs w:val="18"/>
          <w:color w:val="auto"/>
        </w:rPr>
        <w:t>750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1,250</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24,782</w:t>
      </w:r>
      <w:r>
        <w:rPr>
          <w:sz w:val="20"/>
          <w:szCs w:val="20"/>
          <w:color w:val="auto"/>
        </w:rPr>
        <w:tab/>
      </w:r>
      <w:r>
        <w:rPr>
          <w:rFonts w:ascii="Arial" w:cs="Arial" w:eastAsia="Arial" w:hAnsi="Arial"/>
          <w:sz w:val="18"/>
          <w:szCs w:val="18"/>
          <w:color w:val="auto"/>
        </w:rPr>
        <w:t>24,001</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222</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3,504</w:t>
      </w:r>
      <w:r>
        <w:rPr>
          <w:sz w:val="20"/>
          <w:szCs w:val="20"/>
          <w:color w:val="auto"/>
        </w:rPr>
        <w:tab/>
      </w:r>
      <w:r>
        <w:rPr>
          <w:rFonts w:ascii="Arial" w:cs="Arial" w:eastAsia="Arial" w:hAnsi="Arial"/>
          <w:sz w:val="18"/>
          <w:szCs w:val="18"/>
          <w:color w:val="auto"/>
        </w:rPr>
        <w:t>3,213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spacing w:after="0"/>
        <w:tabs>
          <w:tab w:leader="none" w:pos="780" w:val="left"/>
          <w:tab w:leader="none" w:pos="1800" w:val="left"/>
        </w:tabs>
        <w:rPr>
          <w:sz w:val="20"/>
          <w:szCs w:val="20"/>
          <w:color w:val="auto"/>
        </w:rPr>
      </w:pPr>
      <w:r>
        <w:rPr>
          <w:rFonts w:ascii="Arial" w:cs="Arial" w:eastAsia="Arial" w:hAnsi="Arial"/>
          <w:sz w:val="18"/>
          <w:szCs w:val="18"/>
          <w:color w:val="auto"/>
        </w:rPr>
        <w:t>21,055</w:t>
        <w:tab/>
        <w:t>$</w:t>
      </w:r>
      <w:r>
        <w:rPr>
          <w:sz w:val="20"/>
          <w:szCs w:val="20"/>
          <w:color w:val="auto"/>
        </w:rPr>
        <w:tab/>
      </w:r>
      <w:r>
        <w:rPr>
          <w:rFonts w:ascii="Arial" w:cs="Arial" w:eastAsia="Arial" w:hAnsi="Arial"/>
          <w:sz w:val="18"/>
          <w:szCs w:val="18"/>
          <w:color w:val="auto"/>
        </w:rPr>
        <w:t>20,566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66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480"/>
          </w:cols>
          <w:pgMar w:left="240" w:top="331" w:right="239" w:bottom="1440" w:gutter="0" w:footer="0" w:header="0"/>
          <w:type w:val="continuous"/>
        </w:sectPr>
      </w:pPr>
    </w:p>
    <w:p>
      <w:pPr>
        <w:spacing w:after="0" w:line="322"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September 30, 2019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2"/>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1"/>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5"/>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thereunder in the future.</w:t>
      </w:r>
    </w:p>
    <w:p>
      <w:pPr>
        <w:spacing w:after="0" w:line="171"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pre-delivery payments.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2019 Financing Activities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2019-1 Aircraft EETCs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August 2019, American created three pass-through trusts which issued approximately $1.1 billion aggregate face amount of Series 2019-1 Class AA, Class A and Class B EETCs (the 2019-1 Aircraft EETCs) in connection with the financing of 35 aircraft previously delivered or to be delivered to American through September 2020 (the 2019-1 Aircraft). In the third quarter of 2019, approximately $513 million of the proceeds were used to purchase equipment notes issued by American in connection with financing 15 aircraft under the 2019-1 Aircraft EETCs, of which $ 464 million was used to repay existing indebtedness. Interest and principal payments on equipment notes issued in connection with the 2019-1 Aircraft EETCs are payable semi-annually in February and August of each year, with interest payments scheduled to begin in February 2020</w:t>
      </w:r>
    </w:p>
    <w:p>
      <w:pPr>
        <w:sectPr>
          <w:pgSz w:w="11900" w:h="16838" w:orient="portrait"/>
          <w:cols w:equalWidth="0" w:num="1">
            <w:col w:w="11420"/>
          </w:cols>
          <w:pgMar w:left="240" w:top="331" w:right="2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331" w:right="239" w:bottom="1440" w:gutter="0" w:footer="0" w:header="0"/>
          <w:type w:val="continuous"/>
        </w:sectPr>
      </w:pPr>
    </w:p>
    <w:bookmarkStart w:id="17" w:name="page18"/>
    <w:bookmarkEnd w:id="17"/>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with principal payments scheduled to begin (i) in the case of equipment notes with respect to any 2019-1 Aircraft owned by American at the time of issuance of the 2019-1 Aircraft EETCs, in February 2020 and (ii) in the case of equipment notes with respect to the Embraer E175LR aircraft and the Airbus A321neo aircraft scheduled to be delivered after the issuance of the 2019-1 Aircraft EETCs, in August 2020 and August 2021, respectively. The remaining proceeds of approximately $584 million are being held in escrow with a depositary for the benefit of the holders of the 2019-1 Aircraft EETCs until such time as American issues additional equipment notes with respect to the remaining 2019-1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2019-1 Aircraft EETCs are not American’s assets.</w:t>
      </w:r>
    </w:p>
    <w:p>
      <w:pPr>
        <w:spacing w:after="0" w:line="124"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Certain information regarding the 2019-1 Aircraft EETC equipment notes and remaining escrowed proceeds, as of September 30, 2019, is set forth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2019-1 Aircraft EETCs</w:t>
            </w:r>
          </w:p>
        </w:tc>
        <w:tc>
          <w:tcPr>
            <w:tcW w:w="1600" w:type="dxa"/>
            <w:vAlign w:val="bottom"/>
            <w:tcBorders>
              <w:top w:val="single" w:sz="8" w:color="auto"/>
              <w:bottom w:val="single" w:sz="8" w:color="auto"/>
            </w:tcBorders>
            <w:shd w:val="clear" w:color="auto" w:fill="CCEEFF"/>
          </w:tcPr>
          <w:p>
            <w:pPr>
              <w:spacing w:after="0"/>
              <w:rPr>
                <w:sz w:val="19"/>
                <w:szCs w:val="19"/>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$579 million</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$289 million</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$229 million</w:t>
            </w:r>
          </w:p>
        </w:tc>
      </w:tr>
      <w:tr>
        <w:trPr>
          <w:trHeight w:val="241"/>
        </w:trPr>
        <w:tc>
          <w:tcPr>
            <w:tcW w:w="640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$308 million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$154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$122 million</w:t>
            </w:r>
          </w:p>
        </w:tc>
      </w:tr>
      <w:tr>
        <w:trPr>
          <w:trHeight w:val="2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3.85%</w:t>
            </w:r>
          </w:p>
        </w:tc>
      </w:tr>
      <w:tr>
        <w:trPr>
          <w:trHeight w:val="247"/>
        </w:trPr>
        <w:tc>
          <w:tcPr>
            <w:tcW w:w="640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rPr>
              <w:t>February 2032</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February 2032</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February 2028</w:t>
            </w:r>
          </w:p>
        </w:tc>
      </w:tr>
    </w:tbl>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2019-1 Spare Engine EETCs</w:t>
      </w:r>
    </w:p>
    <w:p>
      <w:pPr>
        <w:spacing w:after="0" w:line="8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June 2019, American created pass-through trusts which issued $650 million in aggregate face amount of 2019-1 Engine EETCs (the 2019-1 Engine EETCs), with maturities from June 2022 to June 2026. All of the proceeds received by such pass-through trusts from the sale of the 2019-1 Engine EETCs have been used to acquire equipment notes issued by American to the pass-through trusts. The pass-through trust certificates represent the right to payment under the equipment notes that are full-recourse obligations of American and such equipment notes are secured by spare aircraft engines currently owned and operated by American.</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and Other Notes Payable Issued in 2019</w:t>
      </w:r>
    </w:p>
    <w:p>
      <w:pPr>
        <w:spacing w:after="0" w:line="8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first nine months of 2019, American entered into agreements under which it borrowed $1.6 billion in connection with the financing or refinancing, as the case may be, of certain aircraft and other flight equipment, of which $643 million was used to repay existing indebtedness. Debt incurred under these agreements matures in 2023 through 2031 and bears interest at variable rates (comprised of LIBOR plus an applicable margin) averaging 3.59% at September 30, 2019.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5.000% Senior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May 2019, AAG issued $750 million aggregate principal amount of 5.000% senior notes due 2022 (the 5.000% senior notes). These notes bear interest at a rate of 5.000% per annum, payable semi-annually in arrears on June 1 and December 1 of each year, beginning on December 1, 2019. The 5.000% senior notes are senior unsecured obligations of AAG. The 5.000% senior notes mature on June 1, 2022 and are fully and unconditionally guaranteed by American. The indenture for the 5.000% senior notes contains covenants and events of default generally customary for similar financings. In addition, if AAG experiences a specified change of control, AAG must offer to repurchase the 5.000% senior notes in whole or in part at a repurchase price of 101% of the aggregate principal amount plus accrued and unpaid interest, if any, to (but not including) the repurchase date. Upon the occurrence of certain events of default, the 5.000% senior notes may be accelerated and become due and payable immediately.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At December 31, 2018, we had approximately $10.2 billion of federal net operating losses (NOLs) carried over from prior taxable years (NOL Carryforwards) to reduce future federal taxable income, substantially all of which we expect to be available for use in 2019. The federal NOL Carryforwards will expire beginning in 2022 if unused. We also had approximately $3.2 billion of NOL Carryforwards to reduce future state taxable income at December 31, 2018, which will expire in years 2019 through 2038 if unused.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1" w:right="239" w:bottom="1440" w:gutter="0" w:footer="0" w:header="0"/>
        </w:sectPr>
      </w:pPr>
    </w:p>
    <w:bookmarkStart w:id="18" w:name="page19"/>
    <w:bookmarkEnd w:id="18"/>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3"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At December 31, 2018, we had an AMT credit carryforward of approximately $339 million available for federal income tax purposes, which is expected to be fully refundable over the next several years as a result of the repeal of corporate AMT.</w:t>
      </w:r>
    </w:p>
    <w:p>
      <w:pPr>
        <w:spacing w:after="0" w:line="9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During the three and nine months ended September 30, 2019, we recorded an income tax provision of $132 million and $413 million, respectively, which was substantially non-cash as we utilized our NOLs as described above.</w:t>
      </w:r>
    </w:p>
    <w:p>
      <w:pPr>
        <w:spacing w:after="0" w:line="170"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nine months ended September 30, 2019.</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2019</w:t>
            </w:r>
          </w:p>
        </w:tc>
        <w:tc>
          <w:tcPr>
            <w:tcW w:w="102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65"/>
        </w:trPr>
        <w:tc>
          <w:tcPr>
            <w:tcW w:w="5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5"/>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5"/>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65"/>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75"/>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70"/>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55"/>
        </w:trPr>
        <w:tc>
          <w:tcPr>
            <w:tcW w:w="2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64" w:lineRule="exact"/>
        <w:rPr>
          <w:sz w:val="20"/>
          <w:szCs w:val="20"/>
          <w:color w:val="auto"/>
        </w:rPr>
      </w:pPr>
    </w:p>
    <w:p>
      <w:pPr>
        <w:ind w:left="500" w:hanging="330"/>
        <w:spacing w:after="0"/>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Our short-term investments mature in one year or less except for $1.0 billion of bank notes/certificates of deposit/time deposits and $125 million of corporate obligations.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our equity investment in China Southern Airlines and are classified in other assets on the condensed consolidated balance sheets.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2018</w:t>
            </w:r>
          </w:p>
        </w:tc>
      </w:tr>
      <w:tr>
        <w:trPr>
          <w:trHeight w:val="168"/>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203"/>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6"/>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25,334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23,779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23,775</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65"/>
        </w:trPr>
        <w:tc>
          <w:tcPr>
            <w:tcW w:w="55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31" w:right="239" w:bottom="1440" w:gutter="0" w:footer="0" w:header="0"/>
        </w:sectPr>
      </w:pPr>
    </w:p>
    <w:bookmarkStart w:id="19" w:name="page20"/>
    <w:bookmarkEnd w:id="19"/>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1"/>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5"/>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5"/>
        </w:trPr>
        <w:tc>
          <w:tcPr>
            <w:tcW w:w="5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483"/>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1"/>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65"/>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Prior service cost (benefit)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65"/>
        </w:trPr>
        <w:tc>
          <w:tcPr>
            <w:tcW w:w="5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6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periodic benefit cost (income)</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nine months of 2019, we made contributions of $1.2 billion to our defined benefit pension plans.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r>
      <w:tr>
        <w:trPr>
          <w:trHeight w:val="20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5"/>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87"/>
        </w:trPr>
        <w:tc>
          <w:tcPr>
            <w:tcW w:w="4920" w:type="dxa"/>
            <w:vAlign w:val="bottom"/>
            <w:gridSpan w:val="2"/>
          </w:tcPr>
          <w:p>
            <w:pPr>
              <w:ind w:left="180"/>
              <w:spacing w:after="0" w:line="187" w:lineRule="exact"/>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48"/>
        </w:trPr>
        <w:tc>
          <w:tcPr>
            <w:tcW w:w="4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355" w:lineRule="exact"/>
        <w:rPr>
          <w:sz w:val="20"/>
          <w:szCs w:val="20"/>
          <w:color w:val="auto"/>
        </w:rPr>
      </w:pPr>
    </w:p>
    <w:p>
      <w:pPr>
        <w:ind w:left="540" w:hanging="316"/>
        <w:spacing w:after="0" w:line="239" w:lineRule="auto"/>
        <w:tabs>
          <w:tab w:leader="none" w:pos="5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6" w:lineRule="exact"/>
        <w:rPr>
          <w:rFonts w:ascii="Arial" w:cs="Arial" w:eastAsia="Arial" w:hAnsi="Arial"/>
          <w:sz w:val="22"/>
          <w:szCs w:val="22"/>
          <w:color w:val="auto"/>
          <w:vertAlign w:val="superscript"/>
        </w:rPr>
      </w:pPr>
    </w:p>
    <w:p>
      <w:pPr>
        <w:ind w:left="540" w:hanging="316"/>
        <w:spacing w:after="0" w:line="239" w:lineRule="auto"/>
        <w:tabs>
          <w:tab w:leader="none" w:pos="5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ectPr>
          <w:pgSz w:w="11900" w:h="16838" w:orient="portrait"/>
          <w:cols w:equalWidth="0" w:num="1">
            <w:col w:w="11420"/>
          </w:cols>
          <w:pgMar w:left="240" w:top="331" w:right="239" w:bottom="876"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31" w:right="239" w:bottom="876" w:gutter="0" w:footer="0" w:header="0"/>
          <w:type w:val="continuous"/>
        </w:sectPr>
      </w:pPr>
    </w:p>
    <w:bookmarkStart w:id="20" w:name="page21"/>
    <w:bookmarkEnd w:id="20"/>
    <w:p>
      <w:pPr>
        <w:jc w:val="center"/>
        <w:ind w:left="1120" w:right="1120"/>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Amounts reclassified from AOCI</w:t>
            </w:r>
          </w:p>
        </w:tc>
        <w:tc>
          <w:tcPr>
            <w:tcW w:w="900" w:type="dxa"/>
            <w:vAlign w:val="bottom"/>
            <w:tcBorders>
              <w:bottom w:val="single" w:sz="8" w:color="auto"/>
            </w:tcBorders>
          </w:tcPr>
          <w:p>
            <w:pPr>
              <w:spacing w:after="0"/>
              <w:rPr>
                <w:sz w:val="17"/>
                <w:szCs w:val="17"/>
                <w:color w:val="auto"/>
              </w:rPr>
            </w:pPr>
          </w:p>
        </w:tc>
      </w:tr>
      <w:tr>
        <w:trPr>
          <w:trHeight w:val="168"/>
        </w:trPr>
        <w:tc>
          <w:tcPr>
            <w:tcW w:w="3640" w:type="dxa"/>
            <w:vAlign w:val="bottom"/>
          </w:tcPr>
          <w:p>
            <w:pPr>
              <w:spacing w:after="0"/>
              <w:rPr>
                <w:sz w:val="14"/>
                <w:szCs w:val="14"/>
                <w:color w:val="auto"/>
              </w:rPr>
            </w:pPr>
          </w:p>
        </w:tc>
        <w:tc>
          <w:tcPr>
            <w:tcW w:w="2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3640" w:type="dxa"/>
            <w:vAlign w:val="bottom"/>
          </w:tcPr>
          <w:p>
            <w:pPr>
              <w:spacing w:after="0"/>
              <w:rPr>
                <w:sz w:val="17"/>
                <w:szCs w:val="17"/>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36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4860"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820" w:hanging="19"/>
        <w:spacing w:after="0" w:line="271"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160" w:space="720"/>
            <w:col w:w="2540"/>
          </w:cols>
          <w:pgMar w:left="240" w:top="33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medical and other postretirement</w:t>
      </w:r>
    </w:p>
    <w:p>
      <w:pPr>
        <w:ind w:left="40"/>
        <w:spacing w:after="0"/>
        <w:rPr>
          <w:sz w:val="20"/>
          <w:szCs w:val="20"/>
          <w:color w:val="auto"/>
        </w:rPr>
      </w:pPr>
      <w:r>
        <w:rPr>
          <w:rFonts w:ascii="Arial" w:cs="Arial" w:eastAsia="Arial" w:hAnsi="Arial"/>
          <w:sz w:val="18"/>
          <w:szCs w:val="18"/>
          <w:color w:val="auto"/>
        </w:rPr>
        <w:t>benefits: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48"/>
        </w:trPr>
        <w:tc>
          <w:tcPr>
            <w:tcW w:w="368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312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52"/>
        </w:trPr>
        <w:tc>
          <w:tcPr>
            <w:tcW w:w="3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7"/>
        </w:trPr>
        <w:tc>
          <w:tcPr>
            <w:tcW w:w="3680" w:type="dxa"/>
            <w:vAlign w:val="bottom"/>
          </w:tcPr>
          <w:p>
            <w:pPr>
              <w:ind w:left="40"/>
              <w:spacing w:after="0" w:line="187" w:lineRule="exact"/>
              <w:rPr>
                <w:sz w:val="20"/>
                <w:szCs w:val="20"/>
                <w:color w:val="auto"/>
              </w:rPr>
            </w:pPr>
            <w:r>
              <w:rPr>
                <w:rFonts w:ascii="Arial" w:cs="Arial" w:eastAsia="Arial" w:hAnsi="Arial"/>
                <w:sz w:val="18"/>
                <w:szCs w:val="18"/>
                <w:color w:val="auto"/>
              </w:rPr>
              <w:t>Total reclassifications for the period,</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6"/>
                <w:szCs w:val="16"/>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8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40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92" w:lineRule="exact"/>
        <w:rPr>
          <w:sz w:val="20"/>
          <w:szCs w:val="20"/>
          <w:color w:val="auto"/>
        </w:rPr>
      </w:pPr>
    </w:p>
    <w:p>
      <w:pPr>
        <w:ind w:right="20" w:firstLine="216"/>
        <w:spacing w:after="0" w:line="29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1,175</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251</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6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449</w:t>
            </w: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5,323</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379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500" w:hanging="330"/>
        <w:spacing w:after="0" w:line="246" w:lineRule="auto"/>
        <w:tabs>
          <w:tab w:leader="none" w:pos="500" w:val="left"/>
        </w:tabs>
        <w:numPr>
          <w:ilvl w:val="1"/>
          <w:numId w:val="15"/>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September 30, 2019 and 2018, we recognized $150 million and $142 million, respectively, of expense under our capacity purchase agreement with Republic Airline Inc. (Republic). During the nine months ended September 30, 2019 and 2018, we recognized $442 million and $423 million, respectively, of expense under our capacity purchase agreement with Republic. We hold a 25% equity interest in Republic Airways Holdings Inc., the parent company of Republic.</w:t>
      </w:r>
    </w:p>
    <w:p>
      <w:pPr>
        <w:spacing w:after="0" w:line="209"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24"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w:t>
      </w:r>
    </w:p>
    <w:p>
      <w:pPr>
        <w:sectPr>
          <w:pgSz w:w="11900" w:h="16838" w:orient="portrait"/>
          <w:cols w:equalWidth="0" w:num="1">
            <w:col w:w="11420"/>
          </w:cols>
          <w:pgMar w:left="240" w:top="331" w:right="239" w:bottom="1440" w:gutter="0" w:footer="0" w:header="0"/>
          <w:type w:val="continuous"/>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31" w:right="239" w:bottom="1440" w:gutter="0" w:footer="0" w:header="0"/>
          <w:type w:val="continuous"/>
        </w:sectPr>
      </w:pPr>
    </w:p>
    <w:bookmarkStart w:id="21" w:name="page22"/>
    <w:bookmarkEnd w:id="21"/>
    <w:p>
      <w:pPr>
        <w:jc w:val="center"/>
        <w:spacing w:after="0" w:line="303"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2013 and have at all times since been included in the number of shares issued and outstanding as reported from time to time in our quarterly and annual reports, including for purposes of calculating earnings per common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class claims in the U.S. lawsuits. That settlement was approved by the DC Court on May 13, 2019. Three parties who objected to the settlement have appealed that decision to the United States Court of Appeals for the District of Columbia. We believe these appeals are without merit and intend to vigorously defend against them.</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and focusing on potential violations of the False Claims Act or other statutes. In October 2015, we received a Civil Investigative Demand from the DOJ seeking certain information relating to these contracts and the DOJ has also sought information concerning certain of the airlines that transport mail on a codeshare basis. In August 2019, we entered into a settlement with the Civil Division of the DOJ, pursuant to which we paid $22 million. We admitted no liability in connection with this settlement.</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otherwise, which could affect our financial position and liquidity” </w:t>
      </w:r>
      <w:r>
        <w:rPr>
          <w:rFonts w:ascii="Arial" w:cs="Arial" w:eastAsia="Arial" w:hAnsi="Arial"/>
          <w:sz w:val="18"/>
          <w:szCs w:val="18"/>
          <w:color w:val="auto"/>
        </w:rPr>
        <w:t>for additional discussion.</w:t>
      </w:r>
    </w:p>
    <w:p>
      <w:pPr>
        <w:spacing w:after="0" w:line="203" w:lineRule="exact"/>
        <w:rPr>
          <w:sz w:val="20"/>
          <w:szCs w:val="20"/>
          <w:color w:val="auto"/>
        </w:rPr>
      </w:pPr>
    </w:p>
    <w:p>
      <w:pPr>
        <w:ind w:left="220" w:right="9440" w:hanging="212"/>
        <w:spacing w:after="0" w:line="345" w:lineRule="auto"/>
        <w:tabs>
          <w:tab w:leader="none" w:pos="30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u w:val="single" w:color="auto"/>
          <w:color w:val="auto"/>
        </w:rPr>
        <w:t>Dividend Declaration</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October 2019, we announced that our Board of Directors declared a $ 0.10 per share dividend for stockholders of record as of November 6, 2019, and payable on November 20, 2019.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420"/>
          </w:cols>
          <w:pgMar w:left="240" w:top="574" w:right="239" w:bottom="1440" w:gutter="0" w:footer="0" w:header="0"/>
        </w:sectPr>
      </w:pPr>
    </w:p>
    <w:p>
      <w:pPr>
        <w:spacing w:after="0" w:line="373"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27305</wp:posOffset>
            </wp:positionV>
            <wp:extent cx="16808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6500"/>
        <w:spacing w:after="0"/>
        <w:tabs>
          <w:tab w:leader="none" w:pos="78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27305</wp:posOffset>
            </wp:positionV>
            <wp:extent cx="16808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45" w:lineRule="exact"/>
        <w:rPr>
          <w:sz w:val="20"/>
          <w:szCs w:val="20"/>
          <w:color w:val="auto"/>
        </w:rPr>
      </w:pPr>
    </w:p>
    <w:p>
      <w:pPr>
        <w:sectPr>
          <w:pgSz w:w="11900" w:h="16838" w:orient="portrait"/>
          <w:cols w:equalWidth="0" w:num="2">
            <w:col w:w="8580" w:space="340"/>
            <w:col w:w="2500"/>
          </w:cols>
          <w:pgMar w:left="240" w:top="574"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revenues: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31,663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30,714</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2,132</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34,449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33,594</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9,234</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5,275</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1,499</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1,366</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3,835</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11,082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10,850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32,148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31,462</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2,132</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55"/>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1,717</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4"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1,251</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5"/>
        </w:trPr>
        <w:tc>
          <w:tcPr>
            <w:tcW w:w="6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1,201</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Short-term investments</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4,854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 and short-term investments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 from related parties, net</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11,232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Aircraft fuel, spare parts and supplies, net</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6"/>
                <w:szCs w:val="16"/>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20,723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19,257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Flight equipment</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41,971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41,180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Ground property and equipment</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Equipment purchase deposits</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at cost</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52,429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50,923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Less accumulated depreciation and amortization</w:t>
            </w:r>
          </w:p>
        </w:tc>
        <w:tc>
          <w:tcPr>
            <w:tcW w:w="14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(18,152)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(17,123)</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net</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34,277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33,800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Operating lease right-of-use assets</w:t>
            </w:r>
          </w:p>
        </w:tc>
        <w:tc>
          <w:tcPr>
            <w:tcW w:w="14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8,795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9,094</w:t>
            </w: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4,091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Intangibles, net of accumulated amortization of $694 and $663, respectively</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other assets</w:t>
            </w:r>
          </w:p>
        </w:tc>
        <w:tc>
          <w:tcPr>
            <w:tcW w:w="140" w:type="dxa"/>
            <w:vAlign w:val="bottom"/>
          </w:tcPr>
          <w:p>
            <w:pPr>
              <w:spacing w:after="0"/>
              <w:rPr>
                <w:sz w:val="16"/>
                <w:szCs w:val="16"/>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8,084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8,727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71,879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70,878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Current maturities of long-term debt and finance leases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2,547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Accrued salaries and wages</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Air traffic liability</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4,339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Loyalty program liability</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3,197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Other accrued liabilities</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18,058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17,121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and finance leases, net of current maturities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20,650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Pension and postretirement benefits</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5,570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Loyalty program liability</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5,272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7,499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7,857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20"/>
              <w:spacing w:after="0"/>
              <w:rPr>
                <w:sz w:val="20"/>
                <w:szCs w:val="20"/>
                <w:color w:val="auto"/>
              </w:rPr>
            </w:pPr>
            <w:r>
              <w:rPr>
                <w:rFonts w:ascii="Arial" w:cs="Arial" w:eastAsia="Arial" w:hAnsi="Arial"/>
                <w:sz w:val="14"/>
                <w:szCs w:val="14"/>
                <w:color w:val="auto"/>
              </w:rPr>
              <w:t>Total noncurrent liabilities</w:t>
            </w:r>
          </w:p>
        </w:tc>
        <w:tc>
          <w:tcPr>
            <w:tcW w:w="140" w:type="dxa"/>
            <w:vAlign w:val="bottom"/>
          </w:tcPr>
          <w:p>
            <w:pPr>
              <w:spacing w:after="0"/>
              <w:rPr>
                <w:sz w:val="16"/>
                <w:szCs w:val="16"/>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40,561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41,987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140" w:type="dxa"/>
            <w:vAlign w:val="bottom"/>
            <w:shd w:val="clear" w:color="auto" w:fill="CCEEFF"/>
          </w:tcPr>
          <w:p>
            <w:pPr>
              <w:spacing w:after="0"/>
              <w:rPr>
                <w:sz w:val="18"/>
                <w:szCs w:val="18"/>
                <w:color w:val="auto"/>
              </w:rPr>
            </w:pPr>
          </w:p>
        </w:tc>
        <w:tc>
          <w:tcPr>
            <w:tcW w:w="1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7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16,881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16,802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8"/>
                <w:szCs w:val="18"/>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auto"/>
              </w:rPr>
              <w:t>2,421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11,770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900" w:type="dxa"/>
            <w:vAlign w:val="bottom"/>
          </w:tcPr>
          <w:p>
            <w:pPr>
              <w:ind w:left="104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71,879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70,878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74" w:right="239" w:bottom="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574" w:right="239" w:bottom="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57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51"/>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1,295</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and equipment and sale-leaseback transactions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855</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Sales of short-term investments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2,816</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 in restricted short-term investments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65"/>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investing activities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5"/>
        </w:trPr>
        <w:tc>
          <w:tcPr>
            <w:tcW w:w="7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r>
      <w:tr>
        <w:trPr>
          <w:trHeight w:val="265"/>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5"/>
        </w:trPr>
        <w:tc>
          <w:tcPr>
            <w:tcW w:w="78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r>
      <w:tr>
        <w:trPr>
          <w:trHeight w:val="255"/>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65"/>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390</w:t>
            </w:r>
          </w:p>
        </w:tc>
      </w:tr>
      <w:tr>
        <w:trPr>
          <w:trHeight w:val="25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0"/>
        </w:trPr>
        <w:tc>
          <w:tcPr>
            <w:tcW w:w="21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8"/>
        </w:trPr>
        <w:tc>
          <w:tcPr>
            <w:tcW w:w="21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7"/>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Right-of-use assets obtained in exchange for lease liabilities: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Operating leases</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65"/>
        </w:trPr>
        <w:tc>
          <w:tcPr>
            <w:tcW w:w="7880" w:type="dxa"/>
            <w:vAlign w:val="bottom"/>
            <w:gridSpan w:val="2"/>
          </w:tcPr>
          <w:p>
            <w:pPr>
              <w:ind w:left="720"/>
              <w:spacing w:after="0"/>
              <w:rPr>
                <w:sz w:val="20"/>
                <w:szCs w:val="20"/>
                <w:color w:val="auto"/>
              </w:rPr>
            </w:pPr>
            <w:r>
              <w:rPr>
                <w:rFonts w:ascii="Arial" w:cs="Arial" w:eastAsia="Arial" w:hAnsi="Arial"/>
                <w:sz w:val="18"/>
                <w:szCs w:val="18"/>
                <w:color w:val="auto"/>
              </w:rPr>
              <w:t>Finance leases</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Supplemental information:</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paid, net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741</w:t>
            </w:r>
          </w:p>
        </w:tc>
      </w:tr>
      <w:tr>
        <w:trPr>
          <w:trHeight w:val="261"/>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Income taxes paid</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66"/>
        </w:trPr>
        <w:tc>
          <w:tcPr>
            <w:tcW w:w="2120" w:type="dxa"/>
            <w:vAlign w:val="bottom"/>
            <w:tcBorders>
              <w:bottom w:val="single" w:sz="8" w:color="auto"/>
            </w:tcBorders>
          </w:tcPr>
          <w:p>
            <w:pPr>
              <w:spacing w:after="0"/>
              <w:rPr>
                <w:sz w:val="23"/>
                <w:szCs w:val="23"/>
                <w:color w:val="auto"/>
              </w:rPr>
            </w:pPr>
          </w:p>
        </w:tc>
        <w:tc>
          <w:tcPr>
            <w:tcW w:w="5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355" w:lineRule="exact"/>
        <w:rPr>
          <w:sz w:val="20"/>
          <w:szCs w:val="20"/>
          <w:color w:val="auto"/>
        </w:rPr>
      </w:pPr>
    </w:p>
    <w:p>
      <w:pPr>
        <w:ind w:left="580" w:hanging="329"/>
        <w:spacing w:after="0" w:line="239" w:lineRule="auto"/>
        <w:tabs>
          <w:tab w:leader="none" w:pos="58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32"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6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55"/>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0"/>
        </w:trPr>
        <w:tc>
          <w:tcPr>
            <w:tcW w:w="7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5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11,770</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5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12,012</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714</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5"/>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12,740</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Intercompany equity transfer</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13,260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510"/>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5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9,888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1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Accounting Standards Update (ASU) 2016-01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2"/>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financial instruments</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of adoption of ASU 2016-02 related to leases</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197</w:t>
            </w:r>
          </w:p>
        </w:tc>
      </w:tr>
      <w:tr>
        <w:trPr>
          <w:trHeight w:val="25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10,360</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609</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5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10,974</w:t>
            </w: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3"/>
                <w:szCs w:val="23"/>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433</w:t>
            </w: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11,413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2018. American is the principal wholly-owned subsidiary of American Airlines Group Inc. (AAG). All significant intercompany transactions have been eliminated.</w:t>
      </w:r>
    </w:p>
    <w:p>
      <w:pPr>
        <w:spacing w:after="0" w:line="11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123"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fourth quarter of 2018, American adopted ASU 2016-02: Leases (Topic 842) (the New Lease Standard) as of January 1, 2018. The New Lease Standard did not require the recast of prior periods; however, since American elected to early adopt the New Lease Standard in the fourth quarter of 2018, the three and nine months ended September 30, 2018 have been recast to reflect the effects of adoption. As a result of the adoption of the New Lease Standard, American's net income increased by $31 million for the three months ended September 30, 2018 and decreased by $6 million for the nine months ended September 30, 2018.</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Recent Accounting Pronouncements</w:t>
      </w:r>
    </w:p>
    <w:p>
      <w:pPr>
        <w:spacing w:after="0" w:line="92" w:lineRule="exact"/>
        <w:rPr>
          <w:sz w:val="20"/>
          <w:szCs w:val="20"/>
          <w:color w:val="auto"/>
        </w:rPr>
      </w:pPr>
    </w:p>
    <w:p>
      <w:pPr>
        <w:ind w:right="54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American adopted this standard retrospectively as of December 22, 2017, the date the 2017 Tax Act was enacted, which resulted in the recast of prior reporting periods. As a result of the adoption, American reclassified $622 million of stranded tax effects principally related to its pension plans from accumulated other comprehensive loss to retained earnings.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90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5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reserve adjustments</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8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82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5"/>
        </w:trPr>
        <w:tc>
          <w:tcPr>
            <w:tcW w:w="6020" w:type="dxa"/>
            <w:vAlign w:val="bottom"/>
          </w:tcPr>
          <w:p>
            <w:pPr>
              <w:ind w:left="180"/>
              <w:spacing w:after="0"/>
              <w:rPr>
                <w:sz w:val="20"/>
                <w:szCs w:val="20"/>
                <w:color w:val="auto"/>
              </w:rPr>
            </w:pPr>
            <w:r>
              <w:rPr>
                <w:rFonts w:ascii="Arial" w:cs="Arial" w:eastAsia="Arial" w:hAnsi="Arial"/>
                <w:sz w:val="18"/>
                <w:szCs w:val="18"/>
                <w:color w:val="auto"/>
              </w:rPr>
              <w:t>Mainline operating special items, net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615</w:t>
            </w:r>
          </w:p>
        </w:tc>
      </w:tr>
      <w:tr>
        <w:trPr>
          <w:trHeight w:val="288"/>
        </w:trPr>
        <w:tc>
          <w:tcPr>
            <w:tcW w:w="60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7"/>
        </w:trPr>
        <w:tc>
          <w:tcPr>
            <w:tcW w:w="6020" w:type="dxa"/>
            <w:vAlign w:val="bottom"/>
          </w:tcPr>
          <w:p>
            <w:pPr>
              <w:ind w:left="40"/>
              <w:spacing w:after="0"/>
              <w:rPr>
                <w:sz w:val="20"/>
                <w:szCs w:val="20"/>
                <w:color w:val="auto"/>
              </w:rPr>
            </w:pPr>
            <w:r>
              <w:rPr>
                <w:rFonts w:ascii="Arial" w:cs="Arial" w:eastAsia="Arial" w:hAnsi="Arial"/>
                <w:sz w:val="18"/>
                <w:szCs w:val="18"/>
                <w:color w:val="auto"/>
              </w:rPr>
              <w:t>Mark-to-market adjustments on equity and other investments,</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2"/>
        </w:trPr>
        <w:tc>
          <w:tcPr>
            <w:tcW w:w="6020" w:type="dxa"/>
            <w:vAlign w:val="bottom"/>
          </w:tcPr>
          <w:p>
            <w:pPr>
              <w:ind w:left="40"/>
              <w:spacing w:after="0"/>
              <w:rPr>
                <w:sz w:val="20"/>
                <w:szCs w:val="20"/>
                <w:color w:val="auto"/>
              </w:rPr>
            </w:pPr>
            <w:r>
              <w:rPr>
                <w:rFonts w:ascii="Arial" w:cs="Arial" w:eastAsia="Arial" w:hAnsi="Arial"/>
                <w:sz w:val="18"/>
                <w:szCs w:val="18"/>
                <w:color w:val="auto"/>
              </w:rPr>
              <w:t xml:space="preserve">net </w:t>
            </w:r>
            <w:r>
              <w:rPr>
                <w:rFonts w:ascii="Arial" w:cs="Arial" w:eastAsia="Arial" w:hAnsi="Arial"/>
                <w:sz w:val="21"/>
                <w:szCs w:val="21"/>
                <w:color w:val="auto"/>
                <w:vertAlign w:val="superscript"/>
              </w:rPr>
              <w:t>(7)</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and extinguishment charges</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5"/>
        </w:trPr>
        <w:tc>
          <w:tcPr>
            <w:tcW w:w="6020" w:type="dxa"/>
            <w:vAlign w:val="bottom"/>
          </w:tcPr>
          <w:p>
            <w:pPr>
              <w:ind w:left="280"/>
              <w:spacing w:after="0"/>
              <w:rPr>
                <w:sz w:val="20"/>
                <w:szCs w:val="20"/>
                <w:color w:val="auto"/>
              </w:rPr>
            </w:pPr>
            <w:r>
              <w:rPr>
                <w:rFonts w:ascii="Arial" w:cs="Arial" w:eastAsia="Arial" w:hAnsi="Arial"/>
                <w:sz w:val="18"/>
                <w:szCs w:val="18"/>
                <w:color w:val="auto"/>
              </w:rPr>
              <w:t>Nonoperating special items, net</w:t>
            </w:r>
          </w:p>
        </w:tc>
        <w:tc>
          <w:tcPr>
            <w:tcW w:w="8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r>
      <w:tr>
        <w:trPr>
          <w:trHeight w:val="329"/>
        </w:trPr>
        <w:tc>
          <w:tcPr>
            <w:tcW w:w="60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316"/>
        </w:trPr>
        <w:tc>
          <w:tcPr>
            <w:tcW w:w="6020" w:type="dxa"/>
            <w:vAlign w:val="bottom"/>
          </w:tcPr>
          <w:p>
            <w:pPr>
              <w:ind w:left="28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1"/>
                <w:szCs w:val="21"/>
                <w:color w:val="auto"/>
                <w:vertAlign w:val="superscript"/>
              </w:rPr>
              <w:t>(8)</w:t>
            </w:r>
          </w:p>
        </w:tc>
        <w:tc>
          <w:tcPr>
            <w:tcW w:w="8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3379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Fleet impairment includes a non-cash write-down of aircraft related to the planned retirement of American's Embraer E190 fleet.</w:t>
      </w:r>
    </w:p>
    <w:p>
      <w:pPr>
        <w:spacing w:after="0" w:line="135"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ectPr>
          <w:pgSz w:w="11900" w:h="16838" w:orient="portrait"/>
          <w:cols w:equalWidth="0" w:num="1">
            <w:col w:w="11420"/>
          </w:cols>
          <w:pgMar w:left="240" w:top="331" w:right="239" w:bottom="1440" w:gutter="0" w:footer="0" w:header="0"/>
        </w:sectPr>
      </w:pPr>
    </w:p>
    <w:p>
      <w:pPr>
        <w:spacing w:after="0" w:line="142" w:lineRule="exact"/>
        <w:rPr>
          <w:sz w:val="20"/>
          <w:szCs w:val="20"/>
          <w:color w:val="auto"/>
        </w:rPr>
      </w:pPr>
    </w:p>
    <w:p>
      <w:pPr>
        <w:ind w:left="180"/>
        <w:spacing w:after="0"/>
        <w:rPr>
          <w:sz w:val="20"/>
          <w:szCs w:val="20"/>
          <w:color w:val="auto"/>
        </w:rPr>
      </w:pPr>
      <w:r>
        <w:rPr>
          <w:rFonts w:ascii="Arial" w:cs="Arial" w:eastAsia="Arial" w:hAnsi="Arial"/>
          <w:sz w:val="9"/>
          <w:szCs w:val="9"/>
          <w:color w:val="auto"/>
        </w:rPr>
        <w:t>(4)</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171" w:lineRule="exact"/>
        <w:rPr>
          <w:sz w:val="20"/>
          <w:szCs w:val="20"/>
          <w:color w:val="auto"/>
        </w:rPr>
      </w:pPr>
    </w:p>
    <w:p>
      <w:pPr>
        <w:sectPr>
          <w:pgSz w:w="11900" w:h="16838" w:orient="portrait"/>
          <w:cols w:equalWidth="0" w:num="2">
            <w:col w:w="300" w:space="200"/>
            <w:col w:w="10920"/>
          </w:cols>
          <w:pgMar w:left="240" w:top="331" w:right="239" w:bottom="1440" w:gutter="0" w:footer="0" w:header="0"/>
          <w:type w:val="continuous"/>
        </w:sectPr>
      </w:pPr>
    </w:p>
    <w:p>
      <w:pPr>
        <w:ind w:left="500" w:hanging="330"/>
        <w:spacing w:after="0" w:line="239" w:lineRule="auto"/>
        <w:tabs>
          <w:tab w:leader="none" w:pos="50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losses associated with American's equity investment in China Southern Airlines Company Limited (China Southern Airlines).</w:t>
      </w:r>
    </w:p>
    <w:p>
      <w:pPr>
        <w:spacing w:after="0" w:line="136" w:lineRule="exact"/>
        <w:rPr>
          <w:rFonts w:ascii="Arial" w:cs="Arial" w:eastAsia="Arial" w:hAnsi="Arial"/>
          <w:sz w:val="22"/>
          <w:szCs w:val="22"/>
          <w:color w:val="auto"/>
          <w:vertAlign w:val="superscript"/>
        </w:rPr>
      </w:pPr>
    </w:p>
    <w:p>
      <w:pPr>
        <w:jc w:val="both"/>
        <w:ind w:left="500" w:right="20" w:hanging="330"/>
        <w:spacing w:after="0" w:line="244" w:lineRule="auto"/>
        <w:tabs>
          <w:tab w:leader="none" w:pos="50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Income tax special items, net for the nine months ended September 30, 2018 included a $30 million charge to income tax expense to establish a required valuation allowance related to American's estimated refund for Alternative Minimum Tax (AMT) credits and an $18 million charge related to an international income tax matter.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1"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9380" w:hanging="232"/>
        <w:spacing w:after="0" w:line="366" w:lineRule="auto"/>
        <w:tabs>
          <w:tab w:leader="none" w:pos="211"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1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6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29,215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28,278</w:t>
            </w: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r>
      <w:tr>
        <w:trPr>
          <w:trHeight w:val="245"/>
        </w:trPr>
        <w:tc>
          <w:tcPr>
            <w:tcW w:w="602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31,663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30,714</w:t>
            </w:r>
          </w:p>
        </w:tc>
      </w:tr>
      <w:tr>
        <w:trPr>
          <w:trHeight w:val="275"/>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r>
      <w:tr>
        <w:trPr>
          <w:trHeight w:val="265"/>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1,765</w:t>
            </w:r>
          </w:p>
        </w:tc>
      </w:tr>
      <w:tr>
        <w:trPr>
          <w:trHeight w:val="265"/>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w:t>
            </w:r>
          </w:p>
        </w:tc>
      </w:tr>
      <w:tr>
        <w:trPr>
          <w:trHeight w:val="250"/>
        </w:trPr>
        <w:tc>
          <w:tcPr>
            <w:tcW w:w="6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2,132</w:t>
            </w:r>
          </w:p>
        </w:tc>
      </w:tr>
      <w:tr>
        <w:trPr>
          <w:trHeight w:val="255"/>
        </w:trPr>
        <w:tc>
          <w:tcPr>
            <w:tcW w:w="602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11,910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11,556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34,449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33,594</w:t>
            </w:r>
          </w:p>
        </w:tc>
      </w:tr>
      <w:tr>
        <w:trPr>
          <w:trHeight w:val="20"/>
        </w:trPr>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earned through travel and mileage credits sold to co-branded credit card and other partners.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23,048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22,071</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3,939</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3,677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3,471</w:t>
            </w:r>
          </w:p>
        </w:tc>
      </w:tr>
      <w:tr>
        <w:trPr>
          <w:trHeight w:val="26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1,233</w:t>
            </w: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31,663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30,714</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millions)</w:t>
            </w: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8,522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8,539</w:t>
            </w:r>
          </w:p>
        </w:tc>
      </w:tr>
      <w:tr>
        <w:trPr>
          <w:trHeight w:val="265"/>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5,569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4,339</w:t>
            </w:r>
          </w:p>
        </w:tc>
      </w:tr>
      <w:tr>
        <w:trPr>
          <w:trHeight w:val="25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14,091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-711200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3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52"/>
        </w:trPr>
        <w:tc>
          <w:tcPr>
            <w:tcW w:w="9700" w:type="dxa"/>
            <w:vAlign w:val="bottom"/>
            <w:gridSpan w:val="2"/>
          </w:tcPr>
          <w:p>
            <w:pPr>
              <w:ind w:left="28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2,587</w:t>
            </w:r>
          </w:p>
        </w:tc>
      </w:tr>
      <w:tr>
        <w:trPr>
          <w:trHeight w:val="261"/>
        </w:trPr>
        <w:tc>
          <w:tcPr>
            <w:tcW w:w="9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r>
      <w:tr>
        <w:trPr>
          <w:trHeight w:val="250"/>
        </w:trPr>
        <w:tc>
          <w:tcPr>
            <w:tcW w:w="970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September 30, 2019 </w:t>
            </w:r>
            <w:r>
              <w:rPr>
                <w:rFonts w:ascii="Arial" w:cs="Arial" w:eastAsia="Arial" w:hAnsi="Arial"/>
                <w:sz w:val="21"/>
                <w:szCs w:val="21"/>
                <w:color w:val="auto"/>
                <w:vertAlign w:val="superscript"/>
              </w:rPr>
              <w:t>(2)</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8,522</w:t>
            </w:r>
          </w:p>
        </w:tc>
      </w:tr>
      <w:tr>
        <w:trPr>
          <w:trHeight w:val="20"/>
        </w:trPr>
        <w:tc>
          <w:tcPr>
            <w:tcW w:w="21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7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39" w:lineRule="exact"/>
        <w:rPr>
          <w:sz w:val="20"/>
          <w:szCs w:val="20"/>
          <w:color w:val="auto"/>
        </w:rPr>
      </w:pPr>
    </w:p>
    <w:p>
      <w:pPr>
        <w:jc w:val="both"/>
        <w:ind w:left="500" w:hanging="330"/>
        <w:spacing w:after="0" w:line="244" w:lineRule="auto"/>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32"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September 30, 2019, American's current loyalty program liability was $3.2 billion and represents American's current estimate of revenue expected to be recognized in the next twelve months based on historical trends, with the balance reflected in long-term loyalty program liability expected to be recognized as revenue in periods thereafter.</w:t>
      </w:r>
    </w:p>
    <w:p>
      <w:pPr>
        <w:spacing w:after="0" w:line="131"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one year. Accordingly, any revenue associated with tickets sold for future travel will be recognized within twelve months. For the nine months ended September 30, 2019, $3.2 billion of revenue was recognized in passenger revenue that was included in American's air traffic liability at December 31,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395" w:lineRule="exact"/>
        <w:rPr>
          <w:sz w:val="20"/>
          <w:szCs w:val="20"/>
          <w:color w:val="auto"/>
        </w:rPr>
      </w:pPr>
    </w:p>
    <w:p>
      <w:pPr>
        <w:ind w:left="8060"/>
        <w:spacing w:after="0"/>
        <w:tabs>
          <w:tab w:leader="none" w:pos="9900" w:val="left"/>
        </w:tabs>
        <w:rPr>
          <w:sz w:val="20"/>
          <w:szCs w:val="20"/>
          <w:color w:val="auto"/>
        </w:rPr>
      </w:pPr>
      <w:r>
        <w:rPr>
          <w:rFonts w:ascii="Arial" w:cs="Arial" w:eastAsia="Arial" w:hAnsi="Arial"/>
          <w:sz w:val="14"/>
          <w:szCs w:val="14"/>
          <w:b w:val="1"/>
          <w:bCs w:val="1"/>
          <w:color w:val="auto"/>
        </w:rPr>
        <w:t>September 30,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Secured</w:t>
      </w:r>
    </w:p>
    <w:p>
      <w:pPr>
        <w:spacing w:after="0" w:line="75" w:lineRule="exact"/>
        <w:rPr>
          <w:sz w:val="20"/>
          <w:szCs w:val="20"/>
          <w:color w:val="auto"/>
        </w:rPr>
      </w:pPr>
    </w:p>
    <w:p>
      <w:pPr>
        <w:ind w:left="180"/>
        <w:spacing w:after="0"/>
        <w:tabs>
          <w:tab w:leader="none" w:pos="7880" w:val="left"/>
        </w:tabs>
        <w:rPr>
          <w:sz w:val="20"/>
          <w:szCs w:val="20"/>
          <w:color w:val="auto"/>
        </w:rPr>
      </w:pPr>
      <w:r>
        <w:rPr>
          <w:rFonts w:ascii="Arial" w:cs="Arial" w:eastAsia="Arial" w:hAnsi="Arial"/>
          <w:sz w:val="18"/>
          <w:szCs w:val="18"/>
          <w:color w:val="auto"/>
        </w:rPr>
        <w:t>2013 Credit Facilities, variable interest rate of 3.80%, installments through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840"/>
        <w:spacing w:after="0" w:line="313" w:lineRule="auto"/>
        <w:rPr>
          <w:sz w:val="20"/>
          <w:szCs w:val="20"/>
          <w:color w:val="auto"/>
        </w:rPr>
      </w:pPr>
      <w:r>
        <w:rPr>
          <w:rFonts w:ascii="Arial" w:cs="Arial" w:eastAsia="Arial" w:hAnsi="Arial"/>
          <w:sz w:val="18"/>
          <w:szCs w:val="18"/>
          <w:color w:val="auto"/>
        </w:rPr>
        <w:t>2014 Credit Facilities, variable interest rate of 4.05%, installments through 2021 April 2016 Credit Facilities, variable interest rate of 4.04%, installments through 2023 December 2016 Credit Facilities, variable interest rate of 4.03%, installments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900" w:hanging="161"/>
        <w:spacing w:after="0" w:line="266" w:lineRule="auto"/>
        <w:rPr>
          <w:sz w:val="20"/>
          <w:szCs w:val="20"/>
          <w:color w:val="auto"/>
        </w:rPr>
      </w:pPr>
      <w:r>
        <w:rPr>
          <w:rFonts w:ascii="Arial" w:cs="Arial" w:eastAsia="Arial" w:hAnsi="Arial"/>
          <w:sz w:val="18"/>
          <w:szCs w:val="18"/>
          <w:color w:val="auto"/>
        </w:rPr>
        <w:t>Enhanced equipment trust certificates (EETCs), fixed interest rates ranging from 3.00% to 8.39%, averaging 4.07%, maturing from 2020 to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right="500" w:hanging="161"/>
        <w:spacing w:after="0" w:line="266" w:lineRule="auto"/>
        <w:rPr>
          <w:sz w:val="20"/>
          <w:szCs w:val="20"/>
          <w:color w:val="auto"/>
        </w:rPr>
      </w:pPr>
      <w:r>
        <w:rPr>
          <w:rFonts w:ascii="Arial" w:cs="Arial" w:eastAsia="Arial" w:hAnsi="Arial"/>
          <w:sz w:val="18"/>
          <w:szCs w:val="18"/>
          <w:color w:val="auto"/>
        </w:rPr>
        <w:t>Equipment loans and other notes payable, fixed and variable interest rates ranging from 3.16% to 7.31%, averaging 3.74%, maturing from 2019 to 2031</w:t>
      </w:r>
    </w:p>
    <w:p>
      <w:pPr>
        <w:ind w:left="180"/>
        <w:spacing w:after="0"/>
        <w:rPr>
          <w:sz w:val="20"/>
          <w:szCs w:val="20"/>
          <w:color w:val="auto"/>
        </w:rPr>
      </w:pPr>
      <w:r>
        <w:rPr>
          <w:rFonts w:ascii="Arial" w:cs="Arial" w:eastAsia="Arial" w:hAnsi="Arial"/>
          <w:sz w:val="18"/>
          <w:szCs w:val="18"/>
          <w:color w:val="auto"/>
        </w:rPr>
        <w:t>Special facility revenue bonds, fixed interest rate of 5.00%, maturing from 2020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Total unamortized debt discount, premium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maturities</w:t>
      </w:r>
    </w:p>
    <w:p>
      <w:pPr>
        <w:spacing w:after="0" w:line="63" w:lineRule="exact"/>
        <w:rPr>
          <w:sz w:val="20"/>
          <w:szCs w:val="20"/>
          <w:color w:val="auto"/>
        </w:rPr>
      </w:pPr>
    </w:p>
    <w:p>
      <w:pPr>
        <w:ind w:left="380"/>
        <w:spacing w:after="0"/>
        <w:tabs>
          <w:tab w:leader="none" w:pos="7880" w:val="left"/>
        </w:tabs>
        <w:rPr>
          <w:sz w:val="20"/>
          <w:szCs w:val="20"/>
          <w:color w:val="auto"/>
        </w:rPr>
      </w:pPr>
      <w:r>
        <w:rPr>
          <w:rFonts w:ascii="Arial" w:cs="Arial" w:eastAsia="Arial" w:hAnsi="Arial"/>
          <w:sz w:val="18"/>
          <w:szCs w:val="18"/>
          <w:color w:val="auto"/>
        </w:rPr>
        <w:t>Long-term debt, net of current maturities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00"/>
        <w:spacing w:after="0"/>
        <w:tabs>
          <w:tab w:leader="none" w:pos="780" w:val="left"/>
          <w:tab w:leader="none" w:pos="1900" w:val="left"/>
        </w:tabs>
        <w:rPr>
          <w:sz w:val="20"/>
          <w:szCs w:val="20"/>
          <w:color w:val="auto"/>
        </w:rPr>
      </w:pPr>
      <w:r>
        <w:rPr>
          <w:rFonts w:ascii="Arial" w:cs="Arial" w:eastAsia="Arial" w:hAnsi="Arial"/>
          <w:sz w:val="18"/>
          <w:szCs w:val="18"/>
          <w:color w:val="auto"/>
        </w:rPr>
        <w:t>1,807</w:t>
        <w:tab/>
        <w:t>$</w:t>
      </w:r>
      <w:r>
        <w:rPr>
          <w:sz w:val="20"/>
          <w:szCs w:val="20"/>
          <w:color w:val="auto"/>
        </w:rPr>
        <w:tab/>
      </w:r>
      <w:r>
        <w:rPr>
          <w:rFonts w:ascii="Arial" w:cs="Arial" w:eastAsia="Arial" w:hAnsi="Arial"/>
          <w:sz w:val="18"/>
          <w:szCs w:val="18"/>
          <w:color w:val="auto"/>
        </w:rPr>
        <w:t>1,825</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8"/>
          <w:szCs w:val="18"/>
          <w:color w:val="auto"/>
        </w:rPr>
        <w:t>1,215</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970</w:t>
      </w:r>
      <w:r>
        <w:rPr>
          <w:sz w:val="20"/>
          <w:szCs w:val="20"/>
          <w:color w:val="auto"/>
        </w:rPr>
        <w:tab/>
      </w:r>
      <w:r>
        <w:rPr>
          <w:rFonts w:ascii="Arial" w:cs="Arial" w:eastAsia="Arial" w:hAnsi="Arial"/>
          <w:sz w:val="17"/>
          <w:szCs w:val="17"/>
          <w:color w:val="auto"/>
        </w:rPr>
        <w:t>980</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8"/>
          <w:szCs w:val="18"/>
          <w:color w:val="auto"/>
        </w:rPr>
        <w:t>1,225</w:t>
      </w:r>
    </w:p>
    <w:p>
      <w:pPr>
        <w:spacing w:after="0" w:line="252"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7"/>
          <w:szCs w:val="17"/>
          <w:color w:val="auto"/>
        </w:rPr>
        <w:t>11,929</w:t>
      </w:r>
      <w:r>
        <w:rPr>
          <w:sz w:val="20"/>
          <w:szCs w:val="20"/>
          <w:color w:val="auto"/>
        </w:rPr>
        <w:tab/>
      </w:r>
      <w:r>
        <w:rPr>
          <w:rFonts w:ascii="Arial" w:cs="Arial" w:eastAsia="Arial" w:hAnsi="Arial"/>
          <w:sz w:val="17"/>
          <w:szCs w:val="17"/>
          <w:color w:val="auto"/>
        </w:rPr>
        <w:t>11,648</w:t>
      </w:r>
    </w:p>
    <w:p>
      <w:pPr>
        <w:spacing w:after="0" w:line="264"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4,882</w:t>
      </w:r>
      <w:r>
        <w:rPr>
          <w:sz w:val="20"/>
          <w:szCs w:val="20"/>
          <w:color w:val="auto"/>
        </w:rPr>
        <w:tab/>
      </w:r>
      <w:r>
        <w:rPr>
          <w:rFonts w:ascii="Arial" w:cs="Arial" w:eastAsia="Arial" w:hAnsi="Arial"/>
          <w:sz w:val="18"/>
          <w:szCs w:val="18"/>
          <w:color w:val="auto"/>
        </w:rPr>
        <w:t>5,060</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725</w:t>
      </w:r>
      <w:r>
        <w:rPr>
          <w:sz w:val="20"/>
          <w:szCs w:val="20"/>
          <w:color w:val="auto"/>
        </w:rPr>
        <w:tab/>
      </w:r>
      <w:r>
        <w:rPr>
          <w:rFonts w:ascii="Arial" w:cs="Arial" w:eastAsia="Arial" w:hAnsi="Arial"/>
          <w:sz w:val="17"/>
          <w:szCs w:val="17"/>
          <w:color w:val="auto"/>
        </w:rPr>
        <w:t>769</w:t>
      </w:r>
    </w:p>
    <w:p>
      <w:pPr>
        <w:spacing w:after="0" w:line="75"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22,753</w:t>
      </w:r>
      <w:r>
        <w:rPr>
          <w:sz w:val="20"/>
          <w:szCs w:val="20"/>
          <w:color w:val="auto"/>
        </w:rPr>
        <w:tab/>
      </w:r>
      <w:r>
        <w:rPr>
          <w:rFonts w:ascii="Arial" w:cs="Arial" w:eastAsia="Arial" w:hAnsi="Arial"/>
          <w:sz w:val="18"/>
          <w:szCs w:val="18"/>
          <w:color w:val="auto"/>
        </w:rPr>
        <w:t>22,722</w:t>
      </w:r>
    </w:p>
    <w:p>
      <w:pPr>
        <w:spacing w:after="0" w:line="63"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7"/>
          <w:szCs w:val="17"/>
          <w:color w:val="auto"/>
        </w:rPr>
        <w:t>219</w:t>
      </w:r>
    </w:p>
    <w:p>
      <w:pPr>
        <w:spacing w:after="0" w:line="75"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2,252</w:t>
      </w:r>
      <w:r>
        <w:rPr>
          <w:sz w:val="20"/>
          <w:szCs w:val="20"/>
          <w:color w:val="auto"/>
        </w:rPr>
        <w:tab/>
      </w:r>
      <w:r>
        <w:rPr>
          <w:rFonts w:ascii="Arial" w:cs="Arial" w:eastAsia="Arial" w:hAnsi="Arial"/>
          <w:sz w:val="18"/>
          <w:szCs w:val="18"/>
          <w:color w:val="auto"/>
        </w:rPr>
        <w:t>2,466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spacing w:after="0"/>
        <w:tabs>
          <w:tab w:leader="none" w:pos="780" w:val="left"/>
          <w:tab w:leader="none" w:pos="1800" w:val="left"/>
        </w:tabs>
        <w:rPr>
          <w:sz w:val="20"/>
          <w:szCs w:val="20"/>
          <w:color w:val="auto"/>
        </w:rPr>
      </w:pPr>
      <w:r>
        <w:rPr>
          <w:rFonts w:ascii="Arial" w:cs="Arial" w:eastAsia="Arial" w:hAnsi="Arial"/>
          <w:sz w:val="18"/>
          <w:szCs w:val="18"/>
          <w:color w:val="auto"/>
        </w:rPr>
        <w:t>20,286</w:t>
        <w:tab/>
        <w:t>$</w:t>
      </w:r>
      <w:r>
        <w:rPr>
          <w:sz w:val="20"/>
          <w:szCs w:val="20"/>
          <w:color w:val="auto"/>
        </w:rPr>
        <w:tab/>
      </w:r>
      <w:r>
        <w:rPr>
          <w:rFonts w:ascii="Arial" w:cs="Arial" w:eastAsia="Arial" w:hAnsi="Arial"/>
          <w:sz w:val="18"/>
          <w:szCs w:val="18"/>
          <w:color w:val="auto"/>
        </w:rPr>
        <w:t>20,037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28575</wp:posOffset>
            </wp:positionV>
            <wp:extent cx="224663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466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480"/>
          </w:cols>
          <w:pgMar w:left="240" w:top="331" w:right="2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31"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September 30, 2019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52"/>
        </w:trPr>
        <w:tc>
          <w:tcPr>
            <w:tcW w:w="970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61"/>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5"/>
        </w:trPr>
        <w:tc>
          <w:tcPr>
            <w:tcW w:w="9700" w:type="dxa"/>
            <w:vAlign w:val="bottom"/>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w:t>
            </w:r>
          </w:p>
        </w:tc>
      </w:tr>
      <w:tr>
        <w:trPr>
          <w:trHeight w:val="20"/>
        </w:trPr>
        <w:tc>
          <w:tcPr>
            <w:tcW w:w="9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thereunder in the future.</w:t>
      </w:r>
    </w:p>
    <w:p>
      <w:pPr>
        <w:spacing w:after="0" w:line="171"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pre-delivery payments.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2019 Financing Activities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2019-1 Aircraft EETCs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August 2019, American created three pass-through trusts which issued approximately $1.1 billion aggregate face amount of Series 2019-1 Class AA, Class A and Class B EETCs (the 2019-1 Aircraft EETCs) in connection with the financing of 35 aircraft previously delivered or to be delivered to American through September 2020 (the 2019-1 Aircraft). In the third quarter of 2019, approximately $513 million of the proceeds were used to purchase equipment notes issued by American in connection with financing 15 aircraft under the 2019-1 Aircraft EETCs, of which $ 464 million was used to repay existing indebtedness. Interest and principal payments on equipment notes issued in connection with the 2019-1 Aircraft EETCs are payable semi-annually in February and August of each year, with interest payments scheduled to begin in February 2020 and with principal payments scheduled to begin (i) in the case of equipment notes with respect to any 2019-1 Aircraft owned by American at the time of issuance of the 2019-1 Aircraft EETCs, in February 2020 and (ii) in the case of equipment notes with respect to the Embraer E175LR aircraft and the Airbus A321neo aircraft scheduled to be delivered after the issuance of the 2019-1 Aircraft EETCs, in August 2020 and August 2021, respectively. The remaining proceeds of approximately $584 million are being held in escrow with a depositary for the benefit of the holders of the 2019-1 Aircraft EETCs until such time as American issues additional equipment notes with respect to the remaining 2019-1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2019-1 Aircraft EETCs are not American’s assets.</w:t>
      </w:r>
    </w:p>
    <w:p>
      <w:pPr>
        <w:spacing w:after="0" w:line="132"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Certain information regarding the 2019-1 Aircraft EETC equipment notes and remaining escrowed proceeds, as of September 30, 2019, is set forth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2019-1 Aircraft EETCs</w:t>
            </w:r>
          </w:p>
        </w:tc>
        <w:tc>
          <w:tcPr>
            <w:tcW w:w="1600" w:type="dxa"/>
            <w:vAlign w:val="bottom"/>
            <w:tcBorders>
              <w:top w:val="single" w:sz="8" w:color="auto"/>
              <w:bottom w:val="single" w:sz="8" w:color="auto"/>
            </w:tcBorders>
            <w:shd w:val="clear" w:color="auto" w:fill="CCEEFF"/>
          </w:tcPr>
          <w:p>
            <w:pPr>
              <w:spacing w:after="0"/>
              <w:rPr>
                <w:sz w:val="19"/>
                <w:szCs w:val="19"/>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AA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principal issued</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$579 million</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$289 million</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$229 million</w:t>
            </w:r>
          </w:p>
        </w:tc>
      </w:tr>
      <w:tr>
        <w:trPr>
          <w:trHeight w:val="245"/>
        </w:trPr>
        <w:tc>
          <w:tcPr>
            <w:tcW w:w="6400" w:type="dxa"/>
            <w:vAlign w:val="bottom"/>
          </w:tcPr>
          <w:p>
            <w:pPr>
              <w:ind w:left="40"/>
              <w:spacing w:after="0"/>
              <w:rPr>
                <w:sz w:val="20"/>
                <w:szCs w:val="20"/>
                <w:color w:val="auto"/>
              </w:rPr>
            </w:pPr>
            <w:r>
              <w:rPr>
                <w:rFonts w:ascii="Arial" w:cs="Arial" w:eastAsia="Arial" w:hAnsi="Arial"/>
                <w:sz w:val="18"/>
                <w:szCs w:val="18"/>
                <w:color w:val="auto"/>
              </w:rPr>
              <w:t>Remaining escrowed proceeds</w:t>
            </w:r>
          </w:p>
        </w:tc>
        <w:tc>
          <w:tcPr>
            <w:tcW w:w="1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$308 million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$154 million</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$122 million</w:t>
            </w: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per annum</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3.85%</w:t>
            </w:r>
          </w:p>
        </w:tc>
      </w:tr>
      <w:tr>
        <w:trPr>
          <w:trHeight w:val="247"/>
        </w:trPr>
        <w:tc>
          <w:tcPr>
            <w:tcW w:w="640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rPr>
              <w:t>February 2032</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February 2032</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February 2028</w:t>
            </w:r>
          </w:p>
        </w:tc>
      </w:tr>
    </w:tbl>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2019-1 Spare Engine EETCs</w:t>
      </w:r>
    </w:p>
    <w:p>
      <w:pPr>
        <w:spacing w:after="0" w:line="8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June 2019, American created pass-through trusts which issued $650 million in aggregate face amount of 2019-1 Engine EETCs (the 2019-1 Engine EETCs), with maturities from June 2022 to June 2026. All of the proceeds received by such pass-through trusts from the sale of the 2019-1 Engine EETCs have been used to acquire equipment notes issued by American to the pass-through trusts. The pass-through trust certificates represent the right to payment under the equipment notes that are full-recourse obligations of American and such equipment notes are secured by spare aircraft engines currently owned and operated by American.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and Other Notes Payable Issued in 2019</w:t>
      </w:r>
    </w:p>
    <w:p>
      <w:pPr>
        <w:spacing w:after="0" w:line="8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first nine months of 2019, American entered into agreements under which it borrowed $1.6 billion in connection with the financing or refinancing, as the case may be, of certain aircraft and other flight equipment, of which $643 million was used to repay existing indebtedness. Debt incurred under these agreements matures in 2023 through 2031 and bears interest at variable rates (comprised of LIBOR plus an applicable margin) averaging 3.59% at September 30,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At December 31, 2018, American had approximately $10.6 billion of federal net operating losses (NOLs) carried over from prior taxable years (NOL Carryforwards) to reduce future federal taxable income, substantially all of which American expects to be available for use in 2019. American is a member of AAG’s consolidated federal and certain state income tax returns. The amount of federal NOL Carryforwards available in those returns is $10.2 billion, substantially all of which is expected to be available for use in 2019. The federal NOL Carryforwards will expire beginning in 2022 if unused. American also had approximately $3.1 billion of NOL Carryforwards to reduce future state taxable income at December 31, 2018, which will expire in years 2019 through 2038 if unused.</w:t>
      </w:r>
    </w:p>
    <w:p>
      <w:pPr>
        <w:spacing w:after="0" w:line="124"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At December 31, 2018, American had an AMT credit carryforward of approximately $452 million available for federal income tax purposes, which is expected to be fully refundable over the next several years as a result of the repeal of corporate AMT.</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During the three and nine months ended September 30, 2019, American recorded an income tax provision of $160 million and $472 million, respectively, which was substantially non-cash as American utilized its NOLs as described above.</w:t>
      </w:r>
    </w:p>
    <w:p>
      <w:pPr>
        <w:spacing w:after="0" w:line="170"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nine months ended September 30, 2019.</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Measurements as of September 30, 2019</w:t>
            </w:r>
          </w:p>
        </w:tc>
        <w:tc>
          <w:tcPr>
            <w:tcW w:w="104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65"/>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r>
      <w:tr>
        <w:trPr>
          <w:trHeight w:val="265"/>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5"/>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65"/>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50"/>
        </w:trPr>
        <w:tc>
          <w:tcPr>
            <w:tcW w:w="21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75"/>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45"/>
        </w:trPr>
        <w:tc>
          <w:tcPr>
            <w:tcW w:w="5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64"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Unrealized gains or losses on short-term investments are recorded in accumulated other comprehensive loss at each measurement date.</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American’s short-term investments mature in one year or less except for $1.0 billion of bank notes/certificates of deposit/time deposits and $125 million of corporate obligations.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American's equity investment in China Southern Airlines and are classified in other assets on the condensed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December 31, 2018</w:t>
            </w: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203"/>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Value</w:t>
            </w:r>
          </w:p>
        </w:tc>
      </w:tr>
      <w:tr>
        <w:trPr>
          <w:trHeight w:val="24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22,497</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(income) (in millions):</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September 30,</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return on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service cost (benefit)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Unrecognized net loss (gain)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periodic benefit cost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42"/>
        </w:trPr>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5"/>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83"/>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Retiree Medical and Other</w:t>
            </w:r>
          </w:p>
        </w:tc>
      </w:tr>
      <w:tr>
        <w:trPr>
          <w:trHeight w:val="203"/>
        </w:trPr>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Postretirement Benefits</w:t>
            </w:r>
          </w:p>
        </w:tc>
      </w:tr>
      <w:tr>
        <w:trPr>
          <w:trHeight w:val="263"/>
        </w:trPr>
        <w:tc>
          <w:tcPr>
            <w:tcW w:w="360" w:type="dxa"/>
            <w:vAlign w:val="bottom"/>
          </w:tcPr>
          <w:p>
            <w:pPr>
              <w:spacing w:after="0"/>
              <w:rPr>
                <w:sz w:val="22"/>
                <w:szCs w:val="22"/>
                <w:color w:val="auto"/>
              </w:rPr>
            </w:pPr>
          </w:p>
        </w:tc>
        <w:tc>
          <w:tcPr>
            <w:tcW w:w="1140" w:type="dxa"/>
            <w:vAlign w:val="bottom"/>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-1507490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-1164590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-821055</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-1850390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6060"/>
          </w:cols>
          <w:pgMar w:left="240" w:top="331" w:right="2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5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5"/>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5"/>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Prior service cost (benefit)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65"/>
        </w:trPr>
        <w:tc>
          <w:tcPr>
            <w:tcW w:w="5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6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periodic benefit cost (income)</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nine months of 2019, American made contributions of $1.2 billion to its defined benefit pension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Retiree</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Medical and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on</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212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7"/>
                <w:szCs w:val="17"/>
                <w:b w:val="1"/>
                <w:bCs w:val="1"/>
                <w:color w:val="auto"/>
                <w:w w:val="98"/>
                <w:vertAlign w:val="superscript"/>
              </w:rPr>
              <w:t>(1)</w:t>
            </w: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r>
      <w:tr>
        <w:trPr>
          <w:trHeight w:val="20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5"/>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1"/>
                <w:szCs w:val="11"/>
                <w:color w:val="auto"/>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87"/>
        </w:trPr>
        <w:tc>
          <w:tcPr>
            <w:tcW w:w="4920" w:type="dxa"/>
            <w:vAlign w:val="bottom"/>
            <w:gridSpan w:val="2"/>
          </w:tcPr>
          <w:p>
            <w:pPr>
              <w:ind w:left="180"/>
              <w:spacing w:after="0" w:line="187" w:lineRule="exact"/>
              <w:rPr>
                <w:sz w:val="20"/>
                <w:szCs w:val="20"/>
                <w:color w:val="auto"/>
              </w:rPr>
            </w:pPr>
            <w:r>
              <w:rPr>
                <w:rFonts w:ascii="Arial" w:cs="Arial" w:eastAsia="Arial" w:hAnsi="Arial"/>
                <w:sz w:val="18"/>
                <w:szCs w:val="18"/>
                <w:color w:val="auto"/>
              </w:rPr>
              <w:t>Net current-period other comprehensive income</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48"/>
        </w:trPr>
        <w:tc>
          <w:tcPr>
            <w:tcW w:w="4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2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74" w:lineRule="exact"/>
        <w:rPr>
          <w:sz w:val="20"/>
          <w:szCs w:val="20"/>
          <w:color w:val="auto"/>
        </w:rPr>
      </w:pPr>
    </w:p>
    <w:p>
      <w:pPr>
        <w:ind w:left="500" w:hanging="330"/>
        <w:spacing w:after="0" w:line="239" w:lineRule="auto"/>
        <w:tabs>
          <w:tab w:leader="none" w:pos="50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 of operations.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420"/>
          </w:cols>
          <w:pgMar w:left="240" w:top="331"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Amounts reclassified from AOCI</w:t>
            </w:r>
          </w:p>
        </w:tc>
        <w:tc>
          <w:tcPr>
            <w:tcW w:w="900" w:type="dxa"/>
            <w:vAlign w:val="bottom"/>
            <w:tcBorders>
              <w:bottom w:val="single" w:sz="8" w:color="auto"/>
            </w:tcBorders>
          </w:tcPr>
          <w:p>
            <w:pPr>
              <w:spacing w:after="0"/>
              <w:rPr>
                <w:sz w:val="17"/>
                <w:szCs w:val="17"/>
                <w:color w:val="auto"/>
              </w:rPr>
            </w:pPr>
          </w:p>
        </w:tc>
      </w:tr>
      <w:tr>
        <w:trPr>
          <w:trHeight w:val="168"/>
        </w:trPr>
        <w:tc>
          <w:tcPr>
            <w:tcW w:w="3640" w:type="dxa"/>
            <w:vAlign w:val="bottom"/>
          </w:tcPr>
          <w:p>
            <w:pPr>
              <w:spacing w:after="0"/>
              <w:rPr>
                <w:sz w:val="14"/>
                <w:szCs w:val="14"/>
                <w:color w:val="auto"/>
              </w:rPr>
            </w:pPr>
          </w:p>
        </w:tc>
        <w:tc>
          <w:tcPr>
            <w:tcW w:w="2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3640" w:type="dxa"/>
            <w:vAlign w:val="bottom"/>
          </w:tcPr>
          <w:p>
            <w:pPr>
              <w:spacing w:after="0"/>
              <w:rPr>
                <w:sz w:val="17"/>
                <w:szCs w:val="17"/>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364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4860" cy="428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820" w:hanging="19"/>
        <w:spacing w:after="0" w:line="271"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160" w:space="720"/>
            <w:col w:w="2540"/>
          </w:cols>
          <w:pgMar w:left="240" w:top="33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medical and other postretirement</w:t>
      </w:r>
    </w:p>
    <w:p>
      <w:pPr>
        <w:ind w:left="40"/>
        <w:spacing w:after="0"/>
        <w:rPr>
          <w:sz w:val="20"/>
          <w:szCs w:val="20"/>
          <w:color w:val="auto"/>
        </w:rPr>
      </w:pPr>
      <w:r>
        <w:rPr>
          <w:rFonts w:ascii="Arial" w:cs="Arial" w:eastAsia="Arial" w:hAnsi="Arial"/>
          <w:sz w:val="18"/>
          <w:szCs w:val="18"/>
          <w:color w:val="auto"/>
        </w:rPr>
        <w:t>benefits: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48"/>
        </w:trPr>
        <w:tc>
          <w:tcPr>
            <w:tcW w:w="368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312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52"/>
        </w:trPr>
        <w:tc>
          <w:tcPr>
            <w:tcW w:w="3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7"/>
        </w:trPr>
        <w:tc>
          <w:tcPr>
            <w:tcW w:w="3680" w:type="dxa"/>
            <w:vAlign w:val="bottom"/>
          </w:tcPr>
          <w:p>
            <w:pPr>
              <w:ind w:left="40"/>
              <w:spacing w:after="0" w:line="187" w:lineRule="exact"/>
              <w:rPr>
                <w:sz w:val="20"/>
                <w:szCs w:val="20"/>
                <w:color w:val="auto"/>
              </w:rPr>
            </w:pPr>
            <w:r>
              <w:rPr>
                <w:rFonts w:ascii="Arial" w:cs="Arial" w:eastAsia="Arial" w:hAnsi="Arial"/>
                <w:sz w:val="18"/>
                <w:szCs w:val="18"/>
                <w:color w:val="auto"/>
              </w:rPr>
              <w:t>Total reclassifications for the period,</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6"/>
                <w:szCs w:val="16"/>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8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40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3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1"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92" w:lineRule="exact"/>
        <w:rPr>
          <w:sz w:val="20"/>
          <w:szCs w:val="20"/>
          <w:color w:val="auto"/>
        </w:rPr>
      </w:pPr>
    </w:p>
    <w:p>
      <w:pPr>
        <w:ind w:right="20" w:firstLine="216"/>
        <w:spacing w:after="0" w:line="292"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254</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2,440</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436</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200</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r>
      <w:tr>
        <w:trPr>
          <w:trHeight w:val="245"/>
        </w:trPr>
        <w:tc>
          <w:tcPr>
            <w:tcW w:w="6020" w:type="dxa"/>
            <w:vAlign w:val="bottom"/>
          </w:tcPr>
          <w:p>
            <w:pPr>
              <w:ind w:left="280"/>
              <w:spacing w:after="0"/>
              <w:rPr>
                <w:sz w:val="20"/>
                <w:szCs w:val="20"/>
                <w:color w:val="auto"/>
              </w:rPr>
            </w:pPr>
            <w:r>
              <w:rPr>
                <w:rFonts w:ascii="Arial" w:cs="Arial" w:eastAsia="Arial" w:hAnsi="Arial"/>
                <w:sz w:val="18"/>
                <w:szCs w:val="18"/>
                <w:color w:val="auto"/>
              </w:rPr>
              <w:t>Total regional expenses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5,616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5,275</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37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500" w:hanging="330"/>
        <w:spacing w:after="0" w:line="246" w:lineRule="auto"/>
        <w:tabs>
          <w:tab w:leader="none" w:pos="500" w:val="left"/>
        </w:tabs>
        <w:numPr>
          <w:ilvl w:val="1"/>
          <w:numId w:val="30"/>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September 30, 2019 and 2018, American recognized $150 million and $142 million, respectively, of expense under its capacity purchase agreement with Republic Airline Inc. (Republic). During the nine months ended September 30, 2019 and 2018, American recognized $442 million and $423 million, respectively, of expense under its capacity purchase agreement with Republic. American holds a 25% equity interest in Republic Airways Holdings Inc., the parent company of Republic.</w:t>
      </w:r>
    </w:p>
    <w:p>
      <w:pPr>
        <w:spacing w:after="0" w:line="209"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7640" w:type="dxa"/>
            <w:vAlign w:val="bottom"/>
            <w:tcBorders>
              <w:top w:val="single" w:sz="8" w:color="CCEEFF"/>
            </w:tcBorders>
            <w:gridSpan w:val="2"/>
            <w:shd w:val="clear" w:color="auto" w:fill="CCEEFF"/>
          </w:tcPr>
          <w:p>
            <w:pPr>
              <w:ind w:left="40"/>
              <w:spacing w:after="0" w:line="251" w:lineRule="exact"/>
              <w:rPr>
                <w:sz w:val="20"/>
                <w:szCs w:val="20"/>
                <w:color w:val="auto"/>
              </w:rPr>
            </w:pPr>
            <w:r>
              <w:rPr>
                <w:rFonts w:ascii="Arial" w:cs="Arial" w:eastAsia="Arial" w:hAnsi="Arial"/>
                <w:sz w:val="29"/>
                <w:szCs w:val="29"/>
                <w:color w:val="auto"/>
                <w:vertAlign w:val="subscript"/>
              </w:rPr>
              <w:t>AAG</w:t>
            </w:r>
            <w:r>
              <w:rPr>
                <w:rFonts w:ascii="Arial" w:cs="Arial" w:eastAsia="Arial" w:hAnsi="Arial"/>
                <w:sz w:val="10"/>
                <w:szCs w:val="10"/>
                <w:color w:val="auto"/>
              </w:rPr>
              <w:t xml:space="preserve">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13,382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12,808</w:t>
            </w:r>
          </w:p>
        </w:tc>
      </w:tr>
      <w:tr>
        <w:trPr>
          <w:trHeight w:val="270"/>
        </w:trPr>
        <w:tc>
          <w:tcPr>
            <w:tcW w:w="7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r>
      <w:tr>
        <w:trPr>
          <w:trHeight w:val="245"/>
        </w:trPr>
        <w:tc>
          <w:tcPr>
            <w:tcW w:w="7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10,666</w:t>
            </w:r>
          </w:p>
        </w:tc>
      </w:tr>
      <w:tr>
        <w:trPr>
          <w:trHeight w:val="20"/>
        </w:trPr>
        <w:tc>
          <w:tcPr>
            <w:tcW w:w="2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5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spacing w:after="0" w:line="274" w:lineRule="exact"/>
        <w:rPr>
          <w:sz w:val="20"/>
          <w:szCs w:val="20"/>
          <w:color w:val="auto"/>
        </w:rPr>
      </w:pPr>
    </w:p>
    <w:p>
      <w:pPr>
        <w:ind w:left="500" w:right="20" w:hanging="330"/>
        <w:spacing w:after="0" w:line="239" w:lineRule="auto"/>
        <w:tabs>
          <w:tab w:leader="none" w:pos="50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dividend and share repurchase programs.</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15"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purposes of calculating earnings per common share. As disputed</w:t>
      </w:r>
    </w:p>
    <w:p>
      <w:pPr>
        <w:sectPr>
          <w:pgSz w:w="11900" w:h="16838" w:orient="portrait"/>
          <w:cols w:equalWidth="0" w:num="1">
            <w:col w:w="11420"/>
          </w:cols>
          <w:pgMar w:left="240" w:top="33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331"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claims are resolved, the claimants will receive distributions of shares from the Disputed Claims Reserve. However, American is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American reached a preliminary settlement agreement with the plaintiffs in the amount of $45 million that, once approved, will resolve all class claims in the U.S. lawsuits. That settlement was approved by the DC Court on May 13, 2019. Three parties who objected to the settlement have appealed that decision to the United States Court of Appeals for the District of Columbia. American believes these appeals are without merit and intends to vigorously defend against them.</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they are awaiting the Bankruptcy Court's decision. American believes this lawsuit is without merit and intends to vigorously defend against the allegations.</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American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inquiry regarding American’s 2009 and 2011 contracts with the United States Postal Service for the international transportation of mail by air and focusing on potential violations of the False Claims Act or other statutes. In October 2015, American received a Civil Investigative Demand from the DOJ seeking certain information relating to these contracts and the DOJ has also sought information concerning certain of the airlines that transport mail on a codeshare basis. In August 2019, American entered into a settlement with the Civil Division of the DOJ, pursuant to which American paid $22 million. American admitted no liability in connection with this settlement.</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course of business or otherwise, which could affect our financial position and liquidity” </w:t>
      </w:r>
      <w:r>
        <w:rPr>
          <w:rFonts w:ascii="Arial" w:cs="Arial" w:eastAsia="Arial" w:hAnsi="Arial"/>
          <w:sz w:val="18"/>
          <w:szCs w:val="18"/>
          <w:color w:val="auto"/>
        </w:rPr>
        <w:t>for additional discussion.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2018 (the 2018 Form 10-K). The information contained herein is not a comprehensive discussion and analysis of the financial condition and results of operations of AAG and American, but rather updates disclosures made in the 2018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we offer customers nearly 6,800 daily flights to more than 365 destinations in more than 60 countries from our hubs and gateways in Charlotte, Chicago, Dallas/Fort Worth, London Heathrow (LHR), Los Angeles, Miami, New York, Philadelphia, Phoenix and Washington, D.C. In the third quarter of 2019, approximately 56 million passengers boarded our flights.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AAG’s Third Quarter 2019 Results</w:t>
      </w:r>
    </w:p>
    <w:p>
      <w:pPr>
        <w:spacing w:after="0" w:line="88"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9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In the fourth quarter of 2018, we adopted Accounting Standards Update (ASU) 2016-02: Leases (Topic 842) (the New Lease Standard) as of January 1, 2018. In accordance with the New Lease Standard, we have recast our 2018 financial information presented within this Item 2. Management's Discussion and Analysis of Financial Condition and Results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right"/>
              <w:ind w:right="192"/>
              <w:spacing w:after="0" w:line="133" w:lineRule="exact"/>
              <w:rPr>
                <w:sz w:val="20"/>
                <w:szCs w:val="20"/>
                <w:color w:val="auto"/>
              </w:rPr>
            </w:pPr>
            <w:r>
              <w:rPr>
                <w:rFonts w:ascii="Arial" w:cs="Arial" w:eastAsia="Arial" w:hAnsi="Arial"/>
                <w:sz w:val="14"/>
                <w:szCs w:val="14"/>
                <w:b w:val="1"/>
                <w:bCs w:val="1"/>
                <w:color w:val="auto"/>
              </w:rPr>
              <w:t>Increase</w:t>
            </w:r>
          </w:p>
        </w:tc>
        <w:tc>
          <w:tcPr>
            <w:tcW w:w="1340" w:type="dxa"/>
            <w:vAlign w:val="bottom"/>
            <w:vMerge w:val="restart"/>
          </w:tcPr>
          <w:p>
            <w:pPr>
              <w:jc w:val="center"/>
              <w:ind w:left="33"/>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(Decrease)</w:t>
            </w:r>
          </w:p>
        </w:tc>
        <w:tc>
          <w:tcPr>
            <w:tcW w:w="13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gridSpan w:val="7"/>
          </w:tcPr>
          <w:p>
            <w:pPr>
              <w:jc w:val="right"/>
              <w:ind w:right="132"/>
              <w:spacing w:after="0"/>
              <w:rPr>
                <w:sz w:val="20"/>
                <w:szCs w:val="20"/>
                <w:color w:val="auto"/>
              </w:rPr>
            </w:pPr>
            <w:r>
              <w:rPr>
                <w:rFonts w:ascii="Arial" w:cs="Arial" w:eastAsia="Arial" w:hAnsi="Arial"/>
                <w:sz w:val="14"/>
                <w:szCs w:val="14"/>
                <w:b w:val="1"/>
                <w:bCs w:val="1"/>
                <w:color w:val="auto"/>
              </w:rPr>
              <w:t>(In millions, except percentage changes)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3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11,911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352</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Total pre-tax net special items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3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excluding net special items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-2752090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-2752090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-2752090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13722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00" w:hanging="330"/>
        <w:spacing w:after="0" w:line="239" w:lineRule="auto"/>
        <w:tabs>
          <w:tab w:leader="none" w:pos="50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of this report for details on the components of net special items.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1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Pre-tax income and net income were $557 million and $425 million, respectively, in the third quarter of 2019. This compares to third quarter 2018 pre-tax income and net income of $ 496 million and $372 million, respectively. Excluding the effects of pre-tax net special items, pre-tax income was $835 million and $ 720 million in the third quarters of 2019 and 2018, respectively. The quarter-over-quarter increase in our pre-tax income, on both a GAAP basis and excluding pre-tax net special items, was principally driven by higher revenues and lower fuel costs, offset in part by increases in salaries, wages and benefits, maintenance expenses, and costs associated with increased regional capacity.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and Operation</w:t>
      </w:r>
    </w:p>
    <w:p>
      <w:pPr>
        <w:spacing w:after="0" w:line="9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On March 13, 2019, a directive from the Federal Aviation Administration (FAA) grounded all U.S.-registered Boeing 737 MAX aircraft. Our fleet currently includes 24 Boeing 737 MAX aircraft with an additional 76 aircraft on order. As a result of this directive, we canceled 9,475 flights in the third quarter of 2019.</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estimate that the Boeing 737 MAX flight cancellations decreased our third quarter 2019 pre-tax income by approximately $140 million.</w:t>
      </w:r>
    </w:p>
    <w:p>
      <w:pPr>
        <w:spacing w:after="0" w:line="171" w:lineRule="exact"/>
        <w:rPr>
          <w:sz w:val="20"/>
          <w:szCs w:val="20"/>
          <w:color w:val="auto"/>
        </w:rPr>
      </w:pPr>
    </w:p>
    <w:p>
      <w:pPr>
        <w:jc w:val="both"/>
        <w:ind w:firstLine="162"/>
        <w:spacing w:after="0" w:line="292" w:lineRule="auto"/>
        <w:rPr>
          <w:sz w:val="20"/>
          <w:szCs w:val="20"/>
          <w:color w:val="auto"/>
        </w:rPr>
      </w:pPr>
      <w:r>
        <w:rPr>
          <w:rFonts w:ascii="Arial" w:cs="Arial" w:eastAsia="Arial" w:hAnsi="Arial"/>
          <w:sz w:val="18"/>
          <w:szCs w:val="18"/>
          <w:color w:val="auto"/>
        </w:rPr>
        <w:t>We have removed all Boeing 737 MAX flying from our flight schedule through January 15, 2020. In total, we currently estimate the Boeing 737 MAX cancellations will decrease our full-year 2019 pre-tax income by approximately $540 million.</w:t>
      </w:r>
    </w:p>
    <w:p>
      <w:pPr>
        <w:spacing w:after="0" w:line="91" w:lineRule="exact"/>
        <w:rPr>
          <w:sz w:val="20"/>
          <w:szCs w:val="20"/>
          <w:color w:val="auto"/>
        </w:rPr>
      </w:pPr>
    </w:p>
    <w:p>
      <w:pPr>
        <w:jc w:val="both"/>
        <w:ind w:firstLine="162"/>
        <w:spacing w:after="0" w:line="260" w:lineRule="auto"/>
        <w:rPr>
          <w:sz w:val="20"/>
          <w:szCs w:val="20"/>
          <w:color w:val="auto"/>
        </w:rPr>
      </w:pPr>
      <w:r>
        <w:rPr>
          <w:rFonts w:ascii="Arial" w:cs="Arial" w:eastAsia="Arial" w:hAnsi="Arial"/>
          <w:sz w:val="18"/>
          <w:szCs w:val="18"/>
          <w:color w:val="auto"/>
        </w:rPr>
        <w:t>In addition, in May, we initiated litigation against the Transport Workers Union of America, AFL-CIO, International Association of Machinists and Aerospace Workers, and Airline Mechanic and Related Employee Association TWU/IAM, claiming that the unions have been engaged in an illegal work slowdown in an effort to influence contract negotiations. A permanent injunction enjoining the slowdown and further interruption to our operations was granted by the U.S. District Court for the Northern District of Texas on August 12, 2019. On August, 13, 2019, we filed a motion asking for sanctions against the unions as illegal actions were continuing. The issue of sanctions has not yet been decided by the court.</w:t>
      </w:r>
    </w:p>
    <w:p>
      <w:pPr>
        <w:spacing w:after="0" w:line="12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8"/>
          <w:szCs w:val="18"/>
          <w:color w:val="auto"/>
        </w:rPr>
        <w:t xml:space="preserve">As announced on September 26, 2019, we are in the process of unwinding our commercial relationship with LATAM, and that airline is also in the process of withdrawing from the </w:t>
      </w:r>
      <w:r>
        <w:rPr>
          <w:rFonts w:ascii="Arial" w:cs="Arial" w:eastAsia="Arial" w:hAnsi="Arial"/>
          <w:sz w:val="18"/>
          <w:szCs w:val="18"/>
          <w:b w:val="1"/>
          <w:bCs w:val="1"/>
          <w:color w:val="auto"/>
        </w:rPr>
        <w:t>one</w:t>
      </w:r>
      <w:r>
        <w:rPr>
          <w:rFonts w:ascii="Arial" w:cs="Arial" w:eastAsia="Arial" w:hAnsi="Arial"/>
          <w:sz w:val="18"/>
          <w:szCs w:val="18"/>
          <w:color w:val="auto"/>
        </w:rPr>
        <w:t>world alliance. We do not expect this change to have a significant financial impact on our company. After giving effect to this change, American remains the largest U.S. carrier to Latin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In the third quarter of 2019, we reported total operating revenues of $11.9 billion, an increase of $352 million, or 3.0%, as compared to the third quarter of 2018. Passenger revenue was $11.0 billion in the third quarter of 2019, an increase of $434 million, or 4.1%, as compared to the third quarter of 2018. The increase in passenger revenue in the third quarter of 2019 was due to continued strength in passenger demand resulting in a 4.9% quarter-over-quarter increase in revenue passenger miles (RPMs) and a 3.2 point increase in passenger load factor. Domestic passenger revenue per available seat mile (PRASM) increased 4.0% as compared to the third quarter of 2018. Latin America was the best performing international region with PRASM increasing 5.9%, while Atlantic PRASM declined 4.6% principally due to lower transfer payments related to our joint business arrangement and foreign currency effects.</w:t>
      </w:r>
    </w:p>
    <w:p>
      <w:pPr>
        <w:spacing w:after="0" w:line="12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Cargo revenue decreased $52 million, or 19.9%, for the third quarter of 2019, primarily due to a 16.5% decrease in cargo ton miles reflecting declines in freight volumes, principally as a result of international schedule reductions. Other revenue decreased $ 30 million, or 4.1%, as compared to the third quarter of 2018, driven primarily by lower loyalty marketing revenue due to certain contractual amounts earned in the third quarter of 2018 that did not occur in 2019.</w:t>
      </w:r>
    </w:p>
    <w:p>
      <w:pPr>
        <w:spacing w:after="0" w:line="11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Despite the negative impact to revenue due to Hurricane Dorian, our total revenue per available seat mile (TRASM) was 15.71 cents in the third quarter of 2019, a 2.0% increase as compared to 15.40 cents in the third quarter of 2018. This marks our twelfth consecutive quarter of positive TRASM growth.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mainline and regional fuel expense totaled $2.5 billion in the third quarter of 2019, which was $266 million, or 9.7%, lower compared to the third quarter of 2018. This decrease was primarily driven by an 11.1% decrease in the average price per gallon of fuel including related taxes to $2.05 in the third quarter of 2019 from $2.30 in the third quarter of 2018.</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As of September 30, 2019, we did not have any fuel hedging contracts outstanding to hedge our fuel consumption. Our current policy is not to enter into transactions to hedge our fuel consumption, although we review that policy from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19" w:right="239" w:bottom="1440" w:gutter="0" w:footer="0" w:header="0"/>
        </w:sectPr>
      </w:pPr>
    </w:p>
    <w:bookmarkStart w:id="39" w:name="page40"/>
    <w:bookmarkEnd w:id="39"/>
    <w:p>
      <w:pPr>
        <w:jc w:val="both"/>
        <w:spacing w:after="0" w:line="292" w:lineRule="auto"/>
        <w:rPr>
          <w:sz w:val="20"/>
          <w:szCs w:val="20"/>
          <w:color w:val="auto"/>
        </w:rPr>
      </w:pPr>
      <w:r>
        <w:rPr>
          <w:rFonts w:ascii="Arial" w:cs="Arial" w:eastAsia="Arial" w:hAnsi="Arial"/>
          <w:sz w:val="18"/>
          <w:szCs w:val="18"/>
          <w:color w:val="auto"/>
        </w:rPr>
        <w:t>time to time based on market conditions and other factors. As such, and assuming we do not enter into any future transactions to hedge our fuel consumption, we will continue to be fully exposed to fluctuations in fuel prices.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90"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2019 third quarter total cost per available seat mile (CASM) was 14.64 cents, an increase of 1.0%, from 14.49 cents in the third quarter of 2018.</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2019 third quarter CASM excluding net special items and fuel was 11.07 cents, an increase of 4.8%, as compared to the third quarter of 2018. The increase was primarily driven by lower than planned capacity in the third quarter of 2019 due to the Boeing 737 MAX grounding.</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 xml:space="preserve">For a reconciliation of CASM to total CASM excluding net special items and fuel, see below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As of September 30, 2019, we had approximately $8.0 billion in total available liquidity, consisting of $5.2 billion in unrestricted cash and short-term investments and $2.8 billion in undrawn capacity under our revolving credit facilities. We also had restricted cash and short-term investments of $158 million.</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third quarter of 2019, we completed the following financing transactions:</w:t>
      </w:r>
    </w:p>
    <w:p>
      <w:pPr>
        <w:spacing w:after="0" w:line="171" w:lineRule="exact"/>
        <w:rPr>
          <w:sz w:val="20"/>
          <w:szCs w:val="20"/>
          <w:color w:val="auto"/>
        </w:rPr>
      </w:pPr>
    </w:p>
    <w:p>
      <w:pPr>
        <w:ind w:left="660" w:hanging="409"/>
        <w:spacing w:after="0" w:line="29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Raised $961 million from enhanced equipment trust certificates (EETCs) and other aircraft and flight equipment financings, of which $643 million was used to repay existing indebtedness; and</w:t>
      </w:r>
    </w:p>
    <w:p>
      <w:pPr>
        <w:spacing w:after="0" w:line="90" w:lineRule="exact"/>
        <w:rPr>
          <w:rFonts w:ascii="Arial" w:cs="Arial" w:eastAsia="Arial" w:hAnsi="Arial"/>
          <w:sz w:val="18"/>
          <w:szCs w:val="18"/>
          <w:color w:val="auto"/>
        </w:rPr>
      </w:pPr>
    </w:p>
    <w:p>
      <w:pPr>
        <w:ind w:left="660" w:hanging="409"/>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Raised $111 million from aircraft sale-leaseback transactions.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our debt obligations.</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Additionally, in the third quarter of 2019, we returned $244 million to our stockholders, including the repurchase of $200 million of our common stock, or 7.3 million shares, and a quarterly dividend payment of $44 million. Since our capital return program commenced in mid-2014, we have returned $13.3 billion to stockholders, including $12.1 billion in share repurchases, or 302.9 million shares, and $1.2 billion in quarterly dividend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3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following table presents the reconciliation of pre-tax income (GAAP measure) to pre-tax income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6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1"/>
        </w:trPr>
        <w:tc>
          <w:tcPr>
            <w:tcW w:w="6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Pre-Tax Income Excluding Net Special Items:</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5"/>
        </w:trPr>
        <w:tc>
          <w:tcPr>
            <w:tcW w:w="6020" w:type="dxa"/>
            <w:vAlign w:val="bottom"/>
          </w:tcPr>
          <w:p>
            <w:pPr>
              <w:ind w:left="40"/>
              <w:spacing w:after="0"/>
              <w:rPr>
                <w:sz w:val="20"/>
                <w:szCs w:val="20"/>
                <w:color w:val="auto"/>
              </w:rPr>
            </w:pPr>
            <w:r>
              <w:rPr>
                <w:rFonts w:ascii="Arial" w:cs="Arial" w:eastAsia="Arial" w:hAnsi="Arial"/>
                <w:sz w:val="18"/>
                <w:szCs w:val="18"/>
                <w:color w:val="auto"/>
              </w:rPr>
              <w:t>Pre-tax income - GAAP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1,489</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Operating special items, net</w:t>
            </w:r>
          </w:p>
        </w:tc>
        <w:tc>
          <w:tcPr>
            <w:tcW w:w="8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616</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Nonoperating special items, net</w:t>
            </w: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4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pre-tax net special items</w:t>
            </w:r>
          </w:p>
        </w:tc>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711</w:t>
            </w: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Pre-tax income excluding net special items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2,200</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-1397000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8" w:lineRule="exact"/>
        <w:rPr>
          <w:sz w:val="20"/>
          <w:szCs w:val="20"/>
          <w:color w:val="auto"/>
        </w:rPr>
      </w:pPr>
    </w:p>
    <w:p>
      <w:pPr>
        <w:ind w:left="580" w:hanging="329"/>
        <w:spacing w:after="0"/>
        <w:tabs>
          <w:tab w:leader="none" w:pos="58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16"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39</w:t>
      </w:r>
    </w:p>
    <w:p>
      <w:pPr>
        <w:sectPr>
          <w:pgSz w:w="11900" w:h="16838" w:orient="portrait"/>
          <w:cols w:equalWidth="0" w:num="1">
            <w:col w:w="11420"/>
          </w:cols>
          <w:pgMar w:left="240" w:top="819" w:right="239" w:bottom="1440" w:gutter="0" w:footer="0" w:header="0"/>
        </w:sectPr>
      </w:pPr>
    </w:p>
    <w:bookmarkStart w:id="41" w:name="page42"/>
    <w:bookmarkEnd w:id="41"/>
    <w:p>
      <w:pPr>
        <w:jc w:val="both"/>
        <w:ind w:firstLine="216"/>
        <w:spacing w:after="0" w:line="260"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 Amounts may not recalculate due to rounding.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86"/>
        </w:trPr>
        <w:tc>
          <w:tcPr>
            <w:tcW w:w="6020" w:type="dxa"/>
            <w:vAlign w:val="bottom"/>
            <w:shd w:val="clear" w:color="auto" w:fill="CCEEFF"/>
          </w:tcPr>
          <w:p>
            <w:pPr>
              <w:ind w:left="40"/>
              <w:spacing w:after="0" w:line="186" w:lineRule="exact"/>
              <w:rPr>
                <w:sz w:val="20"/>
                <w:szCs w:val="20"/>
                <w:color w:val="auto"/>
              </w:rPr>
            </w:pPr>
            <w:r>
              <w:rPr>
                <w:rFonts w:ascii="Arial" w:cs="Arial" w:eastAsia="Arial" w:hAnsi="Arial"/>
                <w:sz w:val="18"/>
                <w:szCs w:val="18"/>
                <w:b w:val="1"/>
                <w:bCs w:val="1"/>
                <w:color w:val="auto"/>
              </w:rPr>
              <w:t>Reconciliation of Total Operating Costs per Available Seat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54"/>
        </w:trPr>
        <w:tc>
          <w:tcPr>
            <w:tcW w:w="6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Mile (CASM) Excluding Net Special Items and Fuel:</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08"/>
        </w:trPr>
        <w:tc>
          <w:tcPr>
            <w:tcW w:w="60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3"/>
        </w:trPr>
        <w:tc>
          <w:tcPr>
            <w:tcW w:w="6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32,119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31,518</w:t>
            </w:r>
          </w:p>
        </w:tc>
      </w:tr>
      <w:tr>
        <w:trPr>
          <w:trHeight w:val="247"/>
        </w:trPr>
        <w:tc>
          <w:tcPr>
            <w:tcW w:w="6020" w:type="dxa"/>
            <w:vAlign w:val="bottom"/>
          </w:tcPr>
          <w:p>
            <w:pPr>
              <w:ind w:left="40"/>
              <w:spacing w:after="0"/>
              <w:rPr>
                <w:sz w:val="20"/>
                <w:szCs w:val="20"/>
                <w:color w:val="auto"/>
              </w:rPr>
            </w:pPr>
            <w:r>
              <w:rPr>
                <w:rFonts w:ascii="Arial" w:cs="Arial" w:eastAsia="Arial" w:hAnsi="Arial"/>
                <w:sz w:val="18"/>
                <w:szCs w:val="18"/>
                <w:color w:val="auto"/>
              </w:rPr>
              <w:t>Operating net special items: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Regional operating special items, net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5"/>
        </w:trPr>
        <w:tc>
          <w:tcPr>
            <w:tcW w:w="6020" w:type="dxa"/>
            <w:vAlign w:val="bottom"/>
          </w:tcPr>
          <w:p>
            <w:pPr>
              <w:ind w:left="380"/>
              <w:spacing w:after="0"/>
              <w:rPr>
                <w:sz w:val="20"/>
                <w:szCs w:val="20"/>
                <w:color w:val="auto"/>
              </w:rPr>
            </w:pPr>
            <w:r>
              <w:rPr>
                <w:rFonts w:ascii="Arial" w:cs="Arial" w:eastAsia="Arial" w:hAnsi="Arial"/>
                <w:sz w:val="18"/>
                <w:szCs w:val="18"/>
                <w:color w:val="auto"/>
              </w:rPr>
              <w:t>Aircraft fuel and related taxes - mainline</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75"/>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 - regional</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85"/>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 excluding net special items and fuel</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8,395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7,925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24,521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23,433</w:t>
            </w:r>
          </w:p>
        </w:tc>
      </w:tr>
      <w:tr>
        <w:trPr>
          <w:trHeight w:val="255"/>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Total Available Seat Miles (ASM)</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75,820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75,039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214,816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213,756</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cents)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Total operating CASM</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14.74</w:t>
            </w: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net special items per ASM:</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70"/>
        </w:trPr>
        <w:tc>
          <w:tcPr>
            <w:tcW w:w="6020" w:type="dxa"/>
            <w:vAlign w:val="bottom"/>
          </w:tcPr>
          <w:p>
            <w:pPr>
              <w:ind w:left="38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operating special items, net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7"/>
        </w:trPr>
        <w:tc>
          <w:tcPr>
            <w:tcW w:w="6020" w:type="dxa"/>
            <w:vAlign w:val="bottom"/>
          </w:tcPr>
          <w:p>
            <w:pPr>
              <w:ind w:left="40"/>
              <w:spacing w:after="0"/>
              <w:rPr>
                <w:sz w:val="20"/>
                <w:szCs w:val="20"/>
                <w:color w:val="auto"/>
              </w:rPr>
            </w:pPr>
            <w:r>
              <w:rPr>
                <w:rFonts w:ascii="Arial" w:cs="Arial" w:eastAsia="Arial" w:hAnsi="Arial"/>
                <w:sz w:val="18"/>
                <w:szCs w:val="18"/>
                <w:color w:val="auto"/>
              </w:rPr>
              <w:t>Fuel per ASM:</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 - mainline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65"/>
        </w:trPr>
        <w:tc>
          <w:tcPr>
            <w:tcW w:w="6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Aircraft fuel and related taxes - regional</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CASM, excluding net special items and fuel</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-3772535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8" w:lineRule="exact"/>
        <w:rPr>
          <w:sz w:val="20"/>
          <w:szCs w:val="20"/>
          <w:color w:val="auto"/>
        </w:rPr>
      </w:pPr>
    </w:p>
    <w:p>
      <w:pPr>
        <w:ind w:left="580" w:hanging="329"/>
        <w:spacing w:after="0"/>
        <w:tabs>
          <w:tab w:leader="none" w:pos="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16"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40</w:t>
      </w:r>
    </w:p>
    <w:p>
      <w:pPr>
        <w:sectPr>
          <w:pgSz w:w="11900" w:h="16838" w:orient="portrait"/>
          <w:cols w:equalWidth="0" w:num="1">
            <w:col w:w="11420"/>
          </w:cols>
          <w:pgMar w:left="240" w:top="73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three and nine months ended September 30, 2019 and 2018.</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14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rPr>
                <w:sz w:val="17"/>
                <w:szCs w:val="17"/>
                <w:color w:val="auto"/>
              </w:rPr>
            </w:pPr>
          </w:p>
        </w:tc>
        <w:tc>
          <w:tcPr>
            <w:tcW w:w="21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Increase</w:t>
            </w:r>
          </w:p>
        </w:tc>
        <w:tc>
          <w:tcPr>
            <w:tcW w:w="21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11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4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64,874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61,865</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182,334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175,589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4480" w:type="dxa"/>
            <w:vAlign w:val="bottom"/>
          </w:tcPr>
          <w:p>
            <w:pPr>
              <w:ind w:left="20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75,820</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75,039</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214,816</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213,756</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3.2pts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2.8pts</w:t>
            </w:r>
          </w:p>
        </w:tc>
        <w:tc>
          <w:tcPr>
            <w:tcW w:w="0" w:type="dxa"/>
            <w:vAlign w:val="bottom"/>
          </w:tcPr>
          <w:p>
            <w:pPr>
              <w:spacing w:after="0"/>
              <w:rPr>
                <w:sz w:val="1"/>
                <w:szCs w:val="1"/>
                <w:color w:val="auto"/>
              </w:rPr>
            </w:pPr>
          </w:p>
        </w:tc>
      </w:tr>
      <w:tr>
        <w:trPr>
          <w:trHeight w:val="270"/>
        </w:trPr>
        <w:tc>
          <w:tcPr>
            <w:tcW w:w="4480" w:type="dxa"/>
            <w:vAlign w:val="bottom"/>
          </w:tcPr>
          <w:p>
            <w:pPr>
              <w:ind w:left="20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17.49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14.07</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14.37</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480" w:type="dxa"/>
            <w:vAlign w:val="bottom"/>
          </w:tcPr>
          <w:p>
            <w:pPr>
              <w:ind w:left="20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15.40</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15.72</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1"/>
                <w:szCs w:val="21"/>
                <w:color w:val="auto"/>
                <w:vertAlign w:val="superscript"/>
              </w:rPr>
              <w:t>(g)</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65"/>
        </w:trPr>
        <w:tc>
          <w:tcPr>
            <w:tcW w:w="4480" w:type="dxa"/>
            <w:vAlign w:val="bottom"/>
          </w:tcPr>
          <w:p>
            <w:pPr>
              <w:ind w:left="200"/>
              <w:spacing w:after="0"/>
              <w:rPr>
                <w:sz w:val="20"/>
                <w:szCs w:val="20"/>
                <w:color w:val="auto"/>
              </w:rPr>
            </w:pPr>
            <w:r>
              <w:rPr>
                <w:rFonts w:ascii="Arial" w:cs="Arial" w:eastAsia="Arial" w:hAnsi="Arial"/>
                <w:sz w:val="18"/>
                <w:szCs w:val="18"/>
                <w:color w:val="auto"/>
              </w:rPr>
              <w:t>Fuel consumption (gallons in millions)</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1,190</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3,367</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1"/>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aircraft fuel price including related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(dollars per gallon)</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5"/>
        </w:trPr>
        <w:tc>
          <w:tcPr>
            <w:tcW w:w="4480" w:type="dxa"/>
            <w:vAlign w:val="bottom"/>
          </w:tcPr>
          <w:p>
            <w:pPr>
              <w:ind w:left="200"/>
              <w:spacing w:after="0"/>
              <w:rPr>
                <w:sz w:val="20"/>
                <w:szCs w:val="20"/>
                <w:color w:val="auto"/>
              </w:rPr>
            </w:pPr>
            <w:r>
              <w:rPr>
                <w:rFonts w:ascii="Arial" w:cs="Arial" w:eastAsia="Arial" w:hAnsi="Arial"/>
                <w:sz w:val="18"/>
                <w:szCs w:val="18"/>
                <w:color w:val="auto"/>
              </w:rPr>
              <w:t>Full-time equivalent employees at end of period</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131,900</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130,500</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131,900</w:t>
            </w:r>
          </w:p>
        </w:tc>
        <w:tc>
          <w:tcPr>
            <w:tcW w:w="1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130,500</w:t>
            </w:r>
          </w:p>
        </w:tc>
        <w:tc>
          <w:tcPr>
            <w:tcW w:w="1280" w:type="dxa"/>
            <w:vAlign w:val="bottom"/>
            <w:gridSpan w:val="2"/>
          </w:tcPr>
          <w:p>
            <w:pPr>
              <w:jc w:val="right"/>
              <w:ind w:right="4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5"/>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(h)</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14.49</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14.74</w:t>
            </w:r>
          </w:p>
        </w:tc>
        <w:tc>
          <w:tcPr>
            <w:tcW w:w="1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1420"/>
          </w:cols>
          <w:pgMar w:left="240" w:top="817" w:right="239" w:bottom="1440" w:gutter="0" w:footer="0" w:header="0"/>
        </w:sectPr>
      </w:pPr>
    </w:p>
    <w:p>
      <w:pPr>
        <w:spacing w:after="0" w:line="334" w:lineRule="exact"/>
        <w:rPr>
          <w:sz w:val="20"/>
          <w:szCs w:val="20"/>
          <w:color w:val="auto"/>
        </w:rPr>
      </w:pPr>
    </w:p>
    <w:p>
      <w:pPr>
        <w:ind w:left="180"/>
        <w:spacing w:after="0"/>
        <w:rPr>
          <w:sz w:val="20"/>
          <w:szCs w:val="20"/>
          <w:color w:val="auto"/>
        </w:rPr>
      </w:pPr>
      <w:r>
        <w:rPr>
          <w:rFonts w:ascii="Arial" w:cs="Arial" w:eastAsia="Arial" w:hAnsi="Arial"/>
          <w:sz w:val="9"/>
          <w:szCs w:val="9"/>
          <w:color w:val="auto"/>
        </w:rPr>
        <w:t>(a)</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(b)</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9"/>
          <w:szCs w:val="9"/>
          <w:color w:val="auto"/>
        </w:rPr>
        <w:t>(d)</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(e)</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1"/>
          <w:szCs w:val="11"/>
          <w:color w:val="auto"/>
        </w:rPr>
        <w:t>(f)</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Revenue passenger mile (RPM) – A basic measure of sales volume. One RPM represents one passenger flown one mile.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71" w:lineRule="exact"/>
        <w:rPr>
          <w:sz w:val="20"/>
          <w:szCs w:val="20"/>
          <w:color w:val="auto"/>
        </w:rPr>
      </w:pPr>
    </w:p>
    <w:p>
      <w:pPr>
        <w:sectPr>
          <w:pgSz w:w="11900" w:h="16838" w:orient="portrait"/>
          <w:cols w:equalWidth="0" w:num="2">
            <w:col w:w="300" w:space="200"/>
            <w:col w:w="10920"/>
          </w:cols>
          <w:pgMar w:left="240" w:top="817" w:right="239" w:bottom="1440" w:gutter="0" w:footer="0" w:header="0"/>
          <w:type w:val="continuous"/>
        </w:sectPr>
      </w:pPr>
    </w:p>
    <w:p>
      <w:pPr>
        <w:ind w:left="500" w:hanging="330"/>
        <w:spacing w:after="0" w:line="239" w:lineRule="auto"/>
        <w:tabs>
          <w:tab w:leader="none" w:pos="50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seven Embraer 140 regional aircraft that are in temporary storage.</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Pre-tax income and net income were $557 million and $425 million, respectively, in the third quarter of 2019. This compares to third quarter 2018 pre-tax income and net income of $ 496 million and $372 million, respectively. Excluding the effects of pre-tax net special items, pre-tax income was $835 million and $720 million in the third quarters of 2019 and 2018, respectively.</w:t>
      </w:r>
    </w:p>
    <w:p>
      <w:pPr>
        <w:spacing w:after="0" w:line="10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The quarter-over-quarter increase in our pre-tax income, on both a GAAP basis and excluding pre-tax net special items, was principally driven by higher revenues and lower fuel costs, offset in part by increases in salaries, wages and benefits, maintenance expenses, and costs associated with increased regional capacity.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17" w:right="239" w:bottom="1440" w:gutter="0" w:footer="0" w:header="0"/>
          <w:type w:val="continuous"/>
        </w:sectPr>
      </w:pPr>
    </w:p>
    <w:bookmarkStart w:id="43" w:name="page44"/>
    <w:bookmarkEnd w:id="43"/>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center"/>
              <w:ind w:left="498"/>
              <w:spacing w:after="0" w:line="151"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10,995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4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352</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-857250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-857250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-857250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rPr>
              <w:t>vs. Three Months Ended September 30, 2018</w:t>
            </w:r>
          </w:p>
        </w:tc>
        <w:tc>
          <w:tcPr>
            <w:tcW w:w="980" w:type="dxa"/>
            <w:vAlign w:val="bottom"/>
            <w:tcBorders>
              <w:bottom w:val="single" w:sz="8" w:color="auto"/>
            </w:tcBorders>
          </w:tcPr>
          <w:p>
            <w:pPr>
              <w:spacing w:after="0"/>
              <w:rPr>
                <w:sz w:val="17"/>
                <w:szCs w:val="17"/>
                <w:color w:val="auto"/>
              </w:rPr>
            </w:pPr>
          </w:p>
        </w:tc>
      </w:tr>
      <w:tr>
        <w:trPr>
          <w:trHeight w:val="168"/>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Load</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Passenger</w:t>
            </w:r>
          </w:p>
        </w:tc>
        <w:tc>
          <w:tcPr>
            <w:tcW w:w="980" w:type="dxa"/>
            <w:vAlign w:val="bottom"/>
          </w:tcPr>
          <w:p>
            <w:pPr>
              <w:spacing w:after="0"/>
              <w:rPr>
                <w:sz w:val="14"/>
                <w:szCs w:val="14"/>
                <w:color w:val="auto"/>
              </w:rPr>
            </w:pPr>
          </w:p>
        </w:tc>
      </w:tr>
      <w:tr>
        <w:trPr>
          <w:trHeight w:val="203"/>
        </w:trPr>
        <w:tc>
          <w:tcPr>
            <w:tcW w:w="4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PRASM</w:t>
            </w:r>
          </w:p>
        </w:tc>
      </w:tr>
      <w:tr>
        <w:trPr>
          <w:trHeight w:val="250"/>
        </w:trPr>
        <w:tc>
          <w:tcPr>
            <w:tcW w:w="4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1"/>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10,995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3.2pts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13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Passenger revenue increased $434 million, or 4.1%, in the third quarter of 2019 from the third quarter of 2018 primarily due to continued strength in passenger demand resulting in a 4.9% quarter-over-quarter increase in RPMs and a 3.2 point increase in passenger load factor. Domestic PRASM increased 4.0% as compared to the third quarter of 2018. Latin America was the best performing international region with PRASM increasing 5.9%, while Atlantic PRASM declined 4.6% principally due to lower transfer payments related to our joint business arrangement and foreign currency effects.</w:t>
      </w:r>
    </w:p>
    <w:p>
      <w:pPr>
        <w:spacing w:after="0" w:line="12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Cargo revenue decreased $52 million, or 19.9%, in the third quarter of 2019 from the third quarter of 2018 primarily due to a 16.5% decrease in cargo ton miles reflecting declines in freight volumes, principally as a result of international schedule reductions.</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Other revenue decreased $30 million, or 4.1%, as compared to the third quarter of 2018, driven primarily by lower loyalty marketing revenue due to certain contractual amounts earned in the third quarter of 2018 that did not occur in 2019.</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Total operating revenues in the third quarter of 2019 increased $352 million, or 3.0%, from the third quarter of 2018 driven principally by a 4.1% increase in passenger revenue as described above. Despite the negative impact to revenue due to Hurricane Dorian, our TRASM was 15.71 cents in the third quarter of 2019, a 2.0% increase as compared to 15.40 cents in the third quarter of 2018.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21" w:right="239" w:bottom="1440" w:gutter="0" w:footer="0" w:header="0"/>
        </w:sectPr>
      </w:pPr>
    </w:p>
    <w:bookmarkStart w:id="44" w:name="page45"/>
    <w:bookmarkEnd w:id="44"/>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center"/>
              <w:ind w:left="494"/>
              <w:spacing w:after="0" w:line="151"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3"/>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5"/>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-2400300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-2400300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-2400300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Total operating expenses increased $229 million, or 2.1%, in the third quarter of 2019 from the third quarter of 2018. See detailed explanations below relating to changes in total CASM.</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8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1" w:right="239" w:bottom="1440" w:gutter="0" w:footer="0" w:header="0"/>
        </w:sectPr>
      </w:pPr>
    </w:p>
    <w:bookmarkStart w:id="45" w:name="page46"/>
    <w:bookmarkEnd w:id="45"/>
    <w:p>
      <w:pPr>
        <w:ind w:left="220"/>
        <w:spacing w:after="0"/>
        <w:rPr>
          <w:sz w:val="20"/>
          <w:szCs w:val="20"/>
          <w:color w:val="auto"/>
        </w:rPr>
      </w:pPr>
      <w:r>
        <w:rPr>
          <w:rFonts w:ascii="Arial" w:cs="Arial" w:eastAsia="Arial" w:hAnsi="Arial"/>
          <w:sz w:val="18"/>
          <w:szCs w:val="18"/>
          <w:color w:val="auto"/>
        </w:rPr>
        <w:t>The major components of our total CASM and our total CASM excluding net special items and fuel for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are as follows (amounts may not recalculate due to rounding):</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Regional operating 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net special items and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3379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7"/>
          <w:szCs w:val="17"/>
          <w:color w:val="auto"/>
        </w:rPr>
        <w:t>Not meaningful.</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2180" w:type="dxa"/>
            <w:vAlign w:val="bottom"/>
            <w:gridSpan w:val="3"/>
          </w:tcPr>
          <w:p>
            <w:pPr>
              <w:jc w:val="center"/>
              <w:ind w:left="973"/>
              <w:spacing w:after="0" w:line="151"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900" w:type="dxa"/>
            <w:vAlign w:val="bottom"/>
            <w:gridSpan w:val="5"/>
          </w:tcPr>
          <w:p>
            <w:pPr>
              <w:jc w:val="right"/>
              <w:ind w:right="1054"/>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3"/>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6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0.67</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0.42</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0.53</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0.62</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0.28</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540"/>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0.67</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3"/>
        </w:trPr>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7"/>
        </w:trPr>
        <w:tc>
          <w:tcPr>
            <w:tcW w:w="1500" w:type="dxa"/>
            <w:vAlign w:val="bottom"/>
          </w:tcPr>
          <w:p>
            <w:pPr>
              <w:jc w:val="right"/>
              <w:ind w:right="33"/>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14.49</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(0.28)</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87"/>
        </w:trPr>
        <w:tc>
          <w:tcPr>
            <w:tcW w:w="15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4"/>
              <w:spacing w:after="0"/>
              <w:rPr>
                <w:sz w:val="20"/>
                <w:szCs w:val="20"/>
                <w:color w:val="auto"/>
              </w:rPr>
            </w:pPr>
            <w:r>
              <w:rPr>
                <w:rFonts w:ascii="Arial" w:cs="Arial" w:eastAsia="Arial" w:hAnsi="Arial"/>
                <w:sz w:val="36"/>
                <w:szCs w:val="36"/>
                <w:color w:val="auto"/>
                <w:vertAlign w:val="subscript"/>
              </w:rPr>
              <w:t>nm</w:t>
            </w:r>
            <w:r>
              <w:rPr>
                <w:rFonts w:ascii="Arial" w:cs="Arial" w:eastAsia="Arial" w:hAnsi="Arial"/>
                <w:sz w:val="11"/>
                <w:szCs w:val="11"/>
                <w:color w:val="auto"/>
              </w:rPr>
              <w:t xml:space="preserve"> (1)</w:t>
            </w:r>
          </w:p>
        </w:tc>
        <w:tc>
          <w:tcPr>
            <w:tcW w:w="0" w:type="dxa"/>
            <w:vAlign w:val="bottom"/>
          </w:tcPr>
          <w:p>
            <w:pPr>
              <w:spacing w:after="0"/>
              <w:rPr>
                <w:sz w:val="1"/>
                <w:szCs w:val="1"/>
                <w:color w:val="auto"/>
              </w:rPr>
            </w:pPr>
          </w:p>
        </w:tc>
      </w:tr>
      <w:tr>
        <w:trPr>
          <w:trHeight w:val="323"/>
        </w:trPr>
        <w:tc>
          <w:tcPr>
            <w:tcW w:w="15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16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5"/>
        </w:trPr>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10.56</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6" w:lineRule="exact"/>
        <w:rPr>
          <w:sz w:val="20"/>
          <w:szCs w:val="20"/>
          <w:color w:val="auto"/>
        </w:rPr>
      </w:pPr>
    </w:p>
    <w:p>
      <w:pPr>
        <w:sectPr>
          <w:pgSz w:w="11900" w:h="16838" w:orient="portrait"/>
          <w:cols w:equalWidth="0" w:num="2">
            <w:col w:w="5800" w:space="720"/>
            <w:col w:w="4900"/>
          </w:cols>
          <w:pgMar w:left="240" w:top="738" w:right="239" w:bottom="1440" w:gutter="0" w:footer="0" w:header="0"/>
          <w:type w:val="continuous"/>
        </w:sectPr>
      </w:pPr>
    </w:p>
    <w:p>
      <w:pPr>
        <w:spacing w:after="0" w:line="10" w:lineRule="exact"/>
        <w:rPr>
          <w:sz w:val="20"/>
          <w:szCs w:val="20"/>
          <w:color w:val="auto"/>
        </w:rPr>
      </w:pPr>
    </w:p>
    <w:p>
      <w:pPr>
        <w:ind w:left="540" w:hanging="316"/>
        <w:spacing w:after="0" w:line="292"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Mainline aircraft fuel and related taxes per ASM decreased 11.9% primarily due to an 11.2% decrease in the average price per gallon of fuel including related taxes to $2.03 in the third quarter of 2019 from $2.28 in the third quarter of 2018.</w:t>
      </w:r>
    </w:p>
    <w:p>
      <w:pPr>
        <w:spacing w:after="0" w:line="90" w:lineRule="exact"/>
        <w:rPr>
          <w:rFonts w:ascii="Arial" w:cs="Arial" w:eastAsia="Arial" w:hAnsi="Arial"/>
          <w:sz w:val="18"/>
          <w:szCs w:val="18"/>
          <w:color w:val="auto"/>
        </w:rPr>
      </w:pPr>
    </w:p>
    <w:p>
      <w:pPr>
        <w:jc w:val="both"/>
        <w:ind w:left="540" w:hanging="316"/>
        <w:spacing w:after="0" w:line="25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14.7% in the third quarter of 2019 as compared to the third quarter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airframe and engine overhauls performed under time and material based contracts as well as an increase in the volume of component part repairs also drove higher maintenance expenses in the third quarter of 2019.</w:t>
      </w:r>
    </w:p>
    <w:p>
      <w:pPr>
        <w:spacing w:after="0" w:line="123" w:lineRule="exact"/>
        <w:rPr>
          <w:rFonts w:ascii="Arial" w:cs="Arial" w:eastAsia="Arial" w:hAnsi="Arial"/>
          <w:sz w:val="18"/>
          <w:szCs w:val="18"/>
          <w:color w:val="auto"/>
        </w:rPr>
      </w:pPr>
    </w:p>
    <w:p>
      <w:pPr>
        <w:ind w:left="540" w:hanging="316"/>
        <w:spacing w:after="0" w:line="292"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Selling expenses per ASM increased 6.2% primarily due to higher commission expense and credit card fees driven by the overall increase in revenues.</w:t>
      </w:r>
    </w:p>
    <w:p>
      <w:pPr>
        <w:spacing w:after="0" w:line="90" w:lineRule="exact"/>
        <w:rPr>
          <w:rFonts w:ascii="Arial" w:cs="Arial" w:eastAsia="Arial" w:hAnsi="Arial"/>
          <w:sz w:val="18"/>
          <w:szCs w:val="18"/>
          <w:color w:val="auto"/>
        </w:rPr>
      </w:pPr>
    </w:p>
    <w:p>
      <w:pPr>
        <w:jc w:val="both"/>
        <w:ind w:left="540" w:hanging="316"/>
        <w:spacing w:after="0" w:line="292"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Depreciation and amortization per ASM increased 5.5% due in part to airport and other facility improvements and the harmonization of interior configurations across the mainline fleet. Depreciation associated with our fleet renewal program also contributed to the increase.</w:t>
      </w:r>
    </w:p>
    <w:p>
      <w:pPr>
        <w:spacing w:after="0" w:line="90" w:lineRule="exact"/>
        <w:rPr>
          <w:rFonts w:ascii="Arial" w:cs="Arial" w:eastAsia="Arial" w:hAnsi="Arial"/>
          <w:sz w:val="18"/>
          <w:szCs w:val="18"/>
          <w:color w:val="auto"/>
        </w:rPr>
      </w:pPr>
    </w:p>
    <w:p>
      <w:pPr>
        <w:jc w:val="both"/>
        <w:ind w:left="540" w:hanging="316"/>
        <w:spacing w:after="0" w:line="271"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Regional aircraft fuel and related taxes per ASM decreased 5.2% primarily due to a 10.9% decrease in the average price per gallon of fuel including related taxes to $2.13 in the third quarter of 2019 from $2.39 in the third quarter of 2018. This decrease was offset in part by a 7.6% increase in gallons of fuel consumed, principally due to increased capacity.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38" w:right="239" w:bottom="1440" w:gutter="0" w:footer="0" w:header="0"/>
          <w:type w:val="continuous"/>
        </w:sectPr>
      </w:pPr>
    </w:p>
    <w:bookmarkStart w:id="46" w:name="page47"/>
    <w:bookmarkEnd w:id="46"/>
    <w:p>
      <w:pPr>
        <w:ind w:left="540" w:right="20" w:hanging="316"/>
        <w:spacing w:after="0" w:line="292"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Regional other operating expenses per ASM increased 8.0% primarily driven by an 8.5% increase in regional capacity, principally from our wholly-owned regional carriers.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r>
      <w:tr>
        <w:trPr>
          <w:trHeight w:val="271"/>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reserve adjustments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160" w:type="dxa"/>
            <w:vAlign w:val="bottom"/>
          </w:tcPr>
          <w:p>
            <w:pPr>
              <w:spacing w:after="0"/>
              <w:rPr>
                <w:sz w:val="23"/>
                <w:szCs w:val="23"/>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5"/>
        </w:trPr>
        <w:tc>
          <w:tcPr>
            <w:tcW w:w="776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5"/>
        </w:trPr>
        <w:tc>
          <w:tcPr>
            <w:tcW w:w="7760" w:type="dxa"/>
            <w:vAlign w:val="bottom"/>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-1885950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13379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Fleet impairment includes a non-cash write-down of aircraft related to the planned retirement of our Embraer E190 fleet.</w:t>
      </w:r>
    </w:p>
    <w:p>
      <w:pPr>
        <w:spacing w:after="0" w:line="135"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of management and support staff team members.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21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65"/>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-1028700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-1028700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-1028700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Interest expense, net increased $22 million, or 8.2%, in the third quarter of 2019 as compared to the third quarter of 2018 primarily due to the issuance of debt and lower capitalized interest.</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third quarter of 2019, other nonoperating expense, net principally included a $ 45 million net special charge for mark-to-market unrealized losses primarily associated with our equity investment in China Southern Airlines Company Limited (China Southern Airlines), offset in part by $47 million of non-service related pension and other postretirement benefit plan income.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38" w:right="239" w:bottom="1440" w:gutter="0" w:footer="0" w:header="0"/>
        </w:sectPr>
      </w:pPr>
    </w:p>
    <w:bookmarkStart w:id="47" w:name="page48"/>
    <w:bookmarkEnd w:id="47"/>
    <w:p>
      <w:pPr>
        <w:jc w:val="both"/>
        <w:ind w:firstLine="216"/>
        <w:spacing w:after="0" w:line="264" w:lineRule="auto"/>
        <w:rPr>
          <w:sz w:val="20"/>
          <w:szCs w:val="20"/>
          <w:color w:val="auto"/>
        </w:rPr>
      </w:pPr>
      <w:r>
        <w:rPr>
          <w:rFonts w:ascii="Arial" w:cs="Arial" w:eastAsia="Arial" w:hAnsi="Arial"/>
          <w:sz w:val="18"/>
          <w:szCs w:val="18"/>
          <w:color w:val="auto"/>
        </w:rPr>
        <w:t>In the third quarter of 2018, other nonoperating income, net principally included $75 million of non-service related pension and other postretirement benefit plan income. This income was offset in part by $23 million of net foreign currency losses, principally associated with losses from Latin American currencies, and a $15 million net special charge for mark-to-market unrealized losses primarily associated with our equity investment in China Southern Airlines.</w:t>
      </w:r>
    </w:p>
    <w:p>
      <w:pPr>
        <w:spacing w:after="0" w:line="116"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third quarter of 2019 as compared to the third quarter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third quarter of 2019, we recorded an income tax provision of $132 million, which was substantially non-cash due to utilization of our net operating losses (NOLs). Substantially all of our income before income taxes is attributable to the United States. At December 31, 2018, we had approximately $10.2 billion of federal NOLs and $3.2 billion of state NOLs, substantially all of which are expected to be available in 2019 to reduce federal and state taxable income.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Pre-tax income and net income were $1.7 billion and $1.3 billion, respectively, in the first nine months of 2019. This compares to the first nine months of 2018 pre-tax income and net income of $1.5 billion and $ 1.1 billion, respectively. Excluding the effects of pre-tax net special items, pre-tax income was flat at $2.2 billion in both the first nine months of 2019 and 2018.</w:t>
      </w:r>
    </w:p>
    <w:p>
      <w:pPr>
        <w:spacing w:after="0" w:line="10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period-over-period increase in our pre-tax income was principally driven by higher revenues and lower fuel costs, offset in part by increases in salaries, wages and benefits, maintenance expenses, and costs associated with increased regional capacity.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518"/>
              <w:spacing w:after="0" w:line="151" w:lineRule="exact"/>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vMerge w:val="restart"/>
          </w:tcPr>
          <w:p>
            <w:pPr>
              <w:jc w:val="right"/>
              <w:ind w:right="29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31,663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949</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5"/>
        </w:trPr>
        <w:tc>
          <w:tcPr>
            <w:tcW w:w="556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5"/>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0"/>
        </w:trPr>
        <w:tc>
          <w:tcPr>
            <w:tcW w:w="55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34,455</w:t>
            </w: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33,603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852</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rPr>
              <w:t>Increase (Decrease)</w:t>
            </w:r>
          </w:p>
        </w:tc>
        <w:tc>
          <w:tcPr>
            <w:tcW w:w="980" w:type="dxa"/>
            <w:vAlign w:val="bottom"/>
          </w:tcPr>
          <w:p>
            <w:pPr>
              <w:spacing w:after="0"/>
              <w:rPr>
                <w:sz w:val="14"/>
                <w:szCs w:val="14"/>
                <w:color w:val="auto"/>
              </w:rPr>
            </w:pPr>
          </w:p>
        </w:tc>
      </w:tr>
      <w:tr>
        <w:trPr>
          <w:trHeight w:val="203"/>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vs. Nine Months Ended September 30, 2018</w:t>
            </w:r>
          </w:p>
        </w:tc>
        <w:tc>
          <w:tcPr>
            <w:tcW w:w="980" w:type="dxa"/>
            <w:vAlign w:val="bottom"/>
            <w:tcBorders>
              <w:bottom w:val="single" w:sz="8" w:color="auto"/>
            </w:tcBorders>
          </w:tcPr>
          <w:p>
            <w:pPr>
              <w:spacing w:after="0"/>
              <w:rPr>
                <w:sz w:val="17"/>
                <w:szCs w:val="17"/>
                <w:color w:val="auto"/>
              </w:rPr>
            </w:pPr>
          </w:p>
        </w:tc>
      </w:tr>
      <w:tr>
        <w:trPr>
          <w:trHeight w:val="168"/>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Load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Passenger</w:t>
            </w:r>
          </w:p>
        </w:tc>
        <w:tc>
          <w:tcPr>
            <w:tcW w:w="980" w:type="dxa"/>
            <w:vAlign w:val="bottom"/>
          </w:tcPr>
          <w:p>
            <w:pPr>
              <w:spacing w:after="0"/>
              <w:rPr>
                <w:sz w:val="14"/>
                <w:szCs w:val="14"/>
                <w:color w:val="auto"/>
              </w:rPr>
            </w:pPr>
          </w:p>
        </w:tc>
      </w:tr>
      <w:tr>
        <w:trPr>
          <w:trHeight w:val="203"/>
        </w:trPr>
        <w:tc>
          <w:tcPr>
            <w:tcW w:w="4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PRASM</w:t>
            </w:r>
          </w:p>
        </w:tc>
      </w:tr>
      <w:tr>
        <w:trPr>
          <w:trHeight w:val="250"/>
        </w:trPr>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1"/>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31,663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2.8pts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13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Passenger revenue increased $949 million, or 3.1%, in the first nine months of 2019 from the first nine months of 2018 primarily due to continued strength in passenger demand resulting in a 3.8% period-over-period increase in RPMs and a 2.8 point increase in passenger load factor.</w:t>
      </w:r>
    </w:p>
    <w:p>
      <w:pPr>
        <w:spacing w:after="0" w:line="109"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Cargo revenue decreased $101 million, or 13.5%, in the first nine months of 2019 from the first nine months of 2018 primarily due to a 14.1% decrease in cargo ton miles reflecting declines in international freight volumes.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Total operating revenues in the first nine months of 2019 increased $852 million, or 2.5%, from the first nine months of 2018 driven principally by a 3.1% increase in passenger revenue as described above. Our TRASM was 16.04 cents in the first nine months of 2019, a 2.0% increase as compared to 15.72 cents in the first nine months of 2018.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38" w:right="239" w:bottom="1440" w:gutter="0" w:footer="0" w:header="0"/>
        </w:sectPr>
      </w:pPr>
    </w:p>
    <w:bookmarkStart w:id="48" w:name="page49"/>
    <w:bookmarkEnd w:id="48"/>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center"/>
              <w:ind w:left="494"/>
              <w:spacing w:after="0" w:line="151"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3"/>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266</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4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5"/>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3,954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233</w:t>
            </w:r>
          </w:p>
        </w:tc>
        <w:tc>
          <w:tcPr>
            <w:tcW w:w="14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32,119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Total operating expenses increased $601 million, or 1.9%, in the first nine months of 2019 from the first nine months of 2018. See detailed explanations below relating to changes in total CASM.</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88"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21" w:right="239" w:bottom="1440" w:gutter="0" w:footer="0" w:header="0"/>
        </w:sectPr>
      </w:pPr>
    </w:p>
    <w:bookmarkStart w:id="49" w:name="page50"/>
    <w:bookmarkEnd w:id="49"/>
    <w:p>
      <w:pPr>
        <w:ind w:firstLine="216"/>
        <w:spacing w:after="0" w:line="292" w:lineRule="auto"/>
        <w:rPr>
          <w:sz w:val="20"/>
          <w:szCs w:val="20"/>
          <w:color w:val="auto"/>
        </w:rPr>
      </w:pPr>
      <w:r>
        <w:rPr>
          <w:rFonts w:ascii="Arial" w:cs="Arial" w:eastAsia="Arial" w:hAnsi="Arial"/>
          <w:sz w:val="18"/>
          <w:szCs w:val="18"/>
          <w:color w:val="auto"/>
        </w:rPr>
        <w:t>The major components of our total CASM and our total CASM excluding net special items and fuel for the nine months ended September 30, 2019 and 2018 are as follows (amounts may not recalculate due to rounding):</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CASM, excluding net special items and fuel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2180" w:type="dxa"/>
            <w:vAlign w:val="bottom"/>
            <w:gridSpan w:val="3"/>
          </w:tcPr>
          <w:p>
            <w:pPr>
              <w:jc w:val="center"/>
              <w:ind w:left="974"/>
              <w:spacing w:after="0" w:line="151"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3"/>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900" w:type="dxa"/>
            <w:vAlign w:val="bottom"/>
            <w:gridSpan w:val="5"/>
          </w:tcPr>
          <w:p>
            <w:pPr>
              <w:jc w:val="right"/>
              <w:ind w:right="105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3"/>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0.53</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0.29</w:t>
            </w:r>
          </w:p>
        </w:tc>
        <w:tc>
          <w:tcPr>
            <w:tcW w:w="16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540"/>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3"/>
        </w:trPr>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7"/>
        </w:trPr>
        <w:tc>
          <w:tcPr>
            <w:tcW w:w="1500" w:type="dxa"/>
            <w:vAlign w:val="bottom"/>
          </w:tcPr>
          <w:p>
            <w:pPr>
              <w:jc w:val="right"/>
              <w:ind w:right="3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14.74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c>
          <w:tcPr>
            <w:tcW w:w="16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w:t>
            </w:r>
          </w:p>
        </w:tc>
        <w:tc>
          <w:tcPr>
            <w:tcW w:w="1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5"/>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10.96</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5" w:lineRule="exact"/>
        <w:rPr>
          <w:sz w:val="20"/>
          <w:szCs w:val="20"/>
          <w:color w:val="auto"/>
        </w:rPr>
      </w:pPr>
    </w:p>
    <w:p>
      <w:pPr>
        <w:sectPr>
          <w:pgSz w:w="11900" w:h="16838" w:orient="portrait"/>
          <w:cols w:equalWidth="0" w:num="2">
            <w:col w:w="5800" w:space="720"/>
            <w:col w:w="4900"/>
          </w:cols>
          <w:pgMar w:left="240" w:top="738" w:right="239" w:bottom="1440" w:gutter="0" w:footer="0" w:header="0"/>
          <w:type w:val="continuous"/>
        </w:sectPr>
      </w:pPr>
    </w:p>
    <w:p>
      <w:pPr>
        <w:ind w:left="540" w:hanging="316"/>
        <w:spacing w:after="0" w:line="292"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Mainline aircraft fuel and related taxes per ASM decreased 6.9% primarily due to a 6.6% decrease in the average price per gallon of fuel including related taxes to $2.06 in the first nine months of 2019 from $2.20 in the first nine months of 2018.</w:t>
      </w:r>
    </w:p>
    <w:p>
      <w:pPr>
        <w:spacing w:after="0" w:line="90" w:lineRule="exact"/>
        <w:rPr>
          <w:rFonts w:ascii="Arial" w:cs="Arial" w:eastAsia="Arial" w:hAnsi="Arial"/>
          <w:sz w:val="18"/>
          <w:szCs w:val="18"/>
          <w:color w:val="auto"/>
        </w:rPr>
      </w:pPr>
    </w:p>
    <w:p>
      <w:pPr>
        <w:jc w:val="both"/>
        <w:ind w:left="540" w:hanging="316"/>
        <w:spacing w:after="0" w:line="258"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increased 15.8% in the first nine months of 2019 as compared to the first nine months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airframe and engine overhauls performed under time and material based contracts as well as an increase in the volume of component part repairs also drove higher maintenance expenses in the first nine months of 2019.</w:t>
      </w:r>
    </w:p>
    <w:p>
      <w:pPr>
        <w:spacing w:after="0" w:line="123" w:lineRule="exact"/>
        <w:rPr>
          <w:rFonts w:ascii="Arial" w:cs="Arial" w:eastAsia="Arial" w:hAnsi="Arial"/>
          <w:sz w:val="18"/>
          <w:szCs w:val="18"/>
          <w:color w:val="auto"/>
        </w:rPr>
      </w:pPr>
    </w:p>
    <w:p>
      <w:pPr>
        <w:jc w:val="both"/>
        <w:ind w:left="540" w:hanging="316"/>
        <w:spacing w:after="0" w:line="271"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rent and landing fees per ASM increased 6.6% primarily due to an expansion at Dallas Fort Worth International Airport (DFW) that became fully operational in May 2019 and rate increases at certain hub airports in the first nine months of 2019 as compared to the first nine months of 2018.</w:t>
      </w:r>
    </w:p>
    <w:p>
      <w:pPr>
        <w:spacing w:after="0" w:line="109"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Aircraft rent per ASM increased 5.6% primarily due to 22 leased mainline aircraft delivered subsequent to the third quarter of 2018.</w:t>
      </w:r>
    </w:p>
    <w:p>
      <w:pPr>
        <w:spacing w:after="0" w:line="171" w:lineRule="exact"/>
        <w:rPr>
          <w:rFonts w:ascii="Arial" w:cs="Arial" w:eastAsia="Arial" w:hAnsi="Arial"/>
          <w:sz w:val="18"/>
          <w:szCs w:val="18"/>
          <w:color w:val="auto"/>
        </w:rPr>
      </w:pPr>
    </w:p>
    <w:p>
      <w:pPr>
        <w:jc w:val="both"/>
        <w:ind w:left="540" w:hanging="316"/>
        <w:spacing w:after="0" w:line="292"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Depreciation and amortization per ASM increased 7.0% due in part to airport and other facility improvements and the harmonization of interior configurations across the mainline fleet. Depreciation associated with our fleet renewal program also contributed to the increase.</w:t>
      </w:r>
    </w:p>
    <w:p>
      <w:pPr>
        <w:spacing w:after="0" w:line="90" w:lineRule="exact"/>
        <w:rPr>
          <w:rFonts w:ascii="Arial" w:cs="Arial" w:eastAsia="Arial" w:hAnsi="Arial"/>
          <w:sz w:val="18"/>
          <w:szCs w:val="18"/>
          <w:color w:val="auto"/>
        </w:rPr>
      </w:pPr>
    </w:p>
    <w:p>
      <w:pPr>
        <w:ind w:left="540" w:hanging="316"/>
        <w:spacing w:after="0" w:line="292"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Regional aircraft fuel and related taxes per ASM increased 1.3% primarily due to an 8.0% increase in gallons of fuel consumed, principally due to increased capacity. This increase was offset in part by a 5.7% decrease in the average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38" w:right="239" w:bottom="1440" w:gutter="0" w:footer="0" w:header="0"/>
          <w:type w:val="continuous"/>
        </w:sectPr>
      </w:pPr>
    </w:p>
    <w:bookmarkStart w:id="50" w:name="page51"/>
    <w:bookmarkEnd w:id="50"/>
    <w:p>
      <w:pPr>
        <w:jc w:val="center"/>
        <w:ind w:right="20"/>
        <w:spacing w:after="0"/>
        <w:rPr>
          <w:sz w:val="20"/>
          <w:szCs w:val="20"/>
          <w:color w:val="auto"/>
        </w:rPr>
      </w:pPr>
      <w:r>
        <w:rPr>
          <w:rFonts w:ascii="Arial" w:cs="Arial" w:eastAsia="Arial" w:hAnsi="Arial"/>
          <w:sz w:val="18"/>
          <w:szCs w:val="18"/>
          <w:color w:val="auto"/>
        </w:rPr>
        <w:t>price per gallon of fuel including related taxes to $2.15 in the first nine months of 2019 from $2.28 in the first nine months of 2018.</w:t>
      </w:r>
    </w:p>
    <w:p>
      <w:pPr>
        <w:spacing w:after="0" w:line="185" w:lineRule="exact"/>
        <w:rPr>
          <w:sz w:val="20"/>
          <w:szCs w:val="20"/>
          <w:color w:val="auto"/>
        </w:rPr>
      </w:pPr>
    </w:p>
    <w:p>
      <w:pPr>
        <w:ind w:left="540" w:hanging="316"/>
        <w:spacing w:after="0" w:line="292"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Regional other operating expenses per ASM increased 5.4% primarily driven by a 7.7% increase in regional capacity, principally from our wholly-owned regional carriers.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r>
      <w:tr>
        <w:trPr>
          <w:trHeight w:val="271"/>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Litigation reserve adjustments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160" w:type="dxa"/>
            <w:vAlign w:val="bottom"/>
          </w:tcPr>
          <w:p>
            <w:pPr>
              <w:spacing w:after="0"/>
              <w:rPr>
                <w:sz w:val="23"/>
                <w:szCs w:val="23"/>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1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65"/>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Labor contract expenses</w:t>
            </w:r>
          </w:p>
        </w:tc>
        <w:tc>
          <w:tcPr>
            <w:tcW w:w="116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5"/>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5"/>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5"/>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Total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09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r>
      <w:tr>
        <w:trPr>
          <w:trHeight w:val="20"/>
        </w:trPr>
        <w:tc>
          <w:tcPr>
            <w:tcW w:w="2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7"/>
        </w:trPr>
        <w:tc>
          <w:tcPr>
            <w:tcW w:w="2120" w:type="dxa"/>
            <w:vAlign w:val="bottom"/>
            <w:tcBorders>
              <w:bottom w:val="single" w:sz="8" w:color="auto"/>
            </w:tcBorders>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64"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Fleet impairment includes a non-cash write-down of aircraft related to the planned retirement of our Embraer E190 fleet.</w:t>
      </w:r>
    </w:p>
    <w:p>
      <w:pPr>
        <w:spacing w:after="0" w:line="135"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5"/>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our technical operations, flight attendant, human resources and payroll systems.</w:t>
      </w:r>
    </w:p>
    <w:p>
      <w:pPr>
        <w:sectPr>
          <w:pgSz w:w="11900" w:h="16838" w:orient="portrait"/>
          <w:cols w:equalWidth="0" w:num="1">
            <w:col w:w="11420"/>
          </w:cols>
          <w:pgMar w:left="240" w:top="765" w:right="239" w:bottom="1440" w:gutter="0" w:footer="0" w:header="0"/>
        </w:sectPr>
      </w:pPr>
    </w:p>
    <w:p>
      <w:pPr>
        <w:spacing w:after="0" w:line="142" w:lineRule="exact"/>
        <w:rPr>
          <w:sz w:val="20"/>
          <w:szCs w:val="20"/>
          <w:color w:val="auto"/>
        </w:rPr>
      </w:pPr>
    </w:p>
    <w:p>
      <w:pPr>
        <w:ind w:left="180"/>
        <w:spacing w:after="0"/>
        <w:rPr>
          <w:sz w:val="20"/>
          <w:szCs w:val="20"/>
          <w:color w:val="auto"/>
        </w:rPr>
      </w:pPr>
      <w:r>
        <w:rPr>
          <w:rFonts w:ascii="Arial" w:cs="Arial" w:eastAsia="Arial" w:hAnsi="Arial"/>
          <w:sz w:val="9"/>
          <w:szCs w:val="9"/>
          <w:color w:val="auto"/>
        </w:rPr>
        <w:t>(4)</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our common stock are marked-to-market based on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Severance expenses primarily included costs associated with reductions of management and support staff team members.</w:t>
      </w:r>
    </w:p>
    <w:p>
      <w:pPr>
        <w:spacing w:after="0" w:line="183" w:lineRule="exact"/>
        <w:rPr>
          <w:sz w:val="20"/>
          <w:szCs w:val="20"/>
          <w:color w:val="auto"/>
        </w:rPr>
      </w:pPr>
    </w:p>
    <w:p>
      <w:pPr>
        <w:sectPr>
          <w:pgSz w:w="11900" w:h="16838" w:orient="portrait"/>
          <w:cols w:equalWidth="0" w:num="2">
            <w:col w:w="300" w:space="200"/>
            <w:col w:w="10920"/>
          </w:cols>
          <w:pgMar w:left="240" w:top="765" w:right="239" w:bottom="1440" w:gutter="0" w:footer="0" w:header="0"/>
          <w:type w:val="continuous"/>
        </w:sectPr>
      </w:pPr>
    </w:p>
    <w:p>
      <w:pPr>
        <w:ind w:left="500" w:hanging="330"/>
        <w:spacing w:after="0" w:line="239"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our Brazil route authority as a result of the U.S.-Brazil open skies agreement.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7"/>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380" w:type="dxa"/>
            <w:vAlign w:val="bottom"/>
          </w:tcPr>
          <w:p>
            <w:pPr>
              <w:spacing w:after="0"/>
              <w:rPr>
                <w:sz w:val="24"/>
                <w:szCs w:val="24"/>
                <w:color w:val="auto"/>
              </w:rPr>
            </w:pPr>
          </w:p>
        </w:tc>
        <w:tc>
          <w:tcPr>
            <w:tcW w:w="980" w:type="dxa"/>
            <w:vAlign w:val="bottom"/>
          </w:tcPr>
          <w:p>
            <w:pPr>
              <w:jc w:val="right"/>
              <w:ind w:right="457"/>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5" w:right="239" w:bottom="1440" w:gutter="0" w:footer="0" w:header="0"/>
          <w:type w:val="continuous"/>
        </w:sectPr>
      </w:pPr>
    </w:p>
    <w:bookmarkStart w:id="51" w:name="page52"/>
    <w:bookmarkEnd w:id="51"/>
    <w:p>
      <w:pPr>
        <w:jc w:val="both"/>
        <w:ind w:right="20" w:firstLine="216"/>
        <w:spacing w:after="0" w:line="292" w:lineRule="auto"/>
        <w:rPr>
          <w:sz w:val="20"/>
          <w:szCs w:val="20"/>
          <w:color w:val="auto"/>
        </w:rPr>
      </w:pPr>
      <w:r>
        <w:rPr>
          <w:rFonts w:ascii="Arial" w:cs="Arial" w:eastAsia="Arial" w:hAnsi="Arial"/>
          <w:sz w:val="18"/>
          <w:szCs w:val="18"/>
          <w:color w:val="auto"/>
        </w:rPr>
        <w:t>Interest expense, net increased $42 million, or 5.3% in the first nine months of 2019 as compared to the first nine months of 2018 primarily due to the issuance of debt.</w:t>
      </w:r>
    </w:p>
    <w:p>
      <w:pPr>
        <w:spacing w:after="0" w:line="9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first nine months of 2019, other nonoperating income, net principally included $137 million of non-service related pension and other postretirement benefit plan income. This income was offset in part by a $37 million net special charge for mark-to-market unrealized losses primarily associated with our equity investment in China Southern Airlines, $24 million of net foreign currency losses principally associated with losses from Latin American currencies, and $14 million of net special charges associated with debt refinancings and extinguishments.</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first nine months of 2018, other nonoperating income, net principally included $226 million of non-service related pension and other postretirement benefit plan income. This income was offset in part by an $82 million net special charge for mark-to-market unrealized losses primarily associated with our equity investment in China Southern Airlines, $41 million of net foreign currency losses, principally associated with losses from Latin American currencies, and $13 million of net special charges associated with debt refinancings and extinguishments.</w:t>
      </w:r>
    </w:p>
    <w:p>
      <w:pPr>
        <w:spacing w:after="0" w:line="116"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nine months of 2019 as compared to the first nine months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first nine months of 2019, we recorded an income tax provision of $413 million, which was substantially non-cash due to utilization of our NOLs. Substantially all of our income before income taxes is attributable to the United States.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90"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American realized pre-tax income of $668 million and net income of $508 million in the third quarter of 2019. This compares to third quarter 2018 pre-tax income of $577 million and net income of $433 million.</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quarter-over-quarter increase in American's pre-tax income was principally driven by higher revenues and lower fuel costs, offset in part by increases in salaries, wages and benefits, maintenance expenses, and costs associated with increased regional capacity.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6"/>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10,995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434</w:t>
            </w:r>
          </w:p>
        </w:tc>
        <w:tc>
          <w:tcPr>
            <w:tcW w:w="1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5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5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11,910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11,556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354</w:t>
            </w: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-857250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-857250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-857250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Passenger revenue increased $434 million, or 4.1%, in the third quarter of 2019 from the third quarter of 2018 primarily due to continued strength in passenger demand resulting in a quarter-over-quarter increase in RPMs and an increase in passenger load factor. Domestic PRASM increased in the third quarter of 2019 from the third quarter of 2018. Latin America PRASM was the best performing international region, while Atlantic PRASM declined principally due to lower transfer payments related to American's joint business arrangement and foreign currency effects.</w:t>
      </w:r>
    </w:p>
    <w:p>
      <w:pPr>
        <w:spacing w:after="0" w:line="12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Cargo revenue decreased $52 million, or 19.9%, in the third quarter of 2019 from the third quarter of 2018 primarily due to a decrease in cargo ton miles reflecting declines in freight volumes, principally as a result of international schedule reductions.</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Other revenue decreased $28 million, or 3.9%, as compared to the third quarter of 2018, driven primarily by lower loyalty marketing revenue due to certain contractual amounts earned in the third quarter of 2018 that did not occur in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38" w:right="239" w:bottom="1440" w:gutter="0" w:footer="0" w:header="0"/>
        </w:sectPr>
      </w:pPr>
    </w:p>
    <w:bookmarkStart w:id="52" w:name="page53"/>
    <w:bookmarkEnd w:id="52"/>
    <w:p>
      <w:pPr>
        <w:ind w:firstLine="216"/>
        <w:spacing w:after="0" w:line="292" w:lineRule="auto"/>
        <w:rPr>
          <w:sz w:val="20"/>
          <w:szCs w:val="20"/>
          <w:color w:val="auto"/>
        </w:rPr>
      </w:pPr>
      <w:r>
        <w:rPr>
          <w:rFonts w:ascii="Arial" w:cs="Arial" w:eastAsia="Arial" w:hAnsi="Arial"/>
          <w:sz w:val="18"/>
          <w:szCs w:val="18"/>
          <w:color w:val="auto"/>
        </w:rPr>
        <w:t>Despite the negative impact to revenue due to Hurricane Dorian, total operating revenues in the third quarter of 2019 increased $354 million, or 3.1%, from the third quarter of 2018 driven principally by a 4.1% increase in passenger revenue as described above.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5"/>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-2400300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-2400300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-2400300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operating expenses increased $232 million, or 2.1%, in the third quarter of 2019 from the third quarter of 2018.</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ind w:left="580" w:hanging="329"/>
        <w:spacing w:after="0" w:line="292"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Mainline aircraft fuel and related taxes decreased 11.0% primarily due to an 11.2% decrease in the average price per gallon of fuel including related taxes to $2.03 in the third quarter of 2019 from $2.28 in the third quarter of 2018.</w:t>
      </w:r>
    </w:p>
    <w:p>
      <w:pPr>
        <w:spacing w:after="0" w:line="90" w:lineRule="exact"/>
        <w:rPr>
          <w:rFonts w:ascii="Arial" w:cs="Arial" w:eastAsia="Arial" w:hAnsi="Arial"/>
          <w:sz w:val="18"/>
          <w:szCs w:val="18"/>
          <w:color w:val="auto"/>
        </w:rPr>
      </w:pPr>
    </w:p>
    <w:p>
      <w:pPr>
        <w:jc w:val="both"/>
        <w:ind w:left="580" w:hanging="329"/>
        <w:spacing w:after="0" w:line="25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Maintenance, materials and repairs increased 15.9% in the third quarter of 2019 as compared to the third quarter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airframe and engine overhauls performed under time and material based contracts as well as an increase in the volume of component part repairs also drove higher maintenance expenses in the third quarter of 2019.</w:t>
      </w:r>
    </w:p>
    <w:p>
      <w:pPr>
        <w:spacing w:after="0" w:line="123" w:lineRule="exact"/>
        <w:rPr>
          <w:rFonts w:ascii="Arial" w:cs="Arial" w:eastAsia="Arial" w:hAnsi="Arial"/>
          <w:sz w:val="18"/>
          <w:szCs w:val="18"/>
          <w:color w:val="auto"/>
        </w:rPr>
      </w:pPr>
    </w:p>
    <w:p>
      <w:pPr>
        <w:ind w:left="580" w:hanging="329"/>
        <w:spacing w:after="0" w:line="292"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expenses increased 7.3% primarily due to higher commission expense and credit card fees driven by the overall increase in revenues.</w:t>
      </w:r>
    </w:p>
    <w:p>
      <w:pPr>
        <w:spacing w:after="0" w:line="90" w:lineRule="exact"/>
        <w:rPr>
          <w:rFonts w:ascii="Arial" w:cs="Arial" w:eastAsia="Arial" w:hAnsi="Arial"/>
          <w:sz w:val="18"/>
          <w:szCs w:val="18"/>
          <w:color w:val="auto"/>
        </w:rPr>
      </w:pPr>
    </w:p>
    <w:p>
      <w:pPr>
        <w:jc w:val="both"/>
        <w:ind w:left="580" w:hanging="329"/>
        <w:spacing w:after="0" w:line="292"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Depreciation and amortization increased 6.6% due in part to airport and other facility improvements and the harmonization of interior configurations across the mainline fleet. Depreciation associated with American's fleet renewal program also contributed to the increase.</w:t>
      </w:r>
    </w:p>
    <w:p>
      <w:pPr>
        <w:spacing w:after="0" w:line="90" w:lineRule="exact"/>
        <w:rPr>
          <w:rFonts w:ascii="Arial" w:cs="Arial" w:eastAsia="Arial" w:hAnsi="Arial"/>
          <w:sz w:val="18"/>
          <w:szCs w:val="18"/>
          <w:color w:val="auto"/>
        </w:rPr>
      </w:pPr>
    </w:p>
    <w:p>
      <w:pPr>
        <w:jc w:val="both"/>
        <w:ind w:left="580" w:right="20" w:hanging="329"/>
        <w:spacing w:after="0" w:line="271"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Regional aircraft fuel and related taxes decreased 4.2% primarily due to a 10.9% decrease in the average price per gallon of fuel including related taxes to $2.13 in the third quarter of 2019 from $2.39 in the third quarter of 2018. This decrease was offset in part by a 7.6% increase in gallons of fuel consumed, principally due to increased capacity.</w:t>
      </w:r>
    </w:p>
    <w:p>
      <w:pPr>
        <w:spacing w:after="0" w:line="109" w:lineRule="exact"/>
        <w:rPr>
          <w:rFonts w:ascii="Arial" w:cs="Arial" w:eastAsia="Arial" w:hAnsi="Arial"/>
          <w:sz w:val="18"/>
          <w:szCs w:val="18"/>
          <w:color w:val="auto"/>
        </w:rPr>
      </w:pPr>
    </w:p>
    <w:p>
      <w:pPr>
        <w:ind w:left="580" w:hanging="329"/>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Regional other operating expenses increased 9.6% primarily driven by an increase in regional capacity.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38" w:right="23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r>
      <w:tr>
        <w:trPr>
          <w:trHeight w:val="264"/>
        </w:trPr>
        <w:tc>
          <w:tcPr>
            <w:tcW w:w="7320" w:type="dxa"/>
            <w:vAlign w:val="bottom"/>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r>
      <w:tr>
        <w:trPr>
          <w:trHeight w:val="27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12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reserve adjustments</w:t>
            </w:r>
          </w:p>
        </w:tc>
        <w:tc>
          <w:tcPr>
            <w:tcW w:w="1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65"/>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5"/>
        </w:trPr>
        <w:tc>
          <w:tcPr>
            <w:tcW w:w="732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2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-1543050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8"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Fleet impairment includes a non-cash write-down of aircraft related to the planned retirement of American's Embraer E190 fleet.</w:t>
      </w:r>
    </w:p>
    <w:p>
      <w:pPr>
        <w:spacing w:after="0" w:line="135"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Severance expenses primarily included costs associated with reductions of management and support staff team members.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6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296"/>
              <w:spacing w:after="0" w:line="133"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4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8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-857250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-857250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-857250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Interest income increased $46 million in the third quarter of 2019 as compared to the third quarter of 2018, primarily due to higher interest-bearing related party receivables from American's parent company, AAG.</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Interest expense, net increased $22 million, or 8.4%, in the third quarter of 2019 as compared to the third quarter of 2018 primarily due to the issuance of debt and lower capitalized interest.</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third quarter of 2019, other nonoperating expense, net principally included a $45 million net special charge for mark-to-market unrealized losses primarily associated with American's equity investment in China Southern Airlines, offset in part by $47 million of non-service related pension and other postretirement benefit plan income.</w:t>
      </w:r>
    </w:p>
    <w:p>
      <w:pPr>
        <w:spacing w:after="0" w:line="10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third quarter of 2018, other nonoperating income, net principally included $76 million of non-service related pension and other postretirement benefit plan income. This income was offset in part by $22 million of net foreign currency losses, principally associated with losses from Latin American currencies and a $15 million net special charge for mark-to-market unrealized losses primarily associated with American's equity investment in China Southern Airlines.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21" w:right="239" w:bottom="1440" w:gutter="0" w:footer="0" w:header="0"/>
        </w:sectPr>
      </w:pPr>
    </w:p>
    <w:bookmarkStart w:id="54" w:name="page55"/>
    <w:bookmarkEnd w:id="54"/>
    <w:p>
      <w:pPr>
        <w:jc w:val="both"/>
        <w:ind w:right="20"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third quarter of 2019 as compared to the third quarter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the third quarter of 2019, American recorded an income tax provision of $160 million, which was substantially non-cash due to utilization of its NOLs. Substantially all of American’s income before income taxes is attributable to the United States. At December 31, 2018, American had approximately $10.6 billion of federal NOLs and $3.1 billion of state NOLs, substantially all of which are expected to be available in 2019 to reduce federal and state taxable income.</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90"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American realized pre-tax income of $1.9 billion and net income of $1.5 billion in the first nine months of 2019. This compares to the first nine months of 2018 pre-tax income of $1.7 billion and net income of $1.3 billion.</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The period-over-period increase in American's pre-tax income was principally driven by higher revenues and lower fuel costs, offset in part by increases in salaries, wages and benefits, maintenance expenses, and costs associated with increased regional capacity.</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center"/>
              <w:ind w:left="498"/>
              <w:spacing w:after="0" w:line="151"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31,663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30,714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949</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5"/>
        </w:trPr>
        <w:tc>
          <w:tcPr>
            <w:tcW w:w="562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3"/>
                <w:szCs w:val="23"/>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34,449</w:t>
            </w:r>
          </w:p>
        </w:tc>
        <w:tc>
          <w:tcPr>
            <w:tcW w:w="10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33,594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855</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Passenger revenue increased $949 million, or 3.1%, in the first nine months of 2019 from the first nine months of 2018 primarily due to continued strength in passenger demand resulting in a period-over-period increase in RPMs and an increase in passenger load factor.</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Cargo revenue decreased $101 million, or 13.5%, in the first nine months of 2019 from the first nine months of 2018 primarily due to a decrease in cargo ton miles reflecting declines in international freight volumes.</w:t>
      </w:r>
    </w:p>
    <w:p>
      <w:pPr>
        <w:spacing w:after="0" w:line="9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Total operating revenues in the first nine months of 2019 increased $855 million, or 2.5%, from the first nine months of 2018 driven principally by a 3.1% increase in passenger revenue as described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38" w:right="239" w:bottom="1440" w:gutter="0" w:footer="0" w:header="0"/>
        </w:sectPr>
      </w:pPr>
    </w:p>
    <w:bookmarkStart w:id="55" w:name="page56"/>
    <w:bookmarkEnd w:id="55"/>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vMerge w:val="restart"/>
          </w:tcPr>
          <w:p>
            <w:pPr>
              <w:jc w:val="right"/>
              <w:ind w:right="373"/>
              <w:spacing w:after="0" w:line="133"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9,503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9,234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269</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5"/>
        </w:trPr>
        <w:tc>
          <w:tcPr>
            <w:tcW w:w="526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3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15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5"/>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5"/>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315</w:t>
            </w:r>
          </w:p>
        </w:tc>
        <w:tc>
          <w:tcPr>
            <w:tcW w:w="158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32,148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expenses increased $686 million, or 2.2%, in the first nine months of 2019 from the first nine months of 2018.</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212" w:lineRule="exact"/>
        <w:rPr>
          <w:sz w:val="20"/>
          <w:szCs w:val="20"/>
          <w:color w:val="auto"/>
        </w:rPr>
      </w:pPr>
    </w:p>
    <w:p>
      <w:pPr>
        <w:ind w:left="460" w:right="20" w:hanging="330"/>
        <w:spacing w:after="0" w:line="292"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Mainline aircraft fuel and related taxes decreased 6.4% primarily due to a 6.6% decrease in the average price per gallon of fuel including related taxes to $2.06 in the first nine months of 2019 from $2.20 in the first nine months of 2018.</w:t>
      </w:r>
    </w:p>
    <w:p>
      <w:pPr>
        <w:spacing w:after="0" w:line="90" w:lineRule="exact"/>
        <w:rPr>
          <w:rFonts w:ascii="Arial" w:cs="Arial" w:eastAsia="Arial" w:hAnsi="Arial"/>
          <w:sz w:val="18"/>
          <w:szCs w:val="18"/>
          <w:color w:val="auto"/>
        </w:rPr>
      </w:pPr>
    </w:p>
    <w:p>
      <w:pPr>
        <w:jc w:val="both"/>
        <w:ind w:left="460" w:hanging="330"/>
        <w:spacing w:after="0" w:line="25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Maintenance, materials and repairs increased 16.4% in the first nine months of 2019 as compared to the first nine months of 2018, primarily due to a contract change that resulted in certain flight equipment transitioning to a flight hour based contract (referred to as power by the hour) whereby expense is incurred and recognized based on actual hours flown. Previously, this flight equipment was covered by a time and materials based contract whereby expense is incurred and recognized as maintenance is performed. An increase in the volume of airframe and engine overhauls performed under time and material based contracts as well as an increase in the volume of component part repairs also drove higher maintenance expenses in the first nine months of 2019.</w:t>
      </w:r>
    </w:p>
    <w:p>
      <w:pPr>
        <w:spacing w:after="0" w:line="123" w:lineRule="exact"/>
        <w:rPr>
          <w:rFonts w:ascii="Arial" w:cs="Arial" w:eastAsia="Arial" w:hAnsi="Arial"/>
          <w:sz w:val="18"/>
          <w:szCs w:val="18"/>
          <w:color w:val="auto"/>
        </w:rPr>
      </w:pPr>
    </w:p>
    <w:p>
      <w:pPr>
        <w:ind w:left="460" w:hanging="330"/>
        <w:spacing w:after="0" w:line="292"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rent and landing fees increased 7.2% primarily due to an expansion at DFW that became fully operational in May 2019 and rate increases at certain hub airports in the first nine months of 2019 as compared to the first nine months of 2018.</w:t>
      </w:r>
    </w:p>
    <w:p>
      <w:pPr>
        <w:spacing w:after="0" w:line="90" w:lineRule="exact"/>
        <w:rPr>
          <w:rFonts w:ascii="Arial" w:cs="Arial" w:eastAsia="Arial" w:hAnsi="Arial"/>
          <w:sz w:val="18"/>
          <w:szCs w:val="18"/>
          <w:color w:val="auto"/>
        </w:rPr>
      </w:pPr>
    </w:p>
    <w:p>
      <w:pPr>
        <w:ind w:left="460" w:hanging="330"/>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Aircraft rent increased 6.1% primarily due to 22 leased mainline aircraft delivered subsequent to the third quarter of 2018.</w:t>
      </w:r>
    </w:p>
    <w:p>
      <w:pPr>
        <w:spacing w:after="0" w:line="171" w:lineRule="exact"/>
        <w:rPr>
          <w:rFonts w:ascii="Arial" w:cs="Arial" w:eastAsia="Arial" w:hAnsi="Arial"/>
          <w:sz w:val="18"/>
          <w:szCs w:val="18"/>
          <w:color w:val="auto"/>
        </w:rPr>
      </w:pPr>
    </w:p>
    <w:p>
      <w:pPr>
        <w:ind w:left="460" w:hanging="330"/>
        <w:spacing w:after="0" w:line="292"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Depreciation and amortization increased 7.5% due in part to airport and other facility improvements and the harmonization of interior configurations across the mainline fleet. Depreciation associated with American's fleet renewal program also contributed to the increase.</w:t>
      </w:r>
    </w:p>
    <w:p>
      <w:pPr>
        <w:spacing w:after="0" w:line="90" w:lineRule="exact"/>
        <w:rPr>
          <w:rFonts w:ascii="Arial" w:cs="Arial" w:eastAsia="Arial" w:hAnsi="Arial"/>
          <w:sz w:val="18"/>
          <w:szCs w:val="18"/>
          <w:color w:val="auto"/>
        </w:rPr>
      </w:pPr>
    </w:p>
    <w:p>
      <w:pPr>
        <w:jc w:val="both"/>
        <w:ind w:left="460" w:hanging="330"/>
        <w:spacing w:after="0" w:line="27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Regional aircraft fuel and related taxes increased 1.8% primarily due to an 8.0% increase in gallons of fuel consumed, principally due to increased capacity. This increase was offset in part by a 5.7% decrease in the average price per gallon of fuel including related taxes to $2.15 in the first nine months of 2019 from $2.28 in the first nine months of 2018.</w:t>
      </w:r>
    </w:p>
    <w:p>
      <w:pPr>
        <w:spacing w:after="0" w:line="109" w:lineRule="exact"/>
        <w:rPr>
          <w:rFonts w:ascii="Arial" w:cs="Arial" w:eastAsia="Arial" w:hAnsi="Arial"/>
          <w:sz w:val="18"/>
          <w:szCs w:val="18"/>
          <w:color w:val="auto"/>
        </w:rPr>
      </w:pPr>
    </w:p>
    <w:p>
      <w:pPr>
        <w:ind w:left="460" w:hanging="330"/>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Regional other operating expenses increased 8.0% primarily driven by an increase in regional capacity.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21" w:right="239" w:bottom="1440" w:gutter="0" w:footer="0" w:header="0"/>
        </w:sectPr>
      </w:pPr>
    </w:p>
    <w:bookmarkStart w:id="56" w:name="page57"/>
    <w:bookmarkEnd w:id="56"/>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Borders>
              <w:bottom w:val="single" w:sz="8" w:color="auto"/>
            </w:tcBorders>
          </w:tcPr>
          <w:p>
            <w:pPr>
              <w:spacing w:after="0"/>
              <w:rPr>
                <w:sz w:val="17"/>
                <w:szCs w:val="17"/>
                <w:color w:val="auto"/>
              </w:rPr>
            </w:pPr>
          </w:p>
        </w:tc>
      </w:tr>
      <w:tr>
        <w:trPr>
          <w:trHeight w:val="264"/>
        </w:trPr>
        <w:tc>
          <w:tcPr>
            <w:tcW w:w="7320" w:type="dxa"/>
            <w:vAlign w:val="bottom"/>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r>
      <w:tr>
        <w:trPr>
          <w:trHeight w:val="27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12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(2)</w:t>
            </w:r>
          </w:p>
        </w:tc>
        <w:tc>
          <w:tcPr>
            <w:tcW w:w="1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reserve adjustments</w:t>
            </w:r>
          </w:p>
        </w:tc>
        <w:tc>
          <w:tcPr>
            <w:tcW w:w="1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Merger integration expenses </w:t>
            </w:r>
            <w:r>
              <w:rPr>
                <w:rFonts w:ascii="Arial" w:cs="Arial" w:eastAsia="Arial" w:hAnsi="Arial"/>
                <w:sz w:val="21"/>
                <w:szCs w:val="21"/>
                <w:color w:val="auto"/>
                <w:vertAlign w:val="superscript"/>
              </w:rPr>
              <w:t>(3)</w:t>
            </w:r>
          </w:p>
        </w:tc>
        <w:tc>
          <w:tcPr>
            <w:tcW w:w="1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(5)</w:t>
            </w:r>
          </w:p>
        </w:tc>
        <w:tc>
          <w:tcPr>
            <w:tcW w:w="1120" w:type="dxa"/>
            <w:vAlign w:val="bottom"/>
          </w:tcPr>
          <w:p>
            <w:pPr>
              <w:spacing w:after="0"/>
              <w:rPr>
                <w:sz w:val="23"/>
                <w:szCs w:val="23"/>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impairment </w:t>
            </w:r>
            <w:r>
              <w:rPr>
                <w:rFonts w:ascii="Arial" w:cs="Arial" w:eastAsia="Arial" w:hAnsi="Arial"/>
                <w:sz w:val="21"/>
                <w:szCs w:val="21"/>
                <w:color w:val="auto"/>
                <w:vertAlign w:val="superscript"/>
              </w:rPr>
              <w:t>(6)</w:t>
            </w:r>
          </w:p>
        </w:tc>
        <w:tc>
          <w:tcPr>
            <w:tcW w:w="1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65"/>
        </w:trPr>
        <w:tc>
          <w:tcPr>
            <w:tcW w:w="7320" w:type="dxa"/>
            <w:vAlign w:val="bottom"/>
          </w:tcPr>
          <w:p>
            <w:pPr>
              <w:ind w:left="40"/>
              <w:spacing w:after="0"/>
              <w:rPr>
                <w:sz w:val="20"/>
                <w:szCs w:val="20"/>
                <w:color w:val="auto"/>
              </w:rPr>
            </w:pPr>
            <w:r>
              <w:rPr>
                <w:rFonts w:ascii="Arial" w:cs="Arial" w:eastAsia="Arial" w:hAnsi="Arial"/>
                <w:sz w:val="18"/>
                <w:szCs w:val="18"/>
                <w:color w:val="auto"/>
              </w:rPr>
              <w:t>Labor contract expenses</w:t>
            </w:r>
          </w:p>
        </w:tc>
        <w:tc>
          <w:tcPr>
            <w:tcW w:w="1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55"/>
        </w:trPr>
        <w:tc>
          <w:tcPr>
            <w:tcW w:w="7320" w:type="dxa"/>
            <w:vAlign w:val="bottom"/>
          </w:tcPr>
          <w:p>
            <w:pPr>
              <w:ind w:left="180"/>
              <w:spacing w:after="0"/>
              <w:rPr>
                <w:sz w:val="20"/>
                <w:szCs w:val="20"/>
                <w:color w:val="auto"/>
              </w:rPr>
            </w:pPr>
            <w:r>
              <w:rPr>
                <w:rFonts w:ascii="Arial" w:cs="Arial" w:eastAsia="Arial" w:hAnsi="Arial"/>
                <w:sz w:val="18"/>
                <w:szCs w:val="18"/>
                <w:color w:val="auto"/>
              </w:rPr>
              <w:t>Total mainline operating special items, net</w:t>
            </w:r>
          </w:p>
        </w:tc>
        <w:tc>
          <w:tcPr>
            <w:tcW w:w="112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2"/>
                <w:szCs w:val="22"/>
                <w:color w:val="auto"/>
              </w:rPr>
            </w:pPr>
          </w:p>
        </w:tc>
        <w:tc>
          <w:tcPr>
            <w:tcW w:w="128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w:t>
            </w: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8"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Fleet impairment includes a non-cash write-down of aircraft related to the planned retirement of American's Embraer E190 fleet.</w:t>
      </w:r>
    </w:p>
    <w:p>
      <w:pPr>
        <w:spacing w:after="0" w:line="135"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grounded or expected to be grounded earlier than planned.</w:t>
      </w:r>
    </w:p>
    <w:p>
      <w:pPr>
        <w:spacing w:after="0" w:line="136"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Merger integration expenses included costs associated with integration projects, principally American's technical operations, flight attendant, human resources and payroll systems.</w:t>
      </w:r>
    </w:p>
    <w:p>
      <w:pPr>
        <w:sectPr>
          <w:pgSz w:w="11900" w:h="16838" w:orient="portrait"/>
          <w:cols w:equalWidth="0" w:num="1">
            <w:col w:w="11420"/>
          </w:cols>
          <w:pgMar w:left="240" w:top="821" w:right="239" w:bottom="1440" w:gutter="0" w:footer="0" w:header="0"/>
        </w:sectPr>
      </w:pPr>
    </w:p>
    <w:p>
      <w:pPr>
        <w:spacing w:after="0" w:line="142" w:lineRule="exact"/>
        <w:rPr>
          <w:sz w:val="20"/>
          <w:szCs w:val="20"/>
          <w:color w:val="auto"/>
        </w:rPr>
      </w:pPr>
    </w:p>
    <w:p>
      <w:pPr>
        <w:ind w:left="180"/>
        <w:spacing w:after="0"/>
        <w:rPr>
          <w:sz w:val="20"/>
          <w:szCs w:val="20"/>
          <w:color w:val="auto"/>
        </w:rPr>
      </w:pPr>
      <w:r>
        <w:rPr>
          <w:rFonts w:ascii="Arial" w:cs="Arial" w:eastAsia="Arial" w:hAnsi="Arial"/>
          <w:sz w:val="9"/>
          <w:szCs w:val="9"/>
          <w:color w:val="auto"/>
        </w:rPr>
        <w:t>(4)</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expenses primarily included costs associated with reductions of management and support staff team members.</w:t>
      </w:r>
    </w:p>
    <w:p>
      <w:pPr>
        <w:spacing w:after="0" w:line="171" w:lineRule="exact"/>
        <w:rPr>
          <w:sz w:val="20"/>
          <w:szCs w:val="20"/>
          <w:color w:val="auto"/>
        </w:rPr>
      </w:pPr>
    </w:p>
    <w:p>
      <w:pPr>
        <w:sectPr>
          <w:pgSz w:w="11900" w:h="16838" w:orient="portrait"/>
          <w:cols w:equalWidth="0" w:num="2">
            <w:col w:w="300" w:space="200"/>
            <w:col w:w="10920"/>
          </w:cols>
          <w:pgMar w:left="240" w:top="821" w:right="239" w:bottom="1440" w:gutter="0" w:footer="0" w:header="0"/>
          <w:type w:val="continuous"/>
        </w:sectPr>
      </w:pPr>
    </w:p>
    <w:p>
      <w:pPr>
        <w:ind w:left="500" w:hanging="330"/>
        <w:spacing w:after="0" w:line="239" w:lineRule="auto"/>
        <w:tabs>
          <w:tab w:leader="none" w:pos="50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Intangible asset impairment includes a non-cash charge to write-off American's Brazil route authority as a result of the U.S.-Brazil open skies agreement.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0" w:type="dxa"/>
            <w:vAlign w:val="bottom"/>
            <w:gridSpan w:val="3"/>
          </w:tcPr>
          <w:p>
            <w:pPr>
              <w:jc w:val="center"/>
              <w:ind w:right="339"/>
              <w:spacing w:after="0" w:line="151" w:lineRule="exact"/>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Increase</w:t>
            </w:r>
          </w:p>
        </w:tc>
        <w:tc>
          <w:tcPr>
            <w:tcW w:w="1460" w:type="dxa"/>
            <w:vAlign w:val="bottom"/>
            <w:vMerge w:val="restart"/>
          </w:tcPr>
          <w:p>
            <w:pPr>
              <w:jc w:val="center"/>
              <w:ind w:left="38"/>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59"/>
        </w:trPr>
        <w:tc>
          <w:tcPr>
            <w:tcW w:w="5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6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149</w:t>
            </w:r>
          </w:p>
        </w:tc>
        <w:tc>
          <w:tcPr>
            <w:tcW w:w="1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65"/>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50"/>
        </w:trPr>
        <w:tc>
          <w:tcPr>
            <w:tcW w:w="53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w:t>
            </w: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Interest income increased $149 million, or 62.1% in the first nine months of 2019 from the first nine months of 2018 primarily due to higher interest-bearing related party receivables from American's parent company, AAG.</w:t>
      </w:r>
    </w:p>
    <w:p>
      <w:pPr>
        <w:spacing w:after="0" w:line="91"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Interest expense, net increased $71 million, or 9.3% in the first nine months of 2019 as compared to the first nine months of 2018 primarily due to the issuance of debt.</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first nine months of 2019, other nonoperating income, net principally included $138 million of non-service related pension and other postretirement benefit plan income. This income was offset in part by a $37 million net special charge for mark-to-market unrealized losses primarily associated with American's equity investment in China Southern Airlines, $24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21" w:right="239" w:bottom="1440" w:gutter="0" w:footer="0" w:header="0"/>
          <w:type w:val="continuous"/>
        </w:sectPr>
      </w:pPr>
    </w:p>
    <w:bookmarkStart w:id="57" w:name="page58"/>
    <w:bookmarkEnd w:id="57"/>
    <w:p>
      <w:pPr>
        <w:jc w:val="both"/>
        <w:ind w:right="20"/>
        <w:spacing w:after="0" w:line="292" w:lineRule="auto"/>
        <w:rPr>
          <w:sz w:val="20"/>
          <w:szCs w:val="20"/>
          <w:color w:val="auto"/>
        </w:rPr>
      </w:pPr>
      <w:r>
        <w:rPr>
          <w:rFonts w:ascii="Arial" w:cs="Arial" w:eastAsia="Arial" w:hAnsi="Arial"/>
          <w:sz w:val="18"/>
          <w:szCs w:val="18"/>
          <w:color w:val="auto"/>
        </w:rPr>
        <w:t>million of net foreign currency losses, principally associated with losses from Latin American currencies, and $14 million of net special charges associated with debt refinancings and extinguishments.</w:t>
      </w:r>
    </w:p>
    <w:p>
      <w:pPr>
        <w:spacing w:after="0" w:line="9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first nine months of 2018, other nonoperating income, net principally included $ 227 million of non-service related pension and other postretirement benefit plan income. This income was offset in part by an $82 million net special charge for mark-to-market unrealized losses primarily associated with American's equity investment in China Southern Airlines, $40 million of net foreign currency losses, principally associated with losses from Latin American currencies, and $13 million of net special charges associated with debt refinancings and extinguishments.</w:t>
      </w:r>
    </w:p>
    <w:p>
      <w:pPr>
        <w:spacing w:after="0" w:line="12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nine months of 2019 as compared to the first nine months of 2018 is principally due to a decrease in the expected return on pension plan assets.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In the first nine months of 2019, American recorded an income tax provision of $472 million, which was substantially non-cash due to utilization of its NOLs. Substantially all of American’s income before income taxes is attributable to the United States.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As of September 30, 2019, AAG had approximately $8.0 billion in total available liquidity and $158 million in restricted cash and short-term investments. Additional detail of our available liquidity is provided in the table below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AAG</w:t>
            </w: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264"/>
        </w:trPr>
        <w:tc>
          <w:tcPr>
            <w:tcW w:w="4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r>
      <w:tr>
        <w:trPr>
          <w:trHeight w:val="265"/>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4,482</w:t>
            </w:r>
          </w:p>
        </w:tc>
      </w:tr>
      <w:tr>
        <w:trPr>
          <w:trHeight w:val="27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2,843</w:t>
            </w:r>
          </w:p>
        </w:tc>
      </w:tr>
      <w:tr>
        <w:trPr>
          <w:trHeight w:val="245"/>
        </w:trPr>
        <w:tc>
          <w:tcPr>
            <w:tcW w:w="4240" w:type="dxa"/>
            <w:vAlign w:val="bottom"/>
          </w:tcPr>
          <w:p>
            <w:pPr>
              <w:ind w:left="200"/>
              <w:spacing w:after="0"/>
              <w:rPr>
                <w:sz w:val="20"/>
                <w:szCs w:val="20"/>
                <w:color w:val="auto"/>
              </w:rPr>
            </w:pPr>
            <w:r>
              <w:rPr>
                <w:rFonts w:ascii="Arial" w:cs="Arial" w:eastAsia="Arial" w:hAnsi="Arial"/>
                <w:sz w:val="18"/>
                <w:szCs w:val="18"/>
                <w:color w:val="auto"/>
              </w:rPr>
              <w:t>Total available liquidity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8,011</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7,590</w:t>
            </w:r>
          </w:p>
        </w:tc>
      </w:tr>
      <w:tr>
        <w:trPr>
          <w:trHeight w:val="20"/>
        </w:trPr>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September 30, 2019, there was $850 million of remaining authority to repurchase shares under our current $2.0 billion share repurchase program. Share repurchases under our repurchase programs may be made through a variety of methods, which may include open market purchases, privately negotiated transactions, block trades or accelerated share repurchase transactions. Any such repurchases that may be made from time to time will be subject to market and economic conditions, applicable legal requirements and other relevant factors. We are not obligated to repurchase any specific number of shares and our repurchase of AAG common stock may be limited, suspended or discontinued at any time at our discretion and without prior notice.</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During the three months ended September 30, 2019, we repurchased 7.3 million shares of AAG common stock for $200 million at a weighted average cost per share of $27.49. During the nine months ended September 30, 2019, we repurchased 23.9 million shares of AAG common stock for $800 million at a weighted average cost per share of $33.43. Since the inception of our share repurchase programs in July 2014 through September 30, 2019, we repurchased 302.9 million shares of AAG common stock for $12.1 billion at a weighted average cost per share of $40.12.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90" w:lineRule="exact"/>
        <w:rPr>
          <w:sz w:val="20"/>
          <w:szCs w:val="20"/>
          <w:color w:val="auto"/>
        </w:rPr>
      </w:pPr>
    </w:p>
    <w:p>
      <w:pPr>
        <w:jc w:val="both"/>
        <w:ind w:right="20" w:firstLine="216"/>
        <w:spacing w:after="0" w:line="271" w:lineRule="auto"/>
        <w:rPr>
          <w:sz w:val="20"/>
          <w:szCs w:val="20"/>
          <w:color w:val="auto"/>
        </w:rPr>
      </w:pPr>
      <w:r>
        <w:rPr>
          <w:rFonts w:ascii="Arial" w:cs="Arial" w:eastAsia="Arial" w:hAnsi="Arial"/>
          <w:sz w:val="18"/>
          <w:szCs w:val="18"/>
          <w:color w:val="auto"/>
        </w:rPr>
        <w:t>In July 2019, our Board of Directors declared a cash dividend of $0.10 per share for stockholders of record as of August 7, 2019 and paid on August 21, 2019, totaling $44 million. For the first nine months of 2019, we paid total quarterly cash dividends of $0.30 per share, or $135 million in the aggregate.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38" w:right="239" w:bottom="1440" w:gutter="0" w:footer="0" w:header="0"/>
        </w:sectPr>
      </w:pPr>
    </w:p>
    <w:bookmarkStart w:id="58" w:name="page59"/>
    <w:bookmarkEnd w:id="58"/>
    <w:p>
      <w:pPr>
        <w:jc w:val="both"/>
        <w:ind w:firstLine="216"/>
        <w:spacing w:after="0" w:line="292" w:lineRule="auto"/>
        <w:rPr>
          <w:sz w:val="20"/>
          <w:szCs w:val="20"/>
          <w:color w:val="auto"/>
        </w:rPr>
      </w:pPr>
      <w:r>
        <w:rPr>
          <w:rFonts w:ascii="Arial" w:cs="Arial" w:eastAsia="Arial" w:hAnsi="Arial"/>
          <w:sz w:val="18"/>
          <w:szCs w:val="18"/>
          <w:color w:val="auto"/>
        </w:rPr>
        <w:t>In October 2019, we announced that our Board of Directors declared a $0.10 per share dividend for stockholders of record as of November 6, 2019, and payable on November 20, 2019.</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Collateral-Related Covenants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Certain of our debt financing agreements (including our term loans, revolving credit facilities and spare engines EETCs) contain loan to value ratio covenants and require us to appraise the related collateral annually. Pursuant to such agreements, if the loan to value ratio exceeds a specified threshold or the value of the appraised collateral fails to meet a specified threshold, as the case may be, we are required, as applicable, to pledge additional qualifying collateral (which in some cases may include cash or investment securities), or pay down such financing, in whole or in part. As of September 30, 2019, we were in compliance with the foregoing collateral coverage tests as of the most recent applicable measurement dates.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net cash provided by operating activities was $3.2 billion and $2.8 billion for the first nine months of 2019 and 2018, respectively. The $398 million period-over-period increase in operating cash flows was primarily due to higher profitability in the first nine months of 2019 as well as working capital increases principally in our air traffic liability and loyalty program deferred revenue. These increases were offset in part by higher contributions to our defined benefit pension plans in the first nine months of 2019 as compared to the first nine months of 2018.</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$2.9 billion and $1.6 billion for the first nine months of 2019 and 2018, respectively.</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principal investing activities in the first nine months of 2019 included expenditures of $3.1 billion for property and equipment, including 15 Embraer E175 aircraft, eight Bombardier CRJ900 aircraft, six Airbus A321neo aircraft, four Boeing 737 MAX aircraft and two Boeing 787 Family aircraft, and $354 million in net purchases of short-term investments. These cash outflows were offset in part by $671 million of proceeds primarily from aircraft sale-leaseback transactions.</w:t>
      </w:r>
    </w:p>
    <w:p>
      <w:pPr>
        <w:spacing w:after="0" w:line="11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principal investing activities in the first nine months of 2018 included expenditures of $2.7 billion for property and equipment, including 11 Boeing 737 MAX aircraft and five Boeing 787 Family aircraft. These cash outflows were offset in part by $860 million of net proceeds primarily from aircraft sale-leaseback transactions and $226 million in net sales of short-term investments.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financing activities was $296 million and $1.3 billion for the first nine months of 2019 and 2018, respectively.</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Our principal financing activities in the first nine months of 2019 included $2.8 billion in debt repayments, consisting of $1.7 billion in scheduled debt repayments and the prepayment of $1.1 billion of secured loans. We also had $825 million in share repurchases and $ 135 million in dividend payments. These cash outflows were offset in part by $3.6 billion in net proceeds from the issuance of debt, including the issuance of $750 million aggregate principal amount of 5.000% senior notes and the financing of certain aircraft and spare engines.</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principal financing activities in the first nine months of 2018 included $2.4 billion in debt repayments, consisting of $2.0 billion in scheduled debt repayments and the prepayment of $454 million of secured loans. We also had $837 million in share repurchases and $140 million in dividend payments. These cash outflows were offset in part by $2.1 billion in net proceeds from the issuance of debt, consisting of $1.6 billion in connection with the issuance of equipment notes related to EETCs and the financing of certain aircraft and pre-delivery purchase deposits as well as an incremental $500 million on a term loan facility.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38" w:right="23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American’s net cash provided by operating activities was $2.9 billion and $1.3 billion for the first nine months of 2019 and 2018, respectively. The $1.6 billion period-over-period increase in operating cash flows was primarily due to lower intercompany transfers of cash from American to AAG as well as higher profitability in the first nine months of 2019 and working capital increases principally in American's air traffic liability and loyalty program deferred revenue. These increases were offset in part by higher contributions to American's defined benefit pension plans in the first nine months of 2019 as compared to the first nine months of 2018.</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$2.8 billion and $1.5 billion for the first nine months of 2019 and 2018, respectively.</w:t>
      </w:r>
    </w:p>
    <w:p>
      <w:pPr>
        <w:spacing w:after="0" w:line="17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American’s principal investing activities in the first nine months of 2019 included expenditures of $3.0 billion for property and equipment, including 15 Embraer E175 aircraft, eight Bombardier CRJ900 aircraft, six Airbus A321neo aircraft, four Boeing 737 MAX aircraft and two Boeing 787 Family aircraft, and $354 million in net purchases of short-term investments. These cash outflows were offset in part by $671 million of proceeds primarily from aircraft sale-leaseback transactions.</w:t>
      </w:r>
    </w:p>
    <w:p>
      <w:pPr>
        <w:spacing w:after="0" w:line="116" w:lineRule="exact"/>
        <w:rPr>
          <w:sz w:val="20"/>
          <w:szCs w:val="20"/>
          <w:color w:val="auto"/>
        </w:rPr>
      </w:pPr>
    </w:p>
    <w:p>
      <w:pPr>
        <w:jc w:val="both"/>
        <w:ind w:right="20" w:firstLine="216"/>
        <w:spacing w:after="0" w:line="271" w:lineRule="auto"/>
        <w:rPr>
          <w:sz w:val="20"/>
          <w:szCs w:val="20"/>
          <w:color w:val="auto"/>
        </w:rPr>
      </w:pPr>
      <w:r>
        <w:rPr>
          <w:rFonts w:ascii="Arial" w:cs="Arial" w:eastAsia="Arial" w:hAnsi="Arial"/>
          <w:sz w:val="18"/>
          <w:szCs w:val="18"/>
          <w:color w:val="auto"/>
        </w:rPr>
        <w:t>American’s principal investing activities in the first nine months of 2018 included expenditures of $2.7 billion for property and equipment, including 11 Boeing 737 MAX aircraft and five Boeing 787 Family aircraft. These cash outflows were offset in part by $855 million of net proceeds primarily from aircraft sale-leaseback transactions and $234 million in net sales of short-term investments.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American’s net cash used in financing activities was $76 million for the first nine months of 2019 as compared to net cash provided by financing activities of $161 million for the first nine months of 2018.</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American’s principal financing activities in the first nine months of 2019 included $2.8 billion in debt repayments, consisting of $1.7 billion in scheduled debt repayments and the prepayment of $1.1 billion of secured loans, offset in part by $2.8 billion in net proceeds from the issuance of debt for the financing of certain aircraft and engines.</w:t>
      </w:r>
    </w:p>
    <w:p>
      <w:pPr>
        <w:spacing w:after="0" w:line="10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American’s principal financing activities in the first nine months of 2018 included $2.1 billion in net proceeds from the issuance of debt, consisting of $1.6 billion in connection with the issuance of equipment notes related to EETCs and the financing of certain aircraft and pre-delivery purchase deposits as well as an incremental $500 million on a term loan facility. These cash inflows were offset in part by $1.9 billion in debt repayments, consisting of $1.5 billion in scheduled debt repayments and the prepayment of $454 million of secured loans.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9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As of September 30, 2019, AAG had $24.8 billion in long-term debt, including current maturities of $3.5 billion (of which $ 750 million in aggregate principal amount related to the 5.50% senior notes due October 2019 and $500 million in aggregate principal amount relates to the 4.625% senior notes due March 2020). As of September 30, 2019, American had $22.8 billion in long-term debt, including current maturities of $2.3 billion. During the nine months ended September 30, 2019, there have been no material changes in our significant indebtedness as discussed in our 2018 Form 10-K, except as discussed in Note 6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19" w:right="2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0" w:lineRule="exact"/>
        <w:rPr>
          <w:sz w:val="20"/>
          <w:szCs w:val="20"/>
          <w:color w:val="auto"/>
        </w:rPr>
      </w:pPr>
    </w:p>
    <w:p>
      <w:pPr>
        <w:ind w:right="20" w:firstLine="216"/>
        <w:spacing w:after="0" w:line="292" w:lineRule="auto"/>
        <w:rPr>
          <w:sz w:val="20"/>
          <w:szCs w:val="20"/>
          <w:color w:val="auto"/>
        </w:rPr>
      </w:pPr>
      <w:r>
        <w:rPr>
          <w:rFonts w:ascii="Arial" w:cs="Arial" w:eastAsia="Arial" w:hAnsi="Arial"/>
          <w:sz w:val="18"/>
          <w:szCs w:val="18"/>
          <w:color w:val="auto"/>
        </w:rPr>
        <w:t>As of September 30, 2019, we had definitive purchase agreements with Airbus, Boeing, Embraer and Bombardier for the acquisition of the following mainline and regional aircraft: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2024 and</w:t>
            </w:r>
          </w:p>
        </w:tc>
        <w:tc>
          <w:tcPr>
            <w:tcW w:w="102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2019</w:t>
            </w: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4"/>
        </w:trPr>
        <w:tc>
          <w:tcPr>
            <w:tcW w:w="3200" w:type="dxa"/>
            <w:vAlign w:val="bottom"/>
            <w:tcBorders>
              <w:top w:val="single" w:sz="8" w:color="CCEEFF"/>
            </w:tcBorders>
            <w:gridSpan w:val="6"/>
            <w:shd w:val="clear" w:color="auto" w:fill="CCEEFF"/>
          </w:tcPr>
          <w:p>
            <w:pPr>
              <w:ind w:left="40"/>
              <w:spacing w:after="0" w:line="183" w:lineRule="exact"/>
              <w:rPr>
                <w:sz w:val="20"/>
                <w:szCs w:val="20"/>
                <w:color w:val="auto"/>
              </w:rPr>
            </w:pPr>
            <w:r>
              <w:rPr>
                <w:rFonts w:ascii="Arial" w:cs="Arial" w:eastAsia="Arial" w:hAnsi="Arial"/>
                <w:sz w:val="18"/>
                <w:szCs w:val="18"/>
                <w:b w:val="1"/>
                <w:bCs w:val="1"/>
                <w:color w:val="auto"/>
              </w:rPr>
              <w:t>Airbus</w:t>
            </w: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70"/>
        </w:trPr>
        <w:tc>
          <w:tcPr>
            <w:tcW w:w="3200" w:type="dxa"/>
            <w:vAlign w:val="bottom"/>
            <w:gridSpan w:val="6"/>
          </w:tcPr>
          <w:p>
            <w:pPr>
              <w:ind w:left="40"/>
              <w:spacing w:after="0"/>
              <w:rPr>
                <w:sz w:val="20"/>
                <w:szCs w:val="20"/>
                <w:color w:val="auto"/>
              </w:rPr>
            </w:pPr>
            <w:r>
              <w:rPr>
                <w:rFonts w:ascii="Arial" w:cs="Arial" w:eastAsia="Arial" w:hAnsi="Arial"/>
                <w:sz w:val="18"/>
                <w:szCs w:val="18"/>
                <w:color w:val="auto"/>
              </w:rPr>
              <w:t xml:space="preserve">A320neo Family </w:t>
            </w:r>
            <w:r>
              <w:rPr>
                <w:rFonts w:ascii="Arial" w:cs="Arial" w:eastAsia="Arial" w:hAnsi="Arial"/>
                <w:sz w:val="21"/>
                <w:szCs w:val="21"/>
                <w:color w:val="auto"/>
                <w:vertAlign w:val="superscript"/>
              </w:rPr>
              <w:t>(1)</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114</w:t>
            </w:r>
          </w:p>
        </w:tc>
      </w:tr>
      <w:tr>
        <w:trPr>
          <w:trHeight w:val="203"/>
        </w:trPr>
        <w:tc>
          <w:tcPr>
            <w:tcW w:w="32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Boeing</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3200" w:type="dxa"/>
            <w:vAlign w:val="bottom"/>
            <w:gridSpan w:val="6"/>
          </w:tcPr>
          <w:p>
            <w:pPr>
              <w:ind w:left="40"/>
              <w:spacing w:after="0"/>
              <w:rPr>
                <w:sz w:val="20"/>
                <w:szCs w:val="20"/>
                <w:color w:val="auto"/>
              </w:rPr>
            </w:pPr>
            <w:r>
              <w:rPr>
                <w:rFonts w:ascii="Arial" w:cs="Arial" w:eastAsia="Arial" w:hAnsi="Arial"/>
                <w:sz w:val="18"/>
                <w:szCs w:val="18"/>
                <w:color w:val="auto"/>
              </w:rPr>
              <w:t xml:space="preserve">737 MAX Family </w:t>
            </w:r>
            <w:r>
              <w:rPr>
                <w:rFonts w:ascii="Arial" w:cs="Arial" w:eastAsia="Arial" w:hAnsi="Arial"/>
                <w:sz w:val="21"/>
                <w:szCs w:val="21"/>
                <w:color w:val="auto"/>
                <w:vertAlign w:val="superscript"/>
              </w:rPr>
              <w:t>(2)</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787 Family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03"/>
        </w:trPr>
        <w:tc>
          <w:tcPr>
            <w:tcW w:w="320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Embraer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E175</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03"/>
        </w:trPr>
        <w:tc>
          <w:tcPr>
            <w:tcW w:w="320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Bombardier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32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CRJ900</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1"/>
        </w:trPr>
        <w:tc>
          <w:tcPr>
            <w:tcW w:w="40" w:type="dxa"/>
            <w:vAlign w:val="bottom"/>
          </w:tcPr>
          <w:p>
            <w:pPr>
              <w:spacing w:after="0"/>
              <w:rPr>
                <w:sz w:val="20"/>
                <w:szCs w:val="20"/>
                <w:color w:val="auto"/>
              </w:rPr>
            </w:pPr>
          </w:p>
        </w:tc>
        <w:tc>
          <w:tcPr>
            <w:tcW w:w="3160" w:type="dxa"/>
            <w:vAlign w:val="bottom"/>
            <w:gridSpan w:val="5"/>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379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99" w:lineRule="exact"/>
        <w:rPr>
          <w:sz w:val="20"/>
          <w:szCs w:val="20"/>
          <w:color w:val="auto"/>
        </w:rPr>
      </w:pPr>
    </w:p>
    <w:p>
      <w:pPr>
        <w:jc w:val="both"/>
        <w:ind w:left="580" w:hanging="329"/>
        <w:spacing w:after="0" w:line="246" w:lineRule="auto"/>
        <w:tabs>
          <w:tab w:leader="none" w:pos="58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 October 2019, the Office of the U.S. Trade Representative announced a 10% tariff on new Airbus aircraft imported from Europe. We are evaluating the impact of this announcement on our future Airbus deliveries. See Part II, Item 1A. Risk Factors - “</w:t>
      </w:r>
      <w:r>
        <w:rPr>
          <w:rFonts w:ascii="Arial" w:cs="Arial" w:eastAsia="Arial" w:hAnsi="Arial"/>
          <w:sz w:val="18"/>
          <w:szCs w:val="18"/>
          <w:i w:val="1"/>
          <w:iCs w:val="1"/>
          <w:color w:val="auto"/>
        </w:rPr>
        <w:t>We operate a global</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with international operations that are subject to economic and political instability and have been, and in the future may continue to be, adversely affected by numerous events, circumstances or government actions beyond our control.</w:t>
      </w:r>
      <w:r>
        <w:rPr>
          <w:rFonts w:ascii="Arial" w:cs="Arial" w:eastAsia="Arial" w:hAnsi="Arial"/>
          <w:sz w:val="18"/>
          <w:szCs w:val="18"/>
          <w:color w:val="auto"/>
        </w:rPr>
        <w:t>”</w:t>
      </w:r>
    </w:p>
    <w:p>
      <w:pPr>
        <w:spacing w:after="0" w:line="130" w:lineRule="exact"/>
        <w:rPr>
          <w:rFonts w:ascii="Arial" w:cs="Arial" w:eastAsia="Arial" w:hAnsi="Arial"/>
          <w:sz w:val="22"/>
          <w:szCs w:val="22"/>
          <w:color w:val="auto"/>
          <w:vertAlign w:val="superscript"/>
        </w:rPr>
      </w:pPr>
    </w:p>
    <w:p>
      <w:pPr>
        <w:jc w:val="both"/>
        <w:ind w:left="580" w:hanging="329"/>
        <w:spacing w:after="0" w:line="248" w:lineRule="auto"/>
        <w:tabs>
          <w:tab w:leader="none" w:pos="58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On March 13, 2019, a directive from the FAA grounded all U.S.-registered Boeing 737 MAX aircraft. We currently have 76 Boeing 737 MAX Family aircraft on order and we have not taken delivery of any Boeing 737 MAX Family aircraft since the grounding. As a result of delivery delays of the Boeing 737 MAX aircraft caused by the grounding, we have updated the delivery schedule for the remainder of 2019 by moving 11 Boeing 737 MAX aircraft from 2019 into 2020. The extent of the delay to the scheduled deliveries of the Boeing 737 MAX aircraft included in the table above is expected to be impacted by the length of time the FAA order remains in place, Boeing's production rate and the pace at which Boeing can deliver aircraft following the lifting of the FAA order, among other factors. The above table reflects our estimate of future Boeing 737 MAX aircraft deliveries based on information currently available to us; however, the actual delivery schedule is expected to differ from the table above.</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37 spare engines to be delivered in 2019 and beyond.</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 xml:space="preserve">We currently have financing commitments in place for all aircraft on order and scheduled to be delivered through December 2019. Additionally, we have financing commitments in place for 43 aircraft scheduled to be delivered in 2020: 14 Airbus A320neo Family aircraft, 13 Boeing 737 MAX Family aircraft, 12 Boeing 787 Family aircraft, three Bombardier CRJ900 aircraft, and one Embraer E175 aircraft. Our ability to draw on the financing commitments we have in place is subject to the satisfaction of various terms and conditions, including in some cases, on our acquisition of the aircraft by a certain date. We do not have financing commitments in place for the remaining 28 aircraft scheduled to be delivered in 2020 or any of the aircraft scheduled to be delivered beyond 2020, except for 10 Boeing 787 Family aircraft scheduled to be delivered in 2021.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2018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19"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u w:val="single" w:color="auto"/>
          <w:color w:val="auto"/>
        </w:rPr>
        <w:t>Contractual Obligations</w:t>
      </w:r>
    </w:p>
    <w:p>
      <w:pPr>
        <w:spacing w:after="0" w:line="90"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following table provides details of our future cash contractual obligations as of September 30, 2019 (in millions). The table does not include commitments that are contingent on events or other factors that are uncertain or unknown at this time.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68"/>
        </w:trPr>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2024 and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3"/>
        </w:trPr>
        <w:tc>
          <w:tcPr>
            <w:tcW w:w="2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of 2019</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11"/>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245"/>
        </w:trPr>
        <w:tc>
          <w:tcPr>
            <w:tcW w:w="41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American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5"/>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 (c)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22,753</w:t>
            </w: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 (c)</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4,028</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r>
      <w:tr>
        <w:trPr>
          <w:trHeight w:val="20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Aircraft and engine purchase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2"/>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(d)</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13,974</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1"/>
                <w:szCs w:val="21"/>
                <w:color w:val="auto"/>
                <w:vertAlign w:val="superscript"/>
              </w:rPr>
              <w:t>(e)</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13,242</w:t>
            </w: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(f)</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5,341</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4,407</w:t>
            </w:r>
          </w:p>
        </w:tc>
      </w:tr>
      <w:tr>
        <w:trPr>
          <w:trHeight w:val="265"/>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1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360</w:t>
            </w:r>
          </w:p>
        </w:tc>
      </w:tr>
      <w:tr>
        <w:trPr>
          <w:trHeight w:val="275"/>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(h)</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8,574</w:t>
            </w:r>
          </w:p>
        </w:tc>
      </w:tr>
      <w:tr>
        <w:trPr>
          <w:trHeight w:val="245"/>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Total American Contractual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12,092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12,499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7,892</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28,323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73,502</w:t>
            </w:r>
          </w:p>
        </w:tc>
      </w:tr>
      <w:tr>
        <w:trPr>
          <w:trHeight w:val="275"/>
        </w:trPr>
        <w:tc>
          <w:tcPr>
            <w:tcW w:w="21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7"/>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AAG Parent and Other AAG Subsidiaries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
        </w:trPr>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2,029</w:t>
            </w:r>
          </w:p>
        </w:tc>
      </w:tr>
      <w:tr>
        <w:trPr>
          <w:trHeight w:val="27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(g)</w:t>
            </w: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0"/>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5"/>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Total AAG Contractual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12,560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28,385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75,807</w:t>
            </w:r>
          </w:p>
        </w:tc>
      </w:tr>
      <w:tr>
        <w:trPr>
          <w:trHeight w:val="20"/>
        </w:trPr>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2"/>
        </w:trPr>
        <w:tc>
          <w:tcPr>
            <w:tcW w:w="2120" w:type="dxa"/>
            <w:vAlign w:val="bottom"/>
            <w:tcBorders>
              <w:bottom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74" w:lineRule="exact"/>
        <w:rPr>
          <w:sz w:val="20"/>
          <w:szCs w:val="20"/>
          <w:color w:val="auto"/>
        </w:rPr>
      </w:pPr>
    </w:p>
    <w:p>
      <w:pPr>
        <w:jc w:val="both"/>
        <w:ind w:left="500" w:hanging="330"/>
        <w:spacing w:after="0" w:line="244" w:lineRule="auto"/>
        <w:tabs>
          <w:tab w:leader="none" w:pos="50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Amounts represent contractual amounts due. Excludes $215 million and $8 million of unamortized debt discount, premium and issuance costs as of September 30, 2019 for American and AAG Parent, respectively. For additional information, see Note 6 and Note 4 to AAG’s and American’s Condensed Consolidated Financial Statements in Part I, Items 1A and 1B.</w:t>
      </w:r>
    </w:p>
    <w:p>
      <w:pPr>
        <w:spacing w:after="0" w:line="122"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For variable-rate debt, future interest obligations are estimated using the current forward rates at September 30, 2019.</w:t>
      </w:r>
    </w:p>
    <w:p>
      <w:pPr>
        <w:spacing w:after="0" w:line="135"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Includes $11.9 billion of future principal payments and $2.4 billion of future interest payments as of September 30, 2019, related to EETCs associated with mortgage financings of certain aircraft and spare engines.</w:t>
      </w:r>
    </w:p>
    <w:p>
      <w:pPr>
        <w:spacing w:after="0" w:line="136" w:lineRule="exact"/>
        <w:rPr>
          <w:rFonts w:ascii="Arial" w:cs="Arial" w:eastAsia="Arial" w:hAnsi="Arial"/>
          <w:sz w:val="22"/>
          <w:szCs w:val="22"/>
          <w:color w:val="auto"/>
          <w:vertAlign w:val="superscript"/>
        </w:rPr>
      </w:pPr>
    </w:p>
    <w:p>
      <w:pPr>
        <w:jc w:val="both"/>
        <w:ind w:left="500" w:hanging="330"/>
        <w:spacing w:after="0" w:line="247" w:lineRule="auto"/>
        <w:tabs>
          <w:tab w:leader="none" w:pos="50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additional information about these obligations. Boeing has committed to provide sale-leaseback financing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for 22 787-8 aircraft to be delivered in 2020 and 2021. This financing is reflected in the operating lease commitments line above. The amounts in this line reflect the updated delivery schedule of Boeing 737 MAX aircraft described in footnote 2 to the table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above.</w:t>
      </w:r>
    </w:p>
    <w:p>
      <w:pPr>
        <w:spacing w:after="0" w:line="130" w:lineRule="exact"/>
        <w:rPr>
          <w:rFonts w:ascii="Arial" w:cs="Arial" w:eastAsia="Arial" w:hAnsi="Arial"/>
          <w:sz w:val="22"/>
          <w:szCs w:val="22"/>
          <w:color w:val="auto"/>
          <w:vertAlign w:val="superscript"/>
        </w:rPr>
      </w:pPr>
    </w:p>
    <w:p>
      <w:pPr>
        <w:ind w:left="500" w:hanging="330"/>
        <w:spacing w:after="0" w:line="239" w:lineRule="auto"/>
        <w:tabs>
          <w:tab w:leader="none" w:pos="50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Includes $222 million of future minimum lease payments related to EETC leveraged lease financings of certain aircraft as of September 30, 2019.</w:t>
      </w:r>
    </w:p>
    <w:p>
      <w:pPr>
        <w:spacing w:after="0" w:line="136" w:lineRule="exact"/>
        <w:rPr>
          <w:rFonts w:ascii="Arial" w:cs="Arial" w:eastAsia="Arial" w:hAnsi="Arial"/>
          <w:sz w:val="22"/>
          <w:szCs w:val="22"/>
          <w:color w:val="auto"/>
          <w:vertAlign w:val="superscript"/>
        </w:rPr>
      </w:pPr>
    </w:p>
    <w:p>
      <w:pPr>
        <w:ind w:left="500" w:right="20" w:hanging="330"/>
        <w:spacing w:after="0" w:line="239" w:lineRule="auto"/>
        <w:tabs>
          <w:tab w:leader="none" w:pos="50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19" w:right="239" w:bottom="1440" w:gutter="0" w:footer="0" w:header="0"/>
        </w:sectPr>
      </w:pPr>
    </w:p>
    <w:bookmarkStart w:id="62" w:name="page63"/>
    <w:bookmarkEnd w:id="62"/>
    <w:p>
      <w:pPr>
        <w:ind w:left="500" w:right="20"/>
        <w:spacing w:after="0" w:line="339" w:lineRule="auto"/>
        <w:rPr>
          <w:sz w:val="20"/>
          <w:szCs w:val="20"/>
          <w:color w:val="auto"/>
        </w:rPr>
      </w:pPr>
      <w:r>
        <w:rPr>
          <w:rFonts w:ascii="Arial" w:cs="Arial" w:eastAsia="Arial" w:hAnsi="Arial"/>
          <w:sz w:val="18"/>
          <w:szCs w:val="18"/>
          <w:color w:val="auto"/>
        </w:rPr>
        <w:t>agreements and our actual payments could differ materially. Rental payments under operating leases for certain aircraft flown under these capacity purchase agreements are reflected in the operating lease commitments line above.</w:t>
      </w:r>
    </w:p>
    <w:p>
      <w:pPr>
        <w:spacing w:after="0" w:line="64" w:lineRule="exact"/>
        <w:rPr>
          <w:sz w:val="20"/>
          <w:szCs w:val="20"/>
          <w:color w:val="auto"/>
        </w:rPr>
      </w:pPr>
    </w:p>
    <w:p>
      <w:pPr>
        <w:jc w:val="both"/>
        <w:ind w:left="500" w:hanging="330"/>
        <w:spacing w:after="0" w:line="244" w:lineRule="auto"/>
        <w:tabs>
          <w:tab w:leader="none" w:pos="50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minimum pension contributions based on actuarially determined estimates as of December 31, 2018 and is based on estimated payments through 2028. During the first nine months of 2019, we made $1.2 billion in contributions to fund our pension plans. These contributions exceeded the $786 million in minimum required contributions for 2019.</w:t>
      </w:r>
    </w:p>
    <w:p>
      <w:pPr>
        <w:spacing w:after="0" w:line="122"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purchase commitments for jet fuel, construction projects and information technology support.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light of our significant financial commitments related to, among other things, new aircraft,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requirements. As a result, we cannot use all of our available cash to fund operations, capital expenditures and cash obligations without violating these requirements.</w:t>
      </w:r>
    </w:p>
    <w:p>
      <w:pPr>
        <w:spacing w:after="0" w:line="12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0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one of which is currently in effect, and may authorize additional share repurchase programs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2"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In the third quarter of 2019, there were no changes to our critical accounting policies and estimates from those disclosed in the Consolidated Financial Statements and accompanying notes contained in our 2018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jc w:val="both"/>
        <w:ind w:right="20" w:firstLine="216"/>
        <w:spacing w:after="0" w:line="297" w:lineRule="auto"/>
        <w:rPr>
          <w:sz w:val="20"/>
          <w:szCs w:val="20"/>
          <w:color w:val="auto"/>
        </w:rPr>
      </w:pPr>
      <w:r>
        <w:rPr>
          <w:rFonts w:ascii="Arial" w:cs="Arial" w:eastAsia="Arial" w:hAnsi="Arial"/>
          <w:sz w:val="18"/>
          <w:szCs w:val="18"/>
          <w:b w:val="1"/>
          <w:bCs w:val="1"/>
          <w:i w:val="1"/>
          <w:iCs w:val="1"/>
          <w:color w:val="auto"/>
        </w:rPr>
        <w:t>ASU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This ASU provides the option to reclassify stranded tax effects within accumulated other comprehensive income to retained earnings due to the U.S. federal corporate income tax rate change as a result of H.R. 1, the 2017 Tax Cuts and Jobs Act (the 2017 Tax Act). The amount of the reclassification is the difference between the amount initially charged or credited directly to other comprehensive income at the previous U.S. federal corporate income tax rate that remains in accumulated other comprehensive income and the amount that would have been charged or credited directly to other comprehensive income using the newly enacted U.S. federal corporate income tax rate, excluding the effect of any valuation allowance previously charged to income from continuing operations. This standard is effective for interim and annual reporting periods beginning after December 15, 2018. In the first quarter of 2019, we adopted this standard retrospectively as of December 22, 2017, the date the 2017 Tax Act was enacted, which resulted in the recast of prior reporting periods. As a result of the adoption, we reclassified $622 million of stranded tax effects principally related to our pension plans from accumulated other comprehensive loss to retained earnings.</w:t>
      </w:r>
    </w:p>
    <w:p>
      <w:pPr>
        <w:spacing w:after="0" w:line="207" w:lineRule="exact"/>
        <w:rPr>
          <w:sz w:val="20"/>
          <w:szCs w:val="20"/>
          <w:color w:val="auto"/>
        </w:rPr>
      </w:pPr>
    </w:p>
    <w:p>
      <w:pPr>
        <w:ind w:right="4420"/>
        <w:spacing w:after="0" w:line="345" w:lineRule="auto"/>
        <w:rPr>
          <w:sz w:val="20"/>
          <w:szCs w:val="20"/>
          <w:color w:val="auto"/>
        </w:rPr>
      </w:pPr>
      <w:r>
        <w:rPr>
          <w:rFonts w:ascii="Arial" w:cs="Arial" w:eastAsia="Arial" w:hAnsi="Arial"/>
          <w:sz w:val="18"/>
          <w:szCs w:val="18"/>
          <w:b w:val="1"/>
          <w:bCs w:val="1"/>
          <w:color w:val="auto"/>
        </w:rPr>
        <w:t>ITEM 3. QUANTITATIVE AND QUALITATIVE DISCLOSURES ABOUT MARKET RISK AAG and American’s Market Risk Sensitive Instruments and Positions</w:t>
      </w:r>
    </w:p>
    <w:p>
      <w:pPr>
        <w:spacing w:after="0" w:line="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2018 Form 10-K except as updated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6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As of September 30, 2019,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2019 forecasted fuel consumption, we estimate that a one cent per gallon increase in aviation fuel price would increase our 2019 annual fuel expense by $45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09"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 rate debt instruments and our interest income from short-term, interest bearing investments. If annual interest rates increase 100 basis points, based on our September 30, 2019 variable-rate debt and short term investments balances, annual interest expense on variable rate debt would increase by approximately $98 million and annual interest income on short-term investments would increase by approximately $52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September 30, 2019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September 30, 2019 at the reasonable assurance level.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On December 9, 2013, AAG acquired US Airways Group, Inc. (US Airways Group) and its subsidiaries. We are still in the process of integrating certain processes, technology and operations for the post-Merger combined company, and we will continue to evaluate the impact of any related changes to our internal control over financial reporting. For the quarter ended September 30, 2019, there have been no changes in AAG’s or American’s internal control over financial reporting that has materially affected, or is reasonably likely to materially affect, AAG’s and American’s internal control over financial reporting.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1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September 30,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1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2"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by AMR (the Merger).</w:t>
      </w:r>
    </w:p>
    <w:p>
      <w:pPr>
        <w:spacing w:after="0" w:line="12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purposes of calculating earnings per common share. As disputed claims are resolved, the claimants will receive distributions of shares from the Disputed Claims Reserve. However, we are not required to distribute additional shares above the limits contemplated by the Plan, even if the shares remaining for distribution in the Disputed Claims Reserve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and former convertible noteholders treated as stockholders under the Plan. On February 12, 2019, in accordance with the approval granted by the Bankruptcy Court on December 6, 2018, an aggregate of approximately 17.3 million shares of AAG common stock were distributed from the Disputed Claims Reserve to former AMR shareholders and convertible noteholders. After giving effect to this distribution, the Disputed Claims Reserve holds approximately 7 million shares of AAG common stock.</w:t>
      </w:r>
    </w:p>
    <w:p>
      <w:pPr>
        <w:spacing w:after="0" w:line="12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have been named as defendants in approximately 100 putative class action lawsuits alleging unlawful agreements with respect to air passenger capacity. The U.S. lawsuits have been consolidated in the Federal District Court for the District of Columbia (the DC Court). On June 15, 2018, we reached a preliminary settlement agreement with the plaintiffs in the amount of $45 million that, once approved, will resolve all class claims in the U.S. lawsuits. That settlement was approved by the DC Court on May 13, 2019. Three parties who objected to the settlement have appealed that decision to the United States Court of Appeals for the District of Columbia. We believe these appeals are without merit and intend to vigorously defend against them.</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 al.,</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in the Bankruptcy Court. The complaint named as defendants US Airways Group, US Airways, Inc.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24"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Department of Justice (DOJ) informed us of an inquiry</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American’s 2009 and 2011 contracts with the United States Postal Service for the international transportation of mail by air and focusing on potential violations of the False Claims Act or other statutes. In October 2015, we received a Civil Investigative Demand from the DOJ seeking certain information relating to these contracts and the DOJ has also sought information concerning certain of the airlines that transport mail on a codeshare basis. In August 2019, we entered into a settlement with the Civil Division of the DOJ, pursuant to which we paid $22 million. We admitted no liability in connection with this settlement.</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74" w:right="239" w:bottom="1440" w:gutter="0" w:footer="0" w:header="0"/>
        </w:sectPr>
      </w:pPr>
    </w:p>
    <w:bookmarkStart w:id="66" w:name="page67"/>
    <w:bookmarkEnd w:id="66"/>
    <w:p>
      <w:pPr>
        <w:jc w:val="both"/>
        <w:spacing w:after="0" w:line="292" w:lineRule="auto"/>
        <w:rPr>
          <w:sz w:val="20"/>
          <w:szCs w:val="20"/>
          <w:color w:val="auto"/>
        </w:rPr>
      </w:pPr>
      <w:r>
        <w:rPr>
          <w:rFonts w:ascii="Arial" w:cs="Arial" w:eastAsia="Arial" w:hAnsi="Arial"/>
          <w:sz w:val="18"/>
          <w:szCs w:val="18"/>
          <w:color w:val="auto"/>
        </w:rPr>
        <w:t xml:space="preserve">Risk Factors – </w:t>
      </w:r>
      <w:r>
        <w:rPr>
          <w:rFonts w:ascii="Arial" w:cs="Arial" w:eastAsia="Arial" w:hAnsi="Arial"/>
          <w:sz w:val="18"/>
          <w:szCs w:val="18"/>
          <w:i w:val="1"/>
          <w:iCs w:val="1"/>
          <w:color w:val="auto"/>
        </w:rPr>
        <w:t>“We may be a party to litigation in the normal course of business or otherwise, which could affect our financial position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liquidity” </w:t>
      </w:r>
      <w:r>
        <w:rPr>
          <w:rFonts w:ascii="Arial" w:cs="Arial" w:eastAsia="Arial" w:hAnsi="Arial"/>
          <w:sz w:val="18"/>
          <w:szCs w:val="18"/>
          <w:color w:val="auto"/>
        </w:rPr>
        <w:t>for additional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2"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below.</w:t>
      </w:r>
    </w:p>
    <w:p>
      <w:pPr>
        <w:spacing w:after="0" w:line="20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our operating results and liquidity.</w:t>
      </w:r>
    </w:p>
    <w:p>
      <w:pPr>
        <w:spacing w:after="0" w:line="15"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Market prices for jet fuel have fluctuated substantially over the past several years and prices continue to be highly volatile.</w:t>
      </w:r>
    </w:p>
    <w:p>
      <w:pPr>
        <w:spacing w:after="0" w:line="10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will restrict the sulfur content allowable in marine fuels from 3.5% to 0.5%, which is expected to cause increased demand by maritime shipping companies for low-sulfur fuel and lead to increased costs of jet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29"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September 30, 2019, we did not have any fuel hedging contracts outstanding.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38" w:right="239" w:bottom="1440" w:gutter="0" w:footer="0" w:header="0"/>
        </w:sectPr>
      </w:pPr>
    </w:p>
    <w:bookmarkStart w:id="67" w:name="page68"/>
    <w:bookmarkEnd w:id="67"/>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9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 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2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While historically these carriers have provided competition in domestic markets, we have recently experienced new competition from low-cost carriers on international routes.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but we cannot predict whether these initiatives will be successful or the competitive reaction of the low-cost carriers. Competition is also increasing from low-cost airlines executing international long-haul expansion strategies, including, for example, Icelandair and Norwegian Air Shuttle. The actions of existing or future low-cost carriers, including those described above, could have a material adverse effect on our operations and financial performance.</w:t>
      </w:r>
    </w:p>
    <w:p>
      <w:pPr>
        <w:spacing w:after="0" w:line="12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exposures to others (for example, China and parts of Asia). Our financial performance relative to our key competitors will therefore be influenced significantly by macro-economic conditions in particular regions around the world and the relative exposure of our network to the markets in those regions.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including Emirates, Etihad Airways and Qatar Airways.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Additionally, these carriers have made significant investments in a number of airlines located outside of the Middle East, such as Air Italy, providing these affiliated airlines with capital and aircraft to permit increases in service that compete with us. We believe these state-owned and state-affiliated carriers in the Gulf region, including their affiliated carriers, benefit from significant government subsidies, which have allowed them to grow quickly, reinvest in their product and expand their global presence.</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such as we have recently experienced in Venezuela, when any foreign country we serve suffers adverse local economic conditions. In addition, open skies agreements with an increasing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 result in</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increases in our costs, disruptions to our operations, limits on our operating flexibility, reductions in the demand for air travel, and competitive disadvantages.”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19" w:right="239" w:bottom="1440" w:gutter="0" w:footer="0" w:header="0"/>
        </w:sectPr>
      </w:pPr>
    </w:p>
    <w:bookmarkStart w:id="68" w:name="page69"/>
    <w:bookmarkEnd w:id="68"/>
    <w:p>
      <w:pPr>
        <w:jc w:val="both"/>
        <w:ind w:firstLine="216"/>
        <w:spacing w:after="0" w:line="260"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American has established a transatlantic joint business agreement (JBA) with British Airways, Iberia and Finnair, and separately, a transpacific JBA with Japan Airlines, each of which has been granted antitrust immunity. In October 2017, American and its transatlantic partners executed an amended and restated JBA which, among other things, extends the term of the agreement. An application is pending with the U.S. Department of Transportation (DOT) to add Aer Lingus, which is now owned by the parent company of British Airways and Iberia, to the transatlantic JBA. This relationship benefits from a grant of antitrust immunity from the DOT and was reviewed by the European Commission (EC) in July 2010. In connection with this review, we provided certain commitments to the EC regarding, among other things, the availability of take-off and landing slots at LHR or London Gatwick (LGW) airports. The commitments accepted by the EC are binding for 10 years with the possibility of renewal by the EC. However, in light of Brexit and the related possibility that the EC would no longer have regulatory responsibility for the United Kingdom when the commitments expire in July 2020, the United Kingdom Competition and Markets Authority (CMA) in October 2018 opened an investigation into the transatlantic JBA. We are cooperating fully with the CMA. Also, we signed a JBA with Qantas Airways, which was approved by the competition law regulators in Australia and New Zealand, and in July 2019 the DOT granted its approval.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or if granted continue to, approve or impose material conditions on our business activities.</w:t>
      </w:r>
    </w:p>
    <w:p>
      <w:pPr>
        <w:spacing w:after="0" w:line="13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0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15"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38" w:right="239" w:bottom="1440" w:gutter="0" w:footer="0" w:header="0"/>
        </w:sectPr>
      </w:pPr>
    </w:p>
    <w:bookmarkStart w:id="69" w:name="page70"/>
    <w:bookmarkEnd w:id="69"/>
    <w:p>
      <w:pPr>
        <w:jc w:val="both"/>
        <w:ind w:firstLine="243"/>
        <w:spacing w:after="0" w:line="256"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European Union (EU) and elsewhere, particularly with respect to critical infrastructure providers, including those in the transportation sector. As a result, we must comply with a growing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1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may increase.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05" w:lineRule="exact"/>
        <w:rPr>
          <w:sz w:val="20"/>
          <w:szCs w:val="20"/>
          <w:color w:val="auto"/>
        </w:rPr>
      </w:pPr>
    </w:p>
    <w:p>
      <w:pPr>
        <w:jc w:val="both"/>
        <w:ind w:left="260" w:right="20"/>
        <w:spacing w:after="0" w:line="276"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5"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w:t>
      </w:r>
    </w:p>
    <w:p>
      <w:pPr>
        <w:spacing w:after="0" w:line="121"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38" w:right="239" w:bottom="1440" w:gutter="0" w:footer="0" w:header="0"/>
        </w:sectPr>
      </w:pPr>
    </w:p>
    <w:bookmarkStart w:id="70" w:name="page71"/>
    <w:bookmarkEnd w:id="70"/>
    <w:p>
      <w:pPr>
        <w:ind w:left="1300" w:right="20" w:hanging="644"/>
        <w:spacing w:after="0" w:line="29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hanging="655"/>
        <w:spacing w:after="0" w:line="292"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90" w:lineRule="exact"/>
        <w:rPr>
          <w:rFonts w:ascii="Arial" w:cs="Arial" w:eastAsia="Arial" w:hAnsi="Arial"/>
          <w:sz w:val="18"/>
          <w:szCs w:val="18"/>
          <w:color w:val="auto"/>
        </w:rPr>
      </w:pPr>
    </w:p>
    <w:p>
      <w:pPr>
        <w:jc w:val="both"/>
        <w:ind w:left="1960" w:hanging="655"/>
        <w:spacing w:after="0" w:line="271"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09" w:lineRule="exact"/>
        <w:rPr>
          <w:rFonts w:ascii="Arial" w:cs="Arial" w:eastAsia="Arial" w:hAnsi="Arial"/>
          <w:sz w:val="18"/>
          <w:szCs w:val="18"/>
          <w:color w:val="auto"/>
        </w:rPr>
      </w:pPr>
    </w:p>
    <w:p>
      <w:pPr>
        <w:ind w:left="1960" w:hanging="655"/>
        <w:spacing w:after="0" w:line="292"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90"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71"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These obligations could also impact our ability to obtain additional financing, if needed, and our flexibility in the conduct of our business, and could materially adversely affect our liquidity, results of operations and financial condition.</w:t>
      </w:r>
    </w:p>
    <w:p>
      <w:pPr>
        <w:spacing w:after="0" w:line="9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Further, a substantial portion of our long -term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 xml:space="preserve">On July 27, 2017, the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9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September 30, 2019, our planned aggregate expenditures for aircraft purchase commitments and certain engines on a consolidated basis for calendar years 2019-2023 would be approximately $8.4 billion. We also require financing to refinance maturing obligations and to provide liquidity to fund other corporate requirements. Accordingly, we will need substantial financing or other capital 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38" w:right="239" w:bottom="1440" w:gutter="0" w:footer="0" w:header="0"/>
        </w:sectPr>
      </w:pPr>
    </w:p>
    <w:bookmarkStart w:id="71" w:name="page72"/>
    <w:bookmarkEnd w:id="71"/>
    <w:p>
      <w:pPr>
        <w:ind w:left="260"/>
        <w:spacing w:after="0" w:line="29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may have significant obligations for other postretirement benefits, retiree medical and other postretirement benefits.</w:t>
      </w:r>
    </w:p>
    <w:p>
      <w:pPr>
        <w:spacing w:after="0" w:line="202"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credit card processor, but for which we have not yet provided the air transportation.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An increase in the current holdbacks,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1" w:lineRule="exact"/>
        <w:rPr>
          <w:sz w:val="20"/>
          <w:szCs w:val="20"/>
          <w:color w:val="auto"/>
        </w:rPr>
      </w:pPr>
    </w:p>
    <w:p>
      <w:pPr>
        <w:jc w:val="both"/>
        <w:ind w:right="20" w:firstLine="216"/>
        <w:spacing w:after="0" w:line="260"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2018 Form 10-K.</w:t>
      </w:r>
    </w:p>
    <w:p>
      <w:pPr>
        <w:spacing w:after="0" w:line="12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For example, we are currently engaged in litigation with the unions representing our mechanics and other ground workers alleging that these employees are engaged in an unlawful work action which is adversely affecting our operation. Additionally, some of our unions have brought and may continue to bring grievances to binding arbitration, including those related to wages. If successful, there is a risk these judicial or arbitral avenues could result in material additional costs that we did not anticipate. See also Part I, Item 1. Business – </w:t>
      </w:r>
      <w:r>
        <w:rPr>
          <w:rFonts w:ascii="Arial" w:cs="Arial" w:eastAsia="Arial" w:hAnsi="Arial"/>
          <w:sz w:val="18"/>
          <w:szCs w:val="18"/>
          <w:i w:val="1"/>
          <w:iCs w:val="1"/>
          <w:color w:val="auto"/>
        </w:rPr>
        <w:t xml:space="preserve">“Employees and Labor Relations” </w:t>
      </w:r>
      <w:r>
        <w:rPr>
          <w:rFonts w:ascii="Arial" w:cs="Arial" w:eastAsia="Arial" w:hAnsi="Arial"/>
          <w:sz w:val="18"/>
          <w:szCs w:val="18"/>
          <w:color w:val="auto"/>
        </w:rPr>
        <w:t>in our 2018 Form 10-K.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19" w:right="239" w:bottom="1440" w:gutter="0" w:footer="0" w:header="0"/>
        </w:sectPr>
      </w:pPr>
    </w:p>
    <w:bookmarkStart w:id="72" w:name="page73"/>
    <w:bookmarkEnd w:id="72"/>
    <w:p>
      <w:pPr>
        <w:jc w:val="both"/>
        <w:ind w:firstLine="243"/>
        <w:spacing w:after="0" w:line="260" w:lineRule="auto"/>
        <w:rPr>
          <w:sz w:val="20"/>
          <w:szCs w:val="20"/>
          <w:color w:val="auto"/>
        </w:rPr>
      </w:pPr>
      <w:r>
        <w:rPr>
          <w:rFonts w:ascii="Arial" w:cs="Arial" w:eastAsia="Arial" w:hAnsi="Arial"/>
          <w:sz w:val="18"/>
          <w:szCs w:val="18"/>
          <w:color w:val="auto"/>
        </w:rPr>
        <w:t>As of December 31, 2018, approximately 84%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some new agreements now and other agreements may become amendable, competitors may significantly reduce their labor costs or we may agree to higher-cost provisions unilaterally or in connection with our current or future labor negotiations.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operate principally through our hubs and gateways in Charlotte, Chicago, Dallas/Fort Worth, LHR,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resulting from air traffic control (ATC)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00" w:lineRule="exact"/>
        <w:rPr>
          <w:sz w:val="20"/>
          <w:szCs w:val="20"/>
          <w:color w:val="auto"/>
        </w:rPr>
      </w:pPr>
    </w:p>
    <w:p>
      <w:pPr>
        <w:spacing w:after="0" w:line="229"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5"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 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served by us are regulated by governmental entities through the use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(JFK) and LGA. Our operations at these airports generally require the allocation of slots or similar regulatory authority. In addition to slot restrictions, operations at LGA and DCA are also limited based on a so-called “perimeter rule” which generally limits the stage length of the flights that can be operated from those airports to 1,500 and 1,250 miles, respectively. Similarly, our operations at LHR, international airports in Beijing, Frankfurt, Paris, Tokyo and other airports outside the U.S. are regulated by local slot authorities pursuant to the International Airline Trade Association (IATA)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76" w:right="239" w:bottom="1440" w:gutter="0" w:footer="0" w:header="0"/>
        </w:sectPr>
      </w:pPr>
    </w:p>
    <w:bookmarkStart w:id="73" w:name="page74"/>
    <w:bookmarkEnd w:id="73"/>
    <w:p>
      <w:pPr>
        <w:jc w:val="both"/>
        <w:ind w:right="20"/>
        <w:spacing w:after="0" w:line="292" w:lineRule="auto"/>
        <w:rPr>
          <w:sz w:val="20"/>
          <w:szCs w:val="20"/>
          <w:color w:val="auto"/>
        </w:rPr>
      </w:pPr>
      <w:r>
        <w:rPr>
          <w:rFonts w:ascii="Arial" w:cs="Arial" w:eastAsia="Arial" w:hAnsi="Arial"/>
          <w:sz w:val="18"/>
          <w:szCs w:val="18"/>
          <w:color w:val="auto"/>
        </w:rPr>
        <w:t>We cannot provide any assurance that regulatory changes regarding the allocation of slots, the continued enforcement of a perimeter rule or similar regulatory authority will not have a material adverse impact on our operations.</w:t>
      </w:r>
    </w:p>
    <w:p>
      <w:pPr>
        <w:spacing w:after="0" w:line="9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Our ability to provide service can also be impaired at airports, such as ORD and LAX where the airport gate and other facilities are currently inadequate to accommodate all of the service that we would like to provide, or airports such as Dallas Love Field Airport where we have no access to gates at all.</w:t>
      </w:r>
    </w:p>
    <w:p>
      <w:pPr>
        <w:spacing w:after="0" w:line="10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may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Many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We may also experience disruption to our regional operations if we terminate the capacity purchase agreement with one or more of our current operators and transition the services to another provider. Any significant disruption to our regional operations would have a material adverse effect on our business, results of operations and financial condition.</w:t>
      </w:r>
    </w:p>
    <w:p>
      <w:pPr>
        <w:spacing w:after="0" w:line="12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The commercial relationships that we have with airlines, including any related equity investment, may not produce the returns or results we expect.</w:t>
      </w:r>
    </w:p>
    <w:p>
      <w:pPr>
        <w:spacing w:after="0" w:line="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These events could have a material adverse effect on our business, results of operations and financial condition.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9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and online travel agents (OTAs) (e.g., Expedia, including its booking sites Orbitz and Travelocity, and The Priceline Group), to distribute a significant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38" w:right="2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18"/>
          <w:szCs w:val="18"/>
          <w:color w:val="auto"/>
        </w:rPr>
        <w:t xml:space="preserve">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3"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1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of this filing),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2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DOT consumer rules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16"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1" w:lineRule="exact"/>
        <w:rPr>
          <w:sz w:val="20"/>
          <w:szCs w:val="20"/>
          <w:color w:val="auto"/>
        </w:rPr>
      </w:pPr>
    </w:p>
    <w:p>
      <w:pPr>
        <w:ind w:left="1300" w:hanging="644"/>
        <w:spacing w:after="0" w:line="292"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57" w:right="239" w:bottom="1440" w:gutter="0" w:footer="0" w:header="0"/>
        </w:sectPr>
      </w:pPr>
    </w:p>
    <w:bookmarkStart w:id="75" w:name="page76"/>
    <w:bookmarkEnd w:id="75"/>
    <w:p>
      <w:pPr>
        <w:ind w:left="1300" w:right="20" w:hanging="644"/>
        <w:spacing w:after="0" w:line="292"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7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0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United States National Airspace System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28"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Failure to update the ATC system in a timely manner and the substantial costs that may be imposed on airlines in order to fund a modernized ATC system may have a material adverse effect on our business.</w:t>
      </w:r>
    </w:p>
    <w:p>
      <w:pPr>
        <w:spacing w:after="0" w:line="12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These events have resulted in, among other things, reduced demand for air travel, an actual or perceived reduction in ATC and security screening resources and related travel delays, as well as disruption in the ability of the FAA to grant required regulatory approvals, such as are involved when a new aircraft is first placed into service.</w:t>
      </w:r>
    </w:p>
    <w:p>
      <w:pPr>
        <w:spacing w:after="0" w:line="11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LHR.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2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pending withdrawal of the United Kingdom from the EU, commonly referred to as Brexit, is currently scheduled to occur on October 31, 2019, although the status of the Brexit process is not clear as of the date of this report. Brexit will mandate further modification in the current regulatory regime. We face risks associated with the United Kingdom’s exit from the EU, notably given the extent of our passenger and cargo traffic and that of our joint business partners that flows through LHR in the United Kingdom. Absent a fully-approved withdrawal agreement between the United Kingdom and the EU or an agreed further extension of the Brexit process (resulting in the so -called “No Deal Brexit” scenario), our expectation is that air services (including those involving our joint business and code share partners) will continue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38" w:right="239" w:bottom="1440" w:gutter="0" w:footer="0" w:header="0"/>
        </w:sectPr>
      </w:pPr>
    </w:p>
    <w:bookmarkStart w:id="76" w:name="page77"/>
    <w:bookmarkEnd w:id="76"/>
    <w:p>
      <w:pPr>
        <w:jc w:val="both"/>
        <w:spacing w:after="0" w:line="254" w:lineRule="auto"/>
        <w:rPr>
          <w:sz w:val="20"/>
          <w:szCs w:val="20"/>
          <w:color w:val="auto"/>
        </w:rPr>
      </w:pPr>
      <w:r>
        <w:rPr>
          <w:rFonts w:ascii="Arial" w:cs="Arial" w:eastAsia="Arial" w:hAnsi="Arial"/>
          <w:sz w:val="18"/>
          <w:szCs w:val="18"/>
          <w:color w:val="auto"/>
        </w:rPr>
        <w:t>substantially as we currently conduct them, at least for a transition period, in reliance on “basic connectivity” traffic rights adopted by the EU and the United Kingdom's agreement to grant reciprocal rights to EU airlines as well as a new air services agreement between the U.S. and United Kingdom concluded on November 29, 2018. However, the precise scope of traffic rights between the EU and the United Kingdom remains uncertain and therefore the continuation of our current services is not assured and could be subject to disruption. If Brexit is accomplished pursuant to a withdrawal agreement consistent with the agreement that has been negotiated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26"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U.S. tax legislation may adversely affect our financial condition, results of operations and cash flows.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Recently enacted U.S. tax legislation has significantly changed the U.S. federal income taxation of U.S. corporations, including by reducing the U.S. corporate income tax rate, limiting interest deductions, permitting immediate expensing of certain capital expenditures, adopting elements of a territorial tax system, revising the rules governing NOLs and the rules governing foreign tax credits and introducing new anti-base erosion provisions. Many of these changes became effective immediately, without any transition periods or grandfathering for existing transactions. The legislation is unclear in many respects and could be subject to potential amendments and technical corrections, as well as interpretations and implementation regulations by the Treasury and Internal Revenue Service, any of which could materially affect the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us in one or more reporting periods and prospectively, other changes may be beneficial on a going forward basis.</w:t>
      </w:r>
    </w:p>
    <w:p>
      <w:pPr>
        <w:spacing w:after="0" w:line="128"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See Note 7 to AAG’s Condensed Consolidated Financial Statements in Part I, Item 1A and Note 5 to American’s Condensed Consolidated Financial Statements in Part I, Item 1B for additional information on income taxes.</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38" w:right="23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18"/>
          <w:szCs w:val="18"/>
          <w:color w:val="auto"/>
        </w:rPr>
        <w:t>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04"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97"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09"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24"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09" w:lineRule="exact"/>
        <w:rPr>
          <w:sz w:val="20"/>
          <w:szCs w:val="20"/>
          <w:color w:val="auto"/>
        </w:rPr>
      </w:pPr>
    </w:p>
    <w:p>
      <w:pPr>
        <w:jc w:val="both"/>
        <w:ind w:right="20" w:firstLine="216"/>
        <w:spacing w:after="0" w:line="292"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57" w:right="239" w:bottom="1440" w:gutter="0" w:footer="0" w:header="0"/>
        </w:sectPr>
      </w:pPr>
    </w:p>
    <w:bookmarkStart w:id="78" w:name="page79"/>
    <w:bookmarkEnd w:id="78"/>
    <w:p>
      <w:pPr>
        <w:jc w:val="both"/>
        <w:spacing w:after="0" w:line="271" w:lineRule="auto"/>
        <w:rPr>
          <w:sz w:val="20"/>
          <w:szCs w:val="20"/>
          <w:color w:val="auto"/>
        </w:rPr>
      </w:pPr>
      <w:r>
        <w:rPr>
          <w:rFonts w:ascii="Arial" w:cs="Arial" w:eastAsia="Arial" w:hAnsi="Arial"/>
          <w:sz w:val="17"/>
          <w:szCs w:val="17"/>
          <w:color w:val="auto"/>
        </w:rPr>
        <w:t>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Effective as of October 18, 2019, the USTR imposed tariffs on certain imports from the EU, including certain Airbus aircraft that we previously contracted to purchase, which will be subject to an ad valorem duty of 10%. While the scope and rate of these tariffs are subject to change, if and to the extent these tariffs are imposed on us without any available means for us to mitigate or pass on the burden of these tariffs to Airbus, the effective cost of new Airbus aircraft required to implement our fleet plan could increase.</w:t>
      </w:r>
    </w:p>
    <w:p>
      <w:pPr>
        <w:spacing w:after="0" w:line="1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United Kingdom held a referendum in June 2016 regarding its membership in the EU in which a majority of the United Kingdom electorate voted in favor of the British government taking the necessary action for the United Kingdom to leave the EU, an event commonly referred to as Brexit. In March 2017, the United Kingdom served notice of its decision to withdraw from the EU, formally initiating the withdrawal process. Serving this notice began the two-year period for the United Kingdom to negotiate the terms for its withdrawal from the EU, which was originally scheduled to occur on March 29, 2019. The United Kingdom's exit from the EU is now scheduled to occur on October 31, 2019, although the status of the Brexit process is not clear as of the date of this report. We face risks associated with the uncertainty following the referendum and the consequences that may flow from the decision to exit the EU, notably given the extent of our passenger and cargo traffic and that of our joint business partners that flows through LHR in the United Kingdom. Absent an approved withdrawal agreement between the United Kingdom and the EU or an agreed further extension of the Brexit process (resulting in the so-called “No Deal Brexit” scenario), our expectation is that air services (including those involving our joint business and code share partners) will continue substantially as we currently conduct them, at least for a transition period, in reliance on “basic connectivity” traffic rights adopted by the EU and the United Kingdom's agreement to grant reciprocal rights to EU airlines as well as the new air services agreements between the U.S. and United Kingdom concluded on November 29, 2018. However, the precise scope of traffic rights between the EU and the United Kingdom remains uncertain and therefore the continuation is not assured and could be subject to disruption. If Brexit is accomplished pursuant to a withdrawal agreement consistent with the agreement that has been negotiated between the United Kingdom and the EU, but which has yet to be approved by the United Kingdom, our current air services would continue as we currently conduct them during a transition period running through the end of 2020, with a potential extension of up to two years. During that transition period, the United Kingdom and the EU would seek to implement a new air services agreement. We cannot predict the terms of any such successor air services agreement or whether changes in the relationship between the United Kingdom and the EU, including whether or not the United Kingdom withdraws from the EU with or without an agreement, could materially adversely affect our business, results of operations and financial condition.</w:t>
      </w:r>
    </w:p>
    <w:p>
      <w:pPr>
        <w:spacing w:after="0" w:line="13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exit of the United Kingdom from the EU could adversely affect European or worldwide economic or market conditions and could contribute to further instability in global financial markets. In addition, the exit of the United Kingdom from the EU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The exit of the United Kingdom from the EU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light of Brexit and the related possibility that the EC would no longer have regulatory responsibility for the United Kingdom when existing regulatory commitments are scheduled to expire in 2020, the United Kingdom CMA in October 2018 opened an investigation into our transatlantic JBA. We are cooperating fully with the CMA.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38" w:right="239" w:bottom="1440" w:gutter="0" w:footer="0" w:header="0"/>
        </w:sectPr>
      </w:pPr>
    </w:p>
    <w:bookmarkStart w:id="79" w:name="page80"/>
    <w:bookmarkEnd w:id="79"/>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9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1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 directly attributable to us. We have liability for investigation and remediation costs at various sites, although such costs currently are not expected to have a material adverse effect on our business.</w:t>
      </w:r>
    </w:p>
    <w:p>
      <w:pPr>
        <w:spacing w:after="0" w:line="124"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2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197" w:lineRule="exact"/>
        <w:rPr>
          <w:sz w:val="20"/>
          <w:szCs w:val="20"/>
          <w:color w:val="auto"/>
        </w:rPr>
      </w:pPr>
    </w:p>
    <w:p>
      <w:pPr>
        <w:ind w:left="240"/>
        <w:spacing w:after="0" w:line="29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There is increasing global regulatory focus on climate change and greenhouse gas (GHG) emissions. Efforts by the EU in 2009 to regulate flights arriving from or departing for airports outside of the EU have been postponed as members of the International Civil Aviation Organization (ICAO) implement a global agreement on GHG emissions from the aviation sector. In 2016, ICAO passed a resolution adopting the Carbon Offsetting and Reduction Scheme for International Aviation (CORSIA), which is a global, market-based emissions offset program intended to achieve carbon-neutral growth beyond 2020. CORSIA was supported by the board of Airlines for America (the principal U.S. airline trade association) and IATA (the principal international airline trade association), along with American and many other U.S. and foreign airlines. On June 27, 2018, ICAO adopted standards pertaining to the collection and sharing of information on international aviation emissions beginning in 2019. In furtherance of these standards, on March 6, 2019, the FAA issued a notice of a CORSIA program permitting U.S. carriers to submit emissions data on a voluntary basis. The emissions monitoring plans American and its wholly-owned regional carriers submitted to the FAA have been approved by the FAA and the airlines have begun monitoring their GHG emissions. After data collection, CORSIA is expected to be implemented in phases, with a pilot phase beginning in 2021, the first phase beginning in 2024, and the mandatory second phase beginning in 2027. Certain details still need to be developed, but in early 2019, ICAO reached agreement on general criteria governing the eligibility of emissions units that may be used to comply with CORSIA. At this time, the impact of CORSIA cannot be fully predicted. CORSIA will increase operating costs for American and most other airlines, including other U.S. airlines that operate internationally, but the implementation of a global program, as compared to regional emission reduction schemes, should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19" w:right="23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18"/>
          <w:szCs w:val="18"/>
          <w:color w:val="auto"/>
        </w:rPr>
        <w:t>ensure that these costs will be more evenly applied to American and its competitors since there will be a common global regulatory regime. While we do not anticipate any significant expenditures in 2019, compliance with CORSIA or similar emissions-related requirements could significantly increase our operating costs beginning in 2021 and beyond when CORSIA’s pilot phase begins. Additionally, in 2017, ICAO adopted new aircraft certification standards to reduce carbon dioxide emissions from aircraft, which will apply to new aircraft type designs in 2020, and to aircraft type designs in production as of 2023.</w:t>
      </w:r>
    </w:p>
    <w:p>
      <w:pPr>
        <w:spacing w:after="0" w:line="4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Separately, the EU has established the Emissions Trading System (ETS) to regulate GHG emissions in the EU. The EU adopted a directive in 2008 under which each EU member state is required to extend the ETS to aviation operations. However, the EU ETS has never fully been imposed, in large part due to the effort to adopt CORSIA. The EU has extended its stay on the extra-territorial application of the EU ETS as applied to international flights to/from the European Economic Area (EEA) through year-end 2023, contingent on successful implementation of CORSIA. Thereafter, the EU will assess CORSIA implementation and decide the future status of the EU ETS as applied to international aviation to/from the EEA. The potential impact of CORSIA or other emissions-related requirements on our costs will ultimately depend on a number of factors, including baseline emissions, the price of emission allowances or offsets that American would need to acquire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GHG efficiency of the American fleet, and the number of future American flights subject to such emissions-related requirements. These costs have not been completely defined and could fluctuate.</w:t>
      </w:r>
    </w:p>
    <w:p>
      <w:pPr>
        <w:spacing w:after="0" w:line="12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2019, the Environmental Protection Agency (EPA) could finalize a rule implementing aircraft engine GHG emission standards developed initially through ICAO. It is anticipated that the EPA rule will closely align with recent ICAO carbon dioxide emission standards. The new standards, which were supported by the airline industry and manufacturers, would apply to new type aircraft certified beginning in 2020, and would be phased in for newly manufactured existing aircraft type designs starting in 2023.</w:t>
      </w:r>
    </w:p>
    <w:p>
      <w:pPr>
        <w:spacing w:after="0" w:line="11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Additionally, several states have adopted or are considering initiatives to regulate GHG emissions, primarily through the planned development of GHG emissions inventories, regional GHG cap and trade programs or low carbon fuels programs. Depending on the scope of such regulation, certain of our facilities and operations, or the operations of our suppliers, may be subject to additional operating and other permit requirements, likely resulting in increased operating costs.</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over 190 countries, including the United States, reached an agreement (the Paris Agreement) to reduce GHG emissions. While the United States has since announced that it will withdraw from the Paris Agreement and there is no express reference to aviation in the Paris Agreement, to the extent countries implement the Paris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2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allowances/offsets or otherwise pay for our emissions. Such activity may also impact us indirectly by increasing our operating costs, including fuel costs.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57" w:right="239" w:bottom="1440" w:gutter="0" w:footer="0" w:header="0"/>
        </w:sectPr>
      </w:pPr>
    </w:p>
    <w:bookmarkStart w:id="81" w:name="page82"/>
    <w:bookmarkEnd w:id="81"/>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that are necessary to operate US Airways and American as a single integrated business and to achieve cost synergies by eliminating redundancies. While we have to date successfully integrated many of our systems,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97"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5"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130,000 employees. Further, if our personnel or one of our aircraft,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not adequate, we may be forced to bear substantial losses from an incident or accident. In addition, any such incident, accident, catastrophe or action involving our personnel or one of our aircraft (or personnel and aircraft of our regional operators and our codeshare partners)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19" w:right="239" w:bottom="1440" w:gutter="0" w:footer="0" w:header="0"/>
        </w:sectPr>
      </w:pPr>
    </w:p>
    <w:bookmarkStart w:id="82" w:name="page83"/>
    <w:bookmarkEnd w:id="82"/>
    <w:p>
      <w:pPr>
        <w:ind w:left="260" w:right="20"/>
        <w:spacing w:after="0" w:line="29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financing and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recently completed transaction involving Airbus and Bombardier and the pending transactions involving Boeing and Embraer,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w:t>
      </w:r>
    </w:p>
    <w:p>
      <w:pPr>
        <w:spacing w:after="0" w:line="205" w:lineRule="exact"/>
        <w:rPr>
          <w:sz w:val="20"/>
          <w:szCs w:val="20"/>
          <w:color w:val="auto"/>
        </w:rPr>
      </w:pPr>
    </w:p>
    <w:p>
      <w:pPr>
        <w:jc w:val="both"/>
        <w:ind w:left="260"/>
        <w:spacing w:after="0" w:line="297"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91" w:lineRule="exact"/>
        <w:rPr>
          <w:sz w:val="20"/>
          <w:szCs w:val="20"/>
          <w:color w:val="auto"/>
        </w:rPr>
      </w:pPr>
    </w:p>
    <w:p>
      <w:pPr>
        <w:ind w:left="1300" w:hanging="644"/>
        <w:spacing w:after="0" w:line="292"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such disasters and related costs caused by more severe weather due to climate change.</w:t>
      </w:r>
    </w:p>
    <w:p>
      <w:pPr>
        <w:spacing w:after="0" w:line="9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In particular, an outbreak of a contagious disease such as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19" w:right="239" w:bottom="1440" w:gutter="0" w:footer="0" w:header="0"/>
        </w:sectPr>
      </w:pPr>
    </w:p>
    <w:bookmarkStart w:id="83" w:name="page84"/>
    <w:bookmarkEnd w:id="83"/>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and other factors have caused a shortage of pilots that could materially adversely affect our business.</w:t>
      </w:r>
    </w:p>
    <w:p>
      <w:pPr>
        <w:spacing w:after="0" w:line="1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9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05" w:lineRule="exact"/>
        <w:rPr>
          <w:sz w:val="20"/>
          <w:szCs w:val="20"/>
          <w:color w:val="auto"/>
        </w:rPr>
      </w:pPr>
    </w:p>
    <w:p>
      <w:pPr>
        <w:ind w:left="260" w:right="20"/>
        <w:spacing w:after="0" w:line="29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19" w:right="239" w:bottom="1440" w:gutter="0" w:footer="0" w:header="0"/>
        </w:sectPr>
      </w:pPr>
    </w:p>
    <w:bookmarkStart w:id="84" w:name="page85"/>
    <w:bookmarkEnd w:id="84"/>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90"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2018, we had available NOL Carryforwards of approximately $10.2 billion for regular federal income tax purposes that will expire, if unused, beginning in 2022, and approximately $3.2 billion for state income tax purposes that will expire, if unused, between 2019 and 2038. Our NOL Carryforwards are subject to adjustment on audit by the Internal Revenue Service and the respective state taxing authorities.</w:t>
      </w:r>
    </w:p>
    <w:p>
      <w:pPr>
        <w:spacing w:after="0" w:line="12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$8.4 billion of unlimited NOL still remaining at December 31, 2018)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26"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w:t>
      </w:r>
    </w:p>
    <w:p>
      <w:pPr>
        <w:spacing w:after="0" w:line="124" w:lineRule="exact"/>
        <w:rPr>
          <w:sz w:val="20"/>
          <w:szCs w:val="20"/>
          <w:color w:val="auto"/>
        </w:rPr>
      </w:pPr>
    </w:p>
    <w:p>
      <w:pPr>
        <w:jc w:val="both"/>
        <w:ind w:firstLine="216"/>
        <w:spacing w:after="0" w:line="292"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172"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1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19" w:right="239" w:bottom="1440" w:gutter="0" w:footer="0" w:header="0"/>
        </w:sectPr>
      </w:pPr>
    </w:p>
    <w:bookmarkStart w:id="85" w:name="page86"/>
    <w:bookmarkEnd w:id="85"/>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90"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91"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our credit rating;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w:t>
      </w:r>
    </w:p>
    <w:p>
      <w:pPr>
        <w:spacing w:after="0" w:line="109"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52" w:lineRule="exact"/>
        <w:rPr>
          <w:sz w:val="20"/>
          <w:szCs w:val="20"/>
          <w:color w:val="auto"/>
        </w:rPr>
      </w:pPr>
    </w:p>
    <w:p>
      <w:pPr>
        <w:jc w:val="both"/>
        <w:ind w:left="260"/>
        <w:spacing w:after="0" w:line="276" w:lineRule="auto"/>
        <w:rPr>
          <w:sz w:val="20"/>
          <w:szCs w:val="20"/>
          <w:color w:val="auto"/>
        </w:rPr>
      </w:pPr>
      <w:r>
        <w:rPr>
          <w:rFonts w:ascii="Arial" w:cs="Arial" w:eastAsia="Arial" w:hAnsi="Arial"/>
          <w:sz w:val="18"/>
          <w:szCs w:val="18"/>
          <w:b w:val="1"/>
          <w:bCs w:val="1"/>
          <w:i w:val="1"/>
          <w:iCs w:val="1"/>
          <w:color w:val="auto"/>
        </w:rPr>
        <w:t>We cannot guarantee that we will continue to repurchase our common stock or pay dividends on our common stock or that our capital deployment program will enhance long-term stockholder value. Our capital deployment program could increase the volatility of the price of our common stock and diminish our cash reserves.</w:t>
      </w:r>
    </w:p>
    <w:p>
      <w:pPr>
        <w:spacing w:after="0" w:line="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September 30, 2019, there was $850 million of remaining authority to repurchase shares under our share repurchase programs. Share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and without prior notice. The timing and amount of repurchases, if any, will be subject to market and economic conditions, applicable legal requirements and other relevant factors. Our repurchase of AAG common stock may be limited, suspended or discontinued at any time at our discretion and without prior notice.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19" w:right="239" w:bottom="1440" w:gutter="0" w:footer="0" w:header="0"/>
        </w:sectPr>
      </w:pPr>
    </w:p>
    <w:bookmarkStart w:id="86" w:name="page87"/>
    <w:bookmarkEnd w:id="86"/>
    <w:p>
      <w:pPr>
        <w:jc w:val="both"/>
        <w:ind w:firstLine="243"/>
        <w:spacing w:after="0" w:line="257"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However, any future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2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09"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1"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09"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0"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4" w:lineRule="exact"/>
        <w:rPr>
          <w:sz w:val="20"/>
          <w:szCs w:val="20"/>
          <w:color w:val="auto"/>
        </w:rPr>
      </w:pPr>
    </w:p>
    <w:p>
      <w:pPr>
        <w:ind w:left="260"/>
        <w:spacing w:after="0" w:line="29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Certificate of Incorporation and Bylaws include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in our 2018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38"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September 30, 2019, there was $850 million of remaining authority to repurchase shares under our current $2.0 billion share repurchase program.</w:t>
      </w:r>
    </w:p>
    <w:p>
      <w:pPr>
        <w:spacing w:after="0" w:line="62" w:lineRule="exact"/>
        <w:rPr>
          <w:sz w:val="20"/>
          <w:szCs w:val="20"/>
          <w:color w:val="auto"/>
        </w:rPr>
      </w:pPr>
    </w:p>
    <w:p>
      <w:pPr>
        <w:jc w:val="both"/>
        <w:ind w:firstLine="216"/>
        <w:spacing w:after="0" w:line="354" w:lineRule="auto"/>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 September 30,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 shares</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Maximum dollar value of shares</w:t>
            </w: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purchased as part of</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that may be purchased under</w:t>
            </w: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 number of</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publicly announced</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the plan or program</w:t>
            </w:r>
          </w:p>
        </w:tc>
      </w:tr>
      <w:tr>
        <w:trPr>
          <w:trHeight w:val="203"/>
        </w:trPr>
        <w:tc>
          <w:tcPr>
            <w:tcW w:w="26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 or program</w:t>
            </w:r>
          </w:p>
        </w:tc>
        <w:tc>
          <w:tcPr>
            <w:tcW w:w="12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r>
      <w:tr>
        <w:trPr>
          <w:trHeight w:val="251"/>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July 2019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609,500</w:t>
            </w:r>
          </w:p>
        </w:tc>
        <w:tc>
          <w:tcPr>
            <w:tcW w:w="34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609,500</w:t>
            </w:r>
          </w:p>
        </w:tc>
        <w:tc>
          <w:tcPr>
            <w:tcW w:w="120" w:type="dxa"/>
            <w:vAlign w:val="bottom"/>
            <w:shd w:val="clear" w:color="auto" w:fill="CCEEFF"/>
          </w:tcPr>
          <w:p>
            <w:pPr>
              <w:spacing w:after="0"/>
              <w:rPr>
                <w:sz w:val="21"/>
                <w:szCs w:val="21"/>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$1,031</w:t>
            </w:r>
          </w:p>
        </w:tc>
      </w:tr>
      <w:tr>
        <w:trPr>
          <w:trHeight w:val="265"/>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August 2019</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5,141,278</w:t>
            </w:r>
          </w:p>
        </w:tc>
        <w:tc>
          <w:tcPr>
            <w:tcW w:w="3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5,141,278</w:t>
            </w:r>
          </w:p>
        </w:tc>
        <w:tc>
          <w:tcPr>
            <w:tcW w:w="120" w:type="dxa"/>
            <w:vAlign w:val="bottom"/>
          </w:tcPr>
          <w:p>
            <w:pPr>
              <w:spacing w:after="0"/>
              <w:rPr>
                <w:sz w:val="23"/>
                <w:szCs w:val="23"/>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$893</w:t>
            </w:r>
          </w:p>
        </w:tc>
      </w:tr>
      <w:tr>
        <w:trPr>
          <w:trHeight w:val="275"/>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1,524,832</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1,524,832</w:t>
            </w:r>
          </w:p>
        </w:tc>
        <w:tc>
          <w:tcPr>
            <w:tcW w:w="120" w:type="dxa"/>
            <w:vAlign w:val="bottom"/>
            <w:shd w:val="clear" w:color="auto" w:fill="CCEEFF"/>
          </w:tcPr>
          <w:p>
            <w:pPr>
              <w:spacing w:after="0"/>
              <w:rPr>
                <w:sz w:val="23"/>
                <w:szCs w:val="23"/>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$850</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2"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21" w:lineRule="exact"/>
        <w:rPr>
          <w:sz w:val="20"/>
          <w:szCs w:val="20"/>
          <w:color w:val="auto"/>
        </w:rPr>
      </w:pPr>
    </w:p>
    <w:p>
      <w:pPr>
        <w:ind w:left="140"/>
        <w:spacing w:after="0"/>
        <w:tabs>
          <w:tab w:leader="none" w:pos="56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49" w:lineRule="exact"/>
        <w:rPr>
          <w:sz w:val="20"/>
          <w:szCs w:val="20"/>
          <w:color w:val="auto"/>
        </w:rPr>
      </w:pPr>
    </w:p>
    <w:p>
      <w:pPr>
        <w:jc w:val="both"/>
        <w:ind w:left="840" w:right="140" w:hanging="796"/>
        <w:spacing w:after="0" w:line="255"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12">
        <w:r>
          <w:rPr>
            <w:rFonts w:ascii="Arial" w:cs="Arial" w:eastAsia="Arial" w:hAnsi="Arial"/>
            <w:sz w:val="18"/>
            <w:szCs w:val="18"/>
            <w:u w:val="single" w:color="auto"/>
            <w:color w:val="0000FF"/>
          </w:rPr>
          <w:t>Pass Through Trust Agreement, dated as of September 16, 2014, between American Airlines, Inc. and Wilmington Trust Company,</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as Trustee (incorporated by reference to Exhibit 4.1 to American Airlines, Inc.’s Current Report on Form 8-K filed on September 17,</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2014 (Commission File No. 001-02691)).</w:t>
        </w:r>
      </w:hyperlink>
    </w:p>
    <w:p>
      <w:pPr>
        <w:spacing w:after="0" w:line="2" w:lineRule="exact"/>
        <w:rPr>
          <w:rFonts w:ascii="Arial" w:cs="Arial" w:eastAsia="Arial" w:hAnsi="Arial"/>
          <w:sz w:val="18"/>
          <w:szCs w:val="18"/>
          <w:u w:val="single" w:color="auto"/>
          <w:color w:val="0000FF"/>
        </w:rPr>
      </w:pPr>
    </w:p>
    <w:p>
      <w:pPr>
        <w:jc w:val="both"/>
        <w:ind w:left="840" w:right="140" w:hanging="796"/>
        <w:spacing w:after="0" w:line="255"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13">
        <w:r>
          <w:rPr>
            <w:rFonts w:ascii="Arial" w:cs="Arial" w:eastAsia="Arial" w:hAnsi="Arial"/>
            <w:sz w:val="18"/>
            <w:szCs w:val="18"/>
            <w:u w:val="single" w:color="auto"/>
            <w:color w:val="0000FF"/>
          </w:rPr>
          <w:t>Trust Supplement No. 2019-1AA (Aircraft EETC), dated as of August 15, 2019, between American Airlines, Inc. and Wilmington</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Trust Company, as Trustee, to the Pass Through Trust Agreement, dated as of September 16, 2014 (incorporated by reference to</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Exhibit 4.2 to American Airlines, Inc.’s Current Report on Form 8-K filed on August 15, 2019 (Commission File No. 001-02691)).</w:t>
        </w:r>
      </w:hyperlink>
    </w:p>
    <w:p>
      <w:pPr>
        <w:spacing w:after="0" w:line="2" w:lineRule="exact"/>
        <w:rPr>
          <w:rFonts w:ascii="Arial" w:cs="Arial" w:eastAsia="Arial" w:hAnsi="Arial"/>
          <w:sz w:val="18"/>
          <w:szCs w:val="18"/>
          <w:u w:val="single" w:color="auto"/>
          <w:color w:val="0000FF"/>
        </w:rPr>
      </w:pPr>
    </w:p>
    <w:p>
      <w:pPr>
        <w:jc w:val="both"/>
        <w:ind w:left="840" w:right="140" w:hanging="796"/>
        <w:spacing w:after="0" w:line="255"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14">
        <w:r>
          <w:rPr>
            <w:rFonts w:ascii="Arial" w:cs="Arial" w:eastAsia="Arial" w:hAnsi="Arial"/>
            <w:sz w:val="18"/>
            <w:szCs w:val="18"/>
            <w:u w:val="single" w:color="auto"/>
            <w:color w:val="0000FF"/>
          </w:rPr>
          <w:t>Trust Supplement No. 2019-1A (Aircraft EETC), dated as of August 15, 2019, between American Airlines, Inc. and Wilmington</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Trust Company, as Trustee, to the Pass Through Trust Agreement, dated as of September 16, 2014 (incorporated by reference to</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Exhibit 4.3 to American Airlines, Inc.’s Current Report on Form 8-K filed on August 15, 2019 (Commission File No. 001-02691)).</w:t>
        </w:r>
      </w:hyperlink>
    </w:p>
    <w:p>
      <w:pPr>
        <w:sectPr>
          <w:pgSz w:w="11900" w:h="16838" w:orient="portrait"/>
          <w:cols w:equalWidth="0" w:num="1">
            <w:col w:w="11420"/>
          </w:cols>
          <w:pgMar w:left="240" w:top="817" w:right="239" w:bottom="1440" w:gutter="0" w:footer="0" w:header="0"/>
        </w:sectPr>
      </w:pPr>
    </w:p>
    <w:p>
      <w:pPr>
        <w:spacing w:after="0" w:line="2"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7"/>
          <w:szCs w:val="17"/>
          <w:color w:val="auto"/>
        </w:rPr>
        <w:t>4.4</w:t>
      </w: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7"/>
          <w:szCs w:val="17"/>
          <w:color w:val="auto"/>
        </w:rPr>
        <w:t>4.5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9" w:lineRule="exact"/>
        <w:rPr>
          <w:rFonts w:ascii="Arial" w:cs="Arial" w:eastAsia="Arial" w:hAnsi="Arial"/>
          <w:sz w:val="18"/>
          <w:szCs w:val="18"/>
          <w:u w:val="single" w:color="auto"/>
          <w:color w:val="0000FF"/>
        </w:rPr>
      </w:pPr>
    </w:p>
    <w:p>
      <w:pPr>
        <w:jc w:val="both"/>
        <w:ind w:right="140"/>
        <w:spacing w:after="0" w:line="255"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Trust Supplement No. 2019-1B (Aircraft EETC), dated as of August 15, 2019, between American Airlines, Inc. and Wilmington</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Trust Company, as Trustee, to the Pass Through Trust Agreement, dated as of September 16, 2014 (incorporated by reference to</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Exhibit 4.4 to American Airlines, Inc.’s Current Report on Form 8-K filed on August 15, 2019 (Commission File No. 001-02691)).</w:t>
        </w:r>
      </w:hyperlink>
    </w:p>
    <w:p>
      <w:pPr>
        <w:spacing w:after="0" w:line="29" w:lineRule="exact"/>
        <w:rPr>
          <w:rFonts w:ascii="Arial" w:cs="Arial" w:eastAsia="Arial" w:hAnsi="Arial"/>
          <w:sz w:val="18"/>
          <w:szCs w:val="18"/>
          <w:u w:val="single" w:color="auto"/>
          <w:color w:val="0000FF"/>
        </w:rPr>
      </w:pPr>
    </w:p>
    <w:p>
      <w:pPr>
        <w:jc w:val="both"/>
        <w:ind w:right="140"/>
        <w:spacing w:after="0" w:line="243"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Intercreditor Agreement (2019-1), dated as of August 15, 2019, among Wilmington Trust Company, as Trustee of the American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Airlines Pass Through Trust 2019-1AA (Aircraft EETC), as Trustee of the American Airlines Pass Through Trust 2019-1A (Aircraft</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EETC) and as Trustee of the American Airlines Pass Through Trust 2019-1B (Aircraft EETC), National Australia Bank Limited, as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Class AA Liquidity Provider, Class A Liquidity Provider and Class B Liquidity Provider, and Wilmington Trust Company, as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Subordination Agent (incorporated by reference to Exhibit 4.5 to American Airlines, Inc.’s Current Report on Form 8-K filed on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August 15, 2019 (Commission File No. 001-02691)).</w:t>
        </w:r>
      </w:hyperlink>
    </w:p>
    <w:p>
      <w:pPr>
        <w:spacing w:after="0" w:line="4" w:lineRule="exact"/>
        <w:rPr>
          <w:rFonts w:ascii="Arial" w:cs="Arial" w:eastAsia="Arial" w:hAnsi="Arial"/>
          <w:sz w:val="18"/>
          <w:szCs w:val="18"/>
          <w:u w:val="single" w:color="auto"/>
          <w:color w:val="0000FF"/>
        </w:rPr>
      </w:pPr>
    </w:p>
    <w:p>
      <w:pPr>
        <w:sectPr>
          <w:pgSz w:w="11900" w:h="16838" w:orient="portrait"/>
          <w:cols w:equalWidth="0" w:num="2">
            <w:col w:w="280" w:space="560"/>
            <w:col w:w="10580"/>
          </w:cols>
          <w:pgMar w:left="240" w:top="817"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800" w:type="dxa"/>
            <w:vAlign w:val="bottom"/>
          </w:tcPr>
          <w:p>
            <w:pPr>
              <w:jc w:val="right"/>
              <w:ind w:right="470"/>
              <w:spacing w:after="0"/>
              <w:rPr>
                <w:sz w:val="20"/>
                <w:szCs w:val="20"/>
                <w:color w:val="auto"/>
              </w:rPr>
            </w:pPr>
            <w:r>
              <w:rPr>
                <w:rFonts w:ascii="Arial" w:cs="Arial" w:eastAsia="Arial" w:hAnsi="Arial"/>
                <w:sz w:val="18"/>
                <w:szCs w:val="18"/>
                <w:color w:val="auto"/>
                <w:w w:val="87"/>
              </w:rPr>
              <w:t>4.6</w:t>
            </w:r>
          </w:p>
        </w:tc>
        <w:tc>
          <w:tcPr>
            <w:tcW w:w="10520" w:type="dxa"/>
            <w:vAlign w:val="bottom"/>
            <w:gridSpan w:val="8"/>
          </w:tcPr>
          <w:p>
            <w:pPr>
              <w:spacing w:after="0"/>
              <w:rPr>
                <w:rFonts w:ascii="Arial" w:cs="Arial" w:eastAsia="Arial" w:hAnsi="Arial"/>
                <w:sz w:val="18"/>
                <w:szCs w:val="18"/>
                <w:color w:val="0000FF"/>
              </w:rPr>
            </w:pPr>
            <w:hyperlink r:id="rId117">
              <w:r>
                <w:rPr>
                  <w:rFonts w:ascii="Arial" w:cs="Arial" w:eastAsia="Arial" w:hAnsi="Arial"/>
                  <w:sz w:val="18"/>
                  <w:szCs w:val="18"/>
                  <w:color w:val="0000FF"/>
                </w:rPr>
                <w:t>Deposit Agreement (Class AA), dated as of August 15, 2019, between Wilmington Trust, National Association, as Escrow Agent,</w:t>
              </w:r>
            </w:hyperlink>
          </w:p>
        </w:tc>
      </w:tr>
      <w:tr>
        <w:trPr>
          <w:trHeight w:val="183"/>
        </w:trPr>
        <w:tc>
          <w:tcPr>
            <w:tcW w:w="800" w:type="dxa"/>
            <w:vAlign w:val="bottom"/>
          </w:tcPr>
          <w:p>
            <w:pPr>
              <w:spacing w:after="0"/>
              <w:rPr>
                <w:sz w:val="15"/>
                <w:szCs w:val="15"/>
                <w:color w:val="auto"/>
              </w:rPr>
            </w:pPr>
          </w:p>
        </w:tc>
        <w:tc>
          <w:tcPr>
            <w:tcW w:w="104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and Citibank, N.A., as Depositary (incorporated by reference to Exhibit 4.6 to American Airlines, Inc.’s Current Report on Form 8-K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044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filed on August 15, 2019 (Commission File No. 001-02691)).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tcPr>
          <w:p>
            <w:pPr>
              <w:jc w:val="right"/>
              <w:ind w:right="470"/>
              <w:spacing w:after="0"/>
              <w:rPr>
                <w:sz w:val="20"/>
                <w:szCs w:val="20"/>
                <w:color w:val="auto"/>
              </w:rPr>
            </w:pPr>
            <w:r>
              <w:rPr>
                <w:rFonts w:ascii="Arial" w:cs="Arial" w:eastAsia="Arial" w:hAnsi="Arial"/>
                <w:sz w:val="18"/>
                <w:szCs w:val="18"/>
                <w:color w:val="auto"/>
                <w:w w:val="87"/>
              </w:rPr>
              <w:t>4.7</w:t>
            </w:r>
          </w:p>
        </w:tc>
        <w:tc>
          <w:tcPr>
            <w:tcW w:w="10520" w:type="dxa"/>
            <w:vAlign w:val="bottom"/>
            <w:gridSpan w:val="8"/>
          </w:tcPr>
          <w:p>
            <w:pPr>
              <w:spacing w:after="0"/>
              <w:rPr>
                <w:rFonts w:ascii="Arial" w:cs="Arial" w:eastAsia="Arial" w:hAnsi="Arial"/>
                <w:sz w:val="18"/>
                <w:szCs w:val="18"/>
                <w:color w:val="0000FF"/>
              </w:rPr>
            </w:pPr>
            <w:hyperlink r:id="rId118">
              <w:r>
                <w:rPr>
                  <w:rFonts w:ascii="Arial" w:cs="Arial" w:eastAsia="Arial" w:hAnsi="Arial"/>
                  <w:sz w:val="18"/>
                  <w:szCs w:val="18"/>
                  <w:color w:val="0000FF"/>
                </w:rPr>
                <w:t>Deposit Agreement (Class A), dated as of August 15, 2019, between Wilmington Trust, National Association, as Escrow Agent, and</w:t>
              </w:r>
            </w:hyperlink>
          </w:p>
        </w:tc>
      </w:tr>
      <w:tr>
        <w:trPr>
          <w:trHeight w:val="183"/>
        </w:trPr>
        <w:tc>
          <w:tcPr>
            <w:tcW w:w="800" w:type="dxa"/>
            <w:vAlign w:val="bottom"/>
          </w:tcPr>
          <w:p>
            <w:pPr>
              <w:spacing w:after="0"/>
              <w:rPr>
                <w:sz w:val="15"/>
                <w:szCs w:val="15"/>
                <w:color w:val="auto"/>
              </w:rPr>
            </w:pPr>
          </w:p>
        </w:tc>
        <w:tc>
          <w:tcPr>
            <w:tcW w:w="1050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Citibank, N.A., as Depositary (incorporated by reference to Exhibit 4.7 to American Airlines, Inc.’s Current Report on Form 8-K filed</w:t>
              </w:r>
            </w:hyperlink>
          </w:p>
        </w:tc>
        <w:tc>
          <w:tcPr>
            <w:tcW w:w="2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on August 15, 2019 (Commission File No. 001-02691)).</w:t>
              </w:r>
            </w:hyperlink>
          </w:p>
        </w:tc>
        <w:tc>
          <w:tcPr>
            <w:tcW w:w="6040" w:type="dxa"/>
            <w:vAlign w:val="bottom"/>
            <w:tcBorders>
              <w:top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64"/>
        </w:trPr>
        <w:tc>
          <w:tcPr>
            <w:tcW w:w="800" w:type="dxa"/>
            <w:vAlign w:val="bottom"/>
          </w:tcPr>
          <w:p>
            <w:pPr>
              <w:jc w:val="right"/>
              <w:ind w:right="470"/>
              <w:spacing w:after="0"/>
              <w:rPr>
                <w:sz w:val="20"/>
                <w:szCs w:val="20"/>
                <w:color w:val="auto"/>
              </w:rPr>
            </w:pPr>
            <w:r>
              <w:rPr>
                <w:rFonts w:ascii="Arial" w:cs="Arial" w:eastAsia="Arial" w:hAnsi="Arial"/>
                <w:sz w:val="18"/>
                <w:szCs w:val="18"/>
                <w:color w:val="auto"/>
                <w:w w:val="87"/>
              </w:rPr>
              <w:t>4.8</w:t>
            </w:r>
          </w:p>
        </w:tc>
        <w:tc>
          <w:tcPr>
            <w:tcW w:w="10520" w:type="dxa"/>
            <w:vAlign w:val="bottom"/>
            <w:gridSpan w:val="8"/>
          </w:tcPr>
          <w:p>
            <w:pPr>
              <w:spacing w:after="0"/>
              <w:rPr>
                <w:rFonts w:ascii="Arial" w:cs="Arial" w:eastAsia="Arial" w:hAnsi="Arial"/>
                <w:sz w:val="18"/>
                <w:szCs w:val="18"/>
                <w:color w:val="0000FF"/>
              </w:rPr>
            </w:pPr>
            <w:hyperlink r:id="rId119">
              <w:r>
                <w:rPr>
                  <w:rFonts w:ascii="Arial" w:cs="Arial" w:eastAsia="Arial" w:hAnsi="Arial"/>
                  <w:sz w:val="18"/>
                  <w:szCs w:val="18"/>
                  <w:color w:val="0000FF"/>
                </w:rPr>
                <w:t>Deposit Agreement (Class B), dated as of August 15, 2019, between Wilmington Trust, National Association, as Escrow Agent, and</w:t>
              </w:r>
            </w:hyperlink>
          </w:p>
        </w:tc>
      </w:tr>
      <w:tr>
        <w:trPr>
          <w:trHeight w:val="183"/>
        </w:trPr>
        <w:tc>
          <w:tcPr>
            <w:tcW w:w="800" w:type="dxa"/>
            <w:vAlign w:val="bottom"/>
          </w:tcPr>
          <w:p>
            <w:pPr>
              <w:spacing w:after="0"/>
              <w:rPr>
                <w:sz w:val="15"/>
                <w:szCs w:val="15"/>
                <w:color w:val="auto"/>
              </w:rPr>
            </w:pPr>
          </w:p>
        </w:tc>
        <w:tc>
          <w:tcPr>
            <w:tcW w:w="1050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Citibank, N.A., as Depositary (incorporated by reference to Exhibit 4.8 to American Airlines, Inc.’s Current Report on Form 8-K filed</w:t>
              </w:r>
            </w:hyperlink>
          </w:p>
        </w:tc>
        <w:tc>
          <w:tcPr>
            <w:tcW w:w="2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046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on August 15, 2019 (Commission File No. 001-02691)).</w:t>
              </w:r>
            </w:hyperlink>
          </w:p>
        </w:tc>
        <w:tc>
          <w:tcPr>
            <w:tcW w:w="60" w:type="dxa"/>
            <w:vAlign w:val="bottom"/>
            <w:gridSpan w:val="3"/>
          </w:tcPr>
          <w:p>
            <w:pPr>
              <w:spacing w:after="0"/>
              <w:rPr>
                <w:sz w:val="15"/>
                <w:szCs w:val="15"/>
                <w:color w:val="auto"/>
              </w:rPr>
            </w:pPr>
          </w:p>
        </w:tc>
      </w:tr>
      <w:tr>
        <w:trPr>
          <w:trHeight w:val="686"/>
        </w:trPr>
        <w:tc>
          <w:tcPr>
            <w:tcW w:w="800" w:type="dxa"/>
            <w:vAlign w:val="bottom"/>
          </w:tcPr>
          <w:p>
            <w:pPr>
              <w:spacing w:after="0"/>
              <w:rPr>
                <w:sz w:val="24"/>
                <w:szCs w:val="24"/>
                <w:color w:val="auto"/>
              </w:rPr>
            </w:pPr>
          </w:p>
        </w:tc>
        <w:tc>
          <w:tcPr>
            <w:tcW w:w="4400" w:type="dxa"/>
            <w:vAlign w:val="bottom"/>
            <w:tcBorders>
              <w:top w:val="single" w:sz="8" w:color="0000FF"/>
            </w:tcBorders>
          </w:tcPr>
          <w:p>
            <w:pPr>
              <w:spacing w:after="0"/>
              <w:rPr>
                <w:sz w:val="24"/>
                <w:szCs w:val="24"/>
                <w:color w:val="auto"/>
              </w:rPr>
            </w:pPr>
          </w:p>
        </w:tc>
        <w:tc>
          <w:tcPr>
            <w:tcW w:w="6040" w:type="dxa"/>
            <w:vAlign w:val="bottom"/>
            <w:gridSpan w:val="3"/>
          </w:tcPr>
          <w:p>
            <w:pPr>
              <w:jc w:val="right"/>
              <w:ind w:right="546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17" w:right="239" w:bottom="1440" w:gutter="0" w:footer="0" w:header="0"/>
          <w:type w:val="continuous"/>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4.9</w:t>
            </w:r>
          </w:p>
        </w:tc>
        <w:tc>
          <w:tcPr>
            <w:tcW w:w="10880" w:type="dxa"/>
            <w:vAlign w:val="bottom"/>
            <w:gridSpan w:val="34"/>
          </w:tcPr>
          <w:p>
            <w:pPr>
              <w:spacing w:after="0"/>
              <w:rPr>
                <w:rFonts w:ascii="Arial" w:cs="Arial" w:eastAsia="Arial" w:hAnsi="Arial"/>
                <w:sz w:val="18"/>
                <w:szCs w:val="18"/>
                <w:color w:val="0000FF"/>
              </w:rPr>
            </w:pPr>
            <w:hyperlink r:id="rId120">
              <w:r>
                <w:rPr>
                  <w:rFonts w:ascii="Arial" w:cs="Arial" w:eastAsia="Arial" w:hAnsi="Arial"/>
                  <w:sz w:val="18"/>
                  <w:szCs w:val="18"/>
                  <w:color w:val="0000FF"/>
                </w:rPr>
                <w:t>Escrow and Paying Agent Agreement (Class AA), dated as of August 15, 2019, among Wilmington Trust, National Association, as</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4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Escrow Agent, Citigroup Global Markets Inc. and Credit Suisse Securities (USA) LLC, for themselves and on behalf of the several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4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Underwriters, Wilmington Trust Company, not in its individual capacity, but solely as Pass Through Trustee for and on behalf of</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American Airlines Pass Through Trust 2019-1AA (Aircraft EETC), and Wilmington Trust Company, as Paying Agent (incorporated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600" w:type="dxa"/>
            <w:vAlign w:val="bottom"/>
            <w:tcBorders>
              <w:bottom w:val="single" w:sz="8" w:color="0000FF"/>
            </w:tcBorders>
            <w:gridSpan w:val="20"/>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by reference to Exhibit 4.9 to American Airlines, Inc.’s Current Report on Form 8-K filed on August 15, 2019 (Commission File No.</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20" w:type="dxa"/>
            <w:vAlign w:val="bottom"/>
            <w:tcBorders>
              <w:bottom w:val="single" w:sz="8" w:color="0000FF"/>
            </w:tcBorders>
          </w:tcPr>
          <w:p>
            <w:pPr>
              <w:spacing w:after="0" w:line="182" w:lineRule="exact"/>
              <w:rPr>
                <w:rFonts w:ascii="Arial" w:cs="Arial" w:eastAsia="Arial" w:hAnsi="Arial"/>
                <w:sz w:val="18"/>
                <w:szCs w:val="18"/>
                <w:color w:val="0000FF"/>
                <w:w w:val="96"/>
              </w:rPr>
            </w:pPr>
            <w:hyperlink r:id="rId120">
              <w:r>
                <w:rPr>
                  <w:rFonts w:ascii="Arial" w:cs="Arial" w:eastAsia="Arial" w:hAnsi="Arial"/>
                  <w:sz w:val="18"/>
                  <w:szCs w:val="18"/>
                  <w:color w:val="0000FF"/>
                  <w:w w:val="96"/>
                </w:rPr>
                <w:t>001-02691)).</w:t>
              </w:r>
            </w:hyperlink>
          </w:p>
        </w:tc>
        <w:tc>
          <w:tcPr>
            <w:tcW w:w="2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Arial" w:cs="Arial" w:eastAsia="Arial" w:hAnsi="Arial"/>
                <w:sz w:val="18"/>
                <w:szCs w:val="18"/>
                <w:color w:val="auto"/>
              </w:rPr>
              <w:t>4.10</w:t>
            </w:r>
          </w:p>
        </w:tc>
        <w:tc>
          <w:tcPr>
            <w:tcW w:w="10880" w:type="dxa"/>
            <w:vAlign w:val="bottom"/>
            <w:gridSpan w:val="34"/>
          </w:tcPr>
          <w:p>
            <w:pPr>
              <w:spacing w:after="0"/>
              <w:rPr>
                <w:rFonts w:ascii="Arial" w:cs="Arial" w:eastAsia="Arial" w:hAnsi="Arial"/>
                <w:sz w:val="18"/>
                <w:szCs w:val="18"/>
                <w:color w:val="0000FF"/>
              </w:rPr>
            </w:pPr>
            <w:hyperlink r:id="rId121">
              <w:r>
                <w:rPr>
                  <w:rFonts w:ascii="Arial" w:cs="Arial" w:eastAsia="Arial" w:hAnsi="Arial"/>
                  <w:sz w:val="18"/>
                  <w:szCs w:val="18"/>
                  <w:color w:val="0000FF"/>
                </w:rPr>
                <w:t>Escrow and Paying Agent Agreement (Class A), dated as of August 15, 2019, among Wilmington Trust, National Association, as</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Escrow Agent, Citigroup Global Markets Inc. and Credit Suisse Securities (USA) LLC, for themselves and on behalf of the several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4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Underwriters, Wilmington Trust Company, not in its individual capacity, but solely as Pass Through Trustee for and on behalf of</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60" w:type="dxa"/>
            <w:vAlign w:val="bottom"/>
            <w:gridSpan w:val="18"/>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American Airlines Pass Through Trust 2019-1A (Aircraft EETC), and Wilmington Trust Company, as Paying Agent (incorporated by</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reference to Exhibit 4.10 to American Airlines, Inc.’s Current Report on Form 8-K filed on August 15, 2019 (Commission File No.</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6"/>
              </w:rPr>
            </w:pPr>
            <w:hyperlink r:id="rId121">
              <w:r>
                <w:rPr>
                  <w:rFonts w:ascii="Arial" w:cs="Arial" w:eastAsia="Arial" w:hAnsi="Arial"/>
                  <w:sz w:val="18"/>
                  <w:szCs w:val="18"/>
                  <w:color w:val="0000FF"/>
                  <w:w w:val="96"/>
                </w:rPr>
                <w:t>001-02691)).</w:t>
              </w:r>
            </w:hyperlink>
          </w:p>
        </w:tc>
        <w:tc>
          <w:tcPr>
            <w:tcW w:w="222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Arial" w:cs="Arial" w:eastAsia="Arial" w:hAnsi="Arial"/>
                <w:sz w:val="18"/>
                <w:szCs w:val="18"/>
                <w:color w:val="auto"/>
              </w:rPr>
              <w:t>4.11</w:t>
            </w:r>
          </w:p>
        </w:tc>
        <w:tc>
          <w:tcPr>
            <w:tcW w:w="10880" w:type="dxa"/>
            <w:vAlign w:val="bottom"/>
            <w:gridSpan w:val="34"/>
          </w:tcPr>
          <w:p>
            <w:pPr>
              <w:spacing w:after="0"/>
              <w:rPr>
                <w:rFonts w:ascii="Arial" w:cs="Arial" w:eastAsia="Arial" w:hAnsi="Arial"/>
                <w:sz w:val="18"/>
                <w:szCs w:val="18"/>
                <w:color w:val="0000FF"/>
              </w:rPr>
            </w:pPr>
            <w:hyperlink r:id="rId122">
              <w:r>
                <w:rPr>
                  <w:rFonts w:ascii="Arial" w:cs="Arial" w:eastAsia="Arial" w:hAnsi="Arial"/>
                  <w:sz w:val="18"/>
                  <w:szCs w:val="18"/>
                  <w:color w:val="0000FF"/>
                </w:rPr>
                <w:t>Escrow and Paying Agent Agreement (Class B), dated as of August 15, 2019, among Wilmington Trust, National Association, as</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Escrow Agent, Citigroup Global Markets Inc. and Credit Suisse Securities (USA) LLC, for themselves and on behalf of the several</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4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Underwriters, Wilmington Trust Company, not in its individual capacity, but solely as Pass Through Trustee for and on behalf of</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American Airlines Pass Through Trust 2019-1B (Aircraft EETC), and Wilmington Trust Company, as Paying Agent (incorporated by</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reference to Exhibit 4.11 to American Airlines, Inc.’s Current Report on Form 8-K filed on August 15, 2019 (Commission File No.</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001-02691)).</w:t>
              </w:r>
            </w:hyperlink>
          </w:p>
        </w:tc>
        <w:tc>
          <w:tcPr>
            <w:tcW w:w="222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4.12</w:t>
            </w:r>
          </w:p>
        </w:tc>
        <w:tc>
          <w:tcPr>
            <w:tcW w:w="10880" w:type="dxa"/>
            <w:vAlign w:val="bottom"/>
            <w:gridSpan w:val="34"/>
          </w:tcPr>
          <w:p>
            <w:pPr>
              <w:spacing w:after="0"/>
              <w:rPr>
                <w:rFonts w:ascii="Arial" w:cs="Arial" w:eastAsia="Arial" w:hAnsi="Arial"/>
                <w:sz w:val="18"/>
                <w:szCs w:val="18"/>
                <w:color w:val="0000FF"/>
              </w:rPr>
            </w:pPr>
            <w:hyperlink r:id="rId123">
              <w:r>
                <w:rPr>
                  <w:rFonts w:ascii="Arial" w:cs="Arial" w:eastAsia="Arial" w:hAnsi="Arial"/>
                  <w:sz w:val="18"/>
                  <w:szCs w:val="18"/>
                  <w:color w:val="0000FF"/>
                </w:rPr>
                <w:t>Note Purchase Agreement, dated as of August 15, 2019, among American Airlines, Inc., Wilmington Trust Company, as Pass</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4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Through Trustee under each of the Pass Through Trust Agreements, Wilmington Trust Company, as Subordination Agent,</w:t>
              </w:r>
            </w:hyperlink>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6"/>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720" w:type="dxa"/>
            <w:vAlign w:val="bottom"/>
            <w:gridSpan w:val="26"/>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Wilmington Trust, National Association, as Escrow Agent, and Wilmington Trust Company, as Paying Agent (incorporated by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5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reference to Exhibit 4.12 to American Airlines, Inc.’s Current Report on Form 8-K filed on August 15, 2019 (Commission File No.</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20" w:type="dxa"/>
            <w:vAlign w:val="bottom"/>
            <w:tcBorders>
              <w:bottom w:val="single" w:sz="8" w:color="0000FF"/>
            </w:tcBorders>
          </w:tcPr>
          <w:p>
            <w:pPr>
              <w:spacing w:after="0" w:line="182" w:lineRule="exact"/>
              <w:rPr>
                <w:rFonts w:ascii="Arial" w:cs="Arial" w:eastAsia="Arial" w:hAnsi="Arial"/>
                <w:sz w:val="18"/>
                <w:szCs w:val="18"/>
                <w:color w:val="0000FF"/>
                <w:w w:val="96"/>
              </w:rPr>
            </w:pPr>
            <w:hyperlink r:id="rId123">
              <w:r>
                <w:rPr>
                  <w:rFonts w:ascii="Arial" w:cs="Arial" w:eastAsia="Arial" w:hAnsi="Arial"/>
                  <w:sz w:val="18"/>
                  <w:szCs w:val="18"/>
                  <w:color w:val="0000FF"/>
                  <w:w w:val="96"/>
                </w:rPr>
                <w:t>001-02691)).</w:t>
              </w:r>
            </w:hyperlink>
          </w:p>
        </w:tc>
        <w:tc>
          <w:tcPr>
            <w:tcW w:w="2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4.13</w:t>
            </w:r>
          </w:p>
        </w:tc>
        <w:tc>
          <w:tcPr>
            <w:tcW w:w="10880" w:type="dxa"/>
            <w:vAlign w:val="bottom"/>
            <w:gridSpan w:val="34"/>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Participation Agreement (Participation Agreement among American Airlines, Inc., Wilmington Trust Company, as Pass</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6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Through Trustee under each of the Pass Through Trust Agreements, Wilmington Trust Company, as Subordination Agent,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72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Wilmington Trust Company, as Loan Trustee, and Wilmington Trust Company, in its individual capacity as set forth therein)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62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(incorporated by reference to Exhibit B to Exhibit 4.12 to American Airlines, Inc.’s Current Report on Form 8-K filed on August 15,</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800" w:type="dxa"/>
            <w:vAlign w:val="bottom"/>
            <w:gridSpan w:val="30"/>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2019 (Commission File No. 001-02691)).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4.14</w:t>
            </w:r>
          </w:p>
        </w:tc>
        <w:tc>
          <w:tcPr>
            <w:tcW w:w="324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vMerge w:val="continue"/>
          </w:tcPr>
          <w:p>
            <w:pPr>
              <w:spacing w:after="0"/>
              <w:rPr>
                <w:sz w:val="22"/>
                <w:szCs w:val="22"/>
                <w:color w:val="auto"/>
              </w:rPr>
            </w:pPr>
          </w:p>
        </w:tc>
        <w:tc>
          <w:tcPr>
            <w:tcW w:w="10880" w:type="dxa"/>
            <w:vAlign w:val="bottom"/>
            <w:gridSpan w:val="34"/>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Indenture and Security Agreement (Indenture and Security Agreement between American Airlines, Inc., and Wilmington</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6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Trust Company, as Loan Trustee) (incorporated by reference to Exhibit C to Exhibit 4.12 to American Airlines, Inc.’s Current Report</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584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on Form 8-K filed on August 15, 2019 (Commission File No. 001-02691)).</w:t>
              </w:r>
            </w:hyperlink>
          </w:p>
        </w:tc>
        <w:tc>
          <w:tcPr>
            <w:tcW w:w="4920" w:type="dxa"/>
            <w:vAlign w:val="bottom"/>
            <w:gridSpan w:val="2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Arial" w:cs="Arial" w:eastAsia="Arial" w:hAnsi="Arial"/>
                <w:sz w:val="18"/>
                <w:szCs w:val="18"/>
                <w:color w:val="auto"/>
              </w:rPr>
              <w:t>4.15</w:t>
            </w:r>
          </w:p>
        </w:tc>
        <w:tc>
          <w:tcPr>
            <w:tcW w:w="10880" w:type="dxa"/>
            <w:vAlign w:val="bottom"/>
            <w:gridSpan w:val="34"/>
          </w:tcPr>
          <w:p>
            <w:pPr>
              <w:spacing w:after="0"/>
              <w:rPr>
                <w:rFonts w:ascii="Arial" w:cs="Arial" w:eastAsia="Arial" w:hAnsi="Arial"/>
                <w:sz w:val="18"/>
                <w:szCs w:val="18"/>
                <w:color w:val="0000FF"/>
              </w:rPr>
            </w:pPr>
            <w:hyperlink r:id="rId113">
              <w:r>
                <w:rPr>
                  <w:rFonts w:ascii="Arial" w:cs="Arial" w:eastAsia="Arial" w:hAnsi="Arial"/>
                  <w:sz w:val="18"/>
                  <w:szCs w:val="18"/>
                  <w:color w:val="0000FF"/>
                </w:rPr>
                <w:t>Form of Pass Through Trust Certificate, Series 2019-1AA (Aircraft EETC) (incorporated by reference to Exhibit A to Exhibit 4.2 to</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90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American Airlines, Inc.’s Current Report on Form 8-K filed on August 15, 2019 (Commission File No. 001-02691)).</w:t>
              </w:r>
            </w:hyperlink>
          </w:p>
        </w:tc>
        <w:tc>
          <w:tcPr>
            <w:tcW w:w="1720" w:type="dxa"/>
            <w:vAlign w:val="bottom"/>
            <w:tcBorders>
              <w:top w:val="single" w:sz="8" w:color="0000FF"/>
            </w:tcBorders>
            <w:gridSpan w:val="1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4.16</w:t>
            </w:r>
          </w:p>
        </w:tc>
        <w:tc>
          <w:tcPr>
            <w:tcW w:w="10880" w:type="dxa"/>
            <w:vAlign w:val="bottom"/>
            <w:gridSpan w:val="34"/>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Pass Through Trust Certificate, Series 2019-1A (Aircraft EETC) (incorporated by reference to Exhibit A to Exhibit 4.3 to</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90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American Airlines, Inc.’s Current Report on Form 8-K filed on August 15, 2019 (Commission File No. 001-02691)).</w:t>
              </w:r>
            </w:hyperlink>
          </w:p>
        </w:tc>
        <w:tc>
          <w:tcPr>
            <w:tcW w:w="178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4.17</w:t>
            </w:r>
          </w:p>
        </w:tc>
        <w:tc>
          <w:tcPr>
            <w:tcW w:w="10880" w:type="dxa"/>
            <w:vAlign w:val="bottom"/>
            <w:gridSpan w:val="34"/>
          </w:tcPr>
          <w:p>
            <w:pPr>
              <w:spacing w:after="0"/>
              <w:rPr>
                <w:rFonts w:ascii="Arial" w:cs="Arial" w:eastAsia="Arial" w:hAnsi="Arial"/>
                <w:sz w:val="18"/>
                <w:szCs w:val="18"/>
                <w:color w:val="0000FF"/>
              </w:rPr>
            </w:pPr>
            <w:hyperlink r:id="rId115">
              <w:r>
                <w:rPr>
                  <w:rFonts w:ascii="Arial" w:cs="Arial" w:eastAsia="Arial" w:hAnsi="Arial"/>
                  <w:sz w:val="18"/>
                  <w:szCs w:val="18"/>
                  <w:color w:val="0000FF"/>
                </w:rPr>
                <w:t>Form of Pass Through Trust Certificate, Series 2019-1B (Aircraft EETC) (incorporated by reference to Exhibit A to Exhibit 4.4 to</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84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American Airlines, Inc.’s Current Report on Form 8-K filed on August 15, 2019 (Commission File No. 001-02691)).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4.18</w:t>
            </w:r>
          </w:p>
        </w:tc>
        <w:tc>
          <w:tcPr>
            <w:tcW w:w="10880" w:type="dxa"/>
            <w:vAlign w:val="bottom"/>
            <w:gridSpan w:val="34"/>
          </w:tcPr>
          <w:p>
            <w:pPr>
              <w:spacing w:after="0"/>
              <w:rPr>
                <w:rFonts w:ascii="Arial" w:cs="Arial" w:eastAsia="Arial" w:hAnsi="Arial"/>
                <w:sz w:val="18"/>
                <w:szCs w:val="18"/>
                <w:color w:val="0000FF"/>
              </w:rPr>
            </w:pPr>
            <w:hyperlink r:id="rId124">
              <w:r>
                <w:rPr>
                  <w:rFonts w:ascii="Arial" w:cs="Arial" w:eastAsia="Arial" w:hAnsi="Arial"/>
                  <w:sz w:val="18"/>
                  <w:szCs w:val="18"/>
                  <w:color w:val="0000FF"/>
                </w:rPr>
                <w:t>Revolving Credit Agreement (2019-1AA), dated as of August 15, 2019, between Wilmington Trust Company, as Subordination</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82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Agent, as agent and trustee for the trustee of the American Airlines Pass Through Trust 2019-1AA (Aircraft EETC), as Borrower,</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7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and National Australia Bank Limited, as Liquidity Provider (incorporated by reference to Exhibit 4.18 to American Airlines, Inc.’s</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70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Current Report on Form 8-K filed on August 15, 2019 (Commission File No. 001-02691)).</w:t>
              </w:r>
            </w:hyperlink>
          </w:p>
        </w:tc>
        <w:tc>
          <w:tcPr>
            <w:tcW w:w="3480" w:type="dxa"/>
            <w:vAlign w:val="bottom"/>
            <w:tcBorders>
              <w:top w:val="single" w:sz="8" w:color="0000FF"/>
            </w:tcBorders>
            <w:gridSpan w:val="9"/>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4.19</w:t>
            </w:r>
          </w:p>
        </w:tc>
        <w:tc>
          <w:tcPr>
            <w:tcW w:w="10880" w:type="dxa"/>
            <w:vAlign w:val="bottom"/>
            <w:gridSpan w:val="34"/>
          </w:tcPr>
          <w:p>
            <w:pPr>
              <w:spacing w:after="0"/>
              <w:rPr>
                <w:rFonts w:ascii="Arial" w:cs="Arial" w:eastAsia="Arial" w:hAnsi="Arial"/>
                <w:sz w:val="18"/>
                <w:szCs w:val="18"/>
                <w:color w:val="0000FF"/>
              </w:rPr>
            </w:pPr>
            <w:hyperlink r:id="rId125">
              <w:r>
                <w:rPr>
                  <w:rFonts w:ascii="Arial" w:cs="Arial" w:eastAsia="Arial" w:hAnsi="Arial"/>
                  <w:sz w:val="18"/>
                  <w:szCs w:val="18"/>
                  <w:color w:val="0000FF"/>
                </w:rPr>
                <w:t>Revolving Credit Agreement (2019-1A), dated as of August 15, 2019, between Wilmington Trust Company, as Subordination</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86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Agent, as agent and trustee for the trustee of the American Airlines Pass Through Trust 2019-1A (Aircraft EETC), as Borrower, and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76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National Australia Bank Limited, as Liquidity Provider (incorporated by reference to Exhibit 4.19 to American Airlines, Inc.’s Current</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6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Report on Form 8-K filed on August 15, 2019 (Commission File No. 001-02691)).</w:t>
              </w:r>
            </w:hyperlink>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80" w:type="dxa"/>
            <w:vAlign w:val="bottom"/>
            <w:gridSpan w:val="1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4.20</w:t>
            </w:r>
          </w:p>
        </w:tc>
        <w:tc>
          <w:tcPr>
            <w:tcW w:w="10880" w:type="dxa"/>
            <w:vAlign w:val="bottom"/>
            <w:gridSpan w:val="34"/>
          </w:tcPr>
          <w:p>
            <w:pPr>
              <w:spacing w:after="0"/>
              <w:rPr>
                <w:rFonts w:ascii="Arial" w:cs="Arial" w:eastAsia="Arial" w:hAnsi="Arial"/>
                <w:sz w:val="18"/>
                <w:szCs w:val="18"/>
                <w:color w:val="0000FF"/>
              </w:rPr>
            </w:pPr>
            <w:hyperlink r:id="rId126">
              <w:r>
                <w:rPr>
                  <w:rFonts w:ascii="Arial" w:cs="Arial" w:eastAsia="Arial" w:hAnsi="Arial"/>
                  <w:sz w:val="18"/>
                  <w:szCs w:val="18"/>
                  <w:color w:val="0000FF"/>
                </w:rPr>
                <w:t>Revolving Credit Agreement (2019-1B), dated as of August 15, 2019, between Wilmington Trust Company, as Subordination</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86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Agent, as agent and trustee for the trustee of the American Airlines Pass Through Trust 2019-1B (Aircraft EETC), as Borrower, and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76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National Australia Bank Limited, as Liquidity Provider (incorporated by reference to Exhibit 4.20 to American Airlines, Inc.’s Current</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106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Report on Form 8-K filed on August 15, 2019 (Commission File No. 001-02691)).</w:t>
              </w:r>
            </w:hyperlink>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80" w:type="dxa"/>
            <w:vAlign w:val="bottom"/>
            <w:gridSpan w:val="1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4"/>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Supplemental Agreement No. 13, dated as of August 20, 2019, to Purchase Agreement No. 3219 dated as of October 15, 2008, by</w:t>
              </w:r>
            </w:hyperlink>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92">
              <w:r>
                <w:rPr>
                  <w:rFonts w:ascii="Arial" w:cs="Arial" w:eastAsia="Arial" w:hAnsi="Arial"/>
                  <w:sz w:val="18"/>
                  <w:szCs w:val="18"/>
                  <w:color w:val="0000FF"/>
                  <w:w w:val="99"/>
                </w:rPr>
                <w:t>and between American Airlines, Inc. and The Boeing Company.*</w:t>
              </w:r>
            </w:hyperlink>
          </w:p>
        </w:tc>
        <w:tc>
          <w:tcPr>
            <w:tcW w:w="5580" w:type="dxa"/>
            <w:vAlign w:val="bottom"/>
            <w:tcBorders>
              <w:top w:val="single" w:sz="8" w:color="0000FF"/>
            </w:tcBorders>
            <w:gridSpan w:val="22"/>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880" w:type="dxa"/>
            <w:vAlign w:val="bottom"/>
            <w:gridSpan w:val="34"/>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Certification of AAG Chief Executive Officer pursuant to Rule 13a-14(a).</w:t>
              </w:r>
            </w:hyperlink>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5700" w:type="dxa"/>
            <w:vAlign w:val="bottom"/>
            <w:tcBorders>
              <w:top w:val="single" w:sz="8" w:color="0000FF"/>
            </w:tcBorders>
            <w:gridSpan w:val="5"/>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of AAG Chief Financial Officer pursuant to Rule 13a-14(a).</w:t>
              </w:r>
            </w:hyperlink>
          </w:p>
        </w:tc>
        <w:tc>
          <w:tcPr>
            <w:tcW w:w="5180" w:type="dxa"/>
            <w:vAlign w:val="bottom"/>
            <w:gridSpan w:val="2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40" w:type="dxa"/>
            <w:vAlign w:val="bottom"/>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31.3</w:t>
            </w:r>
          </w:p>
        </w:tc>
        <w:tc>
          <w:tcPr>
            <w:tcW w:w="10880" w:type="dxa"/>
            <w:vAlign w:val="bottom"/>
            <w:gridSpan w:val="34"/>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of American Chief Executive Officer pursuant to Rule 13a-14(a).</w:t>
              </w:r>
            </w:hyperlink>
          </w:p>
        </w:tc>
        <w:tc>
          <w:tcPr>
            <w:tcW w:w="0" w:type="dxa"/>
            <w:vAlign w:val="bottom"/>
          </w:tcPr>
          <w:p>
            <w:pPr>
              <w:spacing w:after="0"/>
              <w:rPr>
                <w:sz w:val="1"/>
                <w:szCs w:val="1"/>
                <w:color w:val="auto"/>
              </w:rPr>
            </w:pPr>
          </w:p>
        </w:tc>
      </w:tr>
      <w:tr>
        <w:trPr>
          <w:trHeight w:val="659"/>
        </w:trPr>
        <w:tc>
          <w:tcPr>
            <w:tcW w:w="800" w:type="dxa"/>
            <w:vAlign w:val="bottom"/>
          </w:tcPr>
          <w:p>
            <w:pPr>
              <w:spacing w:after="0"/>
              <w:rPr>
                <w:sz w:val="24"/>
                <w:szCs w:val="24"/>
                <w:color w:val="auto"/>
              </w:rPr>
            </w:pPr>
          </w:p>
        </w:tc>
        <w:tc>
          <w:tcPr>
            <w:tcW w:w="5120" w:type="dxa"/>
            <w:vAlign w:val="bottom"/>
            <w:tcBorders>
              <w:top w:val="single" w:sz="8" w:color="0000FF"/>
            </w:tcBorders>
            <w:gridSpan w:val="3"/>
          </w:tcPr>
          <w:p>
            <w:pPr>
              <w:ind w:left="4780"/>
              <w:spacing w:after="0"/>
              <w:rPr>
                <w:sz w:val="20"/>
                <w:szCs w:val="20"/>
                <w:color w:val="auto"/>
              </w:rPr>
            </w:pPr>
            <w:r>
              <w:rPr>
                <w:rFonts w:ascii="Arial" w:cs="Arial" w:eastAsia="Arial" w:hAnsi="Arial"/>
                <w:sz w:val="18"/>
                <w:szCs w:val="18"/>
                <w:color w:val="auto"/>
              </w:rPr>
              <w:t>87</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80" w:top="891" w:right="379" w:bottom="1440" w:gutter="0" w:footer="0" w:header="0"/>
        </w:sectPr>
      </w:pPr>
    </w:p>
    <w:bookmarkStart w:id="89" w:name="page90"/>
    <w:bookmarkEnd w:id="89"/>
    <w:p>
      <w:pPr>
        <w:ind w:left="32"/>
        <w:spacing w:after="0"/>
        <w:tabs>
          <w:tab w:leader="none" w:pos="812"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hyperlink w:anchor="page111">
        <w:r>
          <w:rPr>
            <w:rFonts w:ascii="Arial" w:cs="Arial" w:eastAsia="Arial" w:hAnsi="Arial"/>
            <w:sz w:val="17"/>
            <w:szCs w:val="17"/>
            <w:u w:val="single" w:color="auto"/>
            <w:color w:val="0000FF"/>
          </w:rPr>
          <w:t>Certification of American Chief Financial Officer pursuant to Rule 13a-14(a).</w:t>
        </w:r>
      </w:hyperlink>
    </w:p>
    <w:p>
      <w:pPr>
        <w:spacing w:after="0" w:line="50" w:lineRule="exact"/>
        <w:rPr>
          <w:sz w:val="20"/>
          <w:szCs w:val="20"/>
          <w:color w:val="auto"/>
        </w:rPr>
      </w:pPr>
    </w:p>
    <w:p>
      <w:pPr>
        <w:ind w:left="832" w:right="140" w:hanging="796"/>
        <w:spacing w:after="0" w:line="266" w:lineRule="auto"/>
        <w:tabs>
          <w:tab w:leader="none" w:pos="812"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12">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112">
        <w:r>
          <w:rPr>
            <w:rFonts w:ascii="Arial" w:cs="Arial" w:eastAsia="Arial" w:hAnsi="Arial"/>
            <w:sz w:val="18"/>
            <w:szCs w:val="18"/>
            <w:u w:val="single" w:color="auto"/>
            <w:color w:val="0000FF"/>
          </w:rPr>
          <w:t>section 1350, chapter 63 of title 18, United States Code).</w:t>
        </w:r>
      </w:hyperlink>
    </w:p>
    <w:p>
      <w:pPr>
        <w:ind w:left="832" w:right="140" w:hanging="796"/>
        <w:spacing w:after="0" w:line="266" w:lineRule="auto"/>
        <w:tabs>
          <w:tab w:leader="none" w:pos="812"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13">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113">
        <w:r>
          <w:rPr>
            <w:rFonts w:ascii="Arial" w:cs="Arial" w:eastAsia="Arial" w:hAnsi="Arial"/>
            <w:sz w:val="18"/>
            <w:szCs w:val="18"/>
            <w:u w:val="single" w:color="auto"/>
            <w:color w:val="0000FF"/>
          </w:rPr>
          <w:t>section 1350, chapter 63 of title 18, United States Code).</w:t>
        </w:r>
      </w:hyperlink>
    </w:p>
    <w:p>
      <w:pPr>
        <w:ind w:left="32"/>
        <w:spacing w:after="0"/>
        <w:tabs>
          <w:tab w:leader="none" w:pos="81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Interactive data files pursuant to Rule 405 of Regulation S-T, formatted in Inline XBRL (eXtensible Business Reporting Language).</w:t>
      </w:r>
    </w:p>
    <w:p>
      <w:pPr>
        <w:spacing w:after="0" w:line="50" w:lineRule="exact"/>
        <w:rPr>
          <w:sz w:val="20"/>
          <w:szCs w:val="20"/>
          <w:color w:val="auto"/>
        </w:rPr>
      </w:pPr>
    </w:p>
    <w:p>
      <w:pPr>
        <w:ind w:left="32"/>
        <w:spacing w:after="0"/>
        <w:tabs>
          <w:tab w:leader="none" w:pos="812"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00" w:lineRule="exact"/>
        <w:rPr>
          <w:sz w:val="20"/>
          <w:szCs w:val="20"/>
          <w:color w:val="auto"/>
        </w:rPr>
      </w:pPr>
    </w:p>
    <w:p>
      <w:pPr>
        <w:spacing w:after="0" w:line="363" w:lineRule="exact"/>
        <w:rPr>
          <w:sz w:val="20"/>
          <w:szCs w:val="20"/>
          <w:color w:val="auto"/>
        </w:rPr>
      </w:pPr>
    </w:p>
    <w:p>
      <w:pPr>
        <w:ind w:left="-8" w:firstLine="8"/>
        <w:spacing w:after="0" w:line="239" w:lineRule="auto"/>
        <w:tabs>
          <w:tab w:leader="none" w:pos="78" w:val="left"/>
        </w:tabs>
        <w:numPr>
          <w:ilvl w:val="0"/>
          <w:numId w:val="62"/>
        </w:numPr>
        <w:rPr>
          <w:rFonts w:ascii="Arial" w:cs="Arial" w:eastAsia="Arial" w:hAnsi="Arial"/>
          <w:sz w:val="22"/>
          <w:szCs w:val="22"/>
          <w:color w:val="auto"/>
          <w:vertAlign w:val="superscript"/>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12"/>
          </w:cols>
          <w:pgMar w:left="248" w:top="900"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Group Inc.</w:t>
      </w:r>
    </w:p>
    <w:p>
      <w:pPr>
        <w:spacing w:after="0" w:line="37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October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28575</wp:posOffset>
            </wp:positionV>
            <wp:extent cx="34988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1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American Airlines, Inc.</w:t>
      </w:r>
    </w:p>
    <w:p>
      <w:pPr>
        <w:spacing w:after="0" w:line="376" w:lineRule="exact"/>
        <w:rPr>
          <w:sz w:val="20"/>
          <w:szCs w:val="20"/>
          <w:color w:val="auto"/>
        </w:rPr>
      </w:pPr>
    </w:p>
    <w:p>
      <w:pPr>
        <w:ind w:left="40"/>
        <w:spacing w:after="0"/>
        <w:tabs>
          <w:tab w:leader="none" w:pos="4900" w:val="left"/>
          <w:tab w:leader="none" w:pos="5540" w:val="left"/>
        </w:tabs>
        <w:rPr>
          <w:sz w:val="20"/>
          <w:szCs w:val="20"/>
          <w:color w:val="auto"/>
        </w:rPr>
      </w:pPr>
      <w:r>
        <w:rPr>
          <w:rFonts w:ascii="Arial" w:cs="Arial" w:eastAsia="Arial" w:hAnsi="Arial"/>
          <w:sz w:val="18"/>
          <w:szCs w:val="18"/>
          <w:color w:val="auto"/>
        </w:rPr>
        <w:t>Date: October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28575</wp:posOffset>
            </wp:positionV>
            <wp:extent cx="34988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574" w:right="25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54875" cy="4718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254875" cy="4718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0" w:right="620"/>
        <w:spacing w:after="0" w:line="266" w:lineRule="auto"/>
        <w:rPr>
          <w:sz w:val="20"/>
          <w:szCs w:val="20"/>
          <w:color w:val="auto"/>
        </w:rPr>
      </w:pPr>
      <w:r>
        <w:rPr>
          <w:rFonts w:ascii="Arial" w:cs="Arial" w:eastAsia="Arial" w:hAnsi="Arial"/>
          <w:sz w:val="20"/>
          <w:szCs w:val="20"/>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SUPPLEMENTAL AGREEMENT NO. 13</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Purchase Agreement No. 3219</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BOEING COMPANY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AMERICAN AIRLINES, INC.</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20"/>
          <w:szCs w:val="20"/>
          <w:color w:val="auto"/>
        </w:rPr>
        <w:t>THIS SUPPLEMENTAL AGREEMENT No. 13 (</w:t>
      </w:r>
      <w:r>
        <w:rPr>
          <w:rFonts w:ascii="Times New Roman" w:cs="Times New Roman" w:eastAsia="Times New Roman" w:hAnsi="Times New Roman"/>
          <w:sz w:val="20"/>
          <w:szCs w:val="20"/>
          <w:b w:val="1"/>
          <w:bCs w:val="1"/>
          <w:i w:val="1"/>
          <w:iCs w:val="1"/>
          <w:color w:val="auto"/>
        </w:rPr>
        <w:t>SA-13</w:t>
      </w:r>
      <w:r>
        <w:rPr>
          <w:rFonts w:ascii="Times New Roman" w:cs="Times New Roman" w:eastAsia="Times New Roman" w:hAnsi="Times New Roman"/>
          <w:sz w:val="20"/>
          <w:szCs w:val="20"/>
          <w:color w:val="auto"/>
        </w:rPr>
        <w:t>) is made between THE BOEING COMPANY, a Delaware corporation with offices in Seattle, Washington (</w:t>
      </w:r>
      <w:r>
        <w:rPr>
          <w:rFonts w:ascii="Times New Roman" w:cs="Times New Roman" w:eastAsia="Times New Roman" w:hAnsi="Times New Roman"/>
          <w:sz w:val="20"/>
          <w:szCs w:val="20"/>
          <w:b w:val="1"/>
          <w:bCs w:val="1"/>
          <w:i w:val="1"/>
          <w:iCs w:val="1"/>
          <w:color w:val="auto"/>
        </w:rPr>
        <w:t>Boeing</w:t>
      </w:r>
      <w:r>
        <w:rPr>
          <w:rFonts w:ascii="Times New Roman" w:cs="Times New Roman" w:eastAsia="Times New Roman" w:hAnsi="Times New Roman"/>
          <w:sz w:val="20"/>
          <w:szCs w:val="20"/>
          <w:color w:val="auto"/>
        </w:rPr>
        <w:t>), and AMERICAN AIRLINES, INC, a Delaware corporation with offices in Fort Worth, Texas, together with its successors and permitted assigns (</w:t>
      </w:r>
      <w:r>
        <w:rPr>
          <w:rFonts w:ascii="Times New Roman" w:cs="Times New Roman" w:eastAsia="Times New Roman" w:hAnsi="Times New Roman"/>
          <w:sz w:val="20"/>
          <w:szCs w:val="20"/>
          <w:b w:val="1"/>
          <w:bCs w:val="1"/>
          <w:i w:val="1"/>
          <w:iCs w:val="1"/>
          <w:color w:val="auto"/>
        </w:rPr>
        <w:t>Customer</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right="20" w:firstLine="972"/>
        <w:spacing w:after="0" w:line="254" w:lineRule="auto"/>
        <w:rPr>
          <w:sz w:val="20"/>
          <w:szCs w:val="20"/>
          <w:color w:val="auto"/>
        </w:rPr>
      </w:pPr>
      <w:r>
        <w:rPr>
          <w:rFonts w:ascii="Times New Roman" w:cs="Times New Roman" w:eastAsia="Times New Roman" w:hAnsi="Times New Roman"/>
          <w:sz w:val="20"/>
          <w:szCs w:val="20"/>
          <w:color w:val="auto"/>
        </w:rPr>
        <w:t>WHEREAS, Boeing and Customer entered into Purchase Agreement No. 3219 dated October 15, 2008, relating to Boeing Model 787 aircraft, as amended and supplemented (</w:t>
      </w:r>
      <w:r>
        <w:rPr>
          <w:rFonts w:ascii="Times New Roman" w:cs="Times New Roman" w:eastAsia="Times New Roman" w:hAnsi="Times New Roman"/>
          <w:sz w:val="20"/>
          <w:szCs w:val="20"/>
          <w:b w:val="1"/>
          <w:bCs w:val="1"/>
          <w:i w:val="1"/>
          <w:iCs w:val="1"/>
          <w:color w:val="auto"/>
        </w:rPr>
        <w:t>Purchase Agreement</w:t>
      </w:r>
      <w:r>
        <w:rPr>
          <w:rFonts w:ascii="Times New Roman" w:cs="Times New Roman" w:eastAsia="Times New Roman" w:hAnsi="Times New Roman"/>
          <w:sz w:val="20"/>
          <w:szCs w:val="20"/>
          <w:color w:val="auto"/>
        </w:rPr>
        <w:t>) and capitalized terms used herein without definitions shall have the meanings specified in such Purchase Agreement;</w:t>
      </w:r>
    </w:p>
    <w:p>
      <w:pPr>
        <w:spacing w:after="0" w:line="175" w:lineRule="exact"/>
        <w:rPr>
          <w:sz w:val="20"/>
          <w:szCs w:val="20"/>
          <w:color w:val="auto"/>
        </w:rPr>
      </w:pPr>
    </w:p>
    <w:p>
      <w:pPr>
        <w:jc w:val="both"/>
        <w:ind w:right="20" w:firstLine="972"/>
        <w:spacing w:after="0" w:line="269" w:lineRule="auto"/>
        <w:rPr>
          <w:sz w:val="20"/>
          <w:szCs w:val="20"/>
          <w:color w:val="auto"/>
        </w:rPr>
      </w:pPr>
      <w:r>
        <w:rPr>
          <w:rFonts w:ascii="Times New Roman" w:cs="Times New Roman" w:eastAsia="Times New Roman" w:hAnsi="Times New Roman"/>
          <w:sz w:val="20"/>
          <w:szCs w:val="20"/>
          <w:color w:val="auto"/>
        </w:rPr>
        <w:t>WHEREAS, Customer and Boeing agree to revise Letter Agreement AAL-PA-3219-LA-1302236R1 to incorporate the agreed upon [****] for the Customer’s [****] Aircraft which configuration is described in Exhibit A2(R5); and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agree that the Purchase Agreement is amended as set forth below and otherwise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860" w:val="left"/>
          <w:tab w:leader="none" w:pos="1780" w:val="left"/>
        </w:tabs>
        <w:rPr>
          <w:sz w:val="20"/>
          <w:szCs w:val="20"/>
          <w:color w:val="auto"/>
        </w:rPr>
      </w:pPr>
      <w:r>
        <w:rPr>
          <w:rFonts w:ascii="Times New Roman" w:cs="Times New Roman" w:eastAsia="Times New Roman" w:hAnsi="Times New Roman"/>
          <w:sz w:val="20"/>
          <w:szCs w:val="20"/>
          <w:color w:val="auto"/>
        </w:rPr>
        <w:t>PA 3219</w:t>
        <w:tab/>
        <w:t>SA-13</w:t>
      </w:r>
      <w:r>
        <w:rPr>
          <w:sz w:val="20"/>
          <w:szCs w:val="20"/>
          <w:color w:val="auto"/>
        </w:rPr>
        <w:tab/>
      </w:r>
      <w:r>
        <w:rPr>
          <w:rFonts w:ascii="Times New Roman" w:cs="Times New Roman" w:eastAsia="Times New Roman" w:hAnsi="Times New Roman"/>
          <w:sz w:val="20"/>
          <w:szCs w:val="20"/>
          <w:color w:val="auto"/>
        </w:rPr>
        <w:t>Page 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405" w:right="239" w:bottom="1440" w:gutter="0" w:footer="0" w:header="0"/>
        </w:sectPr>
      </w:pPr>
    </w:p>
    <w:bookmarkStart w:id="92" w:name="page93"/>
    <w:bookmarkEnd w:id="92"/>
    <w:p>
      <w:pPr>
        <w:ind w:left="1120" w:hanging="1112"/>
        <w:spacing w:after="0"/>
        <w:tabs>
          <w:tab w:leader="none" w:pos="11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Table of Contents</w:t>
      </w:r>
      <w:r>
        <w:rPr>
          <w:rFonts w:ascii="Times New Roman" w:cs="Times New Roman" w:eastAsia="Times New Roman" w:hAnsi="Times New Roman"/>
          <w:sz w:val="20"/>
          <w:szCs w:val="20"/>
          <w:b w:val="1"/>
          <w:bCs w:val="1"/>
          <w:color w:val="auto"/>
        </w:rPr>
        <w:t>.</w:t>
      </w:r>
    </w:p>
    <w:p>
      <w:pPr>
        <w:spacing w:after="0" w:line="19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Table of Contents referencing SA-12 in the footer is deleted in its entirety and is replaced with the new Table of Contents (attached hereto) referencing SA-13 in the footer. Such new Table of Contents is hereby incorporated into the Purchase Agreement in replacement of its predecessor.</w:t>
      </w:r>
    </w:p>
    <w:p>
      <w:pPr>
        <w:spacing w:after="0" w:line="200" w:lineRule="exact"/>
        <w:rPr>
          <w:sz w:val="20"/>
          <w:szCs w:val="20"/>
          <w:color w:val="auto"/>
        </w:rPr>
      </w:pPr>
    </w:p>
    <w:p>
      <w:pPr>
        <w:spacing w:after="0" w:line="362"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Letter Agreements</w:t>
      </w:r>
      <w:r>
        <w:rPr>
          <w:rFonts w:ascii="Times New Roman" w:cs="Times New Roman" w:eastAsia="Times New Roman" w:hAnsi="Times New Roman"/>
          <w:sz w:val="20"/>
          <w:szCs w:val="20"/>
          <w:b w:val="1"/>
          <w:bCs w:val="1"/>
          <w:color w:val="auto"/>
        </w:rPr>
        <w:t>.</w:t>
      </w:r>
    </w:p>
    <w:p>
      <w:pPr>
        <w:spacing w:after="0" w:line="125" w:lineRule="exact"/>
        <w:rPr>
          <w:sz w:val="20"/>
          <w:szCs w:val="20"/>
          <w:color w:val="auto"/>
        </w:rPr>
      </w:pPr>
    </w:p>
    <w:p>
      <w:pPr>
        <w:jc w:val="both"/>
        <w:ind w:right="20" w:firstLine="972"/>
        <w:spacing w:after="0" w:line="274" w:lineRule="auto"/>
        <w:rPr>
          <w:sz w:val="20"/>
          <w:szCs w:val="20"/>
          <w:color w:val="auto"/>
        </w:rPr>
      </w:pPr>
      <w:r>
        <w:rPr>
          <w:rFonts w:ascii="Times New Roman" w:cs="Times New Roman" w:eastAsia="Times New Roman" w:hAnsi="Times New Roman"/>
          <w:sz w:val="19"/>
          <w:szCs w:val="19"/>
          <w:color w:val="auto"/>
        </w:rPr>
        <w:t>Letter Agreement AAL-PA-3219-LA-1302236R1 entitled “[****]” referencing SA-6 in the footer is deleted in its entirety and replaced with the similarly titled Letter Agreement AAL-PA-3219-LA-1302236R2 entitled “[****]” (attached hereto) referencing SA-13 in its footer. Letter Agreement AAL-PA-3219-LA-1302236R2 is hereby made a part of the Purchase Agreement in replacement of its predecessor.</w:t>
      </w:r>
    </w:p>
    <w:p>
      <w:pPr>
        <w:spacing w:after="0" w:line="220"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 on Purchase Agreement</w:t>
      </w:r>
    </w:p>
    <w:p>
      <w:pPr>
        <w:spacing w:after="0" w:line="247" w:lineRule="exact"/>
        <w:rPr>
          <w:sz w:val="20"/>
          <w:szCs w:val="20"/>
          <w:color w:val="auto"/>
        </w:rPr>
      </w:pPr>
    </w:p>
    <w:p>
      <w:pPr>
        <w:jc w:val="both"/>
        <w:ind w:right="20" w:firstLine="1053"/>
        <w:spacing w:after="0" w:line="254" w:lineRule="auto"/>
        <w:rPr>
          <w:sz w:val="20"/>
          <w:szCs w:val="20"/>
          <w:color w:val="auto"/>
        </w:rPr>
      </w:pPr>
      <w:r>
        <w:rPr>
          <w:rFonts w:ascii="Times New Roman" w:cs="Times New Roman" w:eastAsia="Times New Roman" w:hAnsi="Times New Roman"/>
          <w:sz w:val="20"/>
          <w:szCs w:val="20"/>
          <w:color w:val="auto"/>
        </w:rPr>
        <w:t>3.1 References in the Purchase Agreement and any supplemental agreements and associated letter agreements to the tables, exhibits, supplemental exhibits and letter agreements listed in the left column of the below table shall be deemed to refer to the corresponding tables, exhibits, supplemental exhibits and letter agreements listed in the right column of the below table.</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740" w:type="dxa"/>
            <w:vAlign w:val="bottom"/>
            <w:tcBorders>
              <w:top w:val="single" w:sz="8" w:color="00000A"/>
              <w:left w:val="single" w:sz="8" w:color="00000A"/>
              <w:right w:val="single" w:sz="8" w:color="00000A"/>
            </w:tcBorders>
          </w:tcPr>
          <w:p>
            <w:pPr>
              <w:ind w:left="700"/>
              <w:spacing w:after="0"/>
              <w:rPr>
                <w:sz w:val="20"/>
                <w:szCs w:val="20"/>
                <w:color w:val="auto"/>
              </w:rPr>
            </w:pPr>
            <w:r>
              <w:rPr>
                <w:rFonts w:ascii="Times New Roman" w:cs="Times New Roman" w:eastAsia="Times New Roman" w:hAnsi="Times New Roman"/>
                <w:sz w:val="20"/>
                <w:szCs w:val="20"/>
                <w:b w:val="1"/>
                <w:bCs w:val="1"/>
                <w:color w:val="auto"/>
              </w:rPr>
              <w:t>Reference</w:t>
            </w:r>
          </w:p>
        </w:tc>
        <w:tc>
          <w:tcPr>
            <w:tcW w:w="5700" w:type="dxa"/>
            <w:vAlign w:val="bottom"/>
            <w:tcBorders>
              <w:top w:val="single" w:sz="8" w:color="00000A"/>
              <w:right w:val="single" w:sz="8" w:color="00000A"/>
            </w:tcBorders>
          </w:tcPr>
          <w:p>
            <w:pPr>
              <w:spacing w:after="0"/>
              <w:rPr>
                <w:sz w:val="20"/>
                <w:szCs w:val="20"/>
                <w:color w:val="auto"/>
              </w:rPr>
            </w:pPr>
            <w:r>
              <w:rPr>
                <w:rFonts w:ascii="Times New Roman" w:cs="Times New Roman" w:eastAsia="Times New Roman" w:hAnsi="Times New Roman"/>
                <w:sz w:val="20"/>
                <w:szCs w:val="20"/>
                <w:b w:val="1"/>
                <w:bCs w:val="1"/>
                <w:color w:val="auto"/>
              </w:rPr>
              <w:t>Replacement Reference</w:t>
            </w:r>
          </w:p>
        </w:tc>
      </w:tr>
      <w:tr>
        <w:trPr>
          <w:trHeight w:val="35"/>
        </w:trPr>
        <w:tc>
          <w:tcPr>
            <w:tcW w:w="5740" w:type="dxa"/>
            <w:vAlign w:val="bottom"/>
            <w:tcBorders>
              <w:left w:val="single" w:sz="8" w:color="00000A"/>
              <w:bottom w:val="single" w:sz="8" w:color="00000A"/>
              <w:right w:val="single" w:sz="8" w:color="00000A"/>
            </w:tcBorders>
          </w:tcPr>
          <w:p>
            <w:pPr>
              <w:spacing w:after="0"/>
              <w:rPr>
                <w:sz w:val="3"/>
                <w:szCs w:val="3"/>
                <w:color w:val="auto"/>
              </w:rPr>
            </w:pPr>
          </w:p>
        </w:tc>
        <w:tc>
          <w:tcPr>
            <w:tcW w:w="5700" w:type="dxa"/>
            <w:vAlign w:val="bottom"/>
            <w:tcBorders>
              <w:bottom w:val="single" w:sz="8" w:color="00000A"/>
              <w:right w:val="single" w:sz="8" w:color="00000A"/>
            </w:tcBorders>
          </w:tcPr>
          <w:p>
            <w:pPr>
              <w:spacing w:after="0"/>
              <w:rPr>
                <w:sz w:val="3"/>
                <w:szCs w:val="3"/>
                <w:color w:val="auto"/>
              </w:rPr>
            </w:pPr>
          </w:p>
        </w:tc>
      </w:tr>
      <w:tr>
        <w:trPr>
          <w:trHeight w:val="237"/>
        </w:trPr>
        <w:tc>
          <w:tcPr>
            <w:tcW w:w="57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Letter Agreement AAL-PA-3219-LA-1302236R1</w:t>
            </w:r>
          </w:p>
        </w:tc>
        <w:tc>
          <w:tcPr>
            <w:tcW w:w="570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18"/>
                <w:szCs w:val="18"/>
                <w:color w:val="auto"/>
              </w:rPr>
              <w:t>Letter Agreement AAL-PA-3219-LA-1302236R2</w:t>
            </w:r>
          </w:p>
        </w:tc>
      </w:tr>
      <w:tr>
        <w:trPr>
          <w:trHeight w:val="41"/>
        </w:trPr>
        <w:tc>
          <w:tcPr>
            <w:tcW w:w="5740" w:type="dxa"/>
            <w:vAlign w:val="bottom"/>
            <w:tcBorders>
              <w:left w:val="single" w:sz="8" w:color="00000A"/>
              <w:bottom w:val="single" w:sz="8" w:color="00000A"/>
              <w:right w:val="single" w:sz="8" w:color="00000A"/>
            </w:tcBorders>
          </w:tcPr>
          <w:p>
            <w:pPr>
              <w:spacing w:after="0"/>
              <w:rPr>
                <w:sz w:val="3"/>
                <w:szCs w:val="3"/>
                <w:color w:val="auto"/>
              </w:rPr>
            </w:pPr>
          </w:p>
        </w:tc>
        <w:tc>
          <w:tcPr>
            <w:tcW w:w="5700" w:type="dxa"/>
            <w:vAlign w:val="bottom"/>
            <w:tcBorders>
              <w:bottom w:val="single" w:sz="8" w:color="00000A"/>
              <w:right w:val="single" w:sz="8" w:color="00000A"/>
            </w:tcBorders>
          </w:tcPr>
          <w:p>
            <w:pPr>
              <w:spacing w:after="0"/>
              <w:rPr>
                <w:sz w:val="3"/>
                <w:szCs w:val="3"/>
                <w:color w:val="auto"/>
              </w:rPr>
            </w:pPr>
          </w:p>
        </w:tc>
      </w:tr>
    </w:tbl>
    <w:p>
      <w:pPr>
        <w:spacing w:after="0" w:line="301" w:lineRule="exact"/>
        <w:rPr>
          <w:sz w:val="20"/>
          <w:szCs w:val="20"/>
          <w:color w:val="auto"/>
        </w:rPr>
      </w:pPr>
    </w:p>
    <w:p>
      <w:pPr>
        <w:jc w:val="both"/>
        <w:ind w:right="20" w:firstLine="1053"/>
        <w:spacing w:after="0" w:line="291" w:lineRule="auto"/>
        <w:rPr>
          <w:sz w:val="20"/>
          <w:szCs w:val="20"/>
          <w:color w:val="auto"/>
        </w:rPr>
      </w:pPr>
      <w:r>
        <w:rPr>
          <w:rFonts w:ascii="Times New Roman" w:cs="Times New Roman" w:eastAsia="Times New Roman" w:hAnsi="Times New Roman"/>
          <w:sz w:val="20"/>
          <w:szCs w:val="20"/>
          <w:color w:val="auto"/>
        </w:rPr>
        <w:t>3.2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rest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60" w:val="left"/>
          <w:tab w:leader="none" w:pos="1780" w:val="left"/>
        </w:tabs>
        <w:rPr>
          <w:sz w:val="20"/>
          <w:szCs w:val="20"/>
          <w:color w:val="auto"/>
        </w:rPr>
      </w:pPr>
      <w:r>
        <w:rPr>
          <w:rFonts w:ascii="Times New Roman" w:cs="Times New Roman" w:eastAsia="Times New Roman" w:hAnsi="Times New Roman"/>
          <w:sz w:val="20"/>
          <w:szCs w:val="20"/>
          <w:color w:val="auto"/>
        </w:rPr>
        <w:t>PA 3219</w:t>
        <w:tab/>
        <w:t>SA-13</w:t>
      </w:r>
      <w:r>
        <w:rPr>
          <w:sz w:val="20"/>
          <w:szCs w:val="20"/>
          <w:color w:val="auto"/>
        </w:rPr>
        <w:tab/>
      </w:r>
      <w:r>
        <w:rPr>
          <w:rFonts w:ascii="Times New Roman" w:cs="Times New Roman" w:eastAsia="Times New Roman" w:hAnsi="Times New Roman"/>
          <w:sz w:val="20"/>
          <w:szCs w:val="20"/>
          <w:color w:val="auto"/>
        </w:rPr>
        <w:t>Page 2</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40"/>
          </w:cols>
          <w:pgMar w:left="240" w:top="1288" w:right="21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AGREED AND ACCEPTED</w:t>
      </w: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August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31115</wp:posOffset>
            </wp:positionV>
            <wp:extent cx="3310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31115</wp:posOffset>
            </wp:positionV>
            <wp:extent cx="3310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Signature</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31115</wp:posOffset>
            </wp:positionV>
            <wp:extent cx="3310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Printed name</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31115</wp:posOffset>
            </wp:positionV>
            <wp:extent cx="3310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31115</wp:posOffset>
            </wp:positionV>
            <wp:extent cx="35934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31115</wp:posOffset>
            </wp:positionV>
            <wp:extent cx="35934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Printed name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VP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31115</wp:posOffset>
            </wp:positionV>
            <wp:extent cx="35934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ectPr>
          <w:pgSz w:w="11900" w:h="16838" w:orient="portrait"/>
          <w:cols w:equalWidth="0" w:num="2">
            <w:col w:w="5060" w:space="720"/>
            <w:col w:w="443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60" w:val="left"/>
          <w:tab w:leader="none" w:pos="1780" w:val="left"/>
        </w:tabs>
        <w:rPr>
          <w:sz w:val="20"/>
          <w:szCs w:val="20"/>
          <w:color w:val="auto"/>
        </w:rPr>
      </w:pPr>
      <w:r>
        <w:rPr>
          <w:rFonts w:ascii="Times New Roman" w:cs="Times New Roman" w:eastAsia="Times New Roman" w:hAnsi="Times New Roman"/>
          <w:sz w:val="20"/>
          <w:szCs w:val="20"/>
          <w:color w:val="auto"/>
        </w:rPr>
        <w:t>PA 3219</w:t>
        <w:tab/>
        <w:t>SA-13</w:t>
      </w:r>
      <w:r>
        <w:rPr>
          <w:sz w:val="20"/>
          <w:szCs w:val="20"/>
          <w:color w:val="auto"/>
        </w:rPr>
        <w:tab/>
      </w:r>
      <w:r>
        <w:rPr>
          <w:rFonts w:ascii="Times New Roman" w:cs="Times New Roman" w:eastAsia="Times New Roman" w:hAnsi="Times New Roman"/>
          <w:sz w:val="20"/>
          <w:szCs w:val="20"/>
          <w:color w:val="auto"/>
        </w:rPr>
        <w:t>Page 3</w:t>
      </w:r>
    </w:p>
    <w:p>
      <w:pPr>
        <w:spacing w:after="0" w:line="28"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0219"/>
          </w:cols>
          <w:pgMar w:left="240" w:top="1440" w:right="1440" w:bottom="1440" w:gutter="0" w:footer="0" w:header="0"/>
          <w:type w:val="continuous"/>
        </w:sectPr>
      </w:pPr>
    </w:p>
    <w:bookmarkStart w:id="94" w:name="page95"/>
    <w:bookmarkEnd w:id="94"/>
    <w:tbl>
      <w:tblPr>
        <w:tblLayout w:type="fixed"/>
        <w:tblInd w:w="700" w:type="dxa"/>
        <w:tblCellMar>
          <w:top w:w="0" w:type="dxa"/>
          <w:left w:w="0" w:type="dxa"/>
          <w:bottom w:w="0" w:type="dxa"/>
          <w:right w:w="0" w:type="dxa"/>
        </w:tblCellMar>
      </w:tblPr>
      <w:tr>
        <w:trPr>
          <w:trHeight w:val="258"/>
        </w:trPr>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40" w:type="dxa"/>
            <w:vAlign w:val="bottom"/>
            <w:gridSpan w:val="2"/>
          </w:tcPr>
          <w:p>
            <w:pPr>
              <w:ind w:left="1560"/>
              <w:spacing w:after="0"/>
              <w:rPr>
                <w:sz w:val="20"/>
                <w:szCs w:val="20"/>
                <w:color w:val="auto"/>
              </w:rPr>
            </w:pPr>
            <w:r>
              <w:rPr>
                <w:rFonts w:ascii="Times New Roman" w:cs="Times New Roman" w:eastAsia="Times New Roman" w:hAnsi="Times New Roman"/>
                <w:sz w:val="20"/>
                <w:szCs w:val="20"/>
                <w:color w:val="auto"/>
              </w:rPr>
              <w:t>TABLE OF CONTENTS</w:t>
            </w: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200" w:type="dxa"/>
            <w:vAlign w:val="bottom"/>
          </w:tcPr>
          <w:p>
            <w:pPr>
              <w:spacing w:after="0"/>
              <w:rPr>
                <w:sz w:val="24"/>
                <w:szCs w:val="24"/>
                <w:color w:val="auto"/>
              </w:rPr>
            </w:pPr>
          </w:p>
        </w:tc>
        <w:tc>
          <w:tcPr>
            <w:tcW w:w="1660" w:type="dxa"/>
            <w:vAlign w:val="bottom"/>
            <w:gridSpan w:val="9"/>
          </w:tcPr>
          <w:p>
            <w:pPr>
              <w:jc w:val="center"/>
              <w:ind w:right="685"/>
              <w:spacing w:after="0"/>
              <w:rPr>
                <w:sz w:val="20"/>
                <w:szCs w:val="20"/>
                <w:color w:val="auto"/>
              </w:rPr>
            </w:pPr>
            <w:r>
              <w:rPr>
                <w:rFonts w:ascii="Times New Roman" w:cs="Times New Roman" w:eastAsia="Times New Roman" w:hAnsi="Times New Roman"/>
                <w:sz w:val="20"/>
                <w:szCs w:val="20"/>
                <w:color w:val="auto"/>
                <w:w w:val="96"/>
              </w:rPr>
              <w:t>ARTICLES</w:t>
            </w: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SA</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40" w:type="dxa"/>
            <w:vAlign w:val="bottom"/>
            <w:gridSpan w:val="2"/>
          </w:tcPr>
          <w:p>
            <w:pPr>
              <w:jc w:val="center"/>
              <w:ind w:left="701"/>
              <w:spacing w:after="0" w:line="209" w:lineRule="exact"/>
              <w:rPr>
                <w:sz w:val="20"/>
                <w:szCs w:val="20"/>
                <w:color w:val="auto"/>
              </w:rPr>
            </w:pPr>
            <w:r>
              <w:rPr>
                <w:rFonts w:ascii="Times New Roman" w:cs="Times New Roman" w:eastAsia="Times New Roman" w:hAnsi="Times New Roman"/>
                <w:sz w:val="20"/>
                <w:szCs w:val="20"/>
                <w:color w:val="auto"/>
                <w:w w:val="98"/>
              </w:rPr>
              <w:t>NUMBER</w:t>
            </w:r>
          </w:p>
        </w:tc>
        <w:tc>
          <w:tcPr>
            <w:tcW w:w="0" w:type="dxa"/>
            <w:vAlign w:val="bottom"/>
          </w:tcPr>
          <w:p>
            <w:pPr>
              <w:spacing w:after="0"/>
              <w:rPr>
                <w:sz w:val="1"/>
                <w:szCs w:val="1"/>
                <w:color w:val="auto"/>
              </w:rPr>
            </w:pPr>
          </w:p>
        </w:tc>
      </w:tr>
      <w:tr>
        <w:trPr>
          <w:trHeight w:val="310"/>
        </w:trPr>
        <w:tc>
          <w:tcPr>
            <w:tcW w:w="74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Quantity, Model and Description</w:t>
            </w:r>
          </w:p>
        </w:tc>
        <w:tc>
          <w:tcPr>
            <w:tcW w:w="80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284"/>
        </w:trPr>
        <w:tc>
          <w:tcPr>
            <w:tcW w:w="74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Delivery Schedule</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284"/>
        </w:trPr>
        <w:tc>
          <w:tcPr>
            <w:tcW w:w="74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color w:val="auto"/>
              </w:rPr>
              <w:t>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Price</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284"/>
        </w:trPr>
        <w:tc>
          <w:tcPr>
            <w:tcW w:w="74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color w:val="auto"/>
              </w:rPr>
              <w:t>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Payment</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284"/>
        </w:trPr>
        <w:tc>
          <w:tcPr>
            <w:tcW w:w="74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color w:val="auto"/>
              </w:rPr>
              <w:t>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Miscellaneous</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284"/>
        </w:trPr>
        <w:tc>
          <w:tcPr>
            <w:tcW w:w="74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color w:val="auto"/>
              </w:rPr>
              <w:t>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Confidential Treatment</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45"/>
              <w:spacing w:after="0"/>
              <w:rPr>
                <w:sz w:val="20"/>
                <w:szCs w:val="20"/>
                <w:color w:val="auto"/>
              </w:rPr>
            </w:pPr>
            <w:r>
              <w:rPr>
                <w:rFonts w:ascii="Times New Roman" w:cs="Times New Roman" w:eastAsia="Times New Roman" w:hAnsi="Times New Roman"/>
                <w:sz w:val="20"/>
                <w:szCs w:val="20"/>
                <w:color w:val="auto"/>
                <w:w w:val="96"/>
              </w:rPr>
              <w:t>TABLE</w:t>
            </w: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jc w:val="center"/>
              <w:ind w:left="141"/>
              <w:spacing w:after="0"/>
              <w:rPr>
                <w:sz w:val="20"/>
                <w:szCs w:val="20"/>
                <w:color w:val="auto"/>
              </w:rPr>
            </w:pPr>
            <w:r>
              <w:rPr>
                <w:rFonts w:ascii="Times New Roman" w:cs="Times New Roman" w:eastAsia="Times New Roman" w:hAnsi="Times New Roman"/>
                <w:sz w:val="20"/>
                <w:szCs w:val="20"/>
                <w:color w:val="auto"/>
                <w:strike w:val="1"/>
              </w:rPr>
              <w:t>1.</w:t>
            </w: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strike w:val="1"/>
                <w:w w:val="97"/>
              </w:rPr>
              <w:t>Aircraft Information Table – TRENT</w:t>
            </w:r>
          </w:p>
        </w:tc>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WITHDRAWN</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SA-2</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45"/>
              <w:spacing w:after="0"/>
              <w:rPr>
                <w:sz w:val="20"/>
                <w:szCs w:val="20"/>
                <w:color w:val="auto"/>
              </w:rPr>
            </w:pPr>
            <w:r>
              <w:rPr>
                <w:rFonts w:ascii="Times New Roman" w:cs="Times New Roman" w:eastAsia="Times New Roman" w:hAnsi="Times New Roman"/>
                <w:sz w:val="20"/>
                <w:szCs w:val="20"/>
                <w:color w:val="auto"/>
                <w:w w:val="98"/>
              </w:rPr>
              <w:t>1(R7)</w:t>
            </w: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787-9 Aircraft Information Table – GENX</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45"/>
              <w:spacing w:after="0"/>
              <w:rPr>
                <w:sz w:val="20"/>
                <w:szCs w:val="20"/>
                <w:color w:val="auto"/>
              </w:rPr>
            </w:pPr>
            <w:r>
              <w:rPr>
                <w:rFonts w:ascii="Times New Roman" w:cs="Times New Roman" w:eastAsia="Times New Roman" w:hAnsi="Times New Roman"/>
                <w:sz w:val="20"/>
                <w:szCs w:val="20"/>
                <w:color w:val="auto"/>
                <w:w w:val="98"/>
              </w:rPr>
              <w:t>2(R1)</w:t>
            </w:r>
          </w:p>
        </w:tc>
        <w:tc>
          <w:tcPr>
            <w:tcW w:w="6840" w:type="dxa"/>
            <w:vAlign w:val="bottom"/>
            <w:gridSpan w:val="3"/>
            <w:vMerge w:val="restart"/>
          </w:tcPr>
          <w:p>
            <w:pPr>
              <w:ind w:left="180"/>
              <w:spacing w:after="0"/>
              <w:rPr>
                <w:sz w:val="20"/>
                <w:szCs w:val="20"/>
                <w:color w:val="auto"/>
              </w:rPr>
            </w:pPr>
            <w:r>
              <w:rPr>
                <w:rFonts w:ascii="Times New Roman" w:cs="Times New Roman" w:eastAsia="Times New Roman" w:hAnsi="Times New Roman"/>
                <w:sz w:val="20"/>
                <w:szCs w:val="20"/>
                <w:color w:val="auto"/>
              </w:rPr>
              <w:t>787-8 Aircraft Information Table – GENX</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SA-5</w:t>
            </w:r>
          </w:p>
        </w:tc>
        <w:tc>
          <w:tcPr>
            <w:tcW w:w="0" w:type="dxa"/>
            <w:vAlign w:val="bottom"/>
          </w:tcPr>
          <w:p>
            <w:pPr>
              <w:spacing w:after="0"/>
              <w:rPr>
                <w:sz w:val="1"/>
                <w:szCs w:val="1"/>
                <w:color w:val="auto"/>
              </w:rPr>
            </w:pPr>
          </w:p>
        </w:tc>
      </w:tr>
      <w:tr>
        <w:trPr>
          <w:trHeight w:val="79"/>
        </w:trPr>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4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auto"/>
              </w:rPr>
              <w:t>([****] (12) 787-8 Aircraft)</w:t>
            </w: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45"/>
              <w:spacing w:after="0"/>
              <w:rPr>
                <w:sz w:val="20"/>
                <w:szCs w:val="20"/>
                <w:color w:val="auto"/>
              </w:rPr>
            </w:pPr>
            <w:r>
              <w:rPr>
                <w:rFonts w:ascii="Times New Roman" w:cs="Times New Roman" w:eastAsia="Times New Roman" w:hAnsi="Times New Roman"/>
                <w:sz w:val="20"/>
                <w:szCs w:val="20"/>
                <w:color w:val="auto"/>
                <w:w w:val="98"/>
              </w:rPr>
              <w:t>3(R1)</w:t>
            </w:r>
          </w:p>
        </w:tc>
        <w:tc>
          <w:tcPr>
            <w:tcW w:w="6840" w:type="dxa"/>
            <w:vAlign w:val="bottom"/>
            <w:gridSpan w:val="3"/>
            <w:vMerge w:val="restart"/>
          </w:tcPr>
          <w:p>
            <w:pPr>
              <w:ind w:left="180"/>
              <w:spacing w:after="0"/>
              <w:rPr>
                <w:sz w:val="20"/>
                <w:szCs w:val="20"/>
                <w:color w:val="auto"/>
              </w:rPr>
            </w:pPr>
            <w:r>
              <w:rPr>
                <w:rFonts w:ascii="Times New Roman" w:cs="Times New Roman" w:eastAsia="Times New Roman" w:hAnsi="Times New Roman"/>
                <w:sz w:val="20"/>
                <w:szCs w:val="20"/>
                <w:color w:val="auto"/>
              </w:rPr>
              <w:t>787-8 Aircraft Information Table – GENX</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SA-5</w:t>
            </w:r>
          </w:p>
        </w:tc>
        <w:tc>
          <w:tcPr>
            <w:tcW w:w="0" w:type="dxa"/>
            <w:vAlign w:val="bottom"/>
          </w:tcPr>
          <w:p>
            <w:pPr>
              <w:spacing w:after="0"/>
              <w:rPr>
                <w:sz w:val="1"/>
                <w:szCs w:val="1"/>
                <w:color w:val="auto"/>
              </w:rPr>
            </w:pPr>
          </w:p>
        </w:tc>
      </w:tr>
      <w:tr>
        <w:trPr>
          <w:trHeight w:val="79"/>
        </w:trPr>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4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auto"/>
              </w:rPr>
              <w:t>([****] Eight (8) 787-8 Aircraft, yielding Twenty (20) 787-8 Aircraft)</w:t>
            </w: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740" w:type="dxa"/>
            <w:vAlign w:val="bottom"/>
            <w:gridSpan w:val="4"/>
          </w:tcPr>
          <w:p>
            <w:pPr>
              <w:jc w:val="center"/>
              <w:ind w:left="461"/>
              <w:spacing w:after="0"/>
              <w:rPr>
                <w:sz w:val="20"/>
                <w:szCs w:val="20"/>
                <w:color w:val="auto"/>
              </w:rPr>
            </w:pPr>
            <w:r>
              <w:rPr>
                <w:rFonts w:ascii="Times New Roman" w:cs="Times New Roman" w:eastAsia="Times New Roman" w:hAnsi="Times New Roman"/>
                <w:sz w:val="20"/>
                <w:szCs w:val="20"/>
                <w:color w:val="auto"/>
                <w:w w:val="99"/>
              </w:rPr>
              <w:t>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WITHDRAWN</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SA-6</w:t>
            </w:r>
          </w:p>
        </w:tc>
        <w:tc>
          <w:tcPr>
            <w:tcW w:w="0" w:type="dxa"/>
            <w:vAlign w:val="bottom"/>
          </w:tcPr>
          <w:p>
            <w:pPr>
              <w:spacing w:after="0"/>
              <w:rPr>
                <w:sz w:val="1"/>
                <w:szCs w:val="1"/>
                <w:color w:val="auto"/>
              </w:rPr>
            </w:pPr>
          </w:p>
        </w:tc>
      </w:tr>
      <w:tr>
        <w:trPr>
          <w:trHeight w:val="473"/>
        </w:trPr>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2018 787-9 Exercised Aircraft Information Table – GENX</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SA-11</w:t>
            </w:r>
          </w:p>
        </w:tc>
        <w:tc>
          <w:tcPr>
            <w:tcW w:w="0" w:type="dxa"/>
            <w:vAlign w:val="bottom"/>
          </w:tcPr>
          <w:p>
            <w:pPr>
              <w:spacing w:after="0"/>
              <w:rPr>
                <w:sz w:val="1"/>
                <w:szCs w:val="1"/>
                <w:color w:val="auto"/>
              </w:rPr>
            </w:pPr>
          </w:p>
        </w:tc>
      </w:tr>
      <w:tr>
        <w:trPr>
          <w:trHeight w:val="311"/>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8"/>
          </w:tcPr>
          <w:p>
            <w:pPr>
              <w:jc w:val="right"/>
              <w:ind w:right="1005"/>
              <w:spacing w:after="0"/>
              <w:rPr>
                <w:sz w:val="20"/>
                <w:szCs w:val="20"/>
                <w:color w:val="auto"/>
              </w:rPr>
            </w:pPr>
            <w:r>
              <w:rPr>
                <w:rFonts w:ascii="Times New Roman" w:cs="Times New Roman" w:eastAsia="Times New Roman" w:hAnsi="Times New Roman"/>
                <w:sz w:val="20"/>
                <w:szCs w:val="20"/>
                <w:color w:val="auto"/>
              </w:rPr>
              <w:t>6(R1)</w:t>
            </w: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2018 787-8 Exercised Aircraft Information Table-GENX</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SA-12</w:t>
            </w:r>
          </w:p>
        </w:tc>
        <w:tc>
          <w:tcPr>
            <w:tcW w:w="0" w:type="dxa"/>
            <w:vAlign w:val="bottom"/>
          </w:tcPr>
          <w:p>
            <w:pPr>
              <w:spacing w:after="0"/>
              <w:rPr>
                <w:sz w:val="1"/>
                <w:szCs w:val="1"/>
                <w:color w:val="auto"/>
              </w:rPr>
            </w:pPr>
          </w:p>
        </w:tc>
      </w:tr>
      <w:tr>
        <w:trPr>
          <w:trHeight w:val="534"/>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9"/>
              </w:rPr>
              <w:t>EXHIBIT</w:t>
            </w:r>
          </w:p>
        </w:tc>
        <w:tc>
          <w:tcPr>
            <w:tcW w:w="80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25"/>
              <w:spacing w:after="0"/>
              <w:rPr>
                <w:sz w:val="20"/>
                <w:szCs w:val="20"/>
                <w:color w:val="auto"/>
              </w:rPr>
            </w:pPr>
            <w:r>
              <w:rPr>
                <w:rFonts w:ascii="Times New Roman" w:cs="Times New Roman" w:eastAsia="Times New Roman" w:hAnsi="Times New Roman"/>
                <w:sz w:val="20"/>
                <w:szCs w:val="20"/>
                <w:color w:val="auto"/>
                <w:w w:val="99"/>
              </w:rPr>
              <w:t>A(R3).</w:t>
            </w: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Aircraft Configuration for [****] Aircraft</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SA-11</w:t>
            </w: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25"/>
              <w:spacing w:after="0"/>
              <w:rPr>
                <w:sz w:val="20"/>
                <w:szCs w:val="20"/>
                <w:color w:val="auto"/>
              </w:rPr>
            </w:pPr>
            <w:r>
              <w:rPr>
                <w:rFonts w:ascii="Times New Roman" w:cs="Times New Roman" w:eastAsia="Times New Roman" w:hAnsi="Times New Roman"/>
                <w:sz w:val="20"/>
                <w:szCs w:val="20"/>
                <w:color w:val="auto"/>
                <w:w w:val="98"/>
              </w:rPr>
              <w:t>A2(R5)</w:t>
            </w: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Aircraft Configuration for [****] Aircraft</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SA-12</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25"/>
              <w:spacing w:after="0"/>
              <w:rPr>
                <w:sz w:val="20"/>
                <w:szCs w:val="20"/>
                <w:color w:val="auto"/>
              </w:rPr>
            </w:pPr>
            <w:r>
              <w:rPr>
                <w:rFonts w:ascii="Times New Roman" w:cs="Times New Roman" w:eastAsia="Times New Roman" w:hAnsi="Times New Roman"/>
                <w:sz w:val="20"/>
                <w:szCs w:val="20"/>
                <w:color w:val="auto"/>
              </w:rPr>
              <w:t>B(R1).</w:t>
            </w: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Aircraft Delivery Requirements and Responsibilities</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center"/>
              <w:ind w:right="825"/>
              <w:spacing w:after="0"/>
              <w:rPr>
                <w:sz w:val="20"/>
                <w:szCs w:val="20"/>
                <w:color w:val="auto"/>
              </w:rPr>
            </w:pPr>
            <w:r>
              <w:rPr>
                <w:rFonts w:ascii="Times New Roman" w:cs="Times New Roman" w:eastAsia="Times New Roman" w:hAnsi="Times New Roman"/>
                <w:sz w:val="20"/>
                <w:szCs w:val="20"/>
                <w:color w:val="auto"/>
              </w:rPr>
              <w:t>C(R1).</w:t>
            </w:r>
          </w:p>
        </w:tc>
        <w:tc>
          <w:tcPr>
            <w:tcW w:w="68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Defined Terms</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831"/>
        </w:trPr>
        <w:tc>
          <w:tcPr>
            <w:tcW w:w="8700" w:type="dxa"/>
            <w:vAlign w:val="bottom"/>
            <w:gridSpan w:val="13"/>
          </w:tcPr>
          <w:p>
            <w:pPr>
              <w:jc w:val="center"/>
              <w:ind w:right="6121"/>
              <w:spacing w:after="0"/>
              <w:rPr>
                <w:sz w:val="20"/>
                <w:szCs w:val="20"/>
                <w:color w:val="auto"/>
              </w:rPr>
            </w:pPr>
            <w:r>
              <w:rPr>
                <w:rFonts w:ascii="Times New Roman" w:cs="Times New Roman" w:eastAsia="Times New Roman" w:hAnsi="Times New Roman"/>
                <w:sz w:val="20"/>
                <w:szCs w:val="20"/>
                <w:color w:val="auto"/>
                <w:w w:val="98"/>
              </w:rPr>
              <w:t>SUPPLEMENTAL EXHIBITS</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5"/>
          </w:tcPr>
          <w:p>
            <w:pPr>
              <w:jc w:val="center"/>
              <w:ind w:right="305"/>
              <w:spacing w:after="0"/>
              <w:rPr>
                <w:sz w:val="20"/>
                <w:szCs w:val="20"/>
                <w:color w:val="auto"/>
              </w:rPr>
            </w:pPr>
            <w:r>
              <w:rPr>
                <w:rFonts w:ascii="Times New Roman" w:cs="Times New Roman" w:eastAsia="Times New Roman" w:hAnsi="Times New Roman"/>
                <w:sz w:val="20"/>
                <w:szCs w:val="20"/>
                <w:color w:val="auto"/>
              </w:rPr>
              <w:t>AE1.</w:t>
            </w:r>
          </w:p>
        </w:tc>
        <w:tc>
          <w:tcPr>
            <w:tcW w:w="600" w:type="dxa"/>
            <w:vAlign w:val="bottom"/>
            <w:tcBorders>
              <w:top w:val="single" w:sz="8" w:color="auto"/>
            </w:tcBorders>
          </w:tcPr>
          <w:p>
            <w:pPr>
              <w:spacing w:after="0"/>
              <w:rPr>
                <w:sz w:val="24"/>
                <w:szCs w:val="24"/>
                <w:color w:val="auto"/>
              </w:rPr>
            </w:pPr>
          </w:p>
        </w:tc>
        <w:tc>
          <w:tcPr>
            <w:tcW w:w="25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6"/>
          </w:tcPr>
          <w:p>
            <w:pPr>
              <w:jc w:val="center"/>
              <w:ind w:right="85"/>
              <w:spacing w:after="0"/>
              <w:rPr>
                <w:sz w:val="20"/>
                <w:szCs w:val="20"/>
                <w:color w:val="auto"/>
              </w:rPr>
            </w:pPr>
            <w:r>
              <w:rPr>
                <w:rFonts w:ascii="Times New Roman" w:cs="Times New Roman" w:eastAsia="Times New Roman" w:hAnsi="Times New Roman"/>
                <w:sz w:val="20"/>
                <w:szCs w:val="20"/>
                <w:color w:val="auto"/>
                <w:w w:val="97"/>
              </w:rPr>
              <w:t>BFE1(R1).</w:t>
            </w:r>
          </w:p>
        </w:tc>
        <w:tc>
          <w:tcPr>
            <w:tcW w:w="600" w:type="dxa"/>
            <w:vAlign w:val="bottom"/>
          </w:tcPr>
          <w:p>
            <w:pPr>
              <w:spacing w:after="0"/>
              <w:rPr>
                <w:sz w:val="24"/>
                <w:szCs w:val="24"/>
                <w:color w:val="auto"/>
              </w:rPr>
            </w:pPr>
          </w:p>
        </w:tc>
        <w:tc>
          <w:tcPr>
            <w:tcW w:w="62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Buyer Furnished Equipment Variables 787-9</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jc w:val="center"/>
              <w:ind w:right="305"/>
              <w:spacing w:after="0"/>
              <w:rPr>
                <w:sz w:val="20"/>
                <w:szCs w:val="20"/>
                <w:color w:val="auto"/>
              </w:rPr>
            </w:pPr>
            <w:r>
              <w:rPr>
                <w:rFonts w:ascii="Times New Roman" w:cs="Times New Roman" w:eastAsia="Times New Roman" w:hAnsi="Times New Roman"/>
                <w:sz w:val="20"/>
                <w:szCs w:val="20"/>
                <w:color w:val="auto"/>
                <w:w w:val="96"/>
              </w:rPr>
              <w:t>BFE2.</w:t>
            </w:r>
          </w:p>
        </w:tc>
        <w:tc>
          <w:tcPr>
            <w:tcW w:w="600" w:type="dxa"/>
            <w:vAlign w:val="bottom"/>
          </w:tcPr>
          <w:p>
            <w:pPr>
              <w:spacing w:after="0"/>
              <w:rPr>
                <w:sz w:val="24"/>
                <w:szCs w:val="24"/>
                <w:color w:val="auto"/>
              </w:rPr>
            </w:pPr>
          </w:p>
        </w:tc>
        <w:tc>
          <w:tcPr>
            <w:tcW w:w="62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Buyer Furnished Equipment Variables 787-8</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SA-3</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jc w:val="center"/>
              <w:ind w:right="305"/>
              <w:spacing w:after="0"/>
              <w:rPr>
                <w:sz w:val="20"/>
                <w:szCs w:val="20"/>
                <w:color w:val="auto"/>
              </w:rPr>
            </w:pPr>
            <w:r>
              <w:rPr>
                <w:rFonts w:ascii="Times New Roman" w:cs="Times New Roman" w:eastAsia="Times New Roman" w:hAnsi="Times New Roman"/>
                <w:sz w:val="20"/>
                <w:szCs w:val="20"/>
                <w:color w:val="auto"/>
                <w:w w:val="96"/>
              </w:rPr>
              <w:t>CS1.</w:t>
            </w:r>
          </w:p>
        </w:tc>
        <w:tc>
          <w:tcPr>
            <w:tcW w:w="600" w:type="dxa"/>
            <w:vAlign w:val="bottom"/>
          </w:tcPr>
          <w:p>
            <w:pPr>
              <w:spacing w:after="0"/>
              <w:rPr>
                <w:sz w:val="24"/>
                <w:szCs w:val="24"/>
                <w:color w:val="auto"/>
              </w:rPr>
            </w:pPr>
          </w:p>
        </w:tc>
        <w:tc>
          <w:tcPr>
            <w:tcW w:w="62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787 Customer Support Document</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jc w:val="center"/>
              <w:ind w:right="305"/>
              <w:spacing w:after="0"/>
              <w:rPr>
                <w:sz w:val="20"/>
                <w:szCs w:val="20"/>
                <w:color w:val="auto"/>
              </w:rPr>
            </w:pPr>
            <w:r>
              <w:rPr>
                <w:rFonts w:ascii="Times New Roman" w:cs="Times New Roman" w:eastAsia="Times New Roman" w:hAnsi="Times New Roman"/>
                <w:sz w:val="20"/>
                <w:szCs w:val="20"/>
                <w:color w:val="auto"/>
                <w:w w:val="96"/>
              </w:rPr>
              <w:t>EE1.</w:t>
            </w:r>
          </w:p>
        </w:tc>
        <w:tc>
          <w:tcPr>
            <w:tcW w:w="312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strike w:val="1"/>
                <w:w w:val="98"/>
              </w:rPr>
              <w:t>EE1</w:t>
            </w:r>
          </w:p>
        </w:tc>
        <w:tc>
          <w:tcPr>
            <w:tcW w:w="480" w:type="dxa"/>
            <w:vAlign w:val="bottom"/>
            <w:vMerge w:val="restart"/>
          </w:tcPr>
          <w:p>
            <w:pPr>
              <w:jc w:val="right"/>
              <w:ind w:right="385"/>
              <w:spacing w:after="0"/>
              <w:rPr>
                <w:sz w:val="20"/>
                <w:szCs w:val="20"/>
                <w:color w:val="auto"/>
              </w:rPr>
            </w:pPr>
            <w:r>
              <w:rPr>
                <w:rFonts w:ascii="Times New Roman" w:cs="Times New Roman" w:eastAsia="Times New Roman" w:hAnsi="Times New Roman"/>
                <w:sz w:val="11"/>
                <w:szCs w:val="11"/>
                <w:color w:val="auto"/>
                <w:w w:val="70"/>
              </w:rPr>
              <w:t>.</w:t>
            </w:r>
          </w:p>
        </w:tc>
        <w:tc>
          <w:tcPr>
            <w:tcW w:w="600" w:type="dxa"/>
            <w:vAlign w:val="bottom"/>
          </w:tcPr>
          <w:p>
            <w:pPr>
              <w:spacing w:after="0"/>
              <w:rPr>
                <w:sz w:val="24"/>
                <w:szCs w:val="24"/>
                <w:color w:val="auto"/>
              </w:rPr>
            </w:pPr>
          </w:p>
        </w:tc>
        <w:tc>
          <w:tcPr>
            <w:tcW w:w="6240" w:type="dxa"/>
            <w:vAlign w:val="bottom"/>
            <w:gridSpan w:val="2"/>
            <w:vMerge w:val="restart"/>
          </w:tcPr>
          <w:p>
            <w:pPr>
              <w:ind w:left="720"/>
              <w:spacing w:after="0"/>
              <w:rPr>
                <w:sz w:val="20"/>
                <w:szCs w:val="20"/>
                <w:color w:val="auto"/>
              </w:rPr>
            </w:pPr>
            <w:r>
              <w:rPr>
                <w:rFonts w:ascii="Times New Roman" w:cs="Times New Roman" w:eastAsia="Times New Roman" w:hAnsi="Times New Roman"/>
                <w:sz w:val="20"/>
                <w:szCs w:val="20"/>
                <w:color w:val="auto"/>
              </w:rPr>
              <w:t>[****] WITHDRAWN</w:t>
            </w: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SA-2</w:t>
            </w: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jc w:val="center"/>
              <w:ind w:right="305"/>
              <w:spacing w:after="0"/>
              <w:rPr>
                <w:sz w:val="20"/>
                <w:szCs w:val="20"/>
                <w:color w:val="auto"/>
              </w:rPr>
            </w:pPr>
            <w:r>
              <w:rPr>
                <w:rFonts w:ascii="Times New Roman" w:cs="Times New Roman" w:eastAsia="Times New Roman" w:hAnsi="Times New Roman"/>
                <w:sz w:val="20"/>
                <w:szCs w:val="20"/>
                <w:color w:val="auto"/>
                <w:w w:val="96"/>
              </w:rPr>
              <w:t>EE2.</w:t>
            </w:r>
          </w:p>
        </w:tc>
        <w:tc>
          <w:tcPr>
            <w:tcW w:w="312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w:t>
            </w: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SA-4</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jc w:val="center"/>
              <w:ind w:right="305"/>
              <w:spacing w:after="0"/>
              <w:rPr>
                <w:sz w:val="20"/>
                <w:szCs w:val="20"/>
                <w:color w:val="auto"/>
              </w:rPr>
            </w:pPr>
            <w:r>
              <w:rPr>
                <w:rFonts w:ascii="Times New Roman" w:cs="Times New Roman" w:eastAsia="Times New Roman" w:hAnsi="Times New Roman"/>
                <w:sz w:val="20"/>
                <w:szCs w:val="20"/>
                <w:color w:val="auto"/>
              </w:rPr>
              <w:t>SLP1.</w:t>
            </w:r>
          </w:p>
        </w:tc>
        <w:tc>
          <w:tcPr>
            <w:tcW w:w="600" w:type="dxa"/>
            <w:vAlign w:val="bottom"/>
          </w:tcPr>
          <w:p>
            <w:pPr>
              <w:spacing w:after="0"/>
              <w:rPr>
                <w:sz w:val="24"/>
                <w:szCs w:val="24"/>
                <w:color w:val="auto"/>
              </w:rPr>
            </w:pPr>
          </w:p>
        </w:tc>
        <w:tc>
          <w:tcPr>
            <w:tcW w:w="62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Service Life Policy Components</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P.A. No. 3219</w:t>
      </w:r>
      <w:r>
        <w:rPr>
          <w:sz w:val="20"/>
          <w:szCs w:val="20"/>
          <w:color w:val="auto"/>
        </w:rPr>
        <w:tab/>
      </w:r>
      <w:r>
        <w:rPr>
          <w:rFonts w:ascii="Times New Roman" w:cs="Times New Roman" w:eastAsia="Times New Roman" w:hAnsi="Times New Roman"/>
          <w:sz w:val="19"/>
          <w:szCs w:val="19"/>
          <w:color w:val="auto"/>
        </w:rPr>
        <w:t>SA-13</w:t>
      </w:r>
    </w:p>
    <w:p>
      <w:pPr>
        <w:spacing w:after="0" w:line="2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auto"/>
        </w:rPr>
        <w:t>Table of Contents</w:t>
        <w:tab/>
        <w:t>Page 1</w:t>
      </w:r>
    </w:p>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040"/>
          </w:cols>
          <w:pgMar w:left="240" w:top="616" w:right="61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[****]=[CONFIDENTIAL PORTION HAS BEEN OMITTED BECAUSE IT (I) IS NOT MATERIAL AND (II) WOULD BE COMPETITIVELY HARMFUL IF PUBLICLY DISCLOSED</w:t>
      </w:r>
    </w:p>
    <w:p>
      <w:pPr>
        <w:sectPr>
          <w:pgSz w:w="11900" w:h="16838" w:orient="portrait"/>
          <w:cols w:equalWidth="0" w:num="1">
            <w:col w:w="11040"/>
          </w:cols>
          <w:pgMar w:left="240" w:top="616" w:right="619" w:bottom="144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u w:val="single" w:color="auto"/>
          <w:color w:val="auto"/>
        </w:rPr>
        <w:t>LETTER AGREEMENTS</w:t>
      </w:r>
    </w:p>
    <w:p>
      <w:pPr>
        <w:spacing w:after="0" w:line="3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3219-01</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3219-02</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3219-04</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3219-05R1</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3219-06R1</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3219-08R2</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6-1162-AKP-071R1</w:t>
      </w:r>
    </w:p>
    <w:p>
      <w:pPr>
        <w:spacing w:after="0" w:line="3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6-1162-AKP-072R2</w:t>
      </w:r>
    </w:p>
    <w:p>
      <w:pPr>
        <w:spacing w:after="0" w:line="3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6-1162-AKP-073R1</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6-1162-CLO-1031R1</w:t>
      </w:r>
    </w:p>
    <w:p>
      <w:pPr>
        <w:spacing w:after="0" w:line="3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6-1162-CLO-1032R1</w:t>
      </w:r>
    </w:p>
    <w:p>
      <w:pPr>
        <w:spacing w:after="0" w:line="3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6-1162-CLO-1039</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6-1162-CLO-1042</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6-1162-CLO-1043R1</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6-1162-CLO-1045R1</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6-1162-CLO-1046</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6-1162-CLO-1047R4</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6-1162-CLO-1048</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6-1162-CLO-1049R2</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6-1162-TRW-0664R2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80"/>
        <w:spacing w:after="0" w:line="269" w:lineRule="auto"/>
        <w:rPr>
          <w:sz w:val="20"/>
          <w:szCs w:val="20"/>
          <w:color w:val="auto"/>
        </w:rPr>
      </w:pPr>
      <w:r>
        <w:rPr>
          <w:rFonts w:ascii="Times New Roman" w:cs="Times New Roman" w:eastAsia="Times New Roman" w:hAnsi="Times New Roman"/>
          <w:sz w:val="20"/>
          <w:szCs w:val="20"/>
          <w:color w:val="auto"/>
        </w:rPr>
        <w:t>P.A. No. 3219 SA-13 Table of Contents Page 2</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Times New Roman" w:cs="Times New Roman" w:eastAsia="Times New Roman" w:hAnsi="Times New Roman"/>
          <w:sz w:val="20"/>
          <w:szCs w:val="20"/>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Special Terms – Seats and In-Flight Entertainment</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Spare Parts Commitments</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Spare Parts Initial Provisioning</w:t>
      </w: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strike w:val="1"/>
        </w:rPr>
        <w:t>Open Configuration Matters</w:t>
      </w:r>
      <w:r>
        <w:rPr>
          <w:rFonts w:ascii="Times New Roman" w:cs="Times New Roman" w:eastAsia="Times New Roman" w:hAnsi="Times New Roman"/>
          <w:sz w:val="20"/>
          <w:szCs w:val="20"/>
          <w:color w:val="auto"/>
        </w:rPr>
        <w:t xml:space="preserve"> WITHDRAWN</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Terminated per AAL-PA-1977-LA-1105595</w:t>
      </w:r>
    </w:p>
    <w:p>
      <w:pPr>
        <w:spacing w:after="0" w:line="1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Terminated per AAL-PA-1977-LA-1105595</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Accident Claims and Litigation</w:t>
      </w: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WITHDRAWN</w:t>
      </w:r>
    </w:p>
    <w:p>
      <w:pPr>
        <w:spacing w:after="0" w:line="1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Terminated</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787 Inspection Process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strike w:val="1"/>
        </w:rPr>
        <w:t>SA-eE, COTS Software and End User License Matters</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WITHDRAWN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strike w:val="1"/>
        </w:rPr>
        <w:t>Final Matters</w:t>
      </w:r>
      <w:r>
        <w:rPr>
          <w:rFonts w:ascii="Times New Roman" w:cs="Times New Roman" w:eastAsia="Times New Roman" w:hAnsi="Times New Roman"/>
          <w:sz w:val="20"/>
          <w:szCs w:val="20"/>
          <w:color w:val="auto"/>
        </w:rPr>
        <w:t xml:space="preserve">  WITHDRAWN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CS1 Matters</w:t>
      </w:r>
    </w:p>
    <w:p>
      <w:pPr>
        <w:spacing w:after="0" w:line="54" w:lineRule="exact"/>
        <w:rPr>
          <w:sz w:val="20"/>
          <w:szCs w:val="20"/>
          <w:color w:val="auto"/>
        </w:rPr>
      </w:pPr>
    </w:p>
    <w:p>
      <w:pPr>
        <w:ind w:right="900"/>
        <w:spacing w:after="0" w:line="315" w:lineRule="auto"/>
        <w:rPr>
          <w:sz w:val="20"/>
          <w:szCs w:val="20"/>
          <w:color w:val="auto"/>
        </w:rPr>
      </w:pPr>
      <w:r>
        <w:rPr>
          <w:rFonts w:ascii="Times New Roman" w:cs="Times New Roman" w:eastAsia="Times New Roman" w:hAnsi="Times New Roman"/>
          <w:sz w:val="19"/>
          <w:szCs w:val="19"/>
          <w:color w:val="auto"/>
        </w:rPr>
        <w:t xml:space="preserve">Aircraft Purchase Rights and Substitution Rights </w:t>
      </w:r>
      <w:r>
        <w:rPr>
          <w:rFonts w:ascii="Times New Roman" w:cs="Times New Roman" w:eastAsia="Times New Roman" w:hAnsi="Times New Roman"/>
          <w:sz w:val="19"/>
          <w:szCs w:val="19"/>
          <w:color w:val="auto"/>
          <w:strike w:val="1"/>
        </w:rPr>
        <w:t>Attachment A(R2) – MADP Exercise Dates</w:t>
      </w:r>
      <w:r>
        <w:rPr>
          <w:rFonts w:ascii="Times New Roman" w:cs="Times New Roman" w:eastAsia="Times New Roman" w:hAnsi="Times New Roman"/>
          <w:sz w:val="19"/>
          <w:szCs w:val="19"/>
          <w:color w:val="auto"/>
        </w:rPr>
        <w:t xml:space="preserve"> WITHDRAWN </w:t>
      </w:r>
      <w:r>
        <w:rPr>
          <w:rFonts w:ascii="Times New Roman" w:cs="Times New Roman" w:eastAsia="Times New Roman" w:hAnsi="Times New Roman"/>
          <w:sz w:val="19"/>
          <w:szCs w:val="19"/>
          <w:color w:val="auto"/>
          <w:strike w:val="1"/>
        </w:rPr>
        <w:t>Attachment B(R2) – QADP Exercise Dates</w:t>
      </w:r>
      <w:r>
        <w:rPr>
          <w:rFonts w:ascii="Times New Roman" w:cs="Times New Roman" w:eastAsia="Times New Roman" w:hAnsi="Times New Roman"/>
          <w:sz w:val="19"/>
          <w:szCs w:val="19"/>
          <w:color w:val="auto"/>
        </w:rPr>
        <w:t xml:space="preserve"> WITHDRAWN </w:t>
      </w:r>
      <w:r>
        <w:rPr>
          <w:rFonts w:ascii="Times New Roman" w:cs="Times New Roman" w:eastAsia="Times New Roman" w:hAnsi="Times New Roman"/>
          <w:sz w:val="19"/>
          <w:szCs w:val="19"/>
          <w:color w:val="auto"/>
          <w:strike w:val="1"/>
        </w:rPr>
        <w:t>Attachment C(R3) – MADP &amp; QADP Rights Aircraft: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strike w:val="1"/>
        </w:rPr>
        <w:t>Description/Price Data</w:t>
      </w:r>
      <w:r>
        <w:rPr>
          <w:rFonts w:ascii="Times New Roman" w:cs="Times New Roman" w:eastAsia="Times New Roman" w:hAnsi="Times New Roman"/>
          <w:sz w:val="20"/>
          <w:szCs w:val="20"/>
          <w:color w:val="auto"/>
        </w:rPr>
        <w:t xml:space="preserve">  Attachment C(R4)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SA-3</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SA-3</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SA-2</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SA-3</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SA-3</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SA-2</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SA-3</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SA-11</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SA-2</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SA-6</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SA-11</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SA-11</w:t>
      </w:r>
    </w:p>
    <w:p>
      <w:pPr>
        <w:spacing w:after="0" w:line="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SA-11</w:t>
      </w:r>
    </w:p>
    <w:p>
      <w:pPr>
        <w:spacing w:after="0" w:line="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SA-11</w:t>
      </w:r>
    </w:p>
    <w:p>
      <w:pPr>
        <w:spacing w:after="0" w:line="1627" w:lineRule="exact"/>
        <w:rPr>
          <w:sz w:val="20"/>
          <w:szCs w:val="20"/>
          <w:color w:val="auto"/>
        </w:rPr>
      </w:pPr>
    </w:p>
    <w:p>
      <w:pPr>
        <w:sectPr>
          <w:pgSz w:w="11900" w:h="16838" w:orient="portrait"/>
          <w:cols w:equalWidth="0" w:num="3">
            <w:col w:w="3080" w:space="720"/>
            <w:col w:w="5680" w:space="720"/>
            <w:col w:w="840"/>
          </w:cols>
          <w:pgMar w:left="240" w:top="1224" w:right="61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[****]=[CONFIDENTIAL PORTION HAS BEEN OMITTED BECAUSE IT (I) IS NOT MATERIAL AND (II) WOULD BE COMPETITIVELY HARMFUL IF PUBLICLY DISCLOSED</w:t>
      </w:r>
    </w:p>
    <w:p>
      <w:pPr>
        <w:sectPr>
          <w:pgSz w:w="11900" w:h="16838" w:orient="portrait"/>
          <w:cols w:equalWidth="0" w:num="1">
            <w:col w:w="11040"/>
          </w:cols>
          <w:pgMar w:left="240" w:top="1224" w:right="619"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6-1162-TRW-0665</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6-1162-TRW-0666</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6-1162-TRW-0667R3</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6-1162-TRW-0668R1</w:t>
      </w: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6-1162-TRW-0670R1</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strike w:val="1"/>
        </w:rPr>
        <w:t>6-1162-TRW-0671</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6-1162-TRW-0672R1</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6-1162-TRW-0673R1</w:t>
      </w:r>
    </w:p>
    <w:p>
      <w:pPr>
        <w:spacing w:after="0" w:line="54" w:lineRule="exact"/>
        <w:rPr>
          <w:sz w:val="20"/>
          <w:szCs w:val="20"/>
          <w:color w:val="auto"/>
        </w:rPr>
      </w:pPr>
    </w:p>
    <w:p>
      <w:pPr>
        <w:ind w:left="100" w:right="680"/>
        <w:spacing w:after="0" w:line="322" w:lineRule="auto"/>
        <w:rPr>
          <w:sz w:val="20"/>
          <w:szCs w:val="20"/>
          <w:color w:val="auto"/>
        </w:rPr>
      </w:pPr>
      <w:r>
        <w:rPr>
          <w:rFonts w:ascii="Times New Roman" w:cs="Times New Roman" w:eastAsia="Times New Roman" w:hAnsi="Times New Roman"/>
          <w:sz w:val="19"/>
          <w:szCs w:val="19"/>
          <w:color w:val="auto"/>
        </w:rPr>
        <w:t>6-1162-TRW-0674R4 AAL-PA-3219-LA-08836R2 AAL-PA-3219-LA-08837R1 AAL-PA-3219-LA-08838 AAL-LA-1106678</w:t>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AAL-PA-3219-LA-1302236R2</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AAL-PA-3219-LA-1604503R1</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AAL-PA-03219-LA-1701988</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AAL-PA-03219_LA-1804779</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AAL-PA-03219-LA-1802262R1</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AAL-PA-03219-LA-1802492</w:t>
      </w:r>
    </w:p>
    <w:p>
      <w:pPr>
        <w:spacing w:after="0" w:line="200" w:lineRule="exact"/>
        <w:rPr>
          <w:sz w:val="20"/>
          <w:szCs w:val="20"/>
          <w:color w:val="auto"/>
        </w:rPr>
      </w:pPr>
    </w:p>
    <w:p>
      <w:pPr>
        <w:spacing w:after="0" w:line="286" w:lineRule="exact"/>
        <w:rPr>
          <w:sz w:val="20"/>
          <w:szCs w:val="20"/>
          <w:color w:val="auto"/>
        </w:rPr>
      </w:pPr>
    </w:p>
    <w:p>
      <w:pPr>
        <w:ind w:right="880"/>
        <w:spacing w:after="0" w:line="269" w:lineRule="auto"/>
        <w:rPr>
          <w:sz w:val="20"/>
          <w:szCs w:val="20"/>
          <w:color w:val="auto"/>
        </w:rPr>
      </w:pPr>
      <w:r>
        <w:rPr>
          <w:rFonts w:ascii="Times New Roman" w:cs="Times New Roman" w:eastAsia="Times New Roman" w:hAnsi="Times New Roman"/>
          <w:sz w:val="20"/>
          <w:szCs w:val="20"/>
          <w:color w:val="auto"/>
        </w:rPr>
        <w:t>P.A. No. 3219 SA-13 Table of Contents Page 3</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Times New Roman" w:cs="Times New Roman" w:eastAsia="Times New Roman" w:hAnsi="Times New Roman"/>
          <w:sz w:val="20"/>
          <w:szCs w:val="20"/>
          <w:color w:val="auto"/>
        </w:rPr>
        <w:t>TABLE OF CONTENTS,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 D – Form of Purchase Agreement Supplement</w:t>
      </w:r>
    </w:p>
    <w:p>
      <w:pPr>
        <w:spacing w:after="0" w:line="200" w:lineRule="exact"/>
        <w:rPr>
          <w:sz w:val="20"/>
          <w:szCs w:val="20"/>
          <w:color w:val="auto"/>
        </w:rPr>
      </w:pPr>
    </w:p>
    <w:p>
      <w:pPr>
        <w:spacing w:after="0" w:line="353"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20"/>
          <w:szCs w:val="20"/>
          <w:color w:val="auto"/>
        </w:rPr>
        <w:t>Attachment E – Letter Agreements To Be Included In Purchase Agreement Supplement</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WITHDRAWN</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WITHDRAWN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400" w:right="600" w:hanging="323"/>
        <w:spacing w:after="0" w:line="267" w:lineRule="auto"/>
        <w:rPr>
          <w:sz w:val="20"/>
          <w:szCs w:val="20"/>
          <w:color w:val="auto"/>
        </w:rPr>
      </w:pPr>
      <w:r>
        <w:rPr>
          <w:rFonts w:ascii="Times New Roman" w:cs="Times New Roman" w:eastAsia="Times New Roman" w:hAnsi="Times New Roman"/>
          <w:sz w:val="20"/>
          <w:szCs w:val="20"/>
          <w:color w:val="auto"/>
        </w:rPr>
        <w:t>Special Matters Relating to COTS Software and End User License Agreements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Miscellaneous Commitments for Model 787 Aircraft</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WITHDRAWN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Promotional Support Agreement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Confidentiality</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Business Considerations</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Assignment Matters</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787 [****] Matters</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Open Configuration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SA-11</w:t>
      </w: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SA-6</w:t>
      </w:r>
    </w:p>
    <w:p>
      <w:pPr>
        <w:spacing w:after="0" w:line="3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SA-11</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SA-11</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SA-11</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SA-6</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SA-3</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SA-13</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SA-8</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SA-10</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SA-11</w:t>
      </w:r>
    </w:p>
    <w:p>
      <w:pPr>
        <w:spacing w:after="0" w:line="65" w:lineRule="exact"/>
        <w:rPr>
          <w:sz w:val="20"/>
          <w:szCs w:val="20"/>
          <w:color w:val="auto"/>
        </w:rPr>
      </w:pPr>
    </w:p>
    <w:p>
      <w:pPr>
        <w:ind w:firstLine="248"/>
        <w:spacing w:after="0" w:line="355" w:lineRule="auto"/>
        <w:rPr>
          <w:sz w:val="20"/>
          <w:szCs w:val="20"/>
          <w:color w:val="auto"/>
        </w:rPr>
      </w:pPr>
      <w:r>
        <w:rPr>
          <w:rFonts w:ascii="Times New Roman" w:cs="Times New Roman" w:eastAsia="Times New Roman" w:hAnsi="Times New Roman"/>
          <w:sz w:val="19"/>
          <w:szCs w:val="19"/>
          <w:color w:val="auto"/>
        </w:rPr>
        <w:t>SA-12 SA-11</w:t>
      </w:r>
    </w:p>
    <w:p>
      <w:pPr>
        <w:spacing w:after="0" w:line="1238" w:lineRule="exact"/>
        <w:rPr>
          <w:sz w:val="20"/>
          <w:szCs w:val="20"/>
          <w:color w:val="auto"/>
        </w:rPr>
      </w:pPr>
    </w:p>
    <w:p>
      <w:pPr>
        <w:sectPr>
          <w:pgSz w:w="11900" w:h="16838" w:orient="portrait"/>
          <w:cols w:equalWidth="0" w:num="3">
            <w:col w:w="3080" w:space="720"/>
            <w:col w:w="5960" w:space="400"/>
            <w:col w:w="760"/>
          </w:cols>
          <w:pgMar w:left="240" w:top="1224" w:right="7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[****]=[CONFIDENTIAL PORTION HAS BEEN OMITTED BECAUSE IT (I) IS NOT MATERIAL AND (II) WOULD BE COMPETITIVELY HARMFUL IF PUBLICLY DISCLOSED</w:t>
      </w:r>
    </w:p>
    <w:p>
      <w:pPr>
        <w:sectPr>
          <w:pgSz w:w="11900" w:h="16838" w:orient="portrait"/>
          <w:cols w:equalWidth="0" w:num="1">
            <w:col w:w="10920"/>
          </w:cols>
          <w:pgMar w:left="240" w:top="1224" w:right="739" w:bottom="1440" w:gutter="0" w:footer="0" w:header="0"/>
          <w:type w:val="continuous"/>
        </w:sectPr>
      </w:pPr>
    </w:p>
    <w:bookmarkStart w:id="97" w:name="page98"/>
    <w:bookmarkEnd w:id="97"/>
    <w:p>
      <w:pPr>
        <w:ind w:left="4280"/>
        <w:spacing w:after="0"/>
        <w:rPr>
          <w:sz w:val="20"/>
          <w:szCs w:val="20"/>
          <w:color w:val="auto"/>
        </w:rPr>
      </w:pPr>
      <w:r>
        <w:rPr>
          <w:rFonts w:ascii="Times New Roman" w:cs="Times New Roman" w:eastAsia="Times New Roman" w:hAnsi="Times New Roman"/>
          <w:sz w:val="20"/>
          <w:szCs w:val="20"/>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ATTACHMENTS</w:t>
      </w:r>
    </w:p>
    <w:p>
      <w:pPr>
        <w:spacing w:after="0" w:line="13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Attachment 1</w:t>
            </w:r>
          </w:p>
        </w:tc>
        <w:tc>
          <w:tcPr>
            <w:tcW w:w="35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Schedule for [****] of 787-9</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MADP Rights</w:t>
            </w: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SA-11</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Attachment 2</w:t>
            </w:r>
          </w:p>
        </w:tc>
        <w:tc>
          <w:tcPr>
            <w:tcW w:w="35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Schedule for [****] of 787-9</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QADP Rights</w:t>
            </w: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SA-11</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Attachment 3</w:t>
            </w: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787-9 Purchase Rights Aircraft [****] Schedule</w:t>
            </w:r>
          </w:p>
        </w:tc>
        <w:tc>
          <w:tcPr>
            <w:tcW w:w="17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SA-11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P.A. No. 3219</w:t>
      </w:r>
      <w:r>
        <w:rPr>
          <w:sz w:val="20"/>
          <w:szCs w:val="20"/>
          <w:color w:val="auto"/>
        </w:rPr>
        <w:tab/>
      </w:r>
      <w:r>
        <w:rPr>
          <w:rFonts w:ascii="Times New Roman" w:cs="Times New Roman" w:eastAsia="Times New Roman" w:hAnsi="Times New Roman"/>
          <w:sz w:val="19"/>
          <w:szCs w:val="19"/>
          <w:color w:val="auto"/>
        </w:rPr>
        <w:t>SA-13</w:t>
      </w:r>
    </w:p>
    <w:p>
      <w:pPr>
        <w:spacing w:after="0" w:line="2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auto"/>
        </w:rPr>
        <w:t>Table of Contents</w:t>
        <w:tab/>
        <w:t>Page 4</w:t>
      </w:r>
    </w:p>
    <w:p>
      <w:pPr>
        <w:ind w:left="4580"/>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0340"/>
          </w:cols>
          <w:pgMar w:left="240" w:top="1224" w:right="1319" w:bottom="1440" w:gutter="0" w:footer="0" w:header="0"/>
        </w:sectPr>
      </w:pPr>
    </w:p>
    <w:bookmarkStart w:id="98" w:name="page99"/>
    <w:bookmarkEnd w:id="98"/>
    <w:p>
      <w:pPr>
        <w:ind w:left="88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568960</wp:posOffset>
            </wp:positionH>
            <wp:positionV relativeFrom="page">
              <wp:posOffset>654685</wp:posOffset>
            </wp:positionV>
            <wp:extent cx="1483360" cy="342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t>The Boeing Company</w:t>
      </w:r>
    </w:p>
    <w:p>
      <w:pPr>
        <w:spacing w:after="0" w:line="17" w:lineRule="exact"/>
        <w:rPr>
          <w:sz w:val="20"/>
          <w:szCs w:val="20"/>
          <w:color w:val="auto"/>
        </w:rPr>
      </w:pPr>
    </w:p>
    <w:p>
      <w:pPr>
        <w:ind w:left="8800"/>
        <w:spacing w:after="0"/>
        <w:rPr>
          <w:sz w:val="20"/>
          <w:szCs w:val="20"/>
          <w:color w:val="auto"/>
        </w:rPr>
      </w:pPr>
      <w:r>
        <w:rPr>
          <w:rFonts w:ascii="Arial" w:cs="Arial" w:eastAsia="Arial" w:hAnsi="Arial"/>
          <w:sz w:val="14"/>
          <w:szCs w:val="14"/>
          <w:color w:val="auto"/>
        </w:rPr>
        <w:t>P.O. Box 3707</w:t>
      </w:r>
    </w:p>
    <w:p>
      <w:pPr>
        <w:ind w:left="8800"/>
        <w:spacing w:after="0" w:line="161" w:lineRule="exact"/>
        <w:rPr>
          <w:sz w:val="20"/>
          <w:szCs w:val="20"/>
          <w:color w:val="auto"/>
        </w:rPr>
      </w:pPr>
      <w:r>
        <w:rPr>
          <w:rFonts w:ascii="Arial" w:cs="Arial" w:eastAsia="Arial" w:hAnsi="Arial"/>
          <w:sz w:val="14"/>
          <w:szCs w:val="14"/>
          <w:color w:val="auto"/>
        </w:rPr>
        <w:t>Seattle, WA 98124</w:t>
      </w:r>
      <w:r>
        <w:rPr>
          <w:rFonts w:ascii="MS PGothic" w:cs="MS PGothic" w:eastAsia="MS PGothic" w:hAnsi="MS PGothic"/>
          <w:sz w:val="14"/>
          <w:szCs w:val="14"/>
          <w:color w:val="auto"/>
        </w:rPr>
        <w:t>‑</w:t>
      </w:r>
      <w:r>
        <w:rPr>
          <w:rFonts w:ascii="Arial" w:cs="Arial" w:eastAsia="Arial" w:hAnsi="Arial"/>
          <w:sz w:val="14"/>
          <w:szCs w:val="14"/>
          <w:color w:val="auto"/>
        </w:rPr>
        <w:t>2207</w:t>
      </w:r>
    </w:p>
    <w:p>
      <w:pPr>
        <w:spacing w:after="0" w:line="1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u w:val="single" w:color="auto"/>
          <w:color w:val="auto"/>
        </w:rPr>
        <w:t>________________________________________________________________________________________________________________________________________________________________</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AAL-PA-3219-LA-1302236R2</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American Airlines, Inc.</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P.O. Box 619616</w:t>
      </w:r>
    </w:p>
    <w:p>
      <w:pPr>
        <w:spacing w:after="0"/>
        <w:rPr>
          <w:sz w:val="20"/>
          <w:szCs w:val="20"/>
          <w:color w:val="auto"/>
        </w:rPr>
      </w:pPr>
      <w:r>
        <w:rPr>
          <w:rFonts w:ascii="Arial" w:cs="Arial" w:eastAsia="Arial" w:hAnsi="Arial"/>
          <w:sz w:val="20"/>
          <w:szCs w:val="20"/>
          <w:color w:val="auto"/>
        </w:rPr>
        <w:t>Dallas-Fort Worth Airport, Texas 75261-9616</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Subject:</w:t>
      </w:r>
      <w:r>
        <w:rPr>
          <w:sz w:val="20"/>
          <w:szCs w:val="20"/>
          <w:color w:val="auto"/>
        </w:rPr>
        <w:tab/>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left="1300" w:hanging="1299"/>
        <w:spacing w:after="0" w:line="293" w:lineRule="auto"/>
        <w:tabs>
          <w:tab w:leader="none" w:pos="1280" w:val="left"/>
        </w:tabs>
        <w:rPr>
          <w:sz w:val="20"/>
          <w:szCs w:val="20"/>
          <w:color w:val="auto"/>
        </w:rPr>
      </w:pPr>
      <w:r>
        <w:rPr>
          <w:rFonts w:ascii="Arial" w:cs="Arial" w:eastAsia="Arial" w:hAnsi="Arial"/>
          <w:sz w:val="20"/>
          <w:szCs w:val="20"/>
          <w:color w:val="auto"/>
        </w:rPr>
        <w:t>Reference:</w:t>
      </w:r>
      <w:r>
        <w:rPr>
          <w:sz w:val="20"/>
          <w:szCs w:val="20"/>
          <w:color w:val="auto"/>
        </w:rPr>
        <w:tab/>
      </w:r>
      <w:r>
        <w:rPr>
          <w:rFonts w:ascii="Arial" w:cs="Arial" w:eastAsia="Arial" w:hAnsi="Arial"/>
          <w:sz w:val="20"/>
          <w:szCs w:val="20"/>
          <w:color w:val="auto"/>
        </w:rPr>
        <w:t>Purchase Agreement No. PA-3219 (</w:t>
      </w:r>
      <w:r>
        <w:rPr>
          <w:rFonts w:ascii="Arial" w:cs="Arial" w:eastAsia="Arial" w:hAnsi="Arial"/>
          <w:sz w:val="20"/>
          <w:szCs w:val="20"/>
          <w:b w:val="1"/>
          <w:bCs w:val="1"/>
          <w:color w:val="auto"/>
        </w:rPr>
        <w:t>Purchase Agreement</w:t>
      </w:r>
      <w:r>
        <w:rPr>
          <w:rFonts w:ascii="Arial" w:cs="Arial" w:eastAsia="Arial" w:hAnsi="Arial"/>
          <w:sz w:val="20"/>
          <w:szCs w:val="20"/>
          <w:color w:val="auto"/>
        </w:rPr>
        <w:t>) between The Boeing Company (</w:t>
      </w:r>
      <w:r>
        <w:rPr>
          <w:rFonts w:ascii="Arial" w:cs="Arial" w:eastAsia="Arial" w:hAnsi="Arial"/>
          <w:sz w:val="20"/>
          <w:szCs w:val="20"/>
          <w:b w:val="1"/>
          <w:bCs w:val="1"/>
          <w:color w:val="auto"/>
        </w:rPr>
        <w:t>Boeing</w:t>
      </w:r>
      <w:r>
        <w:rPr>
          <w:rFonts w:ascii="Arial" w:cs="Arial" w:eastAsia="Arial" w:hAnsi="Arial"/>
          <w:sz w:val="20"/>
          <w:szCs w:val="20"/>
          <w:color w:val="auto"/>
        </w:rPr>
        <w:t>) and American Airlines, Inc. (</w:t>
      </w:r>
      <w:r>
        <w:rPr>
          <w:rFonts w:ascii="Arial" w:cs="Arial" w:eastAsia="Arial" w:hAnsi="Arial"/>
          <w:sz w:val="20"/>
          <w:szCs w:val="20"/>
          <w:b w:val="1"/>
          <w:bCs w:val="1"/>
          <w:color w:val="auto"/>
        </w:rPr>
        <w:t>Customer</w:t>
      </w:r>
      <w:r>
        <w:rPr>
          <w:rFonts w:ascii="Arial" w:cs="Arial" w:eastAsia="Arial" w:hAnsi="Arial"/>
          <w:sz w:val="20"/>
          <w:szCs w:val="20"/>
          <w:color w:val="auto"/>
        </w:rPr>
        <w:t>) relating to Model 787 aircraft (</w:t>
      </w:r>
      <w:r>
        <w:rPr>
          <w:rFonts w:ascii="Arial" w:cs="Arial" w:eastAsia="Arial" w:hAnsi="Arial"/>
          <w:sz w:val="20"/>
          <w:szCs w:val="20"/>
          <w:b w:val="1"/>
          <w:bCs w:val="1"/>
          <w:color w:val="auto"/>
        </w:rPr>
        <w:t>Aircraft</w:t>
      </w:r>
      <w:r>
        <w:rPr>
          <w:rFonts w:ascii="Arial" w:cs="Arial" w:eastAsia="Arial" w:hAnsi="Arial"/>
          <w:sz w:val="20"/>
          <w:szCs w:val="20"/>
          <w:color w:val="auto"/>
        </w:rPr>
        <w:t>)</w:t>
      </w:r>
    </w:p>
    <w:p>
      <w:pPr>
        <w:spacing w:after="0" w:line="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color w:val="auto"/>
        </w:rPr>
        <w:t>This letter agreement (</w:t>
      </w:r>
      <w:r>
        <w:rPr>
          <w:rFonts w:ascii="Arial" w:cs="Arial" w:eastAsia="Arial" w:hAnsi="Arial"/>
          <w:sz w:val="20"/>
          <w:szCs w:val="20"/>
          <w:b w:val="1"/>
          <w:bCs w:val="1"/>
          <w:color w:val="auto"/>
        </w:rPr>
        <w:t>Letter Agreement</w:t>
      </w:r>
      <w:r>
        <w:rPr>
          <w:rFonts w:ascii="Arial" w:cs="Arial" w:eastAsia="Arial" w:hAnsi="Arial"/>
          <w:sz w:val="20"/>
          <w:szCs w:val="20"/>
          <w:color w:val="auto"/>
        </w:rPr>
        <w:t>) is entered into on the date below and amends and supplements the Purchase Agreement referenced above. All capitalized terms used in but not otherwise defined in this Letter Agreement shall have the same meaning as in the Purchase Agreement.</w:t>
      </w:r>
    </w:p>
    <w:p>
      <w:pPr>
        <w:spacing w:after="0" w:line="26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Customer has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that Boeing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in the Aircraft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described in Attachment A to this Letter Agreement (collectively referred to as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that Boeing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for Customer and that is identified in the Detail Specification for the Aircraft.</w:t>
      </w:r>
    </w:p>
    <w:p>
      <w:pPr>
        <w:spacing w:after="0" w:line="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Because of the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will be required during the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of the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and manufacture of the Aircraft to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at the time of delivery of the Aircraft. To assist Customer, Boeing will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as set forth in Attachment B.</w:t>
      </w:r>
    </w:p>
    <w:p>
      <w:pPr>
        <w:spacing w:after="0" w:line="275"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Responsibilities</w:t>
      </w:r>
      <w:r>
        <w:rPr>
          <w:rFonts w:ascii="Arial" w:cs="Arial" w:eastAsia="Arial" w:hAnsi="Arial"/>
          <w:sz w:val="20"/>
          <w:szCs w:val="20"/>
          <w:color w:val="auto"/>
        </w:rPr>
        <w:t>.</w:t>
      </w:r>
    </w:p>
    <w:p>
      <w:pPr>
        <w:spacing w:after="0" w:line="36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Arial" w:cs="Arial" w:eastAsia="Arial" w:hAnsi="Arial"/>
          <w:sz w:val="19"/>
          <w:szCs w:val="19"/>
          <w:color w:val="auto"/>
        </w:rPr>
        <w:t>Customer will:</w:t>
      </w:r>
    </w:p>
    <w:p>
      <w:pPr>
        <w:spacing w:after="0" w:line="364"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Arial" w:cs="Arial" w:eastAsia="Arial" w:hAnsi="Arial"/>
          <w:sz w:val="19"/>
          <w:szCs w:val="19"/>
          <w:color w:val="auto"/>
        </w:rPr>
        <w:t xml:space="preserve">provide Customer's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to Boeing;</w:t>
      </w:r>
    </w:p>
    <w:p>
      <w:pPr>
        <w:spacing w:after="0" w:line="364"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Arial" w:cs="Arial" w:eastAsia="Arial" w:hAnsi="Arial"/>
          <w:sz w:val="19"/>
          <w:szCs w:val="19"/>
          <w:color w:val="auto"/>
        </w:rPr>
        <w:t xml:space="preserve">select the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from among those identified in the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listed in Attachment A to this Letter Agreement;</w:t>
      </w:r>
    </w:p>
    <w:p>
      <w:pPr>
        <w:spacing w:after="0" w:line="364"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Arial" w:cs="Arial" w:eastAsia="Arial" w:hAnsi="Arial"/>
          <w:sz w:val="19"/>
          <w:szCs w:val="19"/>
          <w:color w:val="auto"/>
        </w:rPr>
        <w:t xml:space="preserve">promptly after selecting the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with Boeing in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to ensure that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meet Customer's and Boeing's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Arial" w:cs="Arial" w:eastAsia="Arial" w:hAnsi="Arial"/>
          <w:sz w:val="19"/>
          <w:szCs w:val="19"/>
          <w:color w:val="auto"/>
        </w:rPr>
        <w:t xml:space="preserve">select </w:t>
      </w:r>
      <w:r>
        <w:rPr>
          <w:rFonts w:ascii="Times New Roman" w:cs="Times New Roman" w:eastAsia="Times New Roman" w:hAnsi="Times New Roman"/>
          <w:sz w:val="19"/>
          <w:szCs w:val="19"/>
          <w:color w:val="auto"/>
        </w:rPr>
        <w:t>[****]</w:t>
      </w:r>
      <w:r>
        <w:rPr>
          <w:rFonts w:ascii="Arial" w:cs="Arial" w:eastAsia="Arial" w:hAnsi="Arial"/>
          <w:sz w:val="19"/>
          <w:szCs w:val="19"/>
          <w:color w:val="auto"/>
        </w:rPr>
        <w:t>;</w:t>
      </w:r>
    </w:p>
    <w:p>
      <w:pPr>
        <w:spacing w:after="0" w:line="364"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on</w:t>
      </w:r>
      <w:r>
        <w:rPr>
          <w:rFonts w:ascii="Times New Roman" w:cs="Times New Roman" w:eastAsia="Times New Roman" w:hAnsi="Times New Roman"/>
          <w:sz w:val="19"/>
          <w:szCs w:val="19"/>
          <w:color w:val="auto"/>
        </w:rPr>
        <w:t xml:space="preserve"> [****] </w:t>
      </w:r>
      <w:r>
        <w:rPr>
          <w:rFonts w:ascii="Arial" w:cs="Arial" w:eastAsia="Arial" w:hAnsi="Arial"/>
          <w:sz w:val="19"/>
          <w:szCs w:val="19"/>
          <w:color w:val="auto"/>
        </w:rPr>
        <w:t>(including</w:t>
      </w: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 and any other</w:t>
      </w:r>
      <w:r>
        <w:rPr>
          <w:rFonts w:ascii="Times New Roman" w:cs="Times New Roman" w:eastAsia="Times New Roman" w:hAnsi="Times New Roman"/>
          <w:sz w:val="19"/>
          <w:szCs w:val="19"/>
          <w:color w:val="auto"/>
        </w:rPr>
        <w:t xml:space="preserve"> [****] </w:t>
      </w:r>
      <w:r>
        <w:rPr>
          <w:rFonts w:ascii="Arial" w:cs="Arial" w:eastAsia="Arial" w:hAnsi="Arial"/>
          <w:sz w:val="19"/>
          <w:szCs w:val="19"/>
          <w:color w:val="auto"/>
        </w:rPr>
        <w:t>to Customer in its own discretion</w:t>
      </w: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w:t>
      </w:r>
    </w:p>
    <w:p>
      <w:pPr>
        <w:spacing w:after="0" w:line="200" w:lineRule="exact"/>
        <w:rPr>
          <w:sz w:val="20"/>
          <w:szCs w:val="20"/>
          <w:color w:val="auto"/>
        </w:rPr>
      </w:pPr>
    </w:p>
    <w:p>
      <w:pPr>
        <w:spacing w:after="0" w:line="380" w:lineRule="exact"/>
        <w:rPr>
          <w:sz w:val="20"/>
          <w:szCs w:val="20"/>
          <w:color w:val="auto"/>
        </w:rPr>
      </w:pPr>
    </w:p>
    <w:p>
      <w:pPr>
        <w:spacing w:after="0"/>
        <w:tabs>
          <w:tab w:leader="none" w:pos="2800" w:val="left"/>
        </w:tabs>
        <w:rPr>
          <w:sz w:val="20"/>
          <w:szCs w:val="20"/>
          <w:color w:val="auto"/>
        </w:rPr>
      </w:pPr>
      <w:r>
        <w:rPr>
          <w:rFonts w:ascii="Arial" w:cs="Arial" w:eastAsia="Arial" w:hAnsi="Arial"/>
          <w:sz w:val="20"/>
          <w:szCs w:val="20"/>
          <w:color w:val="auto"/>
        </w:rPr>
        <w:t>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1</w:t>
      </w:r>
    </w:p>
    <w:p>
      <w:pPr>
        <w:jc w:val="center"/>
        <w:ind w:right="-19"/>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072" w:right="2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1483360" cy="342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Arial" w:cs="Arial" w:eastAsia="Arial" w:hAnsi="Arial"/>
          <w:sz w:val="21"/>
          <w:szCs w:val="21"/>
          <w:color w:val="auto"/>
        </w:rPr>
        <w:t xml:space="preserve">provide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part numbers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above to Boeing by a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date;</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and</w:t>
      </w:r>
      <w:r>
        <w:rPr>
          <w:rFonts w:ascii="Times New Roman" w:cs="Times New Roman" w:eastAsia="Times New Roman" w:hAnsi="Times New Roman"/>
          <w:sz w:val="21"/>
          <w:szCs w:val="21"/>
          <w:color w:val="auto"/>
        </w:rPr>
        <w:t xml:space="preserve"> [****] </w:t>
      </w:r>
      <w:r>
        <w:rPr>
          <w:rFonts w:ascii="Arial" w:cs="Arial" w:eastAsia="Arial" w:hAnsi="Arial"/>
          <w:sz w:val="21"/>
          <w:szCs w:val="21"/>
          <w:color w:val="auto"/>
        </w:rPr>
        <w:t>with any required</w:t>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 and</w:t>
      </w:r>
    </w:p>
    <w:p>
      <w:pPr>
        <w:spacing w:after="0" w:line="382" w:lineRule="exact"/>
        <w:rPr>
          <w:sz w:val="20"/>
          <w:szCs w:val="20"/>
          <w:color w:val="auto"/>
        </w:rPr>
      </w:pPr>
    </w:p>
    <w:p>
      <w:pPr>
        <w:jc w:val="both"/>
        <w:ind w:firstLine="1297"/>
        <w:spacing w:after="0" w:line="305" w:lineRule="auto"/>
        <w:rPr>
          <w:sz w:val="20"/>
          <w:szCs w:val="20"/>
          <w:color w:val="auto"/>
        </w:rPr>
      </w:pPr>
      <w:r>
        <w:rPr>
          <w:rFonts w:ascii="Times New Roman" w:cs="Times New Roman" w:eastAsia="Times New Roman" w:hAnsi="Times New Roman"/>
          <w:sz w:val="22"/>
          <w:szCs w:val="22"/>
          <w:color w:val="auto"/>
        </w:rPr>
        <w:t xml:space="preserve">1.1.8 </w:t>
      </w:r>
      <w:r>
        <w:rPr>
          <w:rFonts w:ascii="Arial" w:cs="Arial" w:eastAsia="Arial" w:hAnsi="Arial"/>
          <w:sz w:val="22"/>
          <w:szCs w:val="22"/>
          <w:color w:val="auto"/>
        </w:rPr>
        <w:t>use commercially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 include in Customer's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 condition</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and</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with a Boeing</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approved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agreement. This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agreement will set forth the procedures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and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during the time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61" w:lineRule="exact"/>
        <w:rPr>
          <w:sz w:val="20"/>
          <w:szCs w:val="20"/>
          <w:color w:val="auto"/>
        </w:rPr>
      </w:pPr>
    </w:p>
    <w:p>
      <w:pPr>
        <w:ind w:left="2280"/>
        <w:spacing w:after="0"/>
        <w:tabs>
          <w:tab w:leader="none" w:pos="3100" w:val="left"/>
        </w:tabs>
        <w:rPr>
          <w:sz w:val="20"/>
          <w:szCs w:val="20"/>
          <w:color w:val="auto"/>
        </w:rPr>
      </w:pPr>
      <w:r>
        <w:rPr>
          <w:rFonts w:ascii="Arial" w:cs="Arial" w:eastAsia="Arial" w:hAnsi="Arial"/>
          <w:sz w:val="22"/>
          <w:szCs w:val="22"/>
          <w:color w:val="auto"/>
        </w:rPr>
        <w:t>1.1.8.1</w:t>
      </w:r>
      <w:r>
        <w:rPr>
          <w:sz w:val="20"/>
          <w:szCs w:val="20"/>
          <w:color w:val="auto"/>
        </w:rPr>
        <w:tab/>
      </w:r>
      <w:r>
        <w:rPr>
          <w:rFonts w:ascii="Arial" w:cs="Arial" w:eastAsia="Arial" w:hAnsi="Arial"/>
          <w:sz w:val="21"/>
          <w:szCs w:val="21"/>
          <w:i w:val="1"/>
          <w:iCs w:val="1"/>
          <w:color w:val="auto"/>
        </w:rPr>
        <w:t>Intentionally omitted.</w:t>
      </w:r>
    </w:p>
    <w:p>
      <w:pPr>
        <w:spacing w:after="0" w:line="3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Arial" w:cs="Arial" w:eastAsia="Arial" w:hAnsi="Arial"/>
          <w:sz w:val="21"/>
          <w:szCs w:val="21"/>
          <w:color w:val="auto"/>
        </w:rPr>
        <w:t>Boeing will, in a timely manner:</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Arial" w:cs="Arial" w:eastAsia="Arial" w:hAnsi="Arial"/>
          <w:sz w:val="21"/>
          <w:szCs w:val="21"/>
          <w:color w:val="auto"/>
        </w:rPr>
        <w:t xml:space="preserve">perform the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functions stated in Attachment B;</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Arial" w:cs="Arial" w:eastAsia="Arial" w:hAnsi="Arial"/>
          <w:sz w:val="21"/>
          <w:szCs w:val="21"/>
          <w:color w:val="auto"/>
        </w:rPr>
        <w:t xml:space="preserve">provide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Arial" w:cs="Arial" w:eastAsia="Arial" w:hAnsi="Arial"/>
          <w:sz w:val="21"/>
          <w:szCs w:val="21"/>
          <w:color w:val="auto"/>
        </w:rPr>
        <w:t xml:space="preserve">assist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and approve such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Arial" w:cs="Arial" w:eastAsia="Arial" w:hAnsi="Arial"/>
          <w:sz w:val="21"/>
          <w:szCs w:val="21"/>
          <w:color w:val="auto"/>
        </w:rPr>
        <w:t xml:space="preserve">release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on behalf of Customer, and manage such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Arial" w:cs="Arial" w:eastAsia="Arial" w:hAnsi="Arial"/>
          <w:sz w:val="21"/>
          <w:szCs w:val="21"/>
          <w:color w:val="auto"/>
        </w:rPr>
        <w:t xml:space="preserve">coordinate the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382" w:lineRule="exact"/>
        <w:rPr>
          <w:sz w:val="20"/>
          <w:szCs w:val="20"/>
          <w:color w:val="auto"/>
        </w:rPr>
      </w:pPr>
    </w:p>
    <w:p>
      <w:pPr>
        <w:jc w:val="both"/>
        <w:ind w:firstLine="1297"/>
        <w:spacing w:after="0" w:line="331" w:lineRule="auto"/>
        <w:rPr>
          <w:sz w:val="20"/>
          <w:szCs w:val="20"/>
          <w:color w:val="auto"/>
        </w:rPr>
      </w:pPr>
      <w:r>
        <w:rPr>
          <w:rFonts w:ascii="Times New Roman" w:cs="Times New Roman" w:eastAsia="Times New Roman" w:hAnsi="Times New Roman"/>
          <w:sz w:val="22"/>
          <w:szCs w:val="22"/>
          <w:color w:val="auto"/>
        </w:rPr>
        <w:t xml:space="preserve">1.2.6 </w:t>
      </w:r>
      <w:r>
        <w:rPr>
          <w:rFonts w:ascii="Arial" w:cs="Arial" w:eastAsia="Arial" w:hAnsi="Arial"/>
          <w:sz w:val="22"/>
          <w:szCs w:val="22"/>
          <w:color w:val="auto"/>
        </w:rPr>
        <w:t>ensure that at the time of Aircraft delivery,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contained in Attachment A to this Letter</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Agreement as such Attachment A may be amended from time to time; and</w:t>
      </w:r>
    </w:p>
    <w:p>
      <w:pPr>
        <w:spacing w:after="0" w:line="231" w:lineRule="exact"/>
        <w:rPr>
          <w:sz w:val="20"/>
          <w:szCs w:val="20"/>
          <w:color w:val="auto"/>
        </w:rPr>
      </w:pPr>
    </w:p>
    <w:p>
      <w:pPr>
        <w:jc w:val="both"/>
        <w:ind w:firstLine="1297"/>
        <w:spacing w:after="0" w:line="331" w:lineRule="auto"/>
        <w:rPr>
          <w:sz w:val="20"/>
          <w:szCs w:val="20"/>
          <w:color w:val="auto"/>
        </w:rPr>
      </w:pPr>
      <w:r>
        <w:rPr>
          <w:rFonts w:ascii="Times New Roman" w:cs="Times New Roman" w:eastAsia="Times New Roman" w:hAnsi="Times New Roman"/>
          <w:sz w:val="22"/>
          <w:szCs w:val="22"/>
          <w:color w:val="auto"/>
        </w:rPr>
        <w:t xml:space="preserve">1.2.7 </w:t>
      </w:r>
      <w:r>
        <w:rPr>
          <w:rFonts w:ascii="Arial" w:cs="Arial" w:eastAsia="Arial" w:hAnsi="Arial"/>
          <w:sz w:val="22"/>
          <w:szCs w:val="22"/>
          <w:color w:val="auto"/>
        </w:rPr>
        <w:t>prior to or at delivery of the applicable Aircraft, obtain</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the Aircraft with the conforming</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therein including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identified in Section 2.1 of this Letter Agreement.</w:t>
      </w:r>
    </w:p>
    <w:p>
      <w:pPr>
        <w:spacing w:after="0" w:line="231" w:lineRule="exact"/>
        <w:rPr>
          <w:sz w:val="20"/>
          <w:szCs w:val="20"/>
          <w:color w:val="auto"/>
        </w:rPr>
      </w:pPr>
    </w:p>
    <w:p>
      <w:pPr>
        <w:jc w:val="both"/>
        <w:ind w:firstLine="1297"/>
        <w:spacing w:after="0" w:line="297" w:lineRule="auto"/>
        <w:rPr>
          <w:sz w:val="20"/>
          <w:szCs w:val="20"/>
          <w:color w:val="auto"/>
        </w:rPr>
      </w:pPr>
      <w:r>
        <w:rPr>
          <w:rFonts w:ascii="Times New Roman" w:cs="Times New Roman" w:eastAsia="Times New Roman" w:hAnsi="Times New Roman"/>
          <w:sz w:val="22"/>
          <w:szCs w:val="22"/>
          <w:color w:val="auto"/>
        </w:rPr>
        <w:t xml:space="preserve">1.2.8 </w:t>
      </w:r>
      <w:r>
        <w:rPr>
          <w:rFonts w:ascii="Arial" w:cs="Arial" w:eastAsia="Arial" w:hAnsi="Arial"/>
          <w:sz w:val="22"/>
          <w:szCs w:val="22"/>
          <w:color w:val="auto"/>
        </w:rPr>
        <w:t>If necessary, and upon request of Customer, use commercially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 assist Customer in causing</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under the agreements between the Customer and</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with the objective of delivery of the Aircraft</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in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Aircraft and certified by the FAA. Any assistance which Boeing provides to Customer under this Section 1.2.8 shall </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for the purpose of Section 6 below.</w:t>
      </w:r>
    </w:p>
    <w:p>
      <w:pPr>
        <w:spacing w:after="0" w:line="269"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Software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may contain</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the following two types:</w:t>
      </w:r>
    </w:p>
    <w:p>
      <w:pPr>
        <w:spacing w:after="0" w:line="200" w:lineRule="exact"/>
        <w:rPr>
          <w:sz w:val="20"/>
          <w:szCs w:val="20"/>
          <w:color w:val="auto"/>
        </w:rPr>
      </w:pPr>
    </w:p>
    <w:p>
      <w:pPr>
        <w:spacing w:after="0" w:line="361" w:lineRule="exact"/>
        <w:rPr>
          <w:sz w:val="20"/>
          <w:szCs w:val="20"/>
          <w:color w:val="auto"/>
        </w:rPr>
      </w:pPr>
    </w:p>
    <w:p>
      <w:pPr>
        <w:spacing w:after="0"/>
        <w:tabs>
          <w:tab w:leader="none" w:pos="2800" w:val="left"/>
        </w:tabs>
        <w:rPr>
          <w:sz w:val="20"/>
          <w:szCs w:val="20"/>
          <w:color w:val="auto"/>
        </w:rPr>
      </w:pPr>
      <w:r>
        <w:rPr>
          <w:rFonts w:ascii="Arial" w:cs="Arial" w:eastAsia="Arial" w:hAnsi="Arial"/>
          <w:sz w:val="20"/>
          <w:szCs w:val="20"/>
          <w:color w:val="auto"/>
        </w:rPr>
        <w:t>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2</w:t>
      </w:r>
    </w:p>
    <w:p>
      <w:pPr>
        <w:jc w:val="center"/>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1483360" cy="342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w:t>
      </w:r>
      <w:r>
        <w:rPr>
          <w:rFonts w:ascii="Arial" w:cs="Arial" w:eastAsia="Arial" w:hAnsi="Arial"/>
          <w:sz w:val="21"/>
          <w:szCs w:val="21"/>
          <w:color w:val="auto"/>
        </w:rPr>
        <w:t>. The</w:t>
      </w:r>
      <w:r>
        <w:rPr>
          <w:rFonts w:ascii="Times New Roman" w:cs="Times New Roman" w:eastAsia="Times New Roman" w:hAnsi="Times New Roman"/>
          <w:sz w:val="21"/>
          <w:szCs w:val="21"/>
          <w:color w:val="auto"/>
        </w:rPr>
        <w:t xml:space="preserve"> [****] </w:t>
      </w:r>
      <w:r>
        <w:rPr>
          <w:rFonts w:ascii="Arial" w:cs="Arial" w:eastAsia="Arial" w:hAnsi="Arial"/>
          <w:sz w:val="21"/>
          <w:szCs w:val="21"/>
          <w:color w:val="auto"/>
        </w:rPr>
        <w:t>required to</w:t>
      </w:r>
      <w:r>
        <w:rPr>
          <w:rFonts w:ascii="Times New Roman" w:cs="Times New Roman" w:eastAsia="Times New Roman" w:hAnsi="Times New Roman"/>
          <w:sz w:val="21"/>
          <w:szCs w:val="21"/>
          <w:color w:val="auto"/>
        </w:rPr>
        <w:t xml:space="preserve"> [****] </w:t>
      </w:r>
      <w:r>
        <w:rPr>
          <w:rFonts w:ascii="Arial" w:cs="Arial" w:eastAsia="Arial" w:hAnsi="Arial"/>
          <w:sz w:val="21"/>
          <w:szCs w:val="21"/>
          <w:color w:val="auto"/>
        </w:rPr>
        <w:t>on the Aircraft is the</w:t>
      </w:r>
      <w:r>
        <w:rPr>
          <w:rFonts w:ascii="Times New Roman" w:cs="Times New Roman" w:eastAsia="Times New Roman" w:hAnsi="Times New Roman"/>
          <w:sz w:val="21"/>
          <w:szCs w:val="21"/>
          <w:color w:val="auto"/>
        </w:rPr>
        <w:t xml:space="preserve"> [****] </w:t>
      </w:r>
      <w:r>
        <w:rPr>
          <w:rFonts w:ascii="Arial" w:cs="Arial" w:eastAsia="Arial" w:hAnsi="Arial"/>
          <w:sz w:val="21"/>
          <w:szCs w:val="21"/>
          <w:color w:val="auto"/>
        </w:rPr>
        <w:t>and is part of the</w:t>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w:t>
      </w:r>
    </w:p>
    <w:p>
      <w:pPr>
        <w:spacing w:after="0" w:line="3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w:t>
      </w:r>
      <w:r>
        <w:rPr>
          <w:rFonts w:ascii="Arial" w:cs="Arial" w:eastAsia="Arial" w:hAnsi="Arial"/>
          <w:sz w:val="21"/>
          <w:szCs w:val="21"/>
          <w:color w:val="auto"/>
        </w:rPr>
        <w:t>. The</w:t>
      </w:r>
      <w:r>
        <w:rPr>
          <w:rFonts w:ascii="Times New Roman" w:cs="Times New Roman" w:eastAsia="Times New Roman" w:hAnsi="Times New Roman"/>
          <w:sz w:val="21"/>
          <w:szCs w:val="21"/>
          <w:color w:val="auto"/>
        </w:rPr>
        <w:t xml:space="preserve"> [****] </w:t>
      </w:r>
      <w:r>
        <w:rPr>
          <w:rFonts w:ascii="Arial" w:cs="Arial" w:eastAsia="Arial" w:hAnsi="Arial"/>
          <w:sz w:val="21"/>
          <w:szCs w:val="21"/>
          <w:color w:val="auto"/>
        </w:rPr>
        <w:t>which is</w:t>
      </w:r>
      <w:r>
        <w:rPr>
          <w:rFonts w:ascii="Times New Roman" w:cs="Times New Roman" w:eastAsia="Times New Roman" w:hAnsi="Times New Roman"/>
          <w:sz w:val="21"/>
          <w:szCs w:val="21"/>
          <w:color w:val="auto"/>
        </w:rPr>
        <w:t xml:space="preserve"> [****] </w:t>
      </w:r>
      <w:r>
        <w:rPr>
          <w:rFonts w:ascii="Arial" w:cs="Arial" w:eastAsia="Arial" w:hAnsi="Arial"/>
          <w:sz w:val="21"/>
          <w:szCs w:val="21"/>
          <w:color w:val="auto"/>
        </w:rPr>
        <w:t>by the Customer to</w:t>
      </w:r>
      <w:r>
        <w:rPr>
          <w:rFonts w:ascii="Times New Roman" w:cs="Times New Roman" w:eastAsia="Times New Roman" w:hAnsi="Times New Roman"/>
          <w:sz w:val="21"/>
          <w:szCs w:val="21"/>
          <w:color w:val="auto"/>
        </w:rPr>
        <w:t xml:space="preserve"> [****] </w:t>
      </w:r>
      <w:r>
        <w:rPr>
          <w:rFonts w:ascii="Arial" w:cs="Arial" w:eastAsia="Arial" w:hAnsi="Arial"/>
          <w:sz w:val="21"/>
          <w:szCs w:val="21"/>
          <w:color w:val="auto"/>
        </w:rPr>
        <w:t>and is not part of the</w:t>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w:t>
      </w:r>
    </w:p>
    <w:p>
      <w:pPr>
        <w:spacing w:after="0" w:line="382" w:lineRule="exact"/>
        <w:rPr>
          <w:sz w:val="20"/>
          <w:szCs w:val="20"/>
          <w:color w:val="auto"/>
        </w:rPr>
      </w:pPr>
    </w:p>
    <w:p>
      <w:pPr>
        <w:jc w:val="both"/>
        <w:ind w:firstLine="1297"/>
        <w:spacing w:after="0" w:line="297" w:lineRule="auto"/>
        <w:rPr>
          <w:sz w:val="20"/>
          <w:szCs w:val="20"/>
          <w:color w:val="auto"/>
        </w:rPr>
      </w:pPr>
      <w:r>
        <w:rPr>
          <w:rFonts w:ascii="Times New Roman" w:cs="Times New Roman" w:eastAsia="Times New Roman" w:hAnsi="Times New Roman"/>
          <w:sz w:val="22"/>
          <w:szCs w:val="22"/>
          <w:color w:val="auto"/>
        </w:rPr>
        <w:t xml:space="preserve">2.2.1 </w:t>
      </w:r>
      <w:r>
        <w:rPr>
          <w:rFonts w:ascii="Arial" w:cs="Arial" w:eastAsia="Arial" w:hAnsi="Arial"/>
          <w:sz w:val="22"/>
          <w:szCs w:val="22"/>
          <w:color w:val="auto"/>
        </w:rPr>
        <w:t>Customer is solely responsible for specifying Customer's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and</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and ensuring that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Customer's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meets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Customer and Customer's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will have total responsibility for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of any of Customer's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Boeing will not perform the functions and obligations described in Section 1.2 above or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functions described in Attachment B for Customer's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69" w:lineRule="exact"/>
        <w:rPr>
          <w:sz w:val="20"/>
          <w:szCs w:val="20"/>
          <w:color w:val="auto"/>
        </w:rPr>
      </w:pPr>
    </w:p>
    <w:p>
      <w:pPr>
        <w:jc w:val="both"/>
        <w:ind w:firstLine="1297"/>
        <w:spacing w:after="0" w:line="331" w:lineRule="auto"/>
        <w:rPr>
          <w:sz w:val="20"/>
          <w:szCs w:val="20"/>
          <w:color w:val="auto"/>
        </w:rPr>
      </w:pPr>
      <w:r>
        <w:rPr>
          <w:rFonts w:ascii="Times New Roman" w:cs="Times New Roman" w:eastAsia="Times New Roman" w:hAnsi="Times New Roman"/>
          <w:sz w:val="22"/>
          <w:szCs w:val="22"/>
          <w:color w:val="auto"/>
        </w:rPr>
        <w:t xml:space="preserve">2.2.2 </w:t>
      </w:r>
      <w:r>
        <w:rPr>
          <w:rFonts w:ascii="Arial" w:cs="Arial" w:eastAsia="Arial" w:hAnsi="Arial"/>
          <w:sz w:val="22"/>
          <w:szCs w:val="22"/>
          <w:color w:val="auto"/>
        </w:rPr>
        <w:t>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any Customer's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or the lack of any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will not be a valid condition for</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Customer's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at the time of Aircraft delivery.</w:t>
      </w:r>
    </w:p>
    <w:p>
      <w:pPr>
        <w:spacing w:after="0" w:line="231" w:lineRule="exact"/>
        <w:rPr>
          <w:sz w:val="20"/>
          <w:szCs w:val="20"/>
          <w:color w:val="auto"/>
        </w:rPr>
      </w:pPr>
    </w:p>
    <w:p>
      <w:pPr>
        <w:jc w:val="both"/>
        <w:ind w:firstLine="1297"/>
        <w:spacing w:after="0" w:line="331" w:lineRule="auto"/>
        <w:rPr>
          <w:sz w:val="20"/>
          <w:szCs w:val="20"/>
          <w:color w:val="auto"/>
        </w:rPr>
      </w:pPr>
      <w:r>
        <w:rPr>
          <w:rFonts w:ascii="Times New Roman" w:cs="Times New Roman" w:eastAsia="Times New Roman" w:hAnsi="Times New Roman"/>
          <w:sz w:val="22"/>
          <w:szCs w:val="22"/>
          <w:color w:val="auto"/>
        </w:rPr>
        <w:t xml:space="preserve">2.2.3 </w:t>
      </w:r>
      <w:r>
        <w:rPr>
          <w:rFonts w:ascii="Arial" w:cs="Arial" w:eastAsia="Arial" w:hAnsi="Arial"/>
          <w:sz w:val="22"/>
          <w:szCs w:val="22"/>
          <w:color w:val="auto"/>
        </w:rPr>
        <w:t>Boeing has no</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 support Customer's</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Boeing will only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if, in Boeing's</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reasonable opinion,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is necessary to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on the Aircraft.</w:t>
      </w:r>
    </w:p>
    <w:p>
      <w:pPr>
        <w:spacing w:after="0" w:line="231"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Arial" w:cs="Arial" w:eastAsia="Arial" w:hAnsi="Arial"/>
          <w:sz w:val="21"/>
          <w:szCs w:val="21"/>
          <w:color w:val="auto"/>
        </w:rPr>
        <w:t xml:space="preserve">Boeing will not be responsible for obtaining FAA certification for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382"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Changes</w:t>
      </w:r>
      <w:r>
        <w:rPr>
          <w:rFonts w:ascii="Arial" w:cs="Arial" w:eastAsia="Arial" w:hAnsi="Arial"/>
          <w:sz w:val="22"/>
          <w:szCs w:val="22"/>
          <w:color w:val="auto"/>
        </w:rPr>
        <w:t>.</w:t>
      </w:r>
    </w:p>
    <w:p>
      <w:pPr>
        <w:spacing w:after="0" w:line="382"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22"/>
          <w:szCs w:val="22"/>
          <w:color w:val="auto"/>
        </w:rPr>
        <w:t xml:space="preserve">3.1 </w:t>
      </w:r>
      <w:r>
        <w:rPr>
          <w:rFonts w:ascii="Arial" w:cs="Arial" w:eastAsia="Arial" w:hAnsi="Arial"/>
          <w:sz w:val="22"/>
          <w:szCs w:val="22"/>
          <w:color w:val="auto"/>
        </w:rPr>
        <w:t>After Customer’s acceptance of this Letter Agreement, any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between Customer and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provided, however, that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of Boeing. Any Customer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to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after execution of this Letter Agreement shall be made in writing directly to Boeing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Any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of the Purchase Agreement. Any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resulting from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between Customer and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Notwithstanding the foregoing, Customer may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at any time. Boeing shall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by Customer in a </w:t>
      </w:r>
      <w:r>
        <w:rPr>
          <w:rFonts w:ascii="Times New Roman" w:cs="Times New Roman" w:eastAsia="Times New Roman" w:hAnsi="Times New Roman"/>
          <w:sz w:val="22"/>
          <w:szCs w:val="22"/>
          <w:color w:val="auto"/>
        </w:rPr>
        <w:t>[****].</w:t>
      </w:r>
    </w:p>
    <w:p>
      <w:pPr>
        <w:spacing w:after="0" w:line="2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Arial" w:cs="Arial" w:eastAsia="Arial" w:hAnsi="Arial"/>
          <w:sz w:val="22"/>
          <w:szCs w:val="22"/>
          <w:color w:val="auto"/>
        </w:rPr>
        <w:t xml:space="preserve">Boeing and Customer recognize that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nature of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or the Aircraft in order to ensure</w:t>
      </w:r>
    </w:p>
    <w:p>
      <w:pPr>
        <w:spacing w:after="0" w:line="57" w:lineRule="exact"/>
        <w:rPr>
          <w:sz w:val="20"/>
          <w:szCs w:val="20"/>
          <w:color w:val="auto"/>
        </w:rPr>
      </w:pPr>
    </w:p>
    <w:p>
      <w:pPr>
        <w:jc w:val="both"/>
        <w:ind w:firstLine="8"/>
        <w:spacing w:after="0" w:line="299" w:lineRule="auto"/>
        <w:tabs>
          <w:tab w:leader="none" w:pos="252"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with the Aircraft and all</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and (ii)</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the Aircraft with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therein. In such event, Boeing will</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notify Customer and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If, within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as may be mutually agreed in writing) after such notification, Customer and Boeing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or an alternate course of action, then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to Boeing in Section 6 shall apply.</w:t>
      </w:r>
    </w:p>
    <w:p>
      <w:pPr>
        <w:spacing w:after="0" w:line="26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Arial" w:cs="Arial" w:eastAsia="Arial" w:hAnsi="Arial"/>
          <w:sz w:val="21"/>
          <w:szCs w:val="21"/>
          <w:color w:val="auto"/>
        </w:rPr>
        <w:t xml:space="preserve">The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contained in Attachment A to this Letter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2800" w:val="left"/>
        </w:tabs>
        <w:rPr>
          <w:sz w:val="20"/>
          <w:szCs w:val="20"/>
          <w:color w:val="auto"/>
        </w:rPr>
      </w:pPr>
      <w:r>
        <w:rPr>
          <w:rFonts w:ascii="Arial" w:cs="Arial" w:eastAsia="Arial" w:hAnsi="Arial"/>
          <w:sz w:val="20"/>
          <w:szCs w:val="20"/>
          <w:color w:val="auto"/>
        </w:rPr>
        <w:t>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3</w:t>
      </w:r>
    </w:p>
    <w:p>
      <w:pPr>
        <w:jc w:val="center"/>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1483360" cy="342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2"/>
          <w:szCs w:val="22"/>
          <w:color w:val="auto"/>
        </w:rPr>
        <w:t xml:space="preserve">3.4 </w:t>
      </w:r>
      <w:r>
        <w:rPr>
          <w:rFonts w:ascii="Arial" w:cs="Arial" w:eastAsia="Arial" w:hAnsi="Arial"/>
          <w:sz w:val="22"/>
          <w:szCs w:val="22"/>
          <w:color w:val="auto"/>
        </w:rPr>
        <w:t>If Boeing</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pursuant to Section 3.1, Customer may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the Aircraft. Customer will</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and</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Boeing will in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accordance with Section 3.1, taking into consideration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to Customer. Boeing and Customer will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the Aircraft, if such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61" w:lineRule="exact"/>
        <w:rPr>
          <w:sz w:val="20"/>
          <w:szCs w:val="20"/>
          <w:color w:val="auto"/>
        </w:rPr>
      </w:pPr>
    </w:p>
    <w:p>
      <w:pPr>
        <w:jc w:val="both"/>
        <w:ind w:right="20" w:firstLine="648"/>
        <w:spacing w:after="0" w:line="331" w:lineRule="auto"/>
        <w:rPr>
          <w:sz w:val="20"/>
          <w:szCs w:val="20"/>
          <w:color w:val="auto"/>
        </w:rPr>
      </w:pPr>
      <w:r>
        <w:rPr>
          <w:rFonts w:ascii="Times New Roman" w:cs="Times New Roman" w:eastAsia="Times New Roman" w:hAnsi="Times New Roman"/>
          <w:sz w:val="22"/>
          <w:szCs w:val="22"/>
          <w:color w:val="auto"/>
        </w:rPr>
        <w:t xml:space="preserve">3.5 </w:t>
      </w:r>
      <w:r>
        <w:rPr>
          <w:rFonts w:ascii="Arial" w:cs="Arial" w:eastAsia="Arial" w:hAnsi="Arial"/>
          <w:sz w:val="22"/>
          <w:szCs w:val="22"/>
          <w:color w:val="auto"/>
        </w:rPr>
        <w:t>Boeing's</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of the Aircraft as it relates to</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as described in Attachment A, as Attachment A may be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amended from time to time.</w:t>
      </w:r>
    </w:p>
    <w:p>
      <w:pPr>
        <w:spacing w:after="0" w:line="231"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Supplier Defaults</w:t>
      </w:r>
      <w:r>
        <w:rPr>
          <w:rFonts w:ascii="Arial" w:cs="Arial" w:eastAsia="Arial" w:hAnsi="Arial"/>
          <w:sz w:val="22"/>
          <w:szCs w:val="22"/>
          <w:color w:val="auto"/>
        </w:rPr>
        <w:t>.</w:t>
      </w:r>
    </w:p>
    <w:p>
      <w:pPr>
        <w:spacing w:after="0" w:line="3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Arial" w:cs="Arial" w:eastAsia="Arial" w:hAnsi="Arial"/>
          <w:sz w:val="21"/>
          <w:szCs w:val="21"/>
          <w:color w:val="auto"/>
        </w:rPr>
        <w:t xml:space="preserve">Boeing and Customer agree to follow the sequential steps identified in this Section 4 to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Arial" w:cs="Arial" w:eastAsia="Arial" w:hAnsi="Arial"/>
          <w:sz w:val="21"/>
          <w:szCs w:val="21"/>
          <w:color w:val="auto"/>
        </w:rPr>
        <w:t xml:space="preserve">Boeing shall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with Boeing.</w:t>
      </w:r>
    </w:p>
    <w:p>
      <w:pPr>
        <w:spacing w:after="0" w:line="38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Arial" w:cs="Arial" w:eastAsia="Arial" w:hAnsi="Arial"/>
          <w:sz w:val="21"/>
          <w:szCs w:val="21"/>
          <w:color w:val="auto"/>
        </w:rPr>
        <w:t xml:space="preserve">Within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Boeing and Customer shall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or other course of action.</w:t>
      </w:r>
    </w:p>
    <w:p>
      <w:pPr>
        <w:spacing w:after="0" w:line="382" w:lineRule="exact"/>
        <w:rPr>
          <w:sz w:val="20"/>
          <w:szCs w:val="20"/>
          <w:color w:val="auto"/>
        </w:rPr>
      </w:pPr>
    </w:p>
    <w:p>
      <w:pPr>
        <w:ind w:firstLine="648"/>
        <w:spacing w:after="0" w:line="331" w:lineRule="auto"/>
        <w:rPr>
          <w:sz w:val="20"/>
          <w:szCs w:val="20"/>
          <w:color w:val="auto"/>
        </w:rPr>
      </w:pPr>
      <w:r>
        <w:rPr>
          <w:rFonts w:ascii="Times New Roman" w:cs="Times New Roman" w:eastAsia="Times New Roman" w:hAnsi="Times New Roman"/>
          <w:sz w:val="22"/>
          <w:szCs w:val="22"/>
          <w:color w:val="auto"/>
        </w:rPr>
        <w:t xml:space="preserve">4.2 </w:t>
      </w:r>
      <w:r>
        <w:rPr>
          <w:rFonts w:ascii="Arial" w:cs="Arial" w:eastAsia="Arial" w:hAnsi="Arial"/>
          <w:sz w:val="22"/>
          <w:szCs w:val="22"/>
          <w:color w:val="auto"/>
        </w:rPr>
        <w:t>If Boeing and Customer are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on an alternate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or course of action within such time,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Boeing in Section 6 shall apply.</w:t>
      </w:r>
    </w:p>
    <w:p>
      <w:pPr>
        <w:spacing w:after="0" w:line="231"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Exhibits B and C to the AGTA</w:t>
      </w:r>
      <w:r>
        <w:rPr>
          <w:rFonts w:ascii="Arial" w:cs="Arial" w:eastAsia="Arial" w:hAnsi="Arial"/>
          <w:sz w:val="22"/>
          <w:szCs w:val="22"/>
          <w:color w:val="auto"/>
        </w:rPr>
        <w:t>.</w:t>
      </w:r>
    </w:p>
    <w:p>
      <w:pPr>
        <w:spacing w:after="0" w:line="260"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is deemed to be BFE for the purposes of Exhibit B, Customer Support Document, and Exhibit C,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Product Assurance Document, of the AGTA.</w:t>
      </w:r>
    </w:p>
    <w:p>
      <w:pPr>
        <w:spacing w:after="0" w:line="260"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Boeing</w:t>
      </w:r>
      <w:r>
        <w:rPr>
          <w:rFonts w:ascii="Arial" w:cs="Arial" w:eastAsia="Arial" w:hAnsi="Arial"/>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w:t>
      </w:r>
    </w:p>
    <w:p>
      <w:pPr>
        <w:spacing w:after="0" w:line="381" w:lineRule="exact"/>
        <w:rPr>
          <w:sz w:val="20"/>
          <w:szCs w:val="20"/>
          <w:color w:val="auto"/>
        </w:rPr>
      </w:pPr>
    </w:p>
    <w:p>
      <w:pPr>
        <w:jc w:val="both"/>
        <w:ind w:firstLine="648"/>
        <w:spacing w:after="0" w:line="331" w:lineRule="auto"/>
        <w:rPr>
          <w:sz w:val="20"/>
          <w:szCs w:val="20"/>
          <w:color w:val="auto"/>
        </w:rPr>
      </w:pPr>
      <w:r>
        <w:rPr>
          <w:rFonts w:ascii="Times New Roman" w:cs="Times New Roman" w:eastAsia="Times New Roman" w:hAnsi="Times New Roman"/>
          <w:sz w:val="22"/>
          <w:szCs w:val="22"/>
          <w:color w:val="auto"/>
        </w:rPr>
        <w:t xml:space="preserve">6.1 </w:t>
      </w:r>
      <w:r>
        <w:rPr>
          <w:rFonts w:ascii="Arial" w:cs="Arial" w:eastAsia="Arial" w:hAnsi="Arial"/>
          <w:sz w:val="22"/>
          <w:szCs w:val="22"/>
          <w:color w:val="auto"/>
        </w:rPr>
        <w:t>If Customer</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as provided in this Letter Agreement or if</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(for any reason</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under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purchase order terms) to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then, in addition to </w:t>
      </w:r>
      <w:r>
        <w:rPr>
          <w:rFonts w:ascii="Times New Roman" w:cs="Times New Roman" w:eastAsia="Times New Roman" w:hAnsi="Times New Roman"/>
          <w:sz w:val="22"/>
          <w:szCs w:val="22"/>
          <w:color w:val="auto"/>
        </w:rPr>
        <w:t>[****]</w:t>
      </w:r>
      <w:r>
        <w:rPr>
          <w:rFonts w:ascii="Arial" w:cs="Arial" w:eastAsia="Arial" w:hAnsi="Arial"/>
          <w:sz w:val="22"/>
          <w:szCs w:val="22"/>
          <w:color w:val="auto"/>
        </w:rPr>
        <w:t>, Boeing will</w:t>
      </w:r>
    </w:p>
    <w:p>
      <w:pPr>
        <w:spacing w:after="0" w:line="23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and</w:t>
      </w:r>
    </w:p>
    <w:p>
      <w:pPr>
        <w:spacing w:after="0" w:line="382" w:lineRule="exact"/>
        <w:rPr>
          <w:sz w:val="20"/>
          <w:szCs w:val="20"/>
          <w:color w:val="auto"/>
        </w:rPr>
      </w:pPr>
    </w:p>
    <w:p>
      <w:pPr>
        <w:jc w:val="both"/>
        <w:ind w:firstLine="1297"/>
        <w:spacing w:after="0" w:line="306" w:lineRule="auto"/>
        <w:rPr>
          <w:sz w:val="20"/>
          <w:szCs w:val="20"/>
          <w:color w:val="auto"/>
        </w:rPr>
      </w:pPr>
      <w:r>
        <w:rPr>
          <w:rFonts w:ascii="Times New Roman" w:cs="Times New Roman" w:eastAsia="Times New Roman" w:hAnsi="Times New Roman"/>
          <w:sz w:val="22"/>
          <w:szCs w:val="22"/>
          <w:color w:val="auto"/>
        </w:rPr>
        <w:t xml:space="preserve">6.2.1 </w:t>
      </w:r>
      <w:r>
        <w:rPr>
          <w:rFonts w:ascii="Arial" w:cs="Arial" w:eastAsia="Arial" w:hAnsi="Arial"/>
          <w:sz w:val="22"/>
          <w:szCs w:val="22"/>
          <w:color w:val="auto"/>
        </w:rPr>
        <w:t>if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 Section 5.1 of the Exhibit A to the AGTA entitled “Buyer Furnished Equipment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Provisions Document” (</w:t>
      </w:r>
      <w:r>
        <w:rPr>
          <w:rFonts w:ascii="Arial" w:cs="Arial" w:eastAsia="Arial" w:hAnsi="Arial"/>
          <w:sz w:val="22"/>
          <w:szCs w:val="22"/>
          <w:b w:val="1"/>
          <w:bCs w:val="1"/>
          <w:color w:val="auto"/>
        </w:rPr>
        <w:t>AGTA Exhibit A BFE Provisions Document</w:t>
      </w:r>
      <w:r>
        <w:rPr>
          <w:rFonts w:ascii="Arial" w:cs="Arial" w:eastAsia="Arial" w:hAnsi="Arial"/>
          <w:sz w:val="22"/>
          <w:szCs w:val="22"/>
          <w:color w:val="auto"/>
        </w:rPr>
        <w:t>), then the provisions of Article 7, "Excusable Delay", of the AGTA apply;</w:t>
      </w:r>
    </w:p>
    <w:p>
      <w:pPr>
        <w:spacing w:after="0" w:line="259"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22"/>
          <w:szCs w:val="22"/>
          <w:color w:val="auto"/>
        </w:rPr>
        <w:t>6.2.2</w:t>
      </w:r>
      <w:r>
        <w:rPr>
          <w:sz w:val="20"/>
          <w:szCs w:val="20"/>
          <w:color w:val="auto"/>
        </w:rPr>
        <w:tab/>
      </w:r>
      <w:r>
        <w:rPr>
          <w:rFonts w:ascii="Arial" w:cs="Arial" w:eastAsia="Arial" w:hAnsi="Arial"/>
          <w:sz w:val="22"/>
          <w:szCs w:val="22"/>
          <w:color w:val="auto"/>
        </w:rPr>
        <w:t xml:space="preserve">if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to Section 5.2 of the AGTA Exhibit A BFE Provisions Document, then Boeing will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36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color w:val="auto"/>
        </w:rPr>
        <w:t>[****]</w:t>
      </w:r>
      <w:r>
        <w:rPr>
          <w:rFonts w:ascii="Arial" w:cs="Arial" w:eastAsia="Arial" w:hAnsi="Arial"/>
          <w:sz w:val="21"/>
          <w:szCs w:val="21"/>
          <w:color w:val="auto"/>
        </w:rPr>
        <w:t>; and/or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2800" w:val="left"/>
        </w:tabs>
        <w:rPr>
          <w:sz w:val="20"/>
          <w:szCs w:val="20"/>
          <w:color w:val="auto"/>
        </w:rPr>
      </w:pPr>
      <w:r>
        <w:rPr>
          <w:rFonts w:ascii="Arial" w:cs="Arial" w:eastAsia="Arial" w:hAnsi="Arial"/>
          <w:sz w:val="20"/>
          <w:szCs w:val="20"/>
          <w:color w:val="auto"/>
        </w:rPr>
        <w:t>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4</w:t>
      </w:r>
    </w:p>
    <w:p>
      <w:pPr>
        <w:jc w:val="center"/>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894"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1483360" cy="342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spacing w:after="0" w:line="356" w:lineRule="exact"/>
        <w:rPr>
          <w:sz w:val="20"/>
          <w:szCs w:val="20"/>
          <w:color w:val="auto"/>
        </w:rPr>
      </w:pPr>
    </w:p>
    <w:p>
      <w:pPr>
        <w:ind w:firstLine="648"/>
        <w:spacing w:after="0" w:line="331" w:lineRule="auto"/>
        <w:rPr>
          <w:sz w:val="20"/>
          <w:szCs w:val="20"/>
          <w:color w:val="auto"/>
        </w:rPr>
      </w:pPr>
      <w:r>
        <w:rPr>
          <w:rFonts w:ascii="Times New Roman" w:cs="Times New Roman" w:eastAsia="Times New Roman" w:hAnsi="Times New Roman"/>
          <w:sz w:val="22"/>
          <w:szCs w:val="22"/>
          <w:color w:val="auto"/>
        </w:rPr>
        <w:t xml:space="preserve">6.4 [****] </w:t>
      </w:r>
      <w:r>
        <w:rPr>
          <w:rFonts w:ascii="Arial" w:cs="Arial" w:eastAsia="Arial" w:hAnsi="Arial"/>
          <w:sz w:val="22"/>
          <w:szCs w:val="22"/>
          <w:color w:val="auto"/>
        </w:rPr>
        <w:t>of Boeing's</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including but not limited to, (i)</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by Boeing, (ii) any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in accordance with</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as established by Boeing and agreed to by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and (iii)</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from any applicable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p>
    <w:p>
      <w:pPr>
        <w:spacing w:after="0" w:line="12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Arial" w:cs="Arial" w:eastAsia="Arial" w:hAnsi="Arial"/>
          <w:sz w:val="22"/>
          <w:szCs w:val="22"/>
          <w:color w:val="auto"/>
        </w:rPr>
        <w:t xml:space="preserve">Boeing will use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described in Section 6.4. Notwithstanding the last clause of 6.4, Boeing has no</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36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Arial" w:cs="Arial" w:eastAsia="Arial" w:hAnsi="Arial"/>
          <w:sz w:val="21"/>
          <w:szCs w:val="21"/>
          <w:color w:val="auto"/>
        </w:rPr>
        <w:t xml:space="preserve">If Boeing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set forth herein, then any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of the Aircraft, to the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will be the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of Boeing.</w:t>
      </w:r>
    </w:p>
    <w:p>
      <w:pPr>
        <w:spacing w:after="0" w:line="382"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Customer's Right to</w:t>
      </w:r>
      <w:r>
        <w:rPr>
          <w:rFonts w:ascii="Arial" w:cs="Arial" w:eastAsia="Arial" w:hAnsi="Arial"/>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w:t>
      </w:r>
    </w:p>
    <w:p>
      <w:pPr>
        <w:spacing w:after="0" w:line="3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Arial" w:cs="Arial" w:eastAsia="Arial" w:hAnsi="Arial"/>
          <w:sz w:val="21"/>
          <w:szCs w:val="21"/>
          <w:color w:val="auto"/>
        </w:rPr>
        <w:t xml:space="preserve">The </w:t>
      </w:r>
      <w:r>
        <w:rPr>
          <w:rFonts w:ascii="Times New Roman" w:cs="Times New Roman" w:eastAsia="Times New Roman" w:hAnsi="Times New Roman"/>
          <w:sz w:val="21"/>
          <w:szCs w:val="21"/>
          <w:color w:val="auto"/>
        </w:rPr>
        <w:t>[****]</w:t>
      </w:r>
      <w:r>
        <w:rPr>
          <w:rFonts w:ascii="Arial" w:cs="Arial" w:eastAsia="Arial" w:hAnsi="Arial"/>
          <w:sz w:val="21"/>
          <w:szCs w:val="21"/>
          <w:color w:val="auto"/>
        </w:rPr>
        <w:t xml:space="preserve"> identified in Sections 1.1, 1.2 and 3 and Attachment B are defined as the “</w:t>
      </w:r>
      <w:r>
        <w:rPr>
          <w:rFonts w:ascii="Times New Roman" w:cs="Times New Roman" w:eastAsia="Times New Roman" w:hAnsi="Times New Roman"/>
          <w:sz w:val="21"/>
          <w:szCs w:val="21"/>
          <w:color w:val="auto"/>
        </w:rPr>
        <w:t>[****]</w:t>
      </w:r>
      <w:r>
        <w:rPr>
          <w:rFonts w:ascii="Arial" w:cs="Arial" w:eastAsia="Arial" w:hAnsi="Arial"/>
          <w:sz w:val="21"/>
          <w:szCs w:val="21"/>
          <w:color w:val="auto"/>
        </w:rPr>
        <w:t>”.</w:t>
      </w:r>
    </w:p>
    <w:p>
      <w:pPr>
        <w:spacing w:after="0" w:line="3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7.2 </w:t>
      </w:r>
      <w:r>
        <w:rPr>
          <w:rFonts w:ascii="Arial" w:cs="Arial" w:eastAsia="Arial" w:hAnsi="Arial"/>
          <w:sz w:val="22"/>
          <w:szCs w:val="22"/>
          <w:u w:val="single" w:color="auto"/>
          <w:color w:val="auto"/>
        </w:rPr>
        <w:t>1</w:t>
      </w:r>
      <w:r>
        <w:rPr>
          <w:rFonts w:ascii="Arial" w:cs="Arial" w:eastAsia="Arial" w:hAnsi="Arial"/>
          <w:sz w:val="28"/>
          <w:szCs w:val="28"/>
          <w:u w:val="single" w:color="auto"/>
          <w:color w:val="auto"/>
          <w:vertAlign w:val="superscript"/>
        </w:rPr>
        <w:t>st</w:t>
      </w:r>
      <w:r>
        <w:rPr>
          <w:rFonts w:ascii="Times New Roman" w:cs="Times New Roman" w:eastAsia="Times New Roman" w:hAnsi="Times New Roman"/>
          <w:sz w:val="22"/>
          <w:szCs w:val="22"/>
          <w:color w:val="auto"/>
        </w:rPr>
        <w:t xml:space="preserve"> </w:t>
      </w:r>
      <w:r>
        <w:rPr>
          <w:rFonts w:ascii="Arial" w:cs="Arial" w:eastAsia="Arial" w:hAnsi="Arial"/>
          <w:sz w:val="22"/>
          <w:szCs w:val="22"/>
          <w:u w:val="single" w:color="auto"/>
          <w:color w:val="auto"/>
        </w:rPr>
        <w:t>Round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 Boeing and Customer will each</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requirements with a</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the Aircraft to achieve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proper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at the time of delivery of the Aircraft. Such goal is defined as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If after a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then Boeing and Customer will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order to achieve the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9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7.3 </w:t>
      </w:r>
      <w:r>
        <w:rPr>
          <w:rFonts w:ascii="Arial" w:cs="Arial" w:eastAsia="Arial" w:hAnsi="Arial"/>
          <w:sz w:val="22"/>
          <w:szCs w:val="22"/>
          <w:u w:val="single" w:color="auto"/>
          <w:color w:val="auto"/>
        </w:rPr>
        <w:t>2</w:t>
      </w:r>
      <w:r>
        <w:rPr>
          <w:rFonts w:ascii="Arial" w:cs="Arial" w:eastAsia="Arial" w:hAnsi="Arial"/>
          <w:sz w:val="28"/>
          <w:szCs w:val="28"/>
          <w:u w:val="single" w:color="auto"/>
          <w:color w:val="auto"/>
          <w:vertAlign w:val="superscript"/>
        </w:rPr>
        <w:t>nd</w:t>
      </w:r>
      <w:r>
        <w:rPr>
          <w:rFonts w:ascii="Times New Roman" w:cs="Times New Roman" w:eastAsia="Times New Roman" w:hAnsi="Times New Roman"/>
          <w:sz w:val="22"/>
          <w:szCs w:val="22"/>
          <w:color w:val="auto"/>
        </w:rPr>
        <w:t xml:space="preserve"> </w:t>
      </w:r>
      <w:r>
        <w:rPr>
          <w:rFonts w:ascii="Arial" w:cs="Arial" w:eastAsia="Arial" w:hAnsi="Arial"/>
          <w:sz w:val="22"/>
          <w:szCs w:val="22"/>
          <w:u w:val="single" w:color="auto"/>
          <w:color w:val="auto"/>
        </w:rPr>
        <w:t>Round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 Boeing and Customer will</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identified pursuant to Section 7.2. If after a</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commencing with the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then Boeing and Customer will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Boeing will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order to achieve the </w:t>
      </w: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86"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22"/>
          <w:szCs w:val="22"/>
          <w:color w:val="auto"/>
        </w:rPr>
        <w:t xml:space="preserve">7.4 </w:t>
      </w:r>
      <w:r>
        <w:rPr>
          <w:rFonts w:ascii="Arial" w:cs="Arial" w:eastAsia="Arial" w:hAnsi="Arial"/>
          <w:sz w:val="22"/>
          <w:szCs w:val="22"/>
          <w:u w:val="single" w:color="auto"/>
          <w:color w:val="auto"/>
        </w:rPr>
        <w:t>Applicability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 If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after completing the steps described in Sections 7.2 and 7.3 above, then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Boeing and Customer will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provided in Section 5 of Letter Agreement 6-1162-TRW-0670R1 entitled “Miscellaneous Commitments for Model 787 Aircraft”.</w:t>
      </w:r>
    </w:p>
    <w:p>
      <w:pPr>
        <w:spacing w:after="0" w:line="259"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w:t>
      </w:r>
    </w:p>
    <w:p>
      <w:pPr>
        <w:spacing w:after="0" w:line="38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2"/>
          <w:szCs w:val="22"/>
          <w:color w:val="auto"/>
        </w:rPr>
        <w:t xml:space="preserve">8.1 </w:t>
      </w:r>
      <w:r>
        <w:rPr>
          <w:rFonts w:ascii="Arial" w:cs="Arial" w:eastAsia="Arial" w:hAnsi="Arial"/>
          <w:sz w:val="22"/>
          <w:szCs w:val="22"/>
          <w:u w:val="single" w:color="auto"/>
          <w:color w:val="auto"/>
        </w:rPr>
        <w:t>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 An estimated</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by Boeing will be included in the Aircraft</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to establish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 xml:space="preserve">for each Aircraft. The estimated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on each Aircraft will be reflected on Table 1(R4),Table 2(R1) and Table 3(R1), as amended, supplemented or otherwise modified, including pursuant to SA-6 and subject to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of the applicable aircraft.</w:t>
      </w:r>
    </w:p>
    <w:p>
      <w:pPr>
        <w:spacing w:after="0" w:line="270" w:lineRule="exact"/>
        <w:rPr>
          <w:sz w:val="20"/>
          <w:szCs w:val="20"/>
          <w:color w:val="auto"/>
        </w:rPr>
      </w:pPr>
    </w:p>
    <w:p>
      <w:pPr>
        <w:jc w:val="both"/>
        <w:ind w:right="20" w:firstLine="648"/>
        <w:spacing w:after="0" w:line="331" w:lineRule="auto"/>
        <w:rPr>
          <w:sz w:val="20"/>
          <w:szCs w:val="20"/>
          <w:color w:val="auto"/>
        </w:rPr>
      </w:pPr>
      <w:r>
        <w:rPr>
          <w:rFonts w:ascii="Times New Roman" w:cs="Times New Roman" w:eastAsia="Times New Roman" w:hAnsi="Times New Roman"/>
          <w:sz w:val="22"/>
          <w:szCs w:val="22"/>
          <w:color w:val="auto"/>
        </w:rPr>
        <w:t xml:space="preserve">8.2 </w:t>
      </w:r>
      <w:r>
        <w:rPr>
          <w:rFonts w:ascii="Arial" w:cs="Arial" w:eastAsia="Arial" w:hAnsi="Arial"/>
          <w:sz w:val="22"/>
          <w:szCs w:val="22"/>
          <w:u w:val="single" w:color="auto"/>
          <w:color w:val="auto"/>
        </w:rPr>
        <w:t>Aircraft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 The Aircraft</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will include the</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and any associated</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Boeing by</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or</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otherwise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by Boeing.</w:t>
      </w:r>
    </w:p>
    <w:p>
      <w:pPr>
        <w:spacing w:after="0" w:line="231"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Customer's</w:t>
      </w:r>
      <w:r>
        <w:rPr>
          <w:rFonts w:ascii="Arial" w:cs="Arial" w:eastAsia="Arial" w:hAnsi="Arial"/>
          <w:sz w:val="22"/>
          <w:szCs w:val="22"/>
          <w:color w:val="auto"/>
        </w:rPr>
        <w:t xml:space="preserve"> </w:t>
      </w:r>
      <w:r>
        <w:rPr>
          <w:rFonts w:ascii="Times New Roman" w:cs="Times New Roman" w:eastAsia="Times New Roman" w:hAnsi="Times New Roman"/>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of Boeing</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2800" w:val="left"/>
        </w:tabs>
        <w:rPr>
          <w:sz w:val="20"/>
          <w:szCs w:val="20"/>
          <w:color w:val="auto"/>
        </w:rPr>
      </w:pPr>
      <w:r>
        <w:rPr>
          <w:rFonts w:ascii="Arial" w:cs="Arial" w:eastAsia="Arial" w:hAnsi="Arial"/>
          <w:sz w:val="20"/>
          <w:szCs w:val="20"/>
          <w:color w:val="auto"/>
        </w:rPr>
        <w:t>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5</w:t>
      </w:r>
    </w:p>
    <w:p>
      <w:pPr>
        <w:jc w:val="center"/>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1483360" cy="342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firstLine="648"/>
        <w:spacing w:after="0" w:line="331" w:lineRule="auto"/>
        <w:rPr>
          <w:sz w:val="20"/>
          <w:szCs w:val="20"/>
          <w:color w:val="auto"/>
        </w:rPr>
      </w:pPr>
      <w:r>
        <w:rPr>
          <w:rFonts w:ascii="Times New Roman" w:cs="Times New Roman" w:eastAsia="Times New Roman" w:hAnsi="Times New Roman"/>
          <w:sz w:val="22"/>
          <w:szCs w:val="22"/>
          <w:color w:val="auto"/>
        </w:rPr>
        <w:t xml:space="preserve">9.1 </w:t>
      </w:r>
      <w:r>
        <w:rPr>
          <w:rFonts w:ascii="Arial" w:cs="Arial" w:eastAsia="Arial" w:hAnsi="Arial"/>
          <w:sz w:val="22"/>
          <w:szCs w:val="22"/>
          <w:color w:val="auto"/>
        </w:rPr>
        <w:t>Customer will</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that Customer</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into</w:t>
      </w:r>
      <w:r>
        <w:rPr>
          <w:rFonts w:ascii="Times New Roman" w:cs="Times New Roman" w:eastAsia="Times New Roman" w:hAnsi="Times New Roman"/>
          <w:sz w:val="22"/>
          <w:szCs w:val="22"/>
          <w:color w:val="auto"/>
        </w:rPr>
        <w:t xml:space="preserve"> [****] </w:t>
      </w:r>
      <w:r>
        <w:rPr>
          <w:rFonts w:ascii="Arial" w:cs="Arial" w:eastAsia="Arial" w:hAnsi="Arial"/>
          <w:sz w:val="22"/>
          <w:szCs w:val="22"/>
          <w:color w:val="auto"/>
        </w:rPr>
        <w:t>following the effective date of Supplemental Agreement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No. 5 (SA-5) an </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in substantially the following form:</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p>
    <w:p>
      <w:pPr>
        <w:spacing w:after="0" w:line="231" w:lineRule="exact"/>
        <w:rPr>
          <w:sz w:val="20"/>
          <w:szCs w:val="20"/>
          <w:color w:val="auto"/>
        </w:rPr>
      </w:pPr>
    </w:p>
    <w:p>
      <w:pPr>
        <w:ind w:firstLine="648"/>
        <w:spacing w:after="0" w:line="320" w:lineRule="auto"/>
        <w:rPr>
          <w:sz w:val="20"/>
          <w:szCs w:val="20"/>
          <w:color w:val="auto"/>
        </w:rPr>
      </w:pPr>
      <w:r>
        <w:rPr>
          <w:rFonts w:ascii="Times New Roman" w:cs="Times New Roman" w:eastAsia="Times New Roman" w:hAnsi="Times New Roman"/>
          <w:sz w:val="20"/>
          <w:szCs w:val="20"/>
          <w:color w:val="auto"/>
        </w:rPr>
        <w:t xml:space="preserve">9.2 </w:t>
      </w:r>
      <w:r>
        <w:rPr>
          <w:rFonts w:ascii="Arial" w:cs="Arial" w:eastAsia="Arial" w:hAnsi="Arial"/>
          <w:sz w:val="20"/>
          <w:szCs w:val="20"/>
          <w:color w:val="auto"/>
        </w:rPr>
        <w:t>With respect to</w:t>
      </w:r>
      <w:r>
        <w:rPr>
          <w:rFonts w:ascii="Times New Roman" w:cs="Times New Roman" w:eastAsia="Times New Roman" w:hAnsi="Times New Roman"/>
          <w:sz w:val="20"/>
          <w:szCs w:val="20"/>
          <w:color w:val="auto"/>
        </w:rPr>
        <w:t xml:space="preserve"> [****] </w:t>
      </w:r>
      <w:r>
        <w:rPr>
          <w:rFonts w:ascii="Arial" w:cs="Arial" w:eastAsia="Arial" w:hAnsi="Arial"/>
          <w:sz w:val="20"/>
          <w:szCs w:val="20"/>
          <w:color w:val="auto"/>
        </w:rPr>
        <w:t>that Customer has</w:t>
      </w:r>
      <w:r>
        <w:rPr>
          <w:rFonts w:ascii="Times New Roman" w:cs="Times New Roman" w:eastAsia="Times New Roman" w:hAnsi="Times New Roman"/>
          <w:sz w:val="20"/>
          <w:szCs w:val="20"/>
          <w:color w:val="auto"/>
        </w:rPr>
        <w:t xml:space="preserve"> [****] </w:t>
      </w:r>
      <w:r>
        <w:rPr>
          <w:rFonts w:ascii="Arial" w:cs="Arial" w:eastAsia="Arial" w:hAnsi="Arial"/>
          <w:sz w:val="20"/>
          <w:szCs w:val="20"/>
          <w:color w:val="auto"/>
        </w:rPr>
        <w:t>prior to the effective date of SA-5, Customer will</w:t>
      </w:r>
      <w:r>
        <w:rPr>
          <w:rFonts w:ascii="Times New Roman" w:cs="Times New Roman" w:eastAsia="Times New Roman" w:hAnsi="Times New Roman"/>
          <w:sz w:val="20"/>
          <w:szCs w:val="20"/>
          <w:color w:val="auto"/>
        </w:rPr>
        <w:t xml:space="preserve"> [****] </w:t>
      </w:r>
      <w:r>
        <w:rPr>
          <w:rFonts w:ascii="Arial" w:cs="Arial" w:eastAsia="Arial" w:hAnsi="Arial"/>
          <w:sz w:val="20"/>
          <w:szCs w:val="20"/>
          <w:color w:val="auto"/>
        </w:rPr>
        <w:t>or applicable</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 xml:space="preserve">law) any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Customer has obtained from such </w:t>
      </w: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24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Arial" w:cs="Arial" w:eastAsia="Arial" w:hAnsi="Arial"/>
          <w:sz w:val="20"/>
          <w:szCs w:val="20"/>
          <w:color w:val="auto"/>
        </w:rPr>
        <w:t xml:space="preserve">With respect to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that Customer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following the effective date of SA-5 that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contemplated by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9.1 above, Customer will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or applicable law) any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that Customer has </w:t>
      </w: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sz w:val="20"/>
          <w:szCs w:val="20"/>
          <w:color w:val="auto"/>
        </w:rPr>
      </w:pPr>
    </w:p>
    <w:p>
      <w:pPr>
        <w:ind w:left="480" w:hanging="472"/>
        <w:spacing w:after="0"/>
        <w:tabs>
          <w:tab w:leader="none" w:pos="4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Title and Risk of Loss</w:t>
      </w:r>
      <w:r>
        <w:rPr>
          <w:rFonts w:ascii="Arial" w:cs="Arial" w:eastAsia="Arial" w:hAnsi="Arial"/>
          <w:sz w:val="20"/>
          <w:szCs w:val="20"/>
          <w:color w:val="auto"/>
        </w:rPr>
        <w:t>.</w:t>
      </w:r>
    </w:p>
    <w:p>
      <w:pPr>
        <w:spacing w:after="0" w:line="337"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will remain with Boeing until the Aircraft</w:t>
      </w:r>
      <w:r>
        <w:rPr>
          <w:rFonts w:ascii="Times New Roman" w:cs="Times New Roman" w:eastAsia="Times New Roman" w:hAnsi="Times New Roman"/>
          <w:sz w:val="20"/>
          <w:szCs w:val="20"/>
          <w:color w:val="auto"/>
        </w:rPr>
        <w:t xml:space="preserve"> [****] </w:t>
      </w:r>
      <w:r>
        <w:rPr>
          <w:rFonts w:ascii="Arial" w:cs="Arial" w:eastAsia="Arial" w:hAnsi="Arial"/>
          <w:sz w:val="20"/>
          <w:szCs w:val="20"/>
          <w:color w:val="auto"/>
        </w:rPr>
        <w:t>to Customer.</w:t>
      </w:r>
      <w:r>
        <w:rPr>
          <w:rFonts w:ascii="Times New Roman" w:cs="Times New Roman" w:eastAsia="Times New Roman" w:hAnsi="Times New Roman"/>
          <w:sz w:val="20"/>
          <w:szCs w:val="20"/>
          <w:color w:val="auto"/>
        </w:rPr>
        <w:t xml:space="preserve"> [****] </w:t>
      </w:r>
      <w:r>
        <w:rPr>
          <w:rFonts w:ascii="Arial" w:cs="Arial" w:eastAsia="Arial" w:hAnsi="Arial"/>
          <w:sz w:val="20"/>
          <w:szCs w:val="20"/>
          <w:color w:val="auto"/>
        </w:rPr>
        <w:t>will remain with the entity that is in</w:t>
      </w:r>
      <w:r>
        <w:rPr>
          <w:rFonts w:ascii="Times New Roman" w:cs="Times New Roman" w:eastAsia="Times New Roman" w:hAnsi="Times New Roman"/>
          <w:sz w:val="20"/>
          <w:szCs w:val="20"/>
          <w:color w:val="auto"/>
        </w:rPr>
        <w:t xml:space="preserve"> [****] </w:t>
      </w:r>
      <w:r>
        <w:rPr>
          <w:rFonts w:ascii="Arial" w:cs="Arial" w:eastAsia="Arial" w:hAnsi="Arial"/>
          <w:sz w:val="20"/>
          <w:szCs w:val="20"/>
          <w:color w:val="auto"/>
        </w:rPr>
        <w:t>prior to</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Aircraft delivery.</w:t>
      </w:r>
    </w:p>
    <w:p>
      <w:pPr>
        <w:spacing w:after="0" w:line="32"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If the foregoing correctly sets forth your understanding of our agreement with respect to the matters treated above, please indicate your acceptance and approval below.</w:t>
      </w:r>
    </w:p>
    <w:p>
      <w:pPr>
        <w:spacing w:after="0" w:line="247"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Confidential Treatment</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35" w:lineRule="exact"/>
        <w:rPr>
          <w:sz w:val="20"/>
          <w:szCs w:val="20"/>
          <w:color w:val="auto"/>
        </w:rPr>
      </w:pPr>
      <w:r>
        <w:rPr>
          <w:rFonts w:ascii="Arial" w:cs="Arial" w:eastAsia="Arial" w:hAnsi="Arial"/>
          <w:sz w:val="20"/>
          <w:szCs w:val="20"/>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Purchase Agreement. Subject to the terms and conditions of Letter Agreement 6</w:t>
      </w:r>
      <w:r>
        <w:rPr>
          <w:rFonts w:ascii="MS PGothic" w:cs="MS PGothic" w:eastAsia="MS PGothic" w:hAnsi="MS PGothic"/>
          <w:sz w:val="20"/>
          <w:szCs w:val="20"/>
          <w:color w:val="auto"/>
        </w:rPr>
        <w:t>‑</w:t>
      </w:r>
      <w:r>
        <w:rPr>
          <w:rFonts w:ascii="Arial" w:cs="Arial" w:eastAsia="Arial" w:hAnsi="Arial"/>
          <w:sz w:val="20"/>
          <w:szCs w:val="20"/>
          <w:color w:val="auto"/>
        </w:rPr>
        <w:t>1162-TRW-0673R1 entitled “</w:t>
      </w:r>
      <w:r>
        <w:rPr>
          <w:rFonts w:ascii="Arial" w:cs="Arial" w:eastAsia="Arial" w:hAnsi="Arial"/>
          <w:sz w:val="20"/>
          <w:szCs w:val="20"/>
          <w:u w:val="single" w:color="auto"/>
          <w:color w:val="auto"/>
        </w:rPr>
        <w:t>Confidentiality</w:t>
      </w:r>
      <w:r>
        <w:rPr>
          <w:rFonts w:ascii="Arial" w:cs="Arial" w:eastAsia="Arial" w:hAnsi="Arial"/>
          <w:sz w:val="20"/>
          <w:szCs w:val="20"/>
          <w:color w:val="auto"/>
        </w:rPr>
        <w:t>”, either party may disclose the information contained herein without the consent of the other party when and to the extent required by any law applicable to such party or by a Governmental Authority.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800" w:val="left"/>
        </w:tabs>
        <w:rPr>
          <w:sz w:val="20"/>
          <w:szCs w:val="20"/>
          <w:color w:val="auto"/>
        </w:rPr>
      </w:pPr>
      <w:r>
        <w:rPr>
          <w:rFonts w:ascii="Arial" w:cs="Arial" w:eastAsia="Arial" w:hAnsi="Arial"/>
          <w:sz w:val="20"/>
          <w:szCs w:val="20"/>
          <w:color w:val="auto"/>
        </w:rPr>
        <w:t>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6</w:t>
      </w:r>
    </w:p>
    <w:p>
      <w:pPr>
        <w:jc w:val="center"/>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1440" w:gutter="0" w:footer="0" w:header="0"/>
        </w:sectPr>
      </w:pPr>
    </w:p>
    <w:bookmarkStart w:id="104" w:name="page105"/>
    <w:bookmarkEnd w:id="104"/>
    <w:p>
      <w:pPr>
        <w:ind w:left="88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568960</wp:posOffset>
            </wp:positionH>
            <wp:positionV relativeFrom="page">
              <wp:posOffset>654685</wp:posOffset>
            </wp:positionV>
            <wp:extent cx="1483360" cy="342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t>The Boeing Company</w:t>
      </w:r>
    </w:p>
    <w:p>
      <w:pPr>
        <w:spacing w:after="0" w:line="17" w:lineRule="exact"/>
        <w:rPr>
          <w:sz w:val="20"/>
          <w:szCs w:val="20"/>
          <w:color w:val="auto"/>
        </w:rPr>
      </w:pPr>
    </w:p>
    <w:p>
      <w:pPr>
        <w:ind w:left="8800"/>
        <w:spacing w:after="0"/>
        <w:rPr>
          <w:sz w:val="20"/>
          <w:szCs w:val="20"/>
          <w:color w:val="auto"/>
        </w:rPr>
      </w:pPr>
      <w:r>
        <w:rPr>
          <w:rFonts w:ascii="Arial" w:cs="Arial" w:eastAsia="Arial" w:hAnsi="Arial"/>
          <w:sz w:val="14"/>
          <w:szCs w:val="14"/>
          <w:color w:val="auto"/>
        </w:rPr>
        <w:t>P.O. Box 3707</w:t>
      </w:r>
    </w:p>
    <w:p>
      <w:pPr>
        <w:ind w:left="8800"/>
        <w:spacing w:after="0" w:line="161" w:lineRule="exact"/>
        <w:rPr>
          <w:sz w:val="20"/>
          <w:szCs w:val="20"/>
          <w:color w:val="auto"/>
        </w:rPr>
      </w:pPr>
      <w:r>
        <w:rPr>
          <w:rFonts w:ascii="Arial" w:cs="Arial" w:eastAsia="Arial" w:hAnsi="Arial"/>
          <w:sz w:val="14"/>
          <w:szCs w:val="14"/>
          <w:color w:val="auto"/>
        </w:rPr>
        <w:t>Seattle, WA 98124</w:t>
      </w:r>
      <w:r>
        <w:rPr>
          <w:rFonts w:ascii="MS PGothic" w:cs="MS PGothic" w:eastAsia="MS PGothic" w:hAnsi="MS PGothic"/>
          <w:sz w:val="14"/>
          <w:szCs w:val="14"/>
          <w:color w:val="auto"/>
        </w:rPr>
        <w:t>‑</w:t>
      </w:r>
      <w:r>
        <w:rPr>
          <w:rFonts w:ascii="Arial" w:cs="Arial" w:eastAsia="Arial" w:hAnsi="Arial"/>
          <w:sz w:val="14"/>
          <w:szCs w:val="14"/>
          <w:color w:val="auto"/>
        </w:rPr>
        <w:t>2207</w:t>
      </w:r>
    </w:p>
    <w:p>
      <w:pPr>
        <w:spacing w:after="0" w:line="1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u w:val="single" w:color="auto"/>
          <w:color w:val="auto"/>
        </w:rPr>
        <w:t>________________________________________________________________________________________________________________________________________________________________</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BOEING COMPANY</w:t>
      </w:r>
    </w:p>
    <w:p>
      <w:pPr>
        <w:spacing w:after="0" w:line="33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27305</wp:posOffset>
            </wp:positionV>
            <wp:extent cx="3387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1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27305</wp:posOffset>
            </wp:positionV>
            <wp:extent cx="3387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ACCEPTED AND AGREED TO this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20" w:type="dxa"/>
            <w:vAlign w:val="bottom"/>
          </w:tcPr>
          <w:p>
            <w:pPr>
              <w:ind w:left="120"/>
              <w:spacing w:after="0"/>
              <w:rPr>
                <w:sz w:val="20"/>
                <w:szCs w:val="20"/>
                <w:color w:val="auto"/>
              </w:rPr>
            </w:pPr>
            <w:r>
              <w:rPr>
                <w:rFonts w:ascii="Arial" w:cs="Arial" w:eastAsia="Arial" w:hAnsi="Arial"/>
                <w:sz w:val="20"/>
                <w:szCs w:val="20"/>
                <w:color w:val="auto"/>
              </w:rPr>
              <w:t>Date:</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August 20, 2019</w:t>
            </w:r>
          </w:p>
        </w:tc>
      </w:tr>
      <w:tr>
        <w:trPr>
          <w:trHeight w:val="545"/>
        </w:trPr>
        <w:tc>
          <w:tcPr>
            <w:tcW w:w="6080" w:type="dxa"/>
            <w:vAlign w:val="bottom"/>
            <w:gridSpan w:val="4"/>
          </w:tcPr>
          <w:p>
            <w:pPr>
              <w:ind w:left="120"/>
              <w:spacing w:after="0"/>
              <w:rPr>
                <w:sz w:val="20"/>
                <w:szCs w:val="20"/>
                <w:color w:val="auto"/>
              </w:rPr>
            </w:pPr>
            <w:r>
              <w:rPr>
                <w:rFonts w:ascii="Arial" w:cs="Arial" w:eastAsia="Arial" w:hAnsi="Arial"/>
                <w:sz w:val="20"/>
                <w:szCs w:val="20"/>
                <w:color w:val="auto"/>
              </w:rPr>
              <w:t>AMERICAN AIRLINES, INC.</w:t>
            </w:r>
          </w:p>
        </w:tc>
      </w:tr>
      <w:tr>
        <w:trPr>
          <w:trHeight w:val="569"/>
        </w:trPr>
        <w:tc>
          <w:tcPr>
            <w:tcW w:w="620" w:type="dxa"/>
            <w:vAlign w:val="bottom"/>
          </w:tcPr>
          <w:p>
            <w:pPr>
              <w:ind w:left="120"/>
              <w:spacing w:after="0"/>
              <w:rPr>
                <w:sz w:val="20"/>
                <w:szCs w:val="20"/>
                <w:color w:val="auto"/>
              </w:rPr>
            </w:pPr>
            <w:r>
              <w:rPr>
                <w:rFonts w:ascii="Arial" w:cs="Arial" w:eastAsia="Arial" w:hAnsi="Arial"/>
                <w:sz w:val="20"/>
                <w:szCs w:val="20"/>
                <w:color w:val="auto"/>
              </w:rPr>
              <w:t>By</w:t>
            </w:r>
          </w:p>
        </w:tc>
        <w:tc>
          <w:tcPr>
            <w:tcW w:w="140" w:type="dxa"/>
            <w:vAlign w:val="bottom"/>
          </w:tcPr>
          <w:p>
            <w:pPr>
              <w:spacing w:after="0"/>
              <w:rPr>
                <w:sz w:val="24"/>
                <w:szCs w:val="24"/>
                <w:color w:val="auto"/>
              </w:rPr>
            </w:pP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American Airlines, Inc.</w:t>
            </w:r>
          </w:p>
        </w:tc>
      </w:tr>
      <w:tr>
        <w:trPr>
          <w:trHeight w:val="547"/>
        </w:trPr>
        <w:tc>
          <w:tcPr>
            <w:tcW w:w="620" w:type="dxa"/>
            <w:vAlign w:val="bottom"/>
          </w:tcPr>
          <w:p>
            <w:pPr>
              <w:ind w:left="120"/>
              <w:spacing w:after="0"/>
              <w:rPr>
                <w:sz w:val="20"/>
                <w:szCs w:val="20"/>
                <w:color w:val="auto"/>
              </w:rPr>
            </w:pPr>
            <w:r>
              <w:rPr>
                <w:rFonts w:ascii="Arial" w:cs="Arial" w:eastAsia="Arial" w:hAnsi="Arial"/>
                <w:sz w:val="20"/>
                <w:szCs w:val="20"/>
                <w:color w:val="auto"/>
              </w:rPr>
              <w:t>Its</w:t>
            </w:r>
          </w:p>
        </w:tc>
        <w:tc>
          <w:tcPr>
            <w:tcW w:w="140" w:type="dxa"/>
            <w:vAlign w:val="bottom"/>
          </w:tcPr>
          <w:p>
            <w:pPr>
              <w:spacing w:after="0"/>
              <w:rPr>
                <w:sz w:val="24"/>
                <w:szCs w:val="24"/>
                <w:color w:val="auto"/>
              </w:rPr>
            </w:pPr>
          </w:p>
        </w:tc>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VP and Treasurer</w:t>
            </w:r>
          </w:p>
        </w:tc>
      </w:tr>
      <w:tr>
        <w:trPr>
          <w:trHeight w:val="491"/>
        </w:trPr>
        <w:tc>
          <w:tcPr>
            <w:tcW w:w="6080" w:type="dxa"/>
            <w:vAlign w:val="bottom"/>
            <w:gridSpan w:val="4"/>
          </w:tcPr>
          <w:p>
            <w:pPr>
              <w:spacing w:after="0"/>
              <w:rPr>
                <w:sz w:val="20"/>
                <w:szCs w:val="20"/>
                <w:color w:val="auto"/>
              </w:rPr>
            </w:pPr>
            <w:r>
              <w:rPr>
                <w:rFonts w:ascii="Arial" w:cs="Arial" w:eastAsia="Arial" w:hAnsi="Arial"/>
                <w:sz w:val="20"/>
                <w:szCs w:val="20"/>
                <w:color w:val="auto"/>
              </w:rPr>
              <w:t>Attachments</w:t>
            </w:r>
          </w:p>
        </w:tc>
      </w:tr>
      <w:tr>
        <w:trPr>
          <w:trHeight w:val="649"/>
        </w:trPr>
        <w:tc>
          <w:tcPr>
            <w:tcW w:w="6080" w:type="dxa"/>
            <w:vAlign w:val="bottom"/>
            <w:gridSpan w:val="4"/>
          </w:tcPr>
          <w:p>
            <w:pPr>
              <w:spacing w:after="0"/>
              <w:rPr>
                <w:sz w:val="20"/>
                <w:szCs w:val="20"/>
                <w:color w:val="auto"/>
              </w:rPr>
            </w:pPr>
            <w:r>
              <w:rPr>
                <w:rFonts w:ascii="Arial" w:cs="Arial" w:eastAsia="Arial" w:hAnsi="Arial"/>
                <w:sz w:val="20"/>
                <w:szCs w:val="20"/>
                <w:color w:val="auto"/>
              </w:rPr>
              <w:t>AAL-PA-3219-LA-1302236R2  SA-13</w:t>
            </w:r>
          </w:p>
        </w:tc>
      </w:tr>
      <w:tr>
        <w:trPr>
          <w:trHeight w:val="256"/>
        </w:trPr>
        <w:tc>
          <w:tcPr>
            <w:tcW w:w="620" w:type="dxa"/>
            <w:vAlign w:val="bottom"/>
          </w:tcPr>
          <w:p>
            <w:pPr>
              <w:spacing w:after="0"/>
              <w:rPr>
                <w:sz w:val="20"/>
                <w:szCs w:val="20"/>
                <w:color w:val="auto"/>
              </w:rPr>
            </w:pPr>
            <w:r>
              <w:rPr>
                <w:rFonts w:ascii="Arial" w:cs="Arial" w:eastAsia="Arial" w:hAnsi="Arial"/>
                <w:sz w:val="20"/>
                <w:szCs w:val="20"/>
                <w:color w:val="auto"/>
              </w:rPr>
              <w:t>[****]</w:t>
            </w:r>
          </w:p>
        </w:tc>
        <w:tc>
          <w:tcPr>
            <w:tcW w:w="5460" w:type="dxa"/>
            <w:vAlign w:val="bottom"/>
            <w:gridSpan w:val="3"/>
          </w:tcPr>
          <w:p>
            <w:pPr>
              <w:ind w:left="20"/>
              <w:spacing w:after="0"/>
              <w:rPr>
                <w:sz w:val="20"/>
                <w:szCs w:val="20"/>
                <w:color w:val="auto"/>
              </w:rPr>
            </w:pPr>
            <w:r>
              <w:rPr>
                <w:rFonts w:ascii="Arial" w:cs="Arial" w:eastAsia="Arial" w:hAnsi="Arial"/>
                <w:sz w:val="20"/>
                <w:szCs w:val="20"/>
                <w:color w:val="auto"/>
              </w:rPr>
              <w:t>LA Page 1</w:t>
            </w:r>
          </w:p>
        </w:tc>
      </w:tr>
    </w:tbl>
    <w:p>
      <w:pPr>
        <w:ind w:left="4600"/>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0380"/>
          </w:cols>
          <w:pgMar w:left="240" w:top="1072" w:right="127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1483360" cy="342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Attachment A</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3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The following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describe(s) the items of equipment that under the terms and conditions of this Letter Agreement are considered to be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Each such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is fully described in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as described in Exhibit A2(R5) to the Purchase Agreement. Final configuration will be based on Customer acceptance of any or all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listed below or any post SA-12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by Boeing that are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by the Customer.</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Option Request Number and Title</w:t>
      </w:r>
    </w:p>
    <w:p>
      <w:pPr>
        <w:spacing w:after="0" w:line="252" w:lineRule="exact"/>
        <w:rPr>
          <w:sz w:val="20"/>
          <w:szCs w:val="20"/>
          <w:color w:val="auto"/>
        </w:rPr>
      </w:pPr>
    </w:p>
    <w:tbl>
      <w:tblPr>
        <w:tblLayout w:type="fixed"/>
        <w:tblInd w:w="730" w:type="dxa"/>
        <w:tblCellMar>
          <w:top w:w="0" w:type="dxa"/>
          <w:left w:w="0" w:type="dxa"/>
          <w:bottom w:w="0" w:type="dxa"/>
          <w:right w:w="0" w:type="dxa"/>
        </w:tblCellMar>
      </w:tblPr>
      <w:tr>
        <w:trPr>
          <w:trHeight w:val="276"/>
        </w:trPr>
        <w:tc>
          <w:tcPr>
            <w:tcW w:w="2120" w:type="dxa"/>
            <w:vAlign w:val="bottom"/>
            <w:tcBorders>
              <w:top w:val="single" w:sz="8" w:color="auto"/>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top w:val="single" w:sz="8" w:color="auto"/>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20" w:type="dxa"/>
            <w:vAlign w:val="bottom"/>
            <w:tcBorders>
              <w:left w:val="single" w:sz="8" w:color="auto"/>
              <w:right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Borders>
              <w:right w:val="single" w:sz="8" w:color="auto"/>
            </w:tcBorders>
          </w:tcPr>
          <w:p>
            <w:pPr>
              <w:jc w:val="right"/>
              <w:ind w:right="7281"/>
              <w:spacing w:after="0"/>
              <w:rPr>
                <w:sz w:val="20"/>
                <w:szCs w:val="20"/>
                <w:color w:val="auto"/>
              </w:rPr>
            </w:pPr>
            <w:r>
              <w:rPr>
                <w:rFonts w:ascii="Times New Roman" w:cs="Times New Roman" w:eastAsia="Times New Roman" w:hAnsi="Times New Roman"/>
                <w:sz w:val="20"/>
                <w:szCs w:val="20"/>
                <w:color w:val="auto"/>
                <w:w w:val="97"/>
              </w:rPr>
              <w:t>[****]</w:t>
            </w:r>
          </w:p>
        </w:tc>
      </w:tr>
      <w:tr>
        <w:trPr>
          <w:trHeight w:val="21"/>
        </w:trPr>
        <w:tc>
          <w:tcPr>
            <w:tcW w:w="2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20" w:type="dxa"/>
            <w:vAlign w:val="bottom"/>
            <w:tcBorders>
              <w:bottom w:val="single" w:sz="8" w:color="auto"/>
              <w:right w:val="single" w:sz="8" w:color="auto"/>
            </w:tcBorders>
          </w:tcPr>
          <w:p>
            <w:pPr>
              <w:spacing w:after="0" w:line="20" w:lineRule="exact"/>
              <w:rPr>
                <w:sz w:val="1"/>
                <w:szCs w:val="1"/>
                <w:color w:val="auto"/>
              </w:rPr>
            </w:pPr>
          </w:p>
        </w:tc>
      </w:tr>
      <w:tr>
        <w:trPr>
          <w:trHeight w:val="507"/>
        </w:trPr>
        <w:tc>
          <w:tcPr>
            <w:tcW w:w="2120" w:type="dxa"/>
            <w:vAlign w:val="bottom"/>
            <w:tcBorders>
              <w:left w:val="single" w:sz="8" w:color="auto"/>
              <w:bottom w:val="single" w:sz="8" w:color="auto"/>
              <w:right w:val="single" w:sz="8" w:color="auto"/>
            </w:tcBorders>
          </w:tcPr>
          <w:p>
            <w:pPr>
              <w:spacing w:after="0"/>
              <w:rPr>
                <w:sz w:val="24"/>
                <w:szCs w:val="24"/>
                <w:color w:val="auto"/>
              </w:rPr>
            </w:pPr>
          </w:p>
        </w:tc>
        <w:tc>
          <w:tcPr>
            <w:tcW w:w="79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4260" w:val="left"/>
        </w:tabs>
        <w:rPr>
          <w:sz w:val="20"/>
          <w:szCs w:val="20"/>
          <w:color w:val="auto"/>
        </w:rPr>
      </w:pPr>
      <w:r>
        <w:rPr>
          <w:rFonts w:ascii="Arial" w:cs="Arial" w:eastAsia="Arial" w:hAnsi="Arial"/>
          <w:sz w:val="20"/>
          <w:szCs w:val="20"/>
          <w:color w:val="auto"/>
        </w:rPr>
        <w:t>Attachment A to 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1</w:t>
      </w:r>
    </w:p>
    <w:p>
      <w:pPr>
        <w:jc w:val="center"/>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1483360" cy="342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34290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Attachment B</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Attachment B describes the functions that Boeing will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to support (i) the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and (ii) the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on the Aircraft.</w:t>
      </w:r>
    </w:p>
    <w:p>
      <w:pPr>
        <w:spacing w:after="0" w:line="242"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u w:val="single" w:color="auto"/>
          <w:color w:val="auto"/>
        </w:rPr>
        <w:t>[****]</w:t>
      </w:r>
      <w:r>
        <w:rPr>
          <w:rFonts w:ascii="Arial" w:cs="Arial" w:eastAsia="Arial" w:hAnsi="Arial"/>
          <w:sz w:val="20"/>
          <w:szCs w:val="20"/>
          <w:color w:val="auto"/>
        </w:rPr>
        <w:t>.</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Boeing will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the following functions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Boeing will have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which, in Boeing's reasonable opinion, </w:t>
      </w: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Boeing will be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for:</w:t>
      </w:r>
    </w:p>
    <w:p>
      <w:pPr>
        <w:spacing w:after="0" w:line="216" w:lineRule="exact"/>
        <w:rPr>
          <w:sz w:val="20"/>
          <w:szCs w:val="20"/>
          <w:color w:val="auto"/>
        </w:rPr>
      </w:pPr>
    </w:p>
    <w:p>
      <w:pPr>
        <w:ind w:left="1500" w:hanging="195"/>
        <w:spacing w:after="0"/>
        <w:tabs>
          <w:tab w:leader="none" w:pos="150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255" w:lineRule="exact"/>
        <w:rPr>
          <w:rFonts w:ascii="Arial" w:cs="Arial" w:eastAsia="Arial" w:hAnsi="Arial"/>
          <w:sz w:val="20"/>
          <w:szCs w:val="20"/>
          <w:color w:val="auto"/>
        </w:rPr>
      </w:pPr>
    </w:p>
    <w:p>
      <w:pPr>
        <w:ind w:left="1960" w:hanging="655"/>
        <w:spacing w:after="0"/>
        <w:tabs>
          <w:tab w:leader="none" w:pos="19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255" w:lineRule="exact"/>
        <w:rPr>
          <w:rFonts w:ascii="Arial" w:cs="Arial" w:eastAsia="Arial" w:hAnsi="Arial"/>
          <w:sz w:val="20"/>
          <w:szCs w:val="20"/>
          <w:color w:val="auto"/>
        </w:rPr>
      </w:pPr>
    </w:p>
    <w:p>
      <w:pPr>
        <w:ind w:left="1960" w:hanging="655"/>
        <w:spacing w:after="0"/>
        <w:tabs>
          <w:tab w:leader="none" w:pos="19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255" w:lineRule="exact"/>
        <w:rPr>
          <w:rFonts w:ascii="Arial" w:cs="Arial" w:eastAsia="Arial" w:hAnsi="Arial"/>
          <w:sz w:val="20"/>
          <w:szCs w:val="20"/>
          <w:color w:val="auto"/>
        </w:rPr>
      </w:pPr>
    </w:p>
    <w:p>
      <w:pPr>
        <w:ind w:left="1960" w:hanging="655"/>
        <w:spacing w:after="0"/>
        <w:tabs>
          <w:tab w:leader="none" w:pos="19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rFonts w:ascii="Arial" w:cs="Arial" w:eastAsia="Arial" w:hAnsi="Arial"/>
          <w:sz w:val="20"/>
          <w:szCs w:val="20"/>
          <w:color w:val="auto"/>
        </w:rPr>
      </w:pPr>
    </w:p>
    <w:p>
      <w:pPr>
        <w:ind w:left="1960" w:hanging="655"/>
        <w:spacing w:after="0"/>
        <w:tabs>
          <w:tab w:leader="none" w:pos="19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rFonts w:ascii="Arial" w:cs="Arial" w:eastAsia="Arial" w:hAnsi="Arial"/>
          <w:sz w:val="20"/>
          <w:szCs w:val="20"/>
          <w:color w:val="auto"/>
        </w:rPr>
      </w:pPr>
    </w:p>
    <w:p>
      <w:pPr>
        <w:ind w:left="1960" w:hanging="655"/>
        <w:spacing w:after="0"/>
        <w:tabs>
          <w:tab w:leader="none" w:pos="19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rFonts w:ascii="Arial" w:cs="Arial" w:eastAsia="Arial" w:hAnsi="Arial"/>
          <w:sz w:val="20"/>
          <w:szCs w:val="20"/>
          <w:color w:val="auto"/>
        </w:rPr>
      </w:pPr>
    </w:p>
    <w:p>
      <w:pPr>
        <w:ind w:left="1960" w:hanging="655"/>
        <w:spacing w:after="0"/>
        <w:tabs>
          <w:tab w:leader="none" w:pos="19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 and</w:t>
      </w:r>
    </w:p>
    <w:p>
      <w:pPr>
        <w:spacing w:after="0" w:line="370" w:lineRule="exact"/>
        <w:rPr>
          <w:rFonts w:ascii="Arial" w:cs="Arial" w:eastAsia="Arial" w:hAnsi="Arial"/>
          <w:sz w:val="20"/>
          <w:szCs w:val="20"/>
          <w:color w:val="auto"/>
        </w:rPr>
      </w:pPr>
    </w:p>
    <w:p>
      <w:pPr>
        <w:ind w:left="1960" w:hanging="655"/>
        <w:spacing w:after="0"/>
        <w:tabs>
          <w:tab w:leader="none" w:pos="196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w:t>
      </w:r>
    </w:p>
    <w:p>
      <w:pPr>
        <w:spacing w:after="0" w:line="357"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u w:val="single" w:color="auto"/>
          <w:color w:val="auto"/>
        </w:rPr>
        <w:t>[****]</w:t>
      </w:r>
      <w:r>
        <w:rPr>
          <w:rFonts w:ascii="Arial" w:cs="Arial" w:eastAsia="Arial" w:hAnsi="Arial"/>
          <w:sz w:val="20"/>
          <w:szCs w:val="20"/>
          <w:color w:val="auto"/>
        </w:rPr>
        <w:t>.</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Boeing's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will include the functions of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As </w:t>
      </w:r>
      <w:r>
        <w:rPr>
          <w:rFonts w:ascii="Times New Roman" w:cs="Times New Roman" w:eastAsia="Times New Roman" w:hAnsi="Times New Roman"/>
          <w:sz w:val="20"/>
          <w:szCs w:val="20"/>
          <w:color w:val="auto"/>
        </w:rPr>
        <w:t>[****]</w:t>
      </w:r>
      <w:r>
        <w:rPr>
          <w:rFonts w:ascii="Arial" w:cs="Arial" w:eastAsia="Arial" w:hAnsi="Arial"/>
          <w:sz w:val="20"/>
          <w:szCs w:val="20"/>
          <w:color w:val="auto"/>
        </w:rPr>
        <w:t>, Boeing will perform the following functions:</w:t>
      </w:r>
    </w:p>
    <w:p>
      <w:pPr>
        <w:spacing w:after="0" w:line="350" w:lineRule="exact"/>
        <w:rPr>
          <w:sz w:val="20"/>
          <w:szCs w:val="20"/>
          <w:color w:val="auto"/>
        </w:rPr>
      </w:pPr>
    </w:p>
    <w:p>
      <w:pPr>
        <w:ind w:left="1960" w:hanging="655"/>
        <w:spacing w:after="0"/>
        <w:tabs>
          <w:tab w:leader="none" w:pos="19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as required, </w:t>
      </w: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rFonts w:ascii="Arial" w:cs="Arial" w:eastAsia="Arial" w:hAnsi="Arial"/>
          <w:sz w:val="20"/>
          <w:szCs w:val="20"/>
          <w:color w:val="auto"/>
        </w:rPr>
      </w:pPr>
    </w:p>
    <w:p>
      <w:pPr>
        <w:ind w:left="1960" w:hanging="655"/>
        <w:spacing w:after="0"/>
        <w:tabs>
          <w:tab w:leader="none" w:pos="1960" w:val="left"/>
        </w:tabs>
        <w:numPr>
          <w:ilvl w:val="0"/>
          <w:numId w:val="81"/>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Boeing, Customer and</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 and</w:t>
      </w:r>
    </w:p>
    <w:p>
      <w:pPr>
        <w:spacing w:after="0" w:line="363" w:lineRule="exact"/>
        <w:rPr>
          <w:rFonts w:ascii="Arial" w:cs="Arial" w:eastAsia="Arial" w:hAnsi="Arial"/>
          <w:sz w:val="20"/>
          <w:szCs w:val="20"/>
          <w:color w:val="auto"/>
        </w:rPr>
      </w:pPr>
    </w:p>
    <w:p>
      <w:pPr>
        <w:ind w:left="1960" w:hanging="655"/>
        <w:spacing w:after="0"/>
        <w:tabs>
          <w:tab w:leader="none" w:pos="1960" w:val="left"/>
        </w:tabs>
        <w:numPr>
          <w:ilvl w:val="0"/>
          <w:numId w:val="81"/>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20"/>
          <w:szCs w:val="20"/>
          <w:color w:val="auto"/>
        </w:rPr>
      </w:pPr>
      <w:r>
        <w:rPr>
          <w:rFonts w:ascii="Times New Roman" w:cs="Times New Roman" w:eastAsia="Times New Roman" w:hAnsi="Times New Roman"/>
          <w:sz w:val="20"/>
          <w:szCs w:val="20"/>
          <w:u w:val="single" w:color="auto"/>
          <w:color w:val="auto"/>
        </w:rPr>
        <w:t>[****]</w:t>
      </w:r>
      <w:r>
        <w:rPr>
          <w:rFonts w:ascii="Arial" w:cs="Arial" w:eastAsia="Arial" w:hAnsi="Arial"/>
          <w:sz w:val="20"/>
          <w:szCs w:val="20"/>
          <w:color w:val="auto"/>
        </w:rPr>
        <w:t>.</w:t>
      </w:r>
    </w:p>
    <w:p>
      <w:pPr>
        <w:spacing w:after="0" w:line="3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(i)Boeing will </w:t>
      </w: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3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(ii)The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and Boeing, as determined by Boeing.</w:t>
      </w:r>
    </w:p>
    <w:p>
      <w:pPr>
        <w:spacing w:after="0" w:line="36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(iii)The </w:t>
      </w:r>
      <w:r>
        <w:rPr>
          <w:rFonts w:ascii="Times New Roman" w:cs="Times New Roman" w:eastAsia="Times New Roman" w:hAnsi="Times New Roman"/>
          <w:sz w:val="20"/>
          <w:szCs w:val="20"/>
          <w:color w:val="auto"/>
        </w:rPr>
        <w:t>[****]</w:t>
      </w:r>
      <w:r>
        <w:rPr>
          <w:rFonts w:ascii="Arial" w:cs="Arial" w:eastAsia="Arial" w:hAnsi="Arial"/>
          <w:sz w:val="20"/>
          <w:szCs w:val="20"/>
          <w:color w:val="auto"/>
        </w:rPr>
        <w:t>.</w:t>
      </w:r>
    </w:p>
    <w:p>
      <w:pPr>
        <w:spacing w:after="0" w:line="200" w:lineRule="exact"/>
        <w:rPr>
          <w:sz w:val="20"/>
          <w:szCs w:val="20"/>
          <w:color w:val="auto"/>
        </w:rPr>
      </w:pPr>
    </w:p>
    <w:p>
      <w:pPr>
        <w:spacing w:after="0" w:line="379" w:lineRule="exact"/>
        <w:rPr>
          <w:sz w:val="20"/>
          <w:szCs w:val="20"/>
          <w:color w:val="auto"/>
        </w:rPr>
      </w:pPr>
    </w:p>
    <w:p>
      <w:pPr>
        <w:spacing w:after="0"/>
        <w:tabs>
          <w:tab w:leader="none" w:pos="4260" w:val="left"/>
        </w:tabs>
        <w:rPr>
          <w:sz w:val="20"/>
          <w:szCs w:val="20"/>
          <w:color w:val="auto"/>
        </w:rPr>
      </w:pPr>
      <w:r>
        <w:rPr>
          <w:rFonts w:ascii="Arial" w:cs="Arial" w:eastAsia="Arial" w:hAnsi="Arial"/>
          <w:sz w:val="20"/>
          <w:szCs w:val="20"/>
          <w:color w:val="auto"/>
        </w:rPr>
        <w:t>Attachment B to AAL-PA-3219-LA-1302236R2</w:t>
        <w:tab/>
        <w:t>SA-13</w:t>
      </w: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w:t>
        <w:tab/>
        <w:t>LA Page 1</w:t>
      </w:r>
    </w:p>
    <w:p>
      <w:pPr>
        <w:jc w:val="center"/>
        <w:spacing w:after="0"/>
        <w:rPr>
          <w:sz w:val="20"/>
          <w:szCs w:val="20"/>
          <w:color w:val="auto"/>
        </w:rPr>
      </w:pPr>
      <w:r>
        <w:rPr>
          <w:rFonts w:ascii="Arial" w:cs="Arial" w:eastAsia="Arial" w:hAnsi="Arial"/>
          <w:sz w:val="20"/>
          <w:szCs w:val="20"/>
          <w:b w:val="1"/>
          <w:bCs w:val="1"/>
          <w:color w:val="auto"/>
        </w:rPr>
        <w:t>BOEING PROPRIETARY</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ectPr>
          <w:pgSz w:w="11900" w:h="16838" w:orient="portrait"/>
          <w:cols w:equalWidth="0" w:num="1">
            <w:col w:w="11420"/>
          </w:cols>
          <w:pgMar w:left="240" w:top="1440" w:right="239" w:bottom="1083"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57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57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8"/>
          <w:szCs w:val="18"/>
          <w:color w:val="auto"/>
        </w:rPr>
      </w:pPr>
    </w:p>
    <w:p>
      <w:pPr>
        <w:ind w:left="1300" w:hanging="320"/>
        <w:spacing w:after="0" w:line="292"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28575</wp:posOffset>
            </wp:positionV>
            <wp:extent cx="22898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4" w:right="239" w:bottom="1440" w:gutter="0" w:footer="0" w:header="0"/>
        </w:sectPr>
      </w:pPr>
    </w:p>
    <w:bookmarkStart w:id="111" w:name="page112"/>
    <w:bookmarkEnd w:id="111"/>
    <w:p>
      <w:pPr>
        <w:ind w:left="10420"/>
        <w:spacing w:after="0"/>
        <w:rPr>
          <w:sz w:val="20"/>
          <w:szCs w:val="20"/>
          <w:color w:val="auto"/>
        </w:rPr>
      </w:pPr>
      <w:r>
        <w:rPr>
          <w:rFonts w:ascii="Arial" w:cs="Arial" w:eastAsia="Arial" w:hAnsi="Arial"/>
          <w:sz w:val="17"/>
          <w:szCs w:val="17"/>
          <w:b w:val="1"/>
          <w:bCs w:val="1"/>
          <w:color w:val="auto"/>
        </w:rPr>
        <w:t>Exhibit 32.1</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24,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24, 2019</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7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2019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70"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24, 2019</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613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24, 2019</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decimal"/>
      <w:start w:val="1"/>
    </w:lvl>
    <w:lvl w:ilvl="1">
      <w:lvlJc w:val="left"/>
      <w:lvlText w:val="(%2)"/>
      <w:numFmt w:val="lowerLetter"/>
      <w:start w:val="1"/>
    </w:lvl>
  </w:abstractNum>
  <w:abstractNum w:abstractNumId="4">
    <w:nsid w:val="542289EC"/>
    <w:multiLevelType w:val="hybridMultilevel"/>
    <w:lvl w:ilvl="0">
      <w:lvlJc w:val="left"/>
      <w:lvlText w:val="%1."/>
      <w:numFmt w:val="decimal"/>
      <w:start w:val="2"/>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6"/>
    </w:lvl>
  </w:abstractNum>
  <w:abstractNum w:abstractNumId="7">
    <w:nsid w:val="7644A45C"/>
    <w:multiLevelType w:val="hybridMultilevel"/>
    <w:lvl w:ilvl="0">
      <w:lvlJc w:val="left"/>
      <w:lvlText w:val="%1."/>
      <w:numFmt w:val="decimal"/>
      <w:start w:val="5"/>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1"/>
    </w:lvl>
  </w:abstractNum>
  <w:abstractNum w:abstractNumId="10">
    <w:nsid w:val="579478FE"/>
    <w:multiLevelType w:val="hybridMultilevel"/>
    <w:lvl w:ilvl="0">
      <w:lvlJc w:val="left"/>
      <w:lvlText w:val="%1."/>
      <w:numFmt w:val="decimal"/>
      <w:start w:val="6"/>
    </w:lvl>
  </w:abstractNum>
  <w:abstractNum w:abstractNumId="11">
    <w:nsid w:val="749ABB43"/>
    <w:multiLevelType w:val="hybridMultilevel"/>
    <w:lvl w:ilvl="0">
      <w:lvlJc w:val="left"/>
      <w:lvlText w:val="%1."/>
      <w:numFmt w:val="decimal"/>
      <w:start w:val="8"/>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lvl w:ilvl="1">
      <w:lvlJc w:val="left"/>
      <w:lvlText w:val="(%2)"/>
      <w:numFmt w:val="decimal"/>
      <w:start w:val="1"/>
    </w:lvl>
  </w:abstractNum>
  <w:abstractNum w:abstractNumId="15">
    <w:nsid w:val="75C6C33A"/>
    <w:multiLevelType w:val="hybridMultilevel"/>
    <w:lvl w:ilvl="0">
      <w:lvlJc w:val="left"/>
      <w:lvlText w:val="%1."/>
      <w:numFmt w:val="decimal"/>
      <w:start w:val="12"/>
    </w:lvl>
    <w:lvl w:ilvl="1">
      <w:lvlJc w:val="left"/>
      <w:lvlText w:val="%2"/>
      <w:numFmt w:val="decimal"/>
      <w:start w:val="1"/>
    </w:lvl>
  </w:abstractNum>
  <w:abstractNum w:abstractNumId="16">
    <w:nsid w:val="12E685FB"/>
    <w:multiLevelType w:val="hybridMultilevel"/>
    <w:lvl w:ilvl="0">
      <w:lvlJc w:val="left"/>
      <w:lvlText w:val="%1."/>
      <w:numFmt w:val="decimal"/>
      <w:start w:val="13"/>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lvl w:ilvl="1">
      <w:lvlJc w:val="left"/>
      <w:lvlText w:val="(%2)"/>
      <w:numFmt w:val="lowerLetter"/>
      <w:start w:val="1"/>
    </w:lvl>
  </w:abstractNum>
  <w:abstractNum w:abstractNumId="19">
    <w:nsid w:val="374A3FE6"/>
    <w:multiLevelType w:val="hybridMultilevel"/>
    <w:lvl w:ilvl="0">
      <w:lvlJc w:val="left"/>
      <w:lvlText w:val="%1."/>
      <w:numFmt w:val="decimal"/>
      <w:start w:val="2"/>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6"/>
    </w:lvl>
  </w:abstractNum>
  <w:abstractNum w:abstractNumId="22">
    <w:nsid w:val="649BB77C"/>
    <w:multiLevelType w:val="hybridMultilevel"/>
    <w:lvl w:ilvl="0">
      <w:lvlJc w:val="left"/>
      <w:lvlText w:val="%1."/>
      <w:numFmt w:val="decimal"/>
      <w:start w:val="3"/>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6"/>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7"/>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decimal"/>
      <w:start w:val="1"/>
    </w:lvl>
    <w:lvl w:ilvl="1">
      <w:lvlJc w:val="left"/>
      <w:lvlText w:val="(%2)"/>
      <w:numFmt w:val="decimal"/>
      <w:start w:val="1"/>
    </w:lvl>
  </w:abstractNum>
  <w:abstractNum w:abstractNumId="30">
    <w:nsid w:val="15B5AF5C"/>
    <w:multiLevelType w:val="hybridMultilevel"/>
    <w:lvl w:ilvl="0">
      <w:lvlJc w:val="left"/>
      <w:lvlText w:val="%1."/>
      <w:numFmt w:val="decimal"/>
      <w:start w:val="10"/>
    </w:lvl>
    <w:lvl w:ilvl="1">
      <w:lvlJc w:val="left"/>
      <w:lvlText w:val="%2"/>
      <w:numFmt w:val="decimal"/>
      <w:start w:val="1"/>
    </w:lvl>
  </w:abstractNum>
  <w:abstractNum w:abstractNumId="31">
    <w:nsid w:val="741226BB"/>
    <w:multiLevelType w:val="hybridMultilevel"/>
    <w:lvl w:ilvl="0">
      <w:lvlJc w:val="left"/>
      <w:lvlText w:val="%1"/>
      <w:numFmt w:val="decimal"/>
      <w:start w:val="1"/>
    </w:lvl>
    <w:lvl w:ilvl="1">
      <w:lvlJc w:val="left"/>
      <w:lvlText w:val="(%2)"/>
      <w:numFmt w:val="decimal"/>
      <w:start w:val="1"/>
    </w:lvl>
  </w:abstractNum>
  <w:abstractNum w:abstractNumId="32">
    <w:nsid w:val="D34B6A8"/>
    <w:multiLevelType w:val="hybridMultilevel"/>
    <w:lvl w:ilvl="0">
      <w:lvlJc w:val="left"/>
      <w:lvlText w:val="%1."/>
      <w:numFmt w:val="decimal"/>
      <w:start w:val="11"/>
    </w:lvl>
    <w:lvl w:ilvl="1">
      <w:lvlJc w:val="left"/>
      <w:lvlText w:val="%2"/>
      <w:numFmt w:val="decimal"/>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lowerLetter"/>
      <w:start w:val="7"/>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6"/>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6"/>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lowerLetter"/>
      <w:start w:val="7"/>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lvl w:ilvl="1">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2"/>
    </w:lvl>
  </w:abstractNum>
  <w:abstractNum w:abstractNumId="64">
    <w:nsid w:val="BF72B14"/>
    <w:multiLevelType w:val="hybridMultilevel"/>
    <w:lvl w:ilvl="0">
      <w:lvlJc w:val="left"/>
      <w:lvlText w:val="%1."/>
      <w:numFmt w:val="decimal"/>
      <w:start w:val="3"/>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2"/>
    </w:lvl>
  </w:abstractNum>
  <w:abstractNum w:abstractNumId="67">
    <w:nsid w:val="A0382C5"/>
    <w:multiLevelType w:val="hybridMultilevel"/>
    <w:lvl w:ilvl="0">
      <w:lvlJc w:val="left"/>
      <w:lvlText w:val="%1."/>
      <w:numFmt w:val="decimal"/>
      <w:start w:val="3"/>
    </w:lvl>
  </w:abstractNum>
  <w:abstractNum w:abstractNumId="68">
    <w:nsid w:val="8F2B15E"/>
    <w:multiLevelType w:val="hybridMultilevel"/>
    <w:lvl w:ilvl="0">
      <w:lvlJc w:val="left"/>
      <w:lvlText w:val="(%1)"/>
      <w:numFmt w:val="lowerRoman"/>
      <w:start w:val="1"/>
    </w:lvl>
  </w:abstractNum>
  <w:abstractNum w:abstractNumId="69">
    <w:nsid w:val="1A32234B"/>
    <w:multiLevelType w:val="hybridMultilevel"/>
    <w:lvl w:ilvl="0">
      <w:lvlJc w:val="left"/>
      <w:lvlText w:val="%1."/>
      <w:numFmt w:val="decimal"/>
      <w:start w:val="4"/>
    </w:lvl>
  </w:abstractNum>
  <w:abstractNum w:abstractNumId="70">
    <w:nsid w:val="3B0FD379"/>
    <w:multiLevelType w:val="hybridMultilevel"/>
    <w:lvl w:ilvl="0">
      <w:lvlJc w:val="left"/>
      <w:lvlText w:val="%1."/>
      <w:numFmt w:val="decimal"/>
      <w:start w:val="5"/>
    </w:lvl>
  </w:abstractNum>
  <w:abstractNum w:abstractNumId="71">
    <w:nsid w:val="68EB2F63"/>
    <w:multiLevelType w:val="hybridMultilevel"/>
    <w:lvl w:ilvl="0">
      <w:lvlJc w:val="left"/>
      <w:lvlText w:val="%1."/>
      <w:numFmt w:val="decimal"/>
      <w:start w:val="6"/>
    </w:lvl>
  </w:abstractNum>
  <w:abstractNum w:abstractNumId="72">
    <w:nsid w:val="4962813B"/>
    <w:multiLevelType w:val="hybridMultilevel"/>
    <w:lvl w:ilvl="0">
      <w:lvlJc w:val="left"/>
      <w:lvlText w:val="%1."/>
      <w:numFmt w:val="decimal"/>
      <w:start w:val="7"/>
    </w:lvl>
  </w:abstractNum>
  <w:abstractNum w:abstractNumId="73">
    <w:nsid w:val="60B6DF70"/>
    <w:multiLevelType w:val="hybridMultilevel"/>
    <w:lvl w:ilvl="0">
      <w:lvlJc w:val="left"/>
      <w:lvlText w:val="%1."/>
      <w:numFmt w:val="decimal"/>
      <w:start w:val="8"/>
    </w:lvl>
  </w:abstractNum>
  <w:abstractNum w:abstractNumId="74">
    <w:nsid w:val="6A5EE64"/>
    <w:multiLevelType w:val="hybridMultilevel"/>
    <w:lvl w:ilvl="0">
      <w:lvlJc w:val="left"/>
      <w:lvlText w:val="%1."/>
      <w:numFmt w:val="decimal"/>
      <w:start w:val="9"/>
    </w:lvl>
  </w:abstractNum>
  <w:abstractNum w:abstractNumId="75">
    <w:nsid w:val="14330624"/>
    <w:multiLevelType w:val="hybridMultilevel"/>
    <w:lvl w:ilvl="0">
      <w:lvlJc w:val="left"/>
      <w:lvlText w:val="%1."/>
      <w:numFmt w:val="decimal"/>
      <w:start w:val="10"/>
    </w:lvl>
  </w:abstractNum>
  <w:abstractNum w:abstractNumId="76">
    <w:nsid w:val="7FFFCA11"/>
    <w:multiLevelType w:val="hybridMultilevel"/>
    <w:lvl w:ilvl="0">
      <w:lvlJc w:val="left"/>
      <w:lvlText w:val="%1."/>
      <w:numFmt w:val="decimal"/>
      <w:start w:val="10"/>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lowerRoman"/>
      <w:start w:val="1"/>
    </w:lvl>
  </w:abstractNum>
  <w:abstractNum w:abstractNumId="79">
    <w:nsid w:val="100F59DC"/>
    <w:multiLevelType w:val="hybridMultilevel"/>
    <w:lvl w:ilvl="0">
      <w:lvlJc w:val="left"/>
      <w:lvlText w:val="%1."/>
      <w:numFmt w:val="decimal"/>
      <w:start w:val="2"/>
    </w:lvl>
  </w:abstractNum>
  <w:abstractNum w:abstractNumId="80">
    <w:nsid w:val="7FB7E0AA"/>
    <w:multiLevelType w:val="hybridMultilevel"/>
    <w:lvl w:ilvl="0">
      <w:lvlJc w:val="left"/>
      <w:lvlText w:val="(%1)"/>
      <w:numFmt w:val="lowerRoman"/>
      <w:start w:val="1"/>
    </w:lvl>
  </w:abstractNum>
  <w:abstractNum w:abstractNumId="81">
    <w:nsid w:val="6EB5BD4"/>
    <w:multiLevelType w:val="hybridMultilevel"/>
    <w:lvl w:ilvl="0">
      <w:lvlJc w:val="left"/>
      <w:lvlText w:val="%1."/>
      <w:numFmt w:val="decimal"/>
      <w:start w:val="3"/>
    </w:lvl>
  </w:abstractNum>
  <w:abstractNum w:abstractNumId="82">
    <w:nsid w:val="6F6DD9AC"/>
    <w:multiLevelType w:val="hybridMultilevel"/>
    <w:lvl w:ilvl="0">
      <w:lvlJc w:val="left"/>
      <w:lvlText w:val="%1."/>
      <w:numFmt w:val="decimal"/>
      <w:start w:val="1"/>
    </w:lvl>
    <w:lvl w:ilvl="1">
      <w:lvlJc w:val="left"/>
      <w:lvlText w:val="(%2)"/>
      <w:numFmt w:val="lowerLetter"/>
      <w:start w:val="1"/>
    </w:lvl>
  </w:abstractNum>
  <w:abstractNum w:abstractNumId="83">
    <w:nsid w:val="94211F2"/>
    <w:multiLevelType w:val="hybridMultilevel"/>
    <w:lvl w:ilvl="0">
      <w:lvlJc w:val="left"/>
      <w:lvlText w:val="%1."/>
      <w:numFmt w:val="decimal"/>
      <w:start w:val="1"/>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jpeg"/><Relationship Id="rId138" Type="http://schemas.openxmlformats.org/officeDocument/2006/relationships/image" Target="media/image116.jpeg"/><Relationship Id="rId139" Type="http://schemas.openxmlformats.org/officeDocument/2006/relationships/image" Target="media/image117.jpeg"/><Relationship Id="rId140" Type="http://schemas.openxmlformats.org/officeDocument/2006/relationships/image" Target="media/image118.jpeg"/><Relationship Id="rId141" Type="http://schemas.openxmlformats.org/officeDocument/2006/relationships/image" Target="media/image119.jpeg"/><Relationship Id="rId142" Type="http://schemas.openxmlformats.org/officeDocument/2006/relationships/image" Target="media/image120.jpeg"/><Relationship Id="rId143" Type="http://schemas.openxmlformats.org/officeDocument/2006/relationships/image" Target="media/image121.jpe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jpeg"/><Relationship Id="rId147" Type="http://schemas.openxmlformats.org/officeDocument/2006/relationships/image" Target="media/image125.jpe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12" Type="http://schemas.openxmlformats.org/officeDocument/2006/relationships/hyperlink" Target="http://www.sec.gov/Archives/edgar/data/4515/000119312514343482/d790263dex41.htm" TargetMode="External"/><Relationship Id="rId113" Type="http://schemas.openxmlformats.org/officeDocument/2006/relationships/hyperlink" Target="http://www.sec.gov/Archives/edgar/data/4515/000119312519222562/d774498dex42.htm" TargetMode="External"/><Relationship Id="rId114" Type="http://schemas.openxmlformats.org/officeDocument/2006/relationships/hyperlink" Target="http://www.sec.gov/Archives/edgar/data/4515/000119312519222562/d774498dex43.htm" TargetMode="External"/><Relationship Id="rId115" Type="http://schemas.openxmlformats.org/officeDocument/2006/relationships/hyperlink" Target="http://www.sec.gov/Archives/edgar/data/4515/000119312519222562/d774498dex44.htm" TargetMode="External"/><Relationship Id="rId116" Type="http://schemas.openxmlformats.org/officeDocument/2006/relationships/hyperlink" Target="http://www.sec.gov/Archives/edgar/data/4515/000119312519222562/d774498dex45.htm" TargetMode="External"/><Relationship Id="rId117" Type="http://schemas.openxmlformats.org/officeDocument/2006/relationships/hyperlink" Target="http://www.sec.gov/Archives/edgar/data/4515/000119312519222562/d774498dex46.htm" TargetMode="External"/><Relationship Id="rId118" Type="http://schemas.openxmlformats.org/officeDocument/2006/relationships/hyperlink" Target="http://www.sec.gov/Archives/edgar/data/4515/000119312519222562/d774498dex47.htm" TargetMode="External"/><Relationship Id="rId119" Type="http://schemas.openxmlformats.org/officeDocument/2006/relationships/hyperlink" Target="http://www.sec.gov/Archives/edgar/data/4515/000119312519222562/d774498dex48.htm" TargetMode="External"/><Relationship Id="rId120" Type="http://schemas.openxmlformats.org/officeDocument/2006/relationships/hyperlink" Target="http://www.sec.gov/Archives/edgar/data/4515/000119312519222562/d774498dex49.htm" TargetMode="External"/><Relationship Id="rId121" Type="http://schemas.openxmlformats.org/officeDocument/2006/relationships/hyperlink" Target="http://www.sec.gov/Archives/edgar/data/4515/000119312519222562/d774498dex410.htm" TargetMode="External"/><Relationship Id="rId122" Type="http://schemas.openxmlformats.org/officeDocument/2006/relationships/hyperlink" Target="http://www.sec.gov/Archives/edgar/data/4515/000119312519222562/d774498dex411.htm" TargetMode="External"/><Relationship Id="rId123" Type="http://schemas.openxmlformats.org/officeDocument/2006/relationships/hyperlink" Target="http://www.sec.gov/Archives/edgar/data/4515/000119312519222562/d774498dex412.htm" TargetMode="External"/><Relationship Id="rId124" Type="http://schemas.openxmlformats.org/officeDocument/2006/relationships/hyperlink" Target="http://www.sec.gov/Archives/edgar/data/4515/000119312519222562/d774498dex418.htm" TargetMode="External"/><Relationship Id="rId125" Type="http://schemas.openxmlformats.org/officeDocument/2006/relationships/hyperlink" Target="http://www.sec.gov/Archives/edgar/data/4515/000119312519222562/d774498dex419.htm" TargetMode="External"/><Relationship Id="rId126" Type="http://schemas.openxmlformats.org/officeDocument/2006/relationships/hyperlink" Target="http://www.sec.gov/Archives/edgar/data/4515/000119312519222562/d774498dex4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2019-12-28T05:04:52Z</dcterms:created>
  <dcterms:modified xsi:type="dcterms:W3CDTF">2019-12-28T05:04:52Z</dcterms:modified>
</cp:coreProperties>
</file>