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288290</wp:posOffset>
            </wp:positionH>
            <wp:positionV relativeFrom="page">
              <wp:posOffset>534670</wp:posOffset>
            </wp:positionV>
            <wp:extent cx="69780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page">
              <wp:posOffset>288290</wp:posOffset>
            </wp:positionH>
            <wp:positionV relativeFrom="page">
              <wp:posOffset>511810</wp:posOffset>
            </wp:positionV>
            <wp:extent cx="6978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571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8-K</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March 8, 2021</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AMERICAN AIRLINES GROUP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AMERICAN AIRLINES,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4660" w:type="dxa"/>
            <w:vAlign w:val="bottom"/>
            <w:gridSpan w:val="3"/>
          </w:tcPr>
          <w:p>
            <w:pPr>
              <w:jc w:val="center"/>
              <w:ind w:right="1300"/>
              <w:spacing w:after="0"/>
              <w:rPr>
                <w:sz w:val="20"/>
                <w:szCs w:val="20"/>
                <w:color w:val="auto"/>
              </w:rPr>
            </w:pPr>
            <w:r>
              <w:rPr>
                <w:rFonts w:ascii="Arial" w:cs="Arial" w:eastAsia="Arial" w:hAnsi="Arial"/>
                <w:sz w:val="12"/>
                <w:szCs w:val="12"/>
                <w:b w:val="1"/>
                <w:bCs w:val="1"/>
                <w:color w:val="auto"/>
                <w:w w:val="98"/>
              </w:rPr>
              <w:t>Delaware</w:t>
            </w:r>
          </w:p>
        </w:tc>
        <w:tc>
          <w:tcPr>
            <w:tcW w:w="1940" w:type="dxa"/>
            <w:vAlign w:val="bottom"/>
          </w:tcPr>
          <w:p>
            <w:pPr>
              <w:jc w:val="center"/>
              <w:ind w:right="182"/>
              <w:spacing w:after="0"/>
              <w:rPr>
                <w:sz w:val="20"/>
                <w:szCs w:val="20"/>
                <w:color w:val="auto"/>
              </w:rPr>
            </w:pPr>
            <w:r>
              <w:rPr>
                <w:rFonts w:ascii="Arial" w:cs="Arial" w:eastAsia="Arial" w:hAnsi="Arial"/>
                <w:sz w:val="12"/>
                <w:szCs w:val="12"/>
                <w:b w:val="1"/>
                <w:bCs w:val="1"/>
                <w:color w:val="auto"/>
              </w:rPr>
              <w:t>1-8400</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Pr>
          <w:p>
            <w:pPr>
              <w:jc w:val="center"/>
              <w:ind w:left="164"/>
              <w:spacing w:after="0"/>
              <w:rPr>
                <w:sz w:val="20"/>
                <w:szCs w:val="20"/>
                <w:color w:val="auto"/>
              </w:rPr>
            </w:pPr>
            <w:r>
              <w:rPr>
                <w:rFonts w:ascii="Arial" w:cs="Arial" w:eastAsia="Arial" w:hAnsi="Arial"/>
                <w:sz w:val="12"/>
                <w:szCs w:val="12"/>
                <w:b w:val="1"/>
                <w:bCs w:val="1"/>
                <w:color w:val="auto"/>
                <w:w w:val="99"/>
              </w:rPr>
              <w:t>75-1825172</w:t>
            </w:r>
          </w:p>
        </w:tc>
        <w:tc>
          <w:tcPr>
            <w:tcW w:w="240" w:type="dxa"/>
            <w:vAlign w:val="bottom"/>
          </w:tcPr>
          <w:p>
            <w:pPr>
              <w:spacing w:after="0"/>
              <w:rPr>
                <w:sz w:val="13"/>
                <w:szCs w:val="13"/>
                <w:color w:val="auto"/>
              </w:rPr>
            </w:pPr>
          </w:p>
        </w:tc>
      </w:tr>
      <w:tr>
        <w:trPr>
          <w:trHeight w:val="159"/>
        </w:trPr>
        <w:tc>
          <w:tcPr>
            <w:tcW w:w="24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jc w:val="center"/>
              <w:ind w:right="184"/>
              <w:spacing w:after="0"/>
              <w:rPr>
                <w:sz w:val="20"/>
                <w:szCs w:val="20"/>
                <w:color w:val="auto"/>
              </w:rPr>
            </w:pPr>
            <w:r>
              <w:rPr>
                <w:rFonts w:ascii="Arial" w:cs="Arial" w:eastAsia="Arial" w:hAnsi="Arial"/>
                <w:sz w:val="12"/>
                <w:szCs w:val="12"/>
                <w:b w:val="1"/>
                <w:bCs w:val="1"/>
                <w:color w:val="auto"/>
                <w:w w:val="98"/>
              </w:rPr>
              <w:t>Delaware</w:t>
            </w:r>
          </w:p>
        </w:tc>
        <w:tc>
          <w:tcPr>
            <w:tcW w:w="2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center"/>
              <w:ind w:right="182"/>
              <w:spacing w:after="0"/>
              <w:rPr>
                <w:sz w:val="20"/>
                <w:szCs w:val="20"/>
                <w:color w:val="auto"/>
              </w:rPr>
            </w:pPr>
            <w:r>
              <w:rPr>
                <w:rFonts w:ascii="Arial" w:cs="Arial" w:eastAsia="Arial" w:hAnsi="Arial"/>
                <w:sz w:val="12"/>
                <w:szCs w:val="12"/>
                <w:b w:val="1"/>
                <w:bCs w:val="1"/>
                <w:color w:val="auto"/>
              </w:rPr>
              <w:t>1-2691</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tcBorders>
              <w:bottom w:val="single" w:sz="8" w:color="auto"/>
            </w:tcBorders>
          </w:tcPr>
          <w:p>
            <w:pPr>
              <w:jc w:val="center"/>
              <w:ind w:left="164"/>
              <w:spacing w:after="0"/>
              <w:rPr>
                <w:sz w:val="20"/>
                <w:szCs w:val="20"/>
                <w:color w:val="auto"/>
              </w:rPr>
            </w:pPr>
            <w:r>
              <w:rPr>
                <w:rFonts w:ascii="Arial" w:cs="Arial" w:eastAsia="Arial" w:hAnsi="Arial"/>
                <w:sz w:val="12"/>
                <w:szCs w:val="12"/>
                <w:b w:val="1"/>
                <w:bCs w:val="1"/>
                <w:color w:val="auto"/>
                <w:w w:val="99"/>
              </w:rPr>
              <w:t>13-1502798</w:t>
            </w:r>
          </w:p>
        </w:tc>
        <w:tc>
          <w:tcPr>
            <w:tcW w:w="240" w:type="dxa"/>
            <w:vAlign w:val="bottom"/>
            <w:tcBorders>
              <w:bottom w:val="single" w:sz="8" w:color="auto"/>
            </w:tcBorders>
          </w:tcPr>
          <w:p>
            <w:pPr>
              <w:spacing w:after="0"/>
              <w:rPr>
                <w:sz w:val="13"/>
                <w:szCs w:val="13"/>
                <w:color w:val="auto"/>
              </w:rPr>
            </w:pPr>
          </w:p>
        </w:tc>
      </w:tr>
      <w:tr>
        <w:trPr>
          <w:trHeight w:val="116"/>
        </w:trPr>
        <w:tc>
          <w:tcPr>
            <w:tcW w:w="240" w:type="dxa"/>
            <w:vAlign w:val="bottom"/>
          </w:tcPr>
          <w:p>
            <w:pPr>
              <w:spacing w:after="0"/>
              <w:rPr>
                <w:sz w:val="10"/>
                <w:szCs w:val="10"/>
                <w:color w:val="auto"/>
              </w:rPr>
            </w:pPr>
          </w:p>
        </w:tc>
        <w:tc>
          <w:tcPr>
            <w:tcW w:w="4660" w:type="dxa"/>
            <w:vAlign w:val="bottom"/>
            <w:gridSpan w:val="3"/>
          </w:tcPr>
          <w:p>
            <w:pPr>
              <w:jc w:val="center"/>
              <w:ind w:right="1320"/>
              <w:spacing w:after="0"/>
              <w:rPr>
                <w:sz w:val="20"/>
                <w:szCs w:val="20"/>
                <w:color w:val="auto"/>
              </w:rPr>
            </w:pPr>
            <w:r>
              <w:rPr>
                <w:rFonts w:ascii="Arial" w:cs="Arial" w:eastAsia="Arial" w:hAnsi="Arial"/>
                <w:sz w:val="10"/>
                <w:szCs w:val="10"/>
                <w:b w:val="1"/>
                <w:bCs w:val="1"/>
                <w:color w:val="auto"/>
                <w:w w:val="95"/>
              </w:rPr>
              <w:t>(State or other Jurisdiction of Incorporation)</w:t>
            </w:r>
          </w:p>
        </w:tc>
        <w:tc>
          <w:tcPr>
            <w:tcW w:w="2760" w:type="dxa"/>
            <w:vAlign w:val="bottom"/>
            <w:gridSpan w:val="4"/>
          </w:tcPr>
          <w:p>
            <w:pPr>
              <w:jc w:val="center"/>
              <w:ind w:right="1060"/>
              <w:spacing w:after="0"/>
              <w:rPr>
                <w:sz w:val="20"/>
                <w:szCs w:val="20"/>
                <w:color w:val="auto"/>
              </w:rPr>
            </w:pPr>
            <w:r>
              <w:rPr>
                <w:rFonts w:ascii="Arial" w:cs="Arial" w:eastAsia="Arial" w:hAnsi="Arial"/>
                <w:sz w:val="10"/>
                <w:szCs w:val="10"/>
                <w:b w:val="1"/>
                <w:bCs w:val="1"/>
                <w:color w:val="auto"/>
                <w:w w:val="95"/>
              </w:rPr>
              <w:t>(Commission File Number)</w:t>
            </w:r>
          </w:p>
        </w:tc>
        <w:tc>
          <w:tcPr>
            <w:tcW w:w="36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(IRS Employer Identification No.)</w:t>
            </w:r>
          </w:p>
        </w:tc>
      </w:tr>
      <w:tr>
        <w:trPr>
          <w:trHeight w:val="452"/>
        </w:trPr>
        <w:tc>
          <w:tcPr>
            <w:tcW w:w="240" w:type="dxa"/>
            <w:vAlign w:val="bottom"/>
          </w:tcPr>
          <w:p>
            <w:pPr>
              <w:spacing w:after="0"/>
              <w:rPr>
                <w:sz w:val="24"/>
                <w:szCs w:val="24"/>
                <w:color w:val="auto"/>
              </w:rPr>
            </w:pPr>
          </w:p>
        </w:tc>
        <w:tc>
          <w:tcPr>
            <w:tcW w:w="4660" w:type="dxa"/>
            <w:vAlign w:val="bottom"/>
            <w:gridSpan w:val="3"/>
          </w:tcPr>
          <w:p>
            <w:pPr>
              <w:ind w:left="2800"/>
              <w:spacing w:after="0"/>
              <w:rPr>
                <w:sz w:val="20"/>
                <w:szCs w:val="20"/>
                <w:color w:val="auto"/>
              </w:rPr>
            </w:pPr>
            <w:r>
              <w:rPr>
                <w:rFonts w:ascii="Arial" w:cs="Arial" w:eastAsia="Arial" w:hAnsi="Arial"/>
                <w:sz w:val="12"/>
                <w:szCs w:val="12"/>
                <w:b w:val="1"/>
                <w:bCs w:val="1"/>
                <w:color w:val="auto"/>
              </w:rPr>
              <w:t>1 Skyview Drive, Fort Worth,</w:t>
            </w:r>
          </w:p>
        </w:tc>
        <w:tc>
          <w:tcPr>
            <w:tcW w:w="2760" w:type="dxa"/>
            <w:vAlign w:val="bottom"/>
            <w:gridSpan w:val="4"/>
          </w:tcPr>
          <w:p>
            <w:pPr>
              <w:ind w:left="440"/>
              <w:spacing w:after="0"/>
              <w:rPr>
                <w:sz w:val="20"/>
                <w:szCs w:val="20"/>
                <w:color w:val="auto"/>
              </w:rPr>
            </w:pPr>
            <w:r>
              <w:rPr>
                <w:rFonts w:ascii="Arial" w:cs="Arial" w:eastAsia="Arial" w:hAnsi="Arial"/>
                <w:sz w:val="12"/>
                <w:szCs w:val="12"/>
                <w:b w:val="1"/>
                <w:bCs w:val="1"/>
                <w:color w:val="auto"/>
              </w:rPr>
              <w:t>Texas</w:t>
            </w:r>
          </w:p>
        </w:tc>
        <w:tc>
          <w:tcPr>
            <w:tcW w:w="3380" w:type="dxa"/>
            <w:vAlign w:val="bottom"/>
          </w:tcPr>
          <w:p>
            <w:pPr>
              <w:jc w:val="center"/>
              <w:ind w:right="384"/>
              <w:spacing w:after="0"/>
              <w:rPr>
                <w:sz w:val="20"/>
                <w:szCs w:val="20"/>
                <w:color w:val="auto"/>
              </w:rPr>
            </w:pPr>
            <w:r>
              <w:rPr>
                <w:rFonts w:ascii="Arial" w:cs="Arial" w:eastAsia="Arial" w:hAnsi="Arial"/>
                <w:sz w:val="12"/>
                <w:szCs w:val="12"/>
                <w:b w:val="1"/>
                <w:bCs w:val="1"/>
                <w:color w:val="auto"/>
              </w:rPr>
              <w:t>76155</w:t>
            </w:r>
          </w:p>
        </w:tc>
        <w:tc>
          <w:tcPr>
            <w:tcW w:w="240" w:type="dxa"/>
            <w:vAlign w:val="bottom"/>
          </w:tcPr>
          <w:p>
            <w:pPr>
              <w:spacing w:after="0"/>
              <w:rPr>
                <w:sz w:val="24"/>
                <w:szCs w:val="24"/>
                <w:color w:val="auto"/>
              </w:rPr>
            </w:pPr>
          </w:p>
        </w:tc>
      </w:tr>
      <w:tr>
        <w:trPr>
          <w:trHeight w:val="159"/>
        </w:trPr>
        <w:tc>
          <w:tcPr>
            <w:tcW w:w="240" w:type="dxa"/>
            <w:vAlign w:val="bottom"/>
          </w:tcPr>
          <w:p>
            <w:pPr>
              <w:spacing w:after="0"/>
              <w:rPr>
                <w:sz w:val="13"/>
                <w:szCs w:val="13"/>
                <w:color w:val="auto"/>
              </w:rPr>
            </w:pPr>
          </w:p>
        </w:tc>
        <w:tc>
          <w:tcPr>
            <w:tcW w:w="4660" w:type="dxa"/>
            <w:vAlign w:val="bottom"/>
            <w:tcBorders>
              <w:bottom w:val="single" w:sz="8" w:color="auto"/>
            </w:tcBorders>
            <w:gridSpan w:val="3"/>
          </w:tcPr>
          <w:p>
            <w:pPr>
              <w:ind w:left="2800"/>
              <w:spacing w:after="0"/>
              <w:rPr>
                <w:sz w:val="20"/>
                <w:szCs w:val="20"/>
                <w:color w:val="auto"/>
              </w:rPr>
            </w:pPr>
            <w:r>
              <w:rPr>
                <w:rFonts w:ascii="Arial" w:cs="Arial" w:eastAsia="Arial" w:hAnsi="Arial"/>
                <w:sz w:val="12"/>
                <w:szCs w:val="12"/>
                <w:b w:val="1"/>
                <w:bCs w:val="1"/>
                <w:color w:val="auto"/>
              </w:rPr>
              <w:t>1 Skyview Drive, Fort Worth,</w:t>
            </w:r>
          </w:p>
        </w:tc>
        <w:tc>
          <w:tcPr>
            <w:tcW w:w="194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Texas</w:t>
            </w:r>
          </w:p>
        </w:tc>
        <w:tc>
          <w:tcPr>
            <w:tcW w:w="380" w:type="dxa"/>
            <w:vAlign w:val="bottom"/>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3380" w:type="dxa"/>
            <w:vAlign w:val="bottom"/>
            <w:tcBorders>
              <w:bottom w:val="single" w:sz="8" w:color="auto"/>
            </w:tcBorders>
          </w:tcPr>
          <w:p>
            <w:pPr>
              <w:jc w:val="center"/>
              <w:ind w:right="384"/>
              <w:spacing w:after="0"/>
              <w:rPr>
                <w:sz w:val="20"/>
                <w:szCs w:val="20"/>
                <w:color w:val="auto"/>
              </w:rPr>
            </w:pPr>
            <w:r>
              <w:rPr>
                <w:rFonts w:ascii="Arial" w:cs="Arial" w:eastAsia="Arial" w:hAnsi="Arial"/>
                <w:sz w:val="12"/>
                <w:szCs w:val="12"/>
                <w:b w:val="1"/>
                <w:bCs w:val="1"/>
                <w:color w:val="auto"/>
              </w:rPr>
              <w:t>76155</w:t>
            </w:r>
          </w:p>
        </w:tc>
        <w:tc>
          <w:tcPr>
            <w:tcW w:w="240" w:type="dxa"/>
            <w:vAlign w:val="bottom"/>
          </w:tcPr>
          <w:p>
            <w:pPr>
              <w:spacing w:after="0"/>
              <w:rPr>
                <w:sz w:val="13"/>
                <w:szCs w:val="13"/>
                <w:color w:val="auto"/>
              </w:rPr>
            </w:pPr>
          </w:p>
        </w:tc>
      </w:tr>
      <w:tr>
        <w:trPr>
          <w:trHeight w:val="116"/>
        </w:trPr>
        <w:tc>
          <w:tcPr>
            <w:tcW w:w="240" w:type="dxa"/>
            <w:vAlign w:val="bottom"/>
          </w:tcPr>
          <w:p>
            <w:pPr>
              <w:spacing w:after="0"/>
              <w:rPr>
                <w:sz w:val="10"/>
                <w:szCs w:val="10"/>
                <w:color w:val="auto"/>
              </w:rPr>
            </w:pPr>
          </w:p>
        </w:tc>
        <w:tc>
          <w:tcPr>
            <w:tcW w:w="4660" w:type="dxa"/>
            <w:vAlign w:val="bottom"/>
            <w:gridSpan w:val="3"/>
          </w:tcPr>
          <w:p>
            <w:pPr>
              <w:ind w:left="2400"/>
              <w:spacing w:after="0"/>
              <w:rPr>
                <w:sz w:val="20"/>
                <w:szCs w:val="20"/>
                <w:color w:val="auto"/>
              </w:rPr>
            </w:pPr>
            <w:r>
              <w:rPr>
                <w:rFonts w:ascii="Arial" w:cs="Arial" w:eastAsia="Arial" w:hAnsi="Arial"/>
                <w:sz w:val="10"/>
                <w:szCs w:val="10"/>
                <w:b w:val="1"/>
                <w:bCs w:val="1"/>
                <w:color w:val="auto"/>
              </w:rPr>
              <w:t>(Address of principal executive offices)</w:t>
            </w:r>
          </w:p>
        </w:tc>
        <w:tc>
          <w:tcPr>
            <w:tcW w:w="1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2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2"/>
              </w:rPr>
              <w:t>(Zip Code)</w:t>
            </w:r>
          </w:p>
        </w:tc>
      </w:tr>
    </w:tbl>
    <w:p>
      <w:pPr>
        <w:spacing w:after="0" w:line="1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p>
    <w:p>
      <w:pPr>
        <w:ind w:left="5540" w:hanging="306"/>
        <w:spacing w:after="0"/>
        <w:tabs>
          <w:tab w:leader="none" w:pos="554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963-1234</w:t>
      </w:r>
    </w:p>
    <w:p>
      <w:pPr>
        <w:spacing w:after="0" w:line="6" w:lineRule="exact"/>
        <w:rPr>
          <w:rFonts w:ascii="Arial" w:cs="Arial" w:eastAsia="Arial" w:hAnsi="Arial"/>
          <w:sz w:val="12"/>
          <w:szCs w:val="12"/>
          <w:b w:val="1"/>
          <w:bCs w:val="1"/>
          <w:color w:val="auto"/>
        </w:rPr>
      </w:pPr>
    </w:p>
    <w:p>
      <w:pPr>
        <w:ind w:left="5540" w:hanging="306"/>
        <w:spacing w:after="0"/>
        <w:tabs>
          <w:tab w:leader="none" w:pos="554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963-1234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13335</wp:posOffset>
            </wp:positionV>
            <wp:extent cx="39033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03345" cy="571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151"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600" w:hanging="596"/>
        <w:spacing w:after="0"/>
        <w:tabs>
          <w:tab w:leader="none" w:pos="600"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26" w:lineRule="exact"/>
        <w:rPr>
          <w:rFonts w:ascii="MS PGothic" w:cs="MS PGothic" w:eastAsia="MS PGothic" w:hAnsi="MS PGothic"/>
          <w:sz w:val="12"/>
          <w:szCs w:val="12"/>
          <w:color w:val="auto"/>
        </w:rPr>
      </w:pPr>
    </w:p>
    <w:p>
      <w:pPr>
        <w:ind w:left="600" w:hanging="596"/>
        <w:spacing w:after="0"/>
        <w:tabs>
          <w:tab w:leader="none" w:pos="600"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26" w:lineRule="exact"/>
        <w:rPr>
          <w:rFonts w:ascii="MS PGothic" w:cs="MS PGothic" w:eastAsia="MS PGothic" w:hAnsi="MS PGothic"/>
          <w:sz w:val="12"/>
          <w:szCs w:val="12"/>
          <w:color w:val="auto"/>
        </w:rPr>
      </w:pPr>
    </w:p>
    <w:p>
      <w:pPr>
        <w:ind w:left="600" w:hanging="596"/>
        <w:spacing w:after="0"/>
        <w:tabs>
          <w:tab w:leader="none" w:pos="600"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26" w:lineRule="exact"/>
        <w:rPr>
          <w:rFonts w:ascii="MS PGothic" w:cs="MS PGothic" w:eastAsia="MS PGothic" w:hAnsi="MS PGothic"/>
          <w:sz w:val="12"/>
          <w:szCs w:val="12"/>
          <w:color w:val="auto"/>
        </w:rPr>
      </w:pPr>
    </w:p>
    <w:p>
      <w:pPr>
        <w:ind w:left="600" w:hanging="596"/>
        <w:spacing w:after="0"/>
        <w:tabs>
          <w:tab w:leader="none" w:pos="600" w:val="left"/>
        </w:tabs>
        <w:numPr>
          <w:ilvl w:val="0"/>
          <w:numId w:val="3"/>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13e-4(c) under the Exchange Act (17 CFR 240.13e-4(c))</w:t>
      </w:r>
    </w:p>
    <w:p>
      <w:pPr>
        <w:spacing w:after="0" w:line="84"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Title of each class</w:t>
            </w:r>
          </w:p>
        </w:tc>
        <w:tc>
          <w:tcPr>
            <w:tcW w:w="240" w:type="dxa"/>
            <w:vAlign w:val="bottom"/>
            <w:vMerge w:val="restart"/>
          </w:tcPr>
          <w:p>
            <w:pPr>
              <w:spacing w:after="0"/>
              <w:rPr>
                <w:sz w:val="10"/>
                <w:szCs w:val="10"/>
                <w:color w:val="auto"/>
              </w:rPr>
            </w:pPr>
          </w:p>
        </w:tc>
        <w:tc>
          <w:tcPr>
            <w:tcW w:w="3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Trading</w:t>
            </w:r>
          </w:p>
        </w:tc>
        <w:tc>
          <w:tcPr>
            <w:tcW w:w="3640" w:type="dxa"/>
            <w:vAlign w:val="bottom"/>
          </w:tcPr>
          <w:p>
            <w:pPr>
              <w:jc w:val="center"/>
              <w:spacing w:after="0"/>
              <w:rPr>
                <w:sz w:val="20"/>
                <w:szCs w:val="20"/>
                <w:color w:val="auto"/>
              </w:rPr>
            </w:pPr>
            <w:r>
              <w:rPr>
                <w:rFonts w:ascii="Arial" w:cs="Arial" w:eastAsia="Arial" w:hAnsi="Arial"/>
                <w:sz w:val="10"/>
                <w:szCs w:val="10"/>
                <w:b w:val="1"/>
                <w:bCs w:val="1"/>
                <w:color w:val="auto"/>
                <w:w w:val="94"/>
              </w:rPr>
              <w:t>Name of each exchange</w:t>
            </w:r>
          </w:p>
        </w:tc>
        <w:tc>
          <w:tcPr>
            <w:tcW w:w="0" w:type="dxa"/>
            <w:vAlign w:val="bottom"/>
          </w:tcPr>
          <w:p>
            <w:pPr>
              <w:spacing w:after="0"/>
              <w:rPr>
                <w:sz w:val="1"/>
                <w:szCs w:val="1"/>
                <w:color w:val="auto"/>
              </w:rPr>
            </w:pPr>
          </w:p>
        </w:tc>
      </w:tr>
      <w:tr>
        <w:trPr>
          <w:trHeight w:val="117"/>
        </w:trPr>
        <w:tc>
          <w:tcPr>
            <w:tcW w:w="3800" w:type="dxa"/>
            <w:vAlign w:val="bottom"/>
            <w:tcBorders>
              <w:bottom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Symbol(s)</w:t>
            </w:r>
          </w:p>
        </w:tc>
        <w:tc>
          <w:tcPr>
            <w:tcW w:w="180" w:type="dxa"/>
            <w:vAlign w:val="bottom"/>
          </w:tcPr>
          <w:p>
            <w:pPr>
              <w:spacing w:after="0"/>
              <w:rPr>
                <w:sz w:val="10"/>
                <w:szCs w:val="1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on which registered</w:t>
            </w:r>
          </w:p>
        </w:tc>
        <w:tc>
          <w:tcPr>
            <w:tcW w:w="0" w:type="dxa"/>
            <w:vAlign w:val="bottom"/>
          </w:tcPr>
          <w:p>
            <w:pPr>
              <w:spacing w:after="0"/>
              <w:rPr>
                <w:sz w:val="1"/>
                <w:szCs w:val="1"/>
                <w:color w:val="auto"/>
              </w:rPr>
            </w:pPr>
          </w:p>
        </w:tc>
      </w:tr>
      <w:tr>
        <w:trPr>
          <w:trHeight w:val="116"/>
        </w:trPr>
        <w:tc>
          <w:tcPr>
            <w:tcW w:w="40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Common Stock, $0.01 par value per share</w:t>
            </w:r>
          </w:p>
        </w:tc>
        <w:tc>
          <w:tcPr>
            <w:tcW w:w="35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AAL</w:t>
            </w:r>
          </w:p>
        </w:tc>
        <w:tc>
          <w:tcPr>
            <w:tcW w:w="3640" w:type="dxa"/>
            <w:vAlign w:val="bottom"/>
          </w:tcPr>
          <w:p>
            <w:pPr>
              <w:jc w:val="center"/>
              <w:spacing w:after="0"/>
              <w:rPr>
                <w:sz w:val="20"/>
                <w:szCs w:val="20"/>
                <w:color w:val="auto"/>
              </w:rPr>
            </w:pPr>
            <w:r>
              <w:rPr>
                <w:rFonts w:ascii="Arial" w:cs="Arial" w:eastAsia="Arial" w:hAnsi="Arial"/>
                <w:sz w:val="10"/>
                <w:szCs w:val="10"/>
                <w:b w:val="1"/>
                <w:bCs w:val="1"/>
                <w:color w:val="auto"/>
                <w:w w:val="96"/>
              </w:rPr>
              <w:t>The Nasdaq Global Select Market</w:t>
            </w:r>
          </w:p>
        </w:tc>
        <w:tc>
          <w:tcPr>
            <w:tcW w:w="0" w:type="dxa"/>
            <w:vAlign w:val="bottom"/>
          </w:tcPr>
          <w:p>
            <w:pPr>
              <w:spacing w:after="0"/>
              <w:rPr>
                <w:sz w:val="1"/>
                <w:szCs w:val="1"/>
                <w:color w:val="auto"/>
              </w:rPr>
            </w:pPr>
          </w:p>
        </w:tc>
      </w:tr>
    </w:tbl>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or Rule 12b-2 of the Securities Exchange Act of 1934.</w:t>
      </w:r>
    </w:p>
    <w:p>
      <w:pPr>
        <w:spacing w:after="0" w:line="65" w:lineRule="exact"/>
        <w:rPr>
          <w:sz w:val="24"/>
          <w:szCs w:val="24"/>
          <w:color w:val="auto"/>
        </w:rPr>
      </w:pPr>
    </w:p>
    <w:p>
      <w:pPr>
        <w:jc w:val="right"/>
        <w:ind w:right="34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61" w:lineRule="exact"/>
        <w:rPr>
          <w:sz w:val="24"/>
          <w:szCs w:val="24"/>
          <w:color w:val="auto"/>
        </w:rPr>
      </w:pPr>
    </w:p>
    <w:p>
      <w:pPr>
        <w:ind w:right="460"/>
        <w:spacing w:after="0" w:line="142"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577215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160020</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137160</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280"/>
          </w:cols>
          <w:pgMar w:left="300" w:top="949" w:right="319" w:bottom="1440" w:gutter="0" w:footer="0" w:header="0"/>
        </w:sectPr>
      </w:pPr>
    </w:p>
    <w:bookmarkStart w:id="1" w:name="page2"/>
    <w:bookmarkEnd w:id="1"/>
    <w:p>
      <w:pPr>
        <w:spacing w:after="0"/>
        <w:tabs>
          <w:tab w:leader="none" w:pos="156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connection with commencing discussions with potential investors in the proposed AAdvantage Financing (as defined below), American Airlines Group Inc. (the “Company”) is making available certain information about AAdvantage Loyalty IP Ltd., a newly formed Cayman Islands exempted company incorporated with limited liability and an indirect wholly owned subsidiary of American Airlines, Inc. (“American”), excerpts of which are attached to this report as Exhibit 99.1.</w:t>
      </w:r>
    </w:p>
    <w:p>
      <w:pPr>
        <w:spacing w:after="0" w:line="134"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The information in this Item 7.01,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(the “Securities Act”), except as shall be expressly set forth by specific reference in such filing.</w:t>
      </w:r>
    </w:p>
    <w:p>
      <w:pPr>
        <w:spacing w:after="0" w:line="147"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March 8, 2021, the Company issued a press release announcing that American and AAdvantage Loyalty IP Ltd. intend to commence a private offering of $2,500,000,000 senior secured notes due 2026 and $2,500,000,000 senior secured notes due 2029 (collectively, the “Notes”) and to enter into a $2,500,000,000 senior secured term loan credit facility (the “New AAdvantage Term Loan Facility” and together with the offering of the Notes, the “AAdvantage Financing”) concurrent with the closing of the offering of the Notes. The Notes and New AAdvantage Term Loan Facility will be secured on a pari passu senior basis by a first-priority security interest in American’s AAdvantage program, including American’s rights under certain related agreements, intellectual property and other collateral related to the AAdvantage program. There can be no assurance that this financing will be completed on the terms and conditions described in the press release or at all.</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As required by Rule 135c under the Securities Act of 1933, as amended, a copy of the Company’s press release is filed as Exhibit 99.2 to this Current Report on Form 8-K and is incorporated herein by reference.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20" w:type="dxa"/>
            <w:vAlign w:val="bottom"/>
          </w:tcPr>
          <w:p>
            <w:pPr>
              <w:spacing w:after="0"/>
              <w:rPr>
                <w:sz w:val="20"/>
                <w:szCs w:val="20"/>
                <w:color w:val="auto"/>
              </w:rPr>
            </w:pPr>
            <w:r>
              <w:rPr>
                <w:rFonts w:ascii="Arial" w:cs="Arial" w:eastAsia="Arial" w:hAnsi="Arial"/>
                <w:sz w:val="12"/>
                <w:szCs w:val="12"/>
                <w:b w:val="1"/>
                <w:bCs w:val="1"/>
                <w:color w:val="auto"/>
              </w:rPr>
              <w:t>ITEM 9.01.</w:t>
            </w:r>
          </w:p>
        </w:tc>
        <w:tc>
          <w:tcPr>
            <w:tcW w:w="9880" w:type="dxa"/>
            <w:vAlign w:val="bottom"/>
          </w:tcPr>
          <w:p>
            <w:pPr>
              <w:ind w:left="160"/>
              <w:spacing w:after="0"/>
              <w:rPr>
                <w:sz w:val="20"/>
                <w:szCs w:val="20"/>
                <w:color w:val="auto"/>
              </w:rPr>
            </w:pPr>
            <w:r>
              <w:rPr>
                <w:rFonts w:ascii="Arial" w:cs="Arial" w:eastAsia="Arial" w:hAnsi="Arial"/>
                <w:sz w:val="12"/>
                <w:szCs w:val="12"/>
                <w:b w:val="1"/>
                <w:bCs w:val="1"/>
                <w:color w:val="auto"/>
              </w:rPr>
              <w:t>FINANCIAL STATEMENTS AND EXHIBITS.</w:t>
            </w:r>
          </w:p>
        </w:tc>
      </w:tr>
      <w:tr>
        <w:trPr>
          <w:trHeight w:val="306"/>
        </w:trPr>
        <w:tc>
          <w:tcPr>
            <w:tcW w:w="1420" w:type="dxa"/>
            <w:vAlign w:val="bottom"/>
          </w:tcPr>
          <w:p>
            <w:pPr>
              <w:ind w:left="560"/>
              <w:spacing w:after="0"/>
              <w:rPr>
                <w:sz w:val="20"/>
                <w:szCs w:val="20"/>
                <w:color w:val="auto"/>
              </w:rPr>
            </w:pPr>
            <w:r>
              <w:rPr>
                <w:rFonts w:ascii="Arial" w:cs="Arial" w:eastAsia="Arial" w:hAnsi="Arial"/>
                <w:sz w:val="12"/>
                <w:szCs w:val="12"/>
                <w:b w:val="1"/>
                <w:bCs w:val="1"/>
                <w:color w:val="auto"/>
              </w:rPr>
              <w:t>(d) Exhibits.</w:t>
            </w:r>
          </w:p>
        </w:tc>
        <w:tc>
          <w:tcPr>
            <w:tcW w:w="9880" w:type="dxa"/>
            <w:vAlign w:val="bottom"/>
          </w:tcPr>
          <w:p>
            <w:pPr>
              <w:spacing w:after="0"/>
              <w:rPr>
                <w:sz w:val="24"/>
                <w:szCs w:val="24"/>
                <w:color w:val="auto"/>
              </w:rPr>
            </w:pPr>
          </w:p>
        </w:tc>
      </w:tr>
      <w:tr>
        <w:trPr>
          <w:trHeight w:val="297"/>
        </w:trPr>
        <w:tc>
          <w:tcPr>
            <w:tcW w:w="1420" w:type="dxa"/>
            <w:vAlign w:val="bottom"/>
          </w:tcPr>
          <w:p>
            <w:pPr>
              <w:ind w:left="220"/>
              <w:spacing w:after="0"/>
              <w:rPr>
                <w:sz w:val="20"/>
                <w:szCs w:val="20"/>
                <w:color w:val="auto"/>
              </w:rPr>
            </w:pPr>
            <w:r>
              <w:rPr>
                <w:rFonts w:ascii="Arial" w:cs="Arial" w:eastAsia="Arial" w:hAnsi="Arial"/>
                <w:sz w:val="12"/>
                <w:szCs w:val="12"/>
                <w:b w:val="1"/>
                <w:bCs w:val="1"/>
                <w:color w:val="auto"/>
              </w:rPr>
              <w:t>Exhibit No.</w:t>
            </w:r>
          </w:p>
        </w:tc>
        <w:tc>
          <w:tcPr>
            <w:tcW w:w="9880" w:type="dxa"/>
            <w:vAlign w:val="bottom"/>
          </w:tcPr>
          <w:p>
            <w:pPr>
              <w:ind w:left="940"/>
              <w:spacing w:after="0"/>
              <w:rPr>
                <w:sz w:val="20"/>
                <w:szCs w:val="20"/>
                <w:color w:val="auto"/>
              </w:rPr>
            </w:pPr>
            <w:r>
              <w:rPr>
                <w:rFonts w:ascii="Arial" w:cs="Arial" w:eastAsia="Arial" w:hAnsi="Arial"/>
                <w:sz w:val="12"/>
                <w:szCs w:val="12"/>
                <w:b w:val="1"/>
                <w:bCs w:val="1"/>
                <w:color w:val="auto"/>
              </w:rPr>
              <w:t>Description</w:t>
            </w:r>
          </w:p>
        </w:tc>
      </w:tr>
      <w:tr>
        <w:trPr>
          <w:trHeight w:val="189"/>
        </w:trPr>
        <w:tc>
          <w:tcPr>
            <w:tcW w:w="1420" w:type="dxa"/>
            <w:vAlign w:val="bottom"/>
          </w:tcPr>
          <w:p>
            <w:pPr>
              <w:ind w:left="220"/>
              <w:spacing w:after="0"/>
              <w:rPr>
                <w:sz w:val="20"/>
                <w:szCs w:val="20"/>
                <w:color w:val="auto"/>
              </w:rPr>
            </w:pPr>
            <w:r>
              <w:rPr>
                <w:rFonts w:ascii="Arial" w:cs="Arial" w:eastAsia="Arial" w:hAnsi="Arial"/>
                <w:sz w:val="12"/>
                <w:szCs w:val="12"/>
                <w:color w:val="auto"/>
              </w:rPr>
              <w:t>99.1</w:t>
            </w:r>
          </w:p>
        </w:tc>
        <w:tc>
          <w:tcPr>
            <w:tcW w:w="9880" w:type="dxa"/>
            <w:vAlign w:val="bottom"/>
          </w:tcPr>
          <w:p>
            <w:pPr>
              <w:ind w:left="940"/>
              <w:spacing w:after="0"/>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Excerpts from AAdvantage Presentation.</w:t>
              </w:r>
            </w:hyperlink>
          </w:p>
        </w:tc>
      </w:tr>
      <w:tr>
        <w:trPr>
          <w:trHeight w:val="189"/>
        </w:trPr>
        <w:tc>
          <w:tcPr>
            <w:tcW w:w="1420" w:type="dxa"/>
            <w:vAlign w:val="bottom"/>
          </w:tcPr>
          <w:p>
            <w:pPr>
              <w:ind w:left="220"/>
              <w:spacing w:after="0"/>
              <w:rPr>
                <w:sz w:val="20"/>
                <w:szCs w:val="20"/>
                <w:color w:val="auto"/>
              </w:rPr>
            </w:pPr>
            <w:r>
              <w:rPr>
                <w:rFonts w:ascii="Arial" w:cs="Arial" w:eastAsia="Arial" w:hAnsi="Arial"/>
                <w:sz w:val="12"/>
                <w:szCs w:val="12"/>
                <w:color w:val="auto"/>
              </w:rPr>
              <w:t>99.2</w:t>
            </w:r>
          </w:p>
        </w:tc>
        <w:tc>
          <w:tcPr>
            <w:tcW w:w="9880" w:type="dxa"/>
            <w:vAlign w:val="bottom"/>
          </w:tcPr>
          <w:p>
            <w:pPr>
              <w:ind w:left="940"/>
              <w:spacing w:after="0"/>
              <w:rPr>
                <w:rFonts w:ascii="Arial" w:cs="Arial" w:eastAsia="Arial" w:hAnsi="Arial"/>
                <w:sz w:val="12"/>
                <w:szCs w:val="12"/>
                <w:u w:val="single" w:color="auto"/>
                <w:color w:val="0000FF"/>
              </w:rPr>
            </w:pPr>
            <w:hyperlink w:anchor="page50">
              <w:r>
                <w:rPr>
                  <w:rFonts w:ascii="Arial" w:cs="Arial" w:eastAsia="Arial" w:hAnsi="Arial"/>
                  <w:sz w:val="12"/>
                  <w:szCs w:val="12"/>
                  <w:u w:val="single" w:color="auto"/>
                  <w:color w:val="0000FF"/>
                </w:rPr>
                <w:t>Press Release, dated March 8, 2021.</w:t>
              </w:r>
            </w:hyperlink>
          </w:p>
        </w:tc>
      </w:tr>
      <w:tr>
        <w:trPr>
          <w:trHeight w:val="189"/>
        </w:trPr>
        <w:tc>
          <w:tcPr>
            <w:tcW w:w="1420" w:type="dxa"/>
            <w:vAlign w:val="bottom"/>
          </w:tcPr>
          <w:p>
            <w:pPr>
              <w:ind w:left="220"/>
              <w:spacing w:after="0"/>
              <w:rPr>
                <w:sz w:val="20"/>
                <w:szCs w:val="20"/>
                <w:color w:val="auto"/>
              </w:rPr>
            </w:pPr>
            <w:r>
              <w:rPr>
                <w:rFonts w:ascii="Arial" w:cs="Arial" w:eastAsia="Arial" w:hAnsi="Arial"/>
                <w:sz w:val="12"/>
                <w:szCs w:val="12"/>
                <w:color w:val="auto"/>
              </w:rPr>
              <w:t>104.1</w:t>
            </w:r>
          </w:p>
        </w:tc>
        <w:tc>
          <w:tcPr>
            <w:tcW w:w="9880" w:type="dxa"/>
            <w:vAlign w:val="bottom"/>
          </w:tcPr>
          <w:p>
            <w:pPr>
              <w:ind w:left="940"/>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639"/>
        </w:trPr>
        <w:tc>
          <w:tcPr>
            <w:tcW w:w="142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Certain of the statements contained or referred to herein, including those regarding the proposed offering of the Notes and New AAdvantage Term Loan Facility, should be considered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American Airlines Group Inc.’s Annual Report on Form 10-K for the fiscal year ended December 31, 2020 (especially in Part I, Item 1A. Risk Factors and Part II, Item 7. Management’s Discussion and Analysis of Financial Condition and Results of Operations),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the Company in particular have been material, are changing rapidly, and cannot be predicted.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369570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3" w:name="page4"/>
    <w:bookmarkEnd w:id="3"/>
    <w:p>
      <w:pPr>
        <w:ind w:left="5260"/>
        <w:spacing w:after="0"/>
        <w:rPr>
          <w:sz w:val="20"/>
          <w:szCs w:val="20"/>
          <w:color w:val="auto"/>
        </w:rPr>
      </w:pPr>
      <w:r>
        <w:rPr>
          <w:rFonts w:ascii="Arial" w:cs="Arial" w:eastAsia="Arial" w:hAnsi="Arial"/>
          <w:sz w:val="12"/>
          <w:szCs w:val="12"/>
          <w:b w:val="1"/>
          <w:bCs w:val="1"/>
          <w:color w:val="auto"/>
        </w:rPr>
        <w:t>SIGNATURES</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American Airlines Group Inc. has duly caused this report to be signed on its behalf by the undersigned hereunto duly authorized.</w:t>
      </w:r>
    </w:p>
    <w:p>
      <w:pPr>
        <w:spacing w:after="0" w:line="274" w:lineRule="exact"/>
        <w:rPr>
          <w:sz w:val="20"/>
          <w:szCs w:val="20"/>
          <w:color w:val="auto"/>
        </w:rPr>
      </w:pPr>
    </w:p>
    <w:p>
      <w:pPr>
        <w:ind w:left="6340"/>
        <w:spacing w:after="0"/>
        <w:rPr>
          <w:sz w:val="20"/>
          <w:szCs w:val="20"/>
          <w:color w:val="auto"/>
        </w:rPr>
      </w:pPr>
      <w:r>
        <w:rPr>
          <w:rFonts w:ascii="Arial" w:cs="Arial" w:eastAsia="Arial" w:hAnsi="Arial"/>
          <w:sz w:val="12"/>
          <w:szCs w:val="12"/>
          <w:b w:val="1"/>
          <w:bCs w:val="1"/>
          <w:color w:val="auto"/>
        </w:rPr>
        <w:t>A</w:t>
      </w:r>
      <w:r>
        <w:rPr>
          <w:rFonts w:ascii="Arial" w:cs="Arial" w:eastAsia="Arial" w:hAnsi="Arial"/>
          <w:sz w:val="9"/>
          <w:szCs w:val="9"/>
          <w:b w:val="1"/>
          <w:bCs w:val="1"/>
          <w:color w:val="auto"/>
        </w:rPr>
        <w:t>MERICAN</w:t>
      </w:r>
      <w:r>
        <w:rPr>
          <w:rFonts w:ascii="Arial" w:cs="Arial" w:eastAsia="Arial" w:hAnsi="Arial"/>
          <w:sz w:val="12"/>
          <w:szCs w:val="12"/>
          <w:b w:val="1"/>
          <w:bCs w:val="1"/>
          <w:color w:val="auto"/>
        </w:rPr>
        <w:t xml:space="preserve"> A</w:t>
      </w:r>
      <w:r>
        <w:rPr>
          <w:rFonts w:ascii="Arial" w:cs="Arial" w:eastAsia="Arial" w:hAnsi="Arial"/>
          <w:sz w:val="9"/>
          <w:szCs w:val="9"/>
          <w:b w:val="1"/>
          <w:bCs w:val="1"/>
          <w:color w:val="auto"/>
        </w:rPr>
        <w:t>IRLINES</w:t>
      </w:r>
      <w:r>
        <w:rPr>
          <w:rFonts w:ascii="Arial" w:cs="Arial" w:eastAsia="Arial" w:hAnsi="Arial"/>
          <w:sz w:val="12"/>
          <w:szCs w:val="12"/>
          <w:b w:val="1"/>
          <w:bCs w:val="1"/>
          <w:color w:val="auto"/>
        </w:rPr>
        <w:t xml:space="preserve"> G</w:t>
      </w:r>
      <w:r>
        <w:rPr>
          <w:rFonts w:ascii="Arial" w:cs="Arial" w:eastAsia="Arial" w:hAnsi="Arial"/>
          <w:sz w:val="9"/>
          <w:szCs w:val="9"/>
          <w:b w:val="1"/>
          <w:bCs w:val="1"/>
          <w:color w:val="auto"/>
        </w:rPr>
        <w:t>ROUP</w:t>
      </w:r>
      <w:r>
        <w:rPr>
          <w:rFonts w:ascii="Arial" w:cs="Arial" w:eastAsia="Arial" w:hAnsi="Arial"/>
          <w:sz w:val="12"/>
          <w:szCs w:val="12"/>
          <w:b w:val="1"/>
          <w:bCs w:val="1"/>
          <w:color w:val="auto"/>
        </w:rPr>
        <w:t xml:space="preserve"> I</w:t>
      </w:r>
      <w:r>
        <w:rPr>
          <w:rFonts w:ascii="Arial" w:cs="Arial" w:eastAsia="Arial" w:hAnsi="Arial"/>
          <w:sz w:val="9"/>
          <w:szCs w:val="9"/>
          <w:b w:val="1"/>
          <w:bCs w:val="1"/>
          <w:color w:val="auto"/>
        </w:rPr>
        <w:t>NC</w:t>
      </w:r>
      <w:r>
        <w:rPr>
          <w:rFonts w:ascii="Arial" w:cs="Arial" w:eastAsia="Arial" w:hAnsi="Arial"/>
          <w:sz w:val="12"/>
          <w:szCs w:val="12"/>
          <w:b w:val="1"/>
          <w:bCs w:val="1"/>
          <w:color w:val="auto"/>
        </w:rPr>
        <w:t>.</w:t>
      </w:r>
    </w:p>
    <w:p>
      <w:pPr>
        <w:spacing w:after="0" w:line="209" w:lineRule="exact"/>
        <w:rPr>
          <w:sz w:val="20"/>
          <w:szCs w:val="20"/>
          <w:color w:val="auto"/>
        </w:rPr>
      </w:pPr>
    </w:p>
    <w:p>
      <w:pPr>
        <w:spacing w:after="0"/>
        <w:tabs>
          <w:tab w:leader="none" w:pos="6320" w:val="left"/>
          <w:tab w:leader="none" w:pos="6860" w:val="left"/>
        </w:tabs>
        <w:rPr>
          <w:sz w:val="20"/>
          <w:szCs w:val="20"/>
          <w:color w:val="auto"/>
        </w:rPr>
      </w:pPr>
      <w:r>
        <w:rPr>
          <w:rFonts w:ascii="Arial" w:cs="Arial" w:eastAsia="Arial" w:hAnsi="Arial"/>
          <w:sz w:val="12"/>
          <w:szCs w:val="12"/>
          <w:color w:val="auto"/>
        </w:rPr>
        <w:t>Date: March 8,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4445</wp:posOffset>
            </wp:positionV>
            <wp:extent cx="28003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00350" cy="5715"/>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Derek J. Kerr</w:t>
      </w:r>
    </w:p>
    <w:p>
      <w:pPr>
        <w:ind w:left="6880"/>
        <w:spacing w:after="0" w:line="229" w:lineRule="auto"/>
        <w:rPr>
          <w:sz w:val="20"/>
          <w:szCs w:val="20"/>
          <w:color w:val="auto"/>
        </w:rPr>
      </w:pPr>
      <w:r>
        <w:rPr>
          <w:rFonts w:ascii="Arial" w:cs="Arial" w:eastAsia="Arial" w:hAnsi="Arial"/>
          <w:sz w:val="12"/>
          <w:szCs w:val="12"/>
          <w:color w:val="auto"/>
        </w:rPr>
        <w:t>Executive Vice President and</w:t>
      </w:r>
    </w:p>
    <w:p>
      <w:pPr>
        <w:ind w:left="6880"/>
        <w:spacing w:after="0"/>
        <w:rPr>
          <w:sz w:val="20"/>
          <w:szCs w:val="20"/>
          <w:color w:val="auto"/>
        </w:rPr>
      </w:pPr>
      <w:r>
        <w:rPr>
          <w:rFonts w:ascii="Arial" w:cs="Arial" w:eastAsia="Arial" w:hAnsi="Arial"/>
          <w:sz w:val="12"/>
          <w:szCs w:val="12"/>
          <w:color w:val="auto"/>
        </w:rPr>
        <w:t>Chief Financial Officer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American Airlines, Inc. has duly caused this report to be signed on its behalf by the undersigned hereunto duly authorized.</w:t>
      </w:r>
    </w:p>
    <w:p>
      <w:pPr>
        <w:spacing w:after="0" w:line="253" w:lineRule="exact"/>
        <w:rPr>
          <w:sz w:val="20"/>
          <w:szCs w:val="20"/>
          <w:color w:val="auto"/>
        </w:rPr>
      </w:pPr>
    </w:p>
    <w:p>
      <w:pPr>
        <w:ind w:left="6340"/>
        <w:spacing w:after="0"/>
        <w:rPr>
          <w:sz w:val="20"/>
          <w:szCs w:val="20"/>
          <w:color w:val="auto"/>
        </w:rPr>
      </w:pPr>
      <w:r>
        <w:rPr>
          <w:rFonts w:ascii="Arial" w:cs="Arial" w:eastAsia="Arial" w:hAnsi="Arial"/>
          <w:sz w:val="12"/>
          <w:szCs w:val="12"/>
          <w:b w:val="1"/>
          <w:bCs w:val="1"/>
          <w:color w:val="auto"/>
        </w:rPr>
        <w:t>A</w:t>
      </w:r>
      <w:r>
        <w:rPr>
          <w:rFonts w:ascii="Arial" w:cs="Arial" w:eastAsia="Arial" w:hAnsi="Arial"/>
          <w:sz w:val="9"/>
          <w:szCs w:val="9"/>
          <w:b w:val="1"/>
          <w:bCs w:val="1"/>
          <w:color w:val="auto"/>
        </w:rPr>
        <w:t>MERICAN</w:t>
      </w:r>
      <w:r>
        <w:rPr>
          <w:rFonts w:ascii="Arial" w:cs="Arial" w:eastAsia="Arial" w:hAnsi="Arial"/>
          <w:sz w:val="12"/>
          <w:szCs w:val="12"/>
          <w:b w:val="1"/>
          <w:bCs w:val="1"/>
          <w:color w:val="auto"/>
        </w:rPr>
        <w:t xml:space="preserve"> A</w:t>
      </w:r>
      <w:r>
        <w:rPr>
          <w:rFonts w:ascii="Arial" w:cs="Arial" w:eastAsia="Arial" w:hAnsi="Arial"/>
          <w:sz w:val="9"/>
          <w:szCs w:val="9"/>
          <w:b w:val="1"/>
          <w:bCs w:val="1"/>
          <w:color w:val="auto"/>
        </w:rPr>
        <w:t>IRLINES</w:t>
      </w:r>
      <w:r>
        <w:rPr>
          <w:rFonts w:ascii="Arial" w:cs="Arial" w:eastAsia="Arial" w:hAnsi="Arial"/>
          <w:sz w:val="12"/>
          <w:szCs w:val="12"/>
          <w:b w:val="1"/>
          <w:bCs w:val="1"/>
          <w:color w:val="auto"/>
        </w:rPr>
        <w:t>, I</w:t>
      </w:r>
      <w:r>
        <w:rPr>
          <w:rFonts w:ascii="Arial" w:cs="Arial" w:eastAsia="Arial" w:hAnsi="Arial"/>
          <w:sz w:val="9"/>
          <w:szCs w:val="9"/>
          <w:b w:val="1"/>
          <w:bCs w:val="1"/>
          <w:color w:val="auto"/>
        </w:rPr>
        <w:t>NC</w:t>
      </w:r>
      <w:r>
        <w:rPr>
          <w:rFonts w:ascii="Arial" w:cs="Arial" w:eastAsia="Arial" w:hAnsi="Arial"/>
          <w:sz w:val="12"/>
          <w:szCs w:val="12"/>
          <w:b w:val="1"/>
          <w:bCs w:val="1"/>
          <w:color w:val="auto"/>
        </w:rPr>
        <w:t>.</w:t>
      </w:r>
    </w:p>
    <w:p>
      <w:pPr>
        <w:spacing w:after="0" w:line="209" w:lineRule="exact"/>
        <w:rPr>
          <w:sz w:val="20"/>
          <w:szCs w:val="20"/>
          <w:color w:val="auto"/>
        </w:rPr>
      </w:pPr>
    </w:p>
    <w:p>
      <w:pPr>
        <w:spacing w:after="0"/>
        <w:tabs>
          <w:tab w:leader="none" w:pos="6320" w:val="left"/>
          <w:tab w:leader="none" w:pos="6860" w:val="left"/>
        </w:tabs>
        <w:rPr>
          <w:sz w:val="20"/>
          <w:szCs w:val="20"/>
          <w:color w:val="auto"/>
        </w:rPr>
      </w:pPr>
      <w:r>
        <w:rPr>
          <w:rFonts w:ascii="Arial" w:cs="Arial" w:eastAsia="Arial" w:hAnsi="Arial"/>
          <w:sz w:val="12"/>
          <w:szCs w:val="12"/>
          <w:color w:val="auto"/>
        </w:rPr>
        <w:t>Date: March 8,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4445</wp:posOffset>
            </wp:positionV>
            <wp:extent cx="28575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00" cy="5715"/>
                    </a:xfrm>
                    <a:prstGeom prst="rect">
                      <a:avLst/>
                    </a:prstGeom>
                    <a:noFill/>
                  </pic:spPr>
                </pic:pic>
              </a:graphicData>
            </a:graphic>
          </wp:anchor>
        </w:drawing>
      </w:r>
    </w:p>
    <w:p>
      <w:pPr>
        <w:spacing w:after="0" w:line="4"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Derek J. Kerr</w:t>
      </w:r>
    </w:p>
    <w:p>
      <w:pPr>
        <w:ind w:left="6880"/>
        <w:spacing w:after="0" w:line="229" w:lineRule="auto"/>
        <w:rPr>
          <w:sz w:val="20"/>
          <w:szCs w:val="20"/>
          <w:color w:val="auto"/>
        </w:rPr>
      </w:pPr>
      <w:r>
        <w:rPr>
          <w:rFonts w:ascii="Arial" w:cs="Arial" w:eastAsia="Arial" w:hAnsi="Arial"/>
          <w:sz w:val="12"/>
          <w:szCs w:val="12"/>
          <w:color w:val="auto"/>
        </w:rPr>
        <w:t>Executive Vice President and</w:t>
      </w:r>
    </w:p>
    <w:p>
      <w:pPr>
        <w:ind w:left="68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0500"/>
          </w:cols>
          <w:pgMar w:left="300" w:top="638" w:right="10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13335</wp:posOffset>
            </wp:positionV>
            <wp:extent cx="1303020" cy="280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302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100"/>
        <w:spacing w:after="0"/>
        <w:rPr>
          <w:sz w:val="20"/>
          <w:szCs w:val="20"/>
          <w:color w:val="auto"/>
        </w:rPr>
      </w:pPr>
      <w:r>
        <w:rPr>
          <w:rFonts w:ascii="Arial" w:cs="Arial" w:eastAsia="Arial" w:hAnsi="Arial"/>
          <w:sz w:val="11"/>
          <w:szCs w:val="11"/>
          <w:b w:val="1"/>
          <w:bCs w:val="1"/>
          <w:color w:val="auto"/>
        </w:rPr>
        <w: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874395" cy="91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74395" cy="91440"/>
                    </a:xfrm>
                    <a:prstGeom prst="rect">
                      <a:avLst/>
                    </a:prstGeom>
                    <a:noFill/>
                  </pic:spPr>
                </pic:pic>
              </a:graphicData>
            </a:graphic>
          </wp:anchor>
        </w:drawing>
      </w:r>
    </w:p>
    <w:p>
      <w:pPr>
        <w:spacing w:after="0" w:line="5" w:lineRule="exact"/>
        <w:rPr>
          <w:sz w:val="20"/>
          <w:szCs w:val="20"/>
          <w:color w:val="auto"/>
        </w:rPr>
      </w:pPr>
    </w:p>
    <w:p>
      <w:pPr>
        <w:ind w:left="7100"/>
        <w:spacing w:after="0"/>
        <w:rPr>
          <w:sz w:val="20"/>
          <w:szCs w:val="20"/>
          <w:color w:val="auto"/>
        </w:rPr>
      </w:pPr>
      <w:r>
        <w:rPr>
          <w:rFonts w:ascii="Arial" w:cs="Arial" w:eastAsia="Arial" w:hAnsi="Arial"/>
          <w:sz w:val="11"/>
          <w:szCs w:val="11"/>
          <w:b w:val="1"/>
          <w:bCs w:val="1"/>
          <w:u w:val="single" w:color="auto"/>
          <w:color w:val="0000FF"/>
        </w:rPr>
        <w:t>investor.relations@aa.com</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FOR RELEASE: March 8, 2021</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AMERICAN AIRLINES ANNOUNCES PROPOSED OFFERING OF SENIOR SECURED NOTES AND NEW TERM LOAN BY AMERICAN AND ITS AADVANTAGE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SUBSIDIARY</w:t>
      </w:r>
    </w:p>
    <w:p>
      <w:pPr>
        <w:spacing w:after="0" w:line="165" w:lineRule="exact"/>
        <w:rPr>
          <w:sz w:val="20"/>
          <w:szCs w:val="20"/>
          <w:color w:val="auto"/>
        </w:rPr>
      </w:pPr>
    </w:p>
    <w:p>
      <w:pPr>
        <w:ind w:right="20"/>
        <w:spacing w:after="0" w:line="233" w:lineRule="auto"/>
        <w:rPr>
          <w:sz w:val="20"/>
          <w:szCs w:val="20"/>
          <w:color w:val="auto"/>
        </w:rPr>
      </w:pPr>
      <w:r>
        <w:rPr>
          <w:rFonts w:ascii="Arial" w:cs="Arial" w:eastAsia="Arial" w:hAnsi="Arial"/>
          <w:sz w:val="13"/>
          <w:szCs w:val="13"/>
          <w:color w:val="auto"/>
        </w:rPr>
        <w:t>FORT WORTH, Texas — American Airlines Group Inc. (NASDAQ: AAL) (the “Company”) today announced that the Company’s subsidiary, American Airlines, Inc. (“American”), and AAdvantage Loyalty IP Ltd., a newly formed Cayman Islands exempted company incorporated with limited liability and an indirect wholly owned subsidiary of the Company and American, intend to commence a private offering to eligible purchasers of $2,500,000,000 senior secured notes due 2026 and $2,500,000,000 senior secured notes due 2029 (collectively, the “Notes”) and to enter into a $ 2,500,000,000 senior secured term loan credit facility (the “New AAdvantage Term Loan Facility”) concurrent with the closing of the offering of the Notes. American and AAdvantage Loyalty IP Ltd. will be co-issuers of the Notes and co-borrowers under the New AAdvantage Term Loan Facility. The Notes and the New AAdvantage Term Loan Facility will be guaranteed by the Company and certain of the Company’s subsidiaries. The offering of the Notes is not conditioned upon the closing of the New AAdvantage Term Loan Facility, and the closing of the New AAdvantage Term Loan Facility is not conditioned upon the closing of the offering of the Notes. The final terms and amounts of the Notes and the New AAdvantage Term Loan Facility are subject to market and other conditions and may be materially different than expectations.</w:t>
      </w:r>
    </w:p>
    <w:p>
      <w:pPr>
        <w:spacing w:after="0" w:line="153"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The Notes and New AAdvantage Term Loan Facility will be secured on a pari passu senior basis by a first-priority security interest in American’s AAdvantage program, including American’s rights under certain related agreements, intellectual property and other collateral related to the AAdvantage program.</w:t>
      </w:r>
    </w:p>
    <w:p>
      <w:pPr>
        <w:spacing w:after="0" w:line="147" w:lineRule="exact"/>
        <w:rPr>
          <w:sz w:val="20"/>
          <w:szCs w:val="20"/>
          <w:color w:val="auto"/>
        </w:rPr>
      </w:pPr>
    </w:p>
    <w:p>
      <w:pPr>
        <w:ind w:right="60"/>
        <w:spacing w:after="0" w:line="236" w:lineRule="auto"/>
        <w:rPr>
          <w:sz w:val="20"/>
          <w:szCs w:val="20"/>
          <w:color w:val="auto"/>
        </w:rPr>
      </w:pPr>
      <w:r>
        <w:rPr>
          <w:rFonts w:ascii="Arial" w:cs="Arial" w:eastAsia="Arial" w:hAnsi="Arial"/>
          <w:sz w:val="13"/>
          <w:szCs w:val="13"/>
          <w:color w:val="auto"/>
        </w:rPr>
        <w:t>AAdvantage Loyalty IP Ltd. intends to lend the net proceeds from the offering of the Notes and the New AAdvantage Term Loan Facility to American, after depositing a portion of the proceeds in certain reserve accounts. American intends to use the proceeds from this intercompany loan from AAdvantage Loyalty IP Ltd. to repay all amounts outstanding under the term loan facility with the U.S. Department of the Treasury that is currently secured by collateral that will secure, in part, the Notes and the New AAdvantage Term Loan Facility and to use the remainder for general corporate purposes, which may include the repayment of other indebtedness.</w:t>
      </w:r>
    </w:p>
    <w:p>
      <w:pPr>
        <w:spacing w:after="0" w:line="150" w:lineRule="exact"/>
        <w:rPr>
          <w:sz w:val="20"/>
          <w:szCs w:val="20"/>
          <w:color w:val="auto"/>
        </w:rPr>
      </w:pPr>
    </w:p>
    <w:p>
      <w:pPr>
        <w:ind w:right="100"/>
        <w:spacing w:after="0" w:line="236" w:lineRule="auto"/>
        <w:rPr>
          <w:sz w:val="20"/>
          <w:szCs w:val="20"/>
          <w:color w:val="auto"/>
        </w:rPr>
      </w:pPr>
      <w:r>
        <w:rPr>
          <w:rFonts w:ascii="Arial" w:cs="Arial" w:eastAsia="Arial" w:hAnsi="Arial"/>
          <w:sz w:val="13"/>
          <w:szCs w:val="13"/>
          <w:color w:val="auto"/>
        </w:rPr>
        <w:t>The Notes will be offered and sold only to persons reasonably believed to be qualified institutional buyers, as defined in, and in reliance on Rule 144A under the Securities Act of 1933, as amended (the “Securities Act”) and to non-U.S. persons in offshore transactions outside the United States in reliance on Regulation S under the Securities Act. The Notes will not be registered under the Securities Act or any other securities laws of any jurisdiction and will not have the benefit of any exchange offer or other registration rights. The Notes may not be offered or sold in the United States absent registration or an applicable exemption from registration requirements.</w:t>
      </w:r>
    </w:p>
    <w:p>
      <w:pPr>
        <w:sectPr>
          <w:pgSz w:w="11900" w:h="16838" w:orient="portrait"/>
          <w:cols w:equalWidth="0" w:num="1">
            <w:col w:w="11300"/>
          </w:cols>
          <w:pgMar w:left="300" w:top="935" w:right="299" w:bottom="1440" w:gutter="0" w:footer="0" w:header="0"/>
        </w:sectPr>
      </w:pPr>
    </w:p>
    <w:bookmarkStart w:id="50" w:name="page51"/>
    <w:bookmarkEnd w:id="50"/>
    <w:p>
      <w:pPr>
        <w:ind w:right="600"/>
        <w:spacing w:after="0" w:line="243" w:lineRule="auto"/>
        <w:rPr>
          <w:sz w:val="20"/>
          <w:szCs w:val="20"/>
          <w:color w:val="auto"/>
        </w:rPr>
      </w:pPr>
      <w:r>
        <w:rPr>
          <w:rFonts w:ascii="Arial" w:cs="Arial" w:eastAsia="Arial" w:hAnsi="Arial"/>
          <w:sz w:val="13"/>
          <w:szCs w:val="13"/>
          <w:color w:val="auto"/>
        </w:rPr>
        <w:t>This press release does not constitute an offer to sell or the solicitation of an offer to buy any of the Notes nor shall there be any sale of the Notes in any jurisdiction in which such offer, solicitation or sale would be unlawful. This press release is being issued pursuant to and in accordance with Rule 135c under the Securities Act.</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1" w:lineRule="exact"/>
        <w:rPr>
          <w:sz w:val="20"/>
          <w:szCs w:val="20"/>
          <w:color w:val="auto"/>
        </w:rPr>
      </w:pPr>
    </w:p>
    <w:p>
      <w:pPr>
        <w:spacing w:after="0" w:line="232" w:lineRule="auto"/>
        <w:rPr>
          <w:sz w:val="20"/>
          <w:szCs w:val="20"/>
          <w:color w:val="auto"/>
        </w:rPr>
      </w:pPr>
      <w:r>
        <w:rPr>
          <w:rFonts w:ascii="Arial" w:cs="Arial" w:eastAsia="Arial" w:hAnsi="Arial"/>
          <w:sz w:val="13"/>
          <w:szCs w:val="13"/>
          <w:color w:val="auto"/>
        </w:rPr>
        <w:t>Certain of the statements contained or referred to herein, including those regarding the proposed offering of the Notes and New AAdvantage Term Loan Facility, should be considered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American Airlines Group Inc.’s Annual Report on Form 10-K for the fiscal year ended December 31, 2020 (especially in Part I, Item 1A. Risk Factors and Part II, Item 7. Management’s Discussion and Analysis of Financial Condition and Results of Operations),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the Company in particular have been material, are changing rapidly, and cannot be predicted.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p>
    <w:sectPr>
      <w:pgSz w:w="11900" w:h="16838" w:orient="portrait"/>
      <w:cols w:equalWidth="0" w:num="1">
        <w:col w:w="11260"/>
      </w:cols>
      <w:pgMar w:left="30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817"/>
    </w:lvl>
  </w:abstractNum>
  <w:abstractNum w:abstractNumId="1">
    <w:nsid w:val="74B0DC51"/>
    <w:multiLevelType w:val="hybridMultilevel"/>
    <w:lvl w:ilvl="0">
      <w:lvlJc w:val="left"/>
      <w:lvlText w:val="(%1)"/>
      <w:numFmt w:val="decimal"/>
      <w:start w:val="81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2021-03-08T06:22:15Z</dcterms:created>
  <dcterms:modified xsi:type="dcterms:W3CDTF">2021-03-08T06:22:15Z</dcterms:modified>
</cp:coreProperties>
</file>